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377B4" w:rsidRDefault="000A7622" w:rsidP="000A7622">
      <w:pPr>
        <w:pStyle w:val="Default"/>
        <w:rPr>
          <w:rFonts w:asciiTheme="minorHAnsi" w:hAnsiTheme="minorHAnsi" w:cstheme="minorHAnsi"/>
          <w:sz w:val="22"/>
          <w:szCs w:val="22"/>
        </w:rPr>
      </w:pPr>
    </w:p>
    <w:p w14:paraId="2538F7F5" w14:textId="77777777" w:rsidR="000A7622" w:rsidRPr="009377B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377B4">
        <w:rPr>
          <w:rFonts w:cstheme="minorHAnsi"/>
          <w:b/>
          <w:bCs/>
          <w:color w:val="316192"/>
          <w:sz w:val="28"/>
          <w:szCs w:val="26"/>
        </w:rPr>
        <w:t>Marquette University</w:t>
      </w:r>
    </w:p>
    <w:p w14:paraId="158D4B9F" w14:textId="77777777" w:rsidR="000A7622" w:rsidRPr="009377B4" w:rsidRDefault="000A7622" w:rsidP="00D14423">
      <w:pPr>
        <w:autoSpaceDE w:val="0"/>
        <w:autoSpaceDN w:val="0"/>
        <w:adjustRightInd w:val="0"/>
        <w:rPr>
          <w:rFonts w:cstheme="minorHAnsi"/>
          <w:b/>
          <w:bCs/>
          <w:color w:val="316192"/>
          <w:sz w:val="40"/>
          <w:szCs w:val="36"/>
        </w:rPr>
      </w:pPr>
      <w:r w:rsidRPr="009377B4">
        <w:rPr>
          <w:rFonts w:cstheme="minorHAnsi"/>
          <w:b/>
          <w:bCs/>
          <w:color w:val="316192"/>
          <w:sz w:val="40"/>
          <w:szCs w:val="36"/>
        </w:rPr>
        <w:t>e-Publications@Marquette</w:t>
      </w:r>
    </w:p>
    <w:p w14:paraId="689ACF87" w14:textId="77777777" w:rsidR="000A7622" w:rsidRPr="009377B4" w:rsidRDefault="000A7622" w:rsidP="00D14423">
      <w:pPr>
        <w:autoSpaceDE w:val="0"/>
        <w:autoSpaceDN w:val="0"/>
        <w:adjustRightInd w:val="0"/>
        <w:rPr>
          <w:rFonts w:cstheme="minorHAnsi"/>
          <w:b/>
          <w:bCs/>
          <w:i/>
          <w:iCs/>
        </w:rPr>
      </w:pPr>
    </w:p>
    <w:p w14:paraId="161853CC" w14:textId="490E7C28" w:rsidR="000A7622" w:rsidRPr="009377B4" w:rsidRDefault="008056CF" w:rsidP="00D14423">
      <w:pPr>
        <w:autoSpaceDE w:val="0"/>
        <w:autoSpaceDN w:val="0"/>
        <w:adjustRightInd w:val="0"/>
        <w:rPr>
          <w:rFonts w:cstheme="minorHAnsi"/>
          <w:b/>
          <w:bCs/>
          <w:i/>
          <w:iCs/>
          <w:sz w:val="32"/>
          <w:szCs w:val="32"/>
        </w:rPr>
      </w:pPr>
      <w:r w:rsidRPr="009377B4">
        <w:rPr>
          <w:rFonts w:cstheme="minorHAnsi"/>
          <w:b/>
          <w:bCs/>
          <w:i/>
          <w:iCs/>
          <w:sz w:val="32"/>
          <w:szCs w:val="32"/>
        </w:rPr>
        <w:t xml:space="preserve">Civil and Environmental Engineering </w:t>
      </w:r>
      <w:r w:rsidR="000A7622" w:rsidRPr="009377B4">
        <w:rPr>
          <w:rFonts w:cstheme="minorHAnsi"/>
          <w:b/>
          <w:bCs/>
          <w:i/>
          <w:iCs/>
          <w:sz w:val="32"/>
          <w:szCs w:val="32"/>
        </w:rPr>
        <w:t>Faculty Research and Publications/</w:t>
      </w:r>
      <w:r w:rsidR="009732A9" w:rsidRPr="009377B4">
        <w:rPr>
          <w:rFonts w:cstheme="minorHAnsi"/>
          <w:b/>
          <w:bCs/>
          <w:i/>
          <w:iCs/>
          <w:sz w:val="32"/>
          <w:szCs w:val="32"/>
        </w:rPr>
        <w:t xml:space="preserve">College of </w:t>
      </w:r>
      <w:r w:rsidRPr="009377B4">
        <w:rPr>
          <w:rFonts w:cstheme="minorHAnsi"/>
          <w:b/>
          <w:bCs/>
          <w:i/>
          <w:iCs/>
          <w:sz w:val="32"/>
          <w:szCs w:val="32"/>
        </w:rPr>
        <w:t>Engineering</w:t>
      </w:r>
    </w:p>
    <w:bookmarkEnd w:id="0"/>
    <w:p w14:paraId="3E538636" w14:textId="77777777" w:rsidR="000A7622" w:rsidRPr="009377B4" w:rsidRDefault="000A7622" w:rsidP="00D14423">
      <w:pPr>
        <w:jc w:val="center"/>
        <w:rPr>
          <w:rFonts w:cstheme="minorHAnsi"/>
          <w:b/>
          <w:bCs/>
          <w:i/>
          <w:iCs/>
        </w:rPr>
      </w:pPr>
    </w:p>
    <w:p w14:paraId="25509BF0" w14:textId="28841EF8" w:rsidR="000A7622" w:rsidRPr="009377B4" w:rsidRDefault="000A7622" w:rsidP="00D14423">
      <w:pPr>
        <w:jc w:val="center"/>
        <w:rPr>
          <w:rFonts w:cstheme="minorHAnsi"/>
          <w:sz w:val="24"/>
          <w:szCs w:val="24"/>
        </w:rPr>
      </w:pPr>
      <w:r w:rsidRPr="009377B4">
        <w:rPr>
          <w:rFonts w:cstheme="minorHAnsi"/>
          <w:b/>
          <w:bCs/>
          <w:i/>
          <w:iCs/>
          <w:sz w:val="24"/>
          <w:szCs w:val="24"/>
        </w:rPr>
        <w:t xml:space="preserve">This paper is NOT THE PUBLISHED VERSION; </w:t>
      </w:r>
      <w:r w:rsidRPr="009377B4">
        <w:rPr>
          <w:rFonts w:cstheme="minorHAnsi"/>
          <w:b/>
          <w:bCs/>
          <w:sz w:val="24"/>
          <w:szCs w:val="24"/>
        </w:rPr>
        <w:t xml:space="preserve">but the author’s final, peer-reviewed manuscript. </w:t>
      </w:r>
      <w:r w:rsidRPr="009377B4">
        <w:rPr>
          <w:rFonts w:cstheme="minorHAnsi"/>
          <w:sz w:val="24"/>
          <w:szCs w:val="24"/>
        </w:rPr>
        <w:t>The published version may be accessed by following the link in th</w:t>
      </w:r>
      <w:r w:rsidR="00DA619A" w:rsidRPr="009377B4">
        <w:rPr>
          <w:rFonts w:cstheme="minorHAnsi"/>
          <w:sz w:val="24"/>
          <w:szCs w:val="24"/>
        </w:rPr>
        <w:t>e</w:t>
      </w:r>
      <w:r w:rsidRPr="009377B4">
        <w:rPr>
          <w:rFonts w:cstheme="minorHAnsi"/>
          <w:sz w:val="24"/>
          <w:szCs w:val="24"/>
        </w:rPr>
        <w:t xml:space="preserve"> citation below.</w:t>
      </w:r>
    </w:p>
    <w:p w14:paraId="207B0342" w14:textId="77777777" w:rsidR="000A7622" w:rsidRPr="009377B4" w:rsidRDefault="000A7622" w:rsidP="00D14423">
      <w:pPr>
        <w:jc w:val="center"/>
        <w:rPr>
          <w:rFonts w:cstheme="minorHAnsi"/>
          <w:sz w:val="24"/>
          <w:szCs w:val="24"/>
        </w:rPr>
      </w:pPr>
    </w:p>
    <w:p w14:paraId="2A38AFE1" w14:textId="70659F1D" w:rsidR="000A7622" w:rsidRPr="009377B4" w:rsidRDefault="000A4068" w:rsidP="00D14423">
      <w:pPr>
        <w:rPr>
          <w:rFonts w:cstheme="minorHAnsi"/>
          <w:sz w:val="24"/>
          <w:szCs w:val="24"/>
        </w:rPr>
      </w:pPr>
      <w:r>
        <w:rPr>
          <w:rFonts w:cstheme="minorHAnsi"/>
          <w:i/>
          <w:sz w:val="24"/>
          <w:szCs w:val="24"/>
          <w:lang w:val="fr-FR"/>
        </w:rPr>
        <w:t xml:space="preserve">Water </w:t>
      </w:r>
      <w:proofErr w:type="spellStart"/>
      <w:r>
        <w:rPr>
          <w:rFonts w:cstheme="minorHAnsi"/>
          <w:i/>
          <w:sz w:val="24"/>
          <w:szCs w:val="24"/>
          <w:lang w:val="fr-FR"/>
        </w:rPr>
        <w:t>Research</w:t>
      </w:r>
      <w:proofErr w:type="spellEnd"/>
      <w:r w:rsidR="000A7622" w:rsidRPr="009377B4">
        <w:rPr>
          <w:rFonts w:cstheme="minorHAnsi"/>
          <w:sz w:val="24"/>
          <w:szCs w:val="24"/>
          <w:lang w:val="fr-FR"/>
        </w:rPr>
        <w:t xml:space="preserve">, Vol. </w:t>
      </w:r>
      <w:r>
        <w:rPr>
          <w:rFonts w:cstheme="minorHAnsi"/>
          <w:sz w:val="24"/>
          <w:szCs w:val="24"/>
          <w:lang w:val="fr-FR"/>
        </w:rPr>
        <w:t>46</w:t>
      </w:r>
      <w:r w:rsidR="000A7622" w:rsidRPr="009377B4">
        <w:rPr>
          <w:rFonts w:cstheme="minorHAnsi"/>
          <w:sz w:val="24"/>
          <w:szCs w:val="24"/>
          <w:lang w:val="fr-FR"/>
        </w:rPr>
        <w:t xml:space="preserve">, No. </w:t>
      </w:r>
      <w:r>
        <w:rPr>
          <w:rFonts w:cstheme="minorHAnsi"/>
          <w:sz w:val="24"/>
          <w:szCs w:val="24"/>
          <w:lang w:val="fr-FR"/>
        </w:rPr>
        <w:t>9</w:t>
      </w:r>
      <w:r w:rsidR="000A7622" w:rsidRPr="009377B4">
        <w:rPr>
          <w:rFonts w:cstheme="minorHAnsi"/>
          <w:sz w:val="24"/>
          <w:szCs w:val="24"/>
          <w:lang w:val="fr-FR"/>
        </w:rPr>
        <w:t xml:space="preserve"> (</w:t>
      </w:r>
      <w:r>
        <w:rPr>
          <w:rFonts w:cstheme="minorHAnsi"/>
          <w:sz w:val="24"/>
          <w:szCs w:val="24"/>
          <w:lang w:val="fr-FR"/>
        </w:rPr>
        <w:t>June 1, 2012</w:t>
      </w:r>
      <w:proofErr w:type="gramStart"/>
      <w:r w:rsidR="000A7622" w:rsidRPr="009377B4">
        <w:rPr>
          <w:rFonts w:cstheme="minorHAnsi"/>
          <w:sz w:val="24"/>
          <w:szCs w:val="24"/>
          <w:lang w:val="fr-FR"/>
        </w:rPr>
        <w:t>):</w:t>
      </w:r>
      <w:proofErr w:type="gramEnd"/>
      <w:r w:rsidR="000A7622" w:rsidRPr="009377B4">
        <w:rPr>
          <w:rFonts w:cstheme="minorHAnsi"/>
          <w:sz w:val="24"/>
          <w:szCs w:val="24"/>
          <w:lang w:val="fr-FR"/>
        </w:rPr>
        <w:t xml:space="preserve"> </w:t>
      </w:r>
      <w:r>
        <w:rPr>
          <w:rFonts w:cstheme="minorHAnsi"/>
          <w:sz w:val="24"/>
          <w:szCs w:val="24"/>
          <w:lang w:val="fr-FR"/>
        </w:rPr>
        <w:t>2937-2946</w:t>
      </w:r>
      <w:r w:rsidR="000A7622" w:rsidRPr="009377B4">
        <w:rPr>
          <w:rFonts w:cstheme="minorHAnsi"/>
          <w:sz w:val="24"/>
          <w:szCs w:val="24"/>
          <w:lang w:val="fr-FR"/>
        </w:rPr>
        <w:t xml:space="preserve">. </w:t>
      </w:r>
      <w:hyperlink r:id="rId8" w:history="1">
        <w:r w:rsidR="000A7622" w:rsidRPr="009377B4">
          <w:rPr>
            <w:rFonts w:cstheme="minorHAnsi"/>
            <w:color w:val="0563C1" w:themeColor="hyperlink"/>
            <w:sz w:val="24"/>
            <w:szCs w:val="24"/>
            <w:u w:val="single"/>
            <w:lang w:val="fr-FR"/>
          </w:rPr>
          <w:t>DOI</w:t>
        </w:r>
      </w:hyperlink>
      <w:r w:rsidR="000A7622" w:rsidRPr="009377B4">
        <w:rPr>
          <w:rFonts w:cstheme="minorHAnsi"/>
          <w:sz w:val="24"/>
          <w:szCs w:val="24"/>
          <w:lang w:val="fr-FR"/>
        </w:rPr>
        <w:t xml:space="preserve">. </w:t>
      </w:r>
      <w:r w:rsidR="000A7622" w:rsidRPr="009377B4">
        <w:rPr>
          <w:rFonts w:cstheme="minorHAnsi"/>
          <w:sz w:val="24"/>
          <w:szCs w:val="24"/>
        </w:rPr>
        <w:t xml:space="preserve">This article is © </w:t>
      </w:r>
      <w:r w:rsidR="009E0A9C">
        <w:rPr>
          <w:rFonts w:cstheme="minorHAnsi"/>
          <w:sz w:val="24"/>
          <w:szCs w:val="24"/>
        </w:rPr>
        <w:t>Elsevier</w:t>
      </w:r>
      <w:r w:rsidR="000A7622" w:rsidRPr="009377B4">
        <w:rPr>
          <w:rFonts w:cstheme="minorHAnsi"/>
          <w:sz w:val="24"/>
          <w:szCs w:val="24"/>
        </w:rPr>
        <w:t xml:space="preserve"> and permission has been granted for this version to appear in </w:t>
      </w:r>
      <w:hyperlink r:id="rId9" w:history="1">
        <w:r w:rsidR="000A7622" w:rsidRPr="009377B4">
          <w:rPr>
            <w:rFonts w:cstheme="minorHAnsi"/>
            <w:color w:val="0563C1" w:themeColor="hyperlink"/>
            <w:sz w:val="24"/>
            <w:szCs w:val="24"/>
            <w:u w:val="single"/>
          </w:rPr>
          <w:t>e-Publications@Marquette</w:t>
        </w:r>
      </w:hyperlink>
      <w:r w:rsidR="000A7622" w:rsidRPr="009377B4">
        <w:rPr>
          <w:rFonts w:cstheme="minorHAnsi"/>
          <w:sz w:val="24"/>
          <w:szCs w:val="24"/>
        </w:rPr>
        <w:t xml:space="preserve">. </w:t>
      </w:r>
      <w:r w:rsidR="009E0A9C">
        <w:rPr>
          <w:rFonts w:cstheme="minorHAnsi"/>
          <w:sz w:val="24"/>
          <w:szCs w:val="24"/>
        </w:rPr>
        <w:t>Elsevier</w:t>
      </w:r>
      <w:r w:rsidR="000A7622" w:rsidRPr="009377B4">
        <w:rPr>
          <w:rFonts w:cstheme="minorHAnsi"/>
          <w:sz w:val="24"/>
          <w:szCs w:val="24"/>
        </w:rPr>
        <w:t xml:space="preserve"> does not grant permission for this article to be further copied/distributed or hosted elsewhere without the express permission from </w:t>
      </w:r>
      <w:r w:rsidR="009E0A9C">
        <w:rPr>
          <w:rFonts w:cstheme="minorHAnsi"/>
          <w:sz w:val="24"/>
          <w:szCs w:val="24"/>
        </w:rPr>
        <w:t>Elsevier</w:t>
      </w:r>
      <w:r w:rsidR="000A7622" w:rsidRPr="009377B4">
        <w:rPr>
          <w:rFonts w:cstheme="minorHAnsi"/>
          <w:sz w:val="24"/>
          <w:szCs w:val="24"/>
        </w:rPr>
        <w:t xml:space="preserve">. </w:t>
      </w:r>
    </w:p>
    <w:bookmarkEnd w:id="1"/>
    <w:p w14:paraId="5BC0075B" w14:textId="5ACF17C6" w:rsidR="000A7622" w:rsidRPr="009377B4" w:rsidRDefault="000A7622" w:rsidP="000A7622">
      <w:pPr>
        <w:rPr>
          <w:rFonts w:cstheme="minorHAnsi"/>
        </w:rPr>
      </w:pPr>
    </w:p>
    <w:p w14:paraId="1503B33D" w14:textId="272B4DF5" w:rsidR="00070801" w:rsidRPr="009377B4" w:rsidRDefault="00070801" w:rsidP="002A0751">
      <w:pPr>
        <w:pStyle w:val="Title"/>
        <w:rPr>
          <w:rFonts w:asciiTheme="minorHAnsi" w:hAnsiTheme="minorHAnsi" w:cstheme="minorHAnsi"/>
        </w:rPr>
      </w:pPr>
      <w:r w:rsidRPr="009377B4">
        <w:rPr>
          <w:rFonts w:asciiTheme="minorHAnsi" w:hAnsiTheme="minorHAnsi" w:cstheme="minorHAnsi"/>
        </w:rPr>
        <w:t xml:space="preserve">The </w:t>
      </w:r>
      <w:r w:rsidR="002A0751" w:rsidRPr="009377B4">
        <w:rPr>
          <w:rFonts w:asciiTheme="minorHAnsi" w:hAnsiTheme="minorHAnsi" w:cstheme="minorHAnsi"/>
        </w:rPr>
        <w:t>Effect of Thermal Hydrolysis Pretreatment on The Anaerobic Degradation of Nonylphenol And Short-Chain Nonylphenol Ethoxylates In Digested Biosolids</w:t>
      </w:r>
    </w:p>
    <w:p w14:paraId="57F4E871" w14:textId="77777777" w:rsidR="002A0751" w:rsidRPr="009377B4" w:rsidRDefault="002A0751" w:rsidP="00070801">
      <w:pPr>
        <w:rPr>
          <w:rFonts w:cstheme="minorHAnsi"/>
          <w:b/>
          <w:bCs/>
        </w:rPr>
      </w:pPr>
    </w:p>
    <w:p w14:paraId="5A5B4F38" w14:textId="50B10198" w:rsidR="002A0751" w:rsidRPr="009377B4" w:rsidRDefault="00070801" w:rsidP="001B1A32">
      <w:pPr>
        <w:pStyle w:val="NoSpacing"/>
        <w:rPr>
          <w:rFonts w:cstheme="minorHAnsi"/>
          <w:sz w:val="24"/>
          <w:szCs w:val="24"/>
        </w:rPr>
      </w:pPr>
      <w:bookmarkStart w:id="2" w:name="bau1"/>
      <w:r w:rsidRPr="009377B4">
        <w:rPr>
          <w:rFonts w:cstheme="minorHAnsi"/>
          <w:sz w:val="24"/>
          <w:szCs w:val="24"/>
        </w:rPr>
        <w:t>P.</w:t>
      </w:r>
      <w:r w:rsidR="001B1A32" w:rsidRPr="009377B4">
        <w:rPr>
          <w:rFonts w:cstheme="minorHAnsi"/>
          <w:sz w:val="24"/>
          <w:szCs w:val="24"/>
        </w:rPr>
        <w:t xml:space="preserve"> </w:t>
      </w:r>
      <w:r w:rsidRPr="009377B4">
        <w:rPr>
          <w:rFonts w:cstheme="minorHAnsi"/>
          <w:sz w:val="24"/>
          <w:szCs w:val="24"/>
        </w:rPr>
        <w:t>J.</w:t>
      </w:r>
      <w:r w:rsidR="001B1A32" w:rsidRPr="009377B4">
        <w:rPr>
          <w:rFonts w:cstheme="minorHAnsi"/>
          <w:sz w:val="24"/>
          <w:szCs w:val="24"/>
        </w:rPr>
        <w:t xml:space="preserve"> </w:t>
      </w:r>
      <w:r w:rsidRPr="009377B4">
        <w:rPr>
          <w:rFonts w:cstheme="minorHAnsi"/>
          <w:sz w:val="24"/>
          <w:szCs w:val="24"/>
        </w:rPr>
        <w:t>McNamara</w:t>
      </w:r>
      <w:bookmarkStart w:id="3" w:name="bau2"/>
      <w:bookmarkEnd w:id="2"/>
    </w:p>
    <w:p w14:paraId="68C93E4A" w14:textId="1B512241" w:rsidR="002A0751" w:rsidRPr="009377B4" w:rsidRDefault="002A0751" w:rsidP="001B1A32">
      <w:pPr>
        <w:pStyle w:val="NoSpacing"/>
        <w:rPr>
          <w:rFonts w:cstheme="minorHAnsi"/>
          <w:sz w:val="24"/>
          <w:szCs w:val="24"/>
        </w:rPr>
      </w:pPr>
      <w:r w:rsidRPr="009377B4">
        <w:rPr>
          <w:rFonts w:cstheme="minorHAnsi"/>
          <w:sz w:val="24"/>
          <w:szCs w:val="24"/>
        </w:rPr>
        <w:t>University of Minnesota, Department of Civil Engineering, Minneapolis, MN</w:t>
      </w:r>
    </w:p>
    <w:p w14:paraId="206CAD64" w14:textId="0B1B7A6A" w:rsidR="002A0751" w:rsidRPr="009377B4" w:rsidRDefault="00070801" w:rsidP="001B1A32">
      <w:pPr>
        <w:pStyle w:val="NoSpacing"/>
        <w:rPr>
          <w:rFonts w:cstheme="minorHAnsi"/>
          <w:sz w:val="24"/>
          <w:szCs w:val="24"/>
        </w:rPr>
      </w:pPr>
      <w:r w:rsidRPr="009377B4">
        <w:rPr>
          <w:rFonts w:cstheme="minorHAnsi"/>
          <w:sz w:val="24"/>
          <w:szCs w:val="24"/>
        </w:rPr>
        <w:t>C.</w:t>
      </w:r>
      <w:r w:rsidR="001B1A32" w:rsidRPr="009377B4">
        <w:rPr>
          <w:rFonts w:cstheme="minorHAnsi"/>
          <w:sz w:val="24"/>
          <w:szCs w:val="24"/>
        </w:rPr>
        <w:t xml:space="preserve"> </w:t>
      </w:r>
      <w:r w:rsidRPr="009377B4">
        <w:rPr>
          <w:rFonts w:cstheme="minorHAnsi"/>
          <w:sz w:val="24"/>
          <w:szCs w:val="24"/>
        </w:rPr>
        <w:t>A.</w:t>
      </w:r>
      <w:r w:rsidR="001B1A32" w:rsidRPr="009377B4">
        <w:rPr>
          <w:rFonts w:cstheme="minorHAnsi"/>
          <w:sz w:val="24"/>
          <w:szCs w:val="24"/>
        </w:rPr>
        <w:t xml:space="preserve"> </w:t>
      </w:r>
      <w:r w:rsidRPr="009377B4">
        <w:rPr>
          <w:rFonts w:cstheme="minorHAnsi"/>
          <w:sz w:val="24"/>
          <w:szCs w:val="24"/>
        </w:rPr>
        <w:t>Wilson</w:t>
      </w:r>
      <w:bookmarkStart w:id="4" w:name="bau3"/>
      <w:bookmarkEnd w:id="3"/>
    </w:p>
    <w:p w14:paraId="578E327C" w14:textId="172B5A25" w:rsidR="002A0751" w:rsidRPr="009377B4" w:rsidRDefault="002A0751" w:rsidP="001B1A32">
      <w:pPr>
        <w:pStyle w:val="NoSpacing"/>
        <w:rPr>
          <w:rFonts w:cstheme="minorHAnsi"/>
          <w:sz w:val="24"/>
          <w:szCs w:val="24"/>
        </w:rPr>
      </w:pPr>
      <w:r w:rsidRPr="009377B4">
        <w:rPr>
          <w:rFonts w:cstheme="minorHAnsi"/>
          <w:sz w:val="24"/>
          <w:szCs w:val="24"/>
        </w:rPr>
        <w:t>Greeley and Hansen, Richmond, VA</w:t>
      </w:r>
    </w:p>
    <w:p w14:paraId="29D2F33D" w14:textId="4DAC85DC" w:rsidR="002A0751" w:rsidRPr="009377B4" w:rsidRDefault="00070801" w:rsidP="001B1A32">
      <w:pPr>
        <w:pStyle w:val="NoSpacing"/>
        <w:rPr>
          <w:rFonts w:cstheme="minorHAnsi"/>
          <w:sz w:val="24"/>
          <w:szCs w:val="24"/>
        </w:rPr>
      </w:pPr>
      <w:r w:rsidRPr="009377B4">
        <w:rPr>
          <w:rFonts w:cstheme="minorHAnsi"/>
          <w:sz w:val="24"/>
          <w:szCs w:val="24"/>
        </w:rPr>
        <w:t>M.</w:t>
      </w:r>
      <w:r w:rsidR="001B1A32" w:rsidRPr="009377B4">
        <w:rPr>
          <w:rFonts w:cstheme="minorHAnsi"/>
          <w:sz w:val="24"/>
          <w:szCs w:val="24"/>
        </w:rPr>
        <w:t xml:space="preserve"> </w:t>
      </w:r>
      <w:r w:rsidRPr="009377B4">
        <w:rPr>
          <w:rFonts w:cstheme="minorHAnsi"/>
          <w:sz w:val="24"/>
          <w:szCs w:val="24"/>
        </w:rPr>
        <w:t>T.</w:t>
      </w:r>
      <w:r w:rsidR="001B1A32" w:rsidRPr="009377B4">
        <w:rPr>
          <w:rFonts w:cstheme="minorHAnsi"/>
          <w:sz w:val="24"/>
          <w:szCs w:val="24"/>
        </w:rPr>
        <w:t xml:space="preserve"> </w:t>
      </w:r>
      <w:proofErr w:type="spellStart"/>
      <w:r w:rsidRPr="009377B4">
        <w:rPr>
          <w:rFonts w:cstheme="minorHAnsi"/>
          <w:sz w:val="24"/>
          <w:szCs w:val="24"/>
        </w:rPr>
        <w:t>Wogen</w:t>
      </w:r>
      <w:bookmarkStart w:id="5" w:name="bau4"/>
      <w:bookmarkEnd w:id="4"/>
      <w:proofErr w:type="spellEnd"/>
    </w:p>
    <w:p w14:paraId="14BABA36" w14:textId="69F6E7A1" w:rsidR="002A0751" w:rsidRPr="009377B4" w:rsidRDefault="002A0751" w:rsidP="001B1A32">
      <w:pPr>
        <w:pStyle w:val="NoSpacing"/>
        <w:rPr>
          <w:rFonts w:cstheme="minorHAnsi"/>
          <w:sz w:val="24"/>
          <w:szCs w:val="24"/>
        </w:rPr>
      </w:pPr>
      <w:r w:rsidRPr="009377B4">
        <w:rPr>
          <w:rFonts w:cstheme="minorHAnsi"/>
          <w:sz w:val="24"/>
          <w:szCs w:val="24"/>
        </w:rPr>
        <w:t>University of Minnesota, School of Public Health, Minneapolis, MN</w:t>
      </w:r>
    </w:p>
    <w:p w14:paraId="72C78FB2" w14:textId="09D19AA5" w:rsidR="002A0751" w:rsidRPr="009377B4" w:rsidRDefault="00070801" w:rsidP="001B1A32">
      <w:pPr>
        <w:pStyle w:val="NoSpacing"/>
        <w:rPr>
          <w:rFonts w:cstheme="minorHAnsi"/>
          <w:sz w:val="24"/>
          <w:szCs w:val="24"/>
        </w:rPr>
      </w:pPr>
      <w:r w:rsidRPr="009377B4">
        <w:rPr>
          <w:rFonts w:cstheme="minorHAnsi"/>
          <w:sz w:val="24"/>
          <w:szCs w:val="24"/>
        </w:rPr>
        <w:t>S.</w:t>
      </w:r>
      <w:r w:rsidR="001B1A32" w:rsidRPr="009377B4">
        <w:rPr>
          <w:rFonts w:cstheme="minorHAnsi"/>
          <w:sz w:val="24"/>
          <w:szCs w:val="24"/>
        </w:rPr>
        <w:t xml:space="preserve"> </w:t>
      </w:r>
      <w:r w:rsidRPr="009377B4">
        <w:rPr>
          <w:rFonts w:cstheme="minorHAnsi"/>
          <w:sz w:val="24"/>
          <w:szCs w:val="24"/>
        </w:rPr>
        <w:t>N.</w:t>
      </w:r>
      <w:r w:rsidR="001B1A32" w:rsidRPr="009377B4">
        <w:rPr>
          <w:rFonts w:cstheme="minorHAnsi"/>
          <w:sz w:val="24"/>
          <w:szCs w:val="24"/>
        </w:rPr>
        <w:t xml:space="preserve"> </w:t>
      </w:r>
      <w:r w:rsidRPr="009377B4">
        <w:rPr>
          <w:rFonts w:cstheme="minorHAnsi"/>
          <w:sz w:val="24"/>
          <w:szCs w:val="24"/>
        </w:rPr>
        <w:t>Murthy</w:t>
      </w:r>
      <w:bookmarkStart w:id="6" w:name="bau5"/>
      <w:bookmarkEnd w:id="5"/>
    </w:p>
    <w:p w14:paraId="7C96451B" w14:textId="506E2C94" w:rsidR="002A0751" w:rsidRPr="009377B4" w:rsidRDefault="002A0751" w:rsidP="001B1A32">
      <w:pPr>
        <w:pStyle w:val="NoSpacing"/>
        <w:rPr>
          <w:rFonts w:cstheme="minorHAnsi"/>
          <w:sz w:val="24"/>
          <w:szCs w:val="24"/>
        </w:rPr>
      </w:pPr>
      <w:r w:rsidRPr="009377B4">
        <w:rPr>
          <w:rFonts w:cstheme="minorHAnsi"/>
          <w:sz w:val="24"/>
          <w:szCs w:val="24"/>
        </w:rPr>
        <w:t>District of Columbia Water and Sewer Authority, Washington, DC</w:t>
      </w:r>
    </w:p>
    <w:p w14:paraId="32F7303D" w14:textId="1A753B8F" w:rsidR="002A0751" w:rsidRPr="009377B4" w:rsidRDefault="00070801" w:rsidP="001B1A32">
      <w:pPr>
        <w:pStyle w:val="NoSpacing"/>
        <w:rPr>
          <w:rFonts w:cstheme="minorHAnsi"/>
          <w:sz w:val="24"/>
          <w:szCs w:val="24"/>
        </w:rPr>
      </w:pPr>
      <w:r w:rsidRPr="009377B4">
        <w:rPr>
          <w:rFonts w:cstheme="minorHAnsi"/>
          <w:sz w:val="24"/>
          <w:szCs w:val="24"/>
        </w:rPr>
        <w:t>J.</w:t>
      </w:r>
      <w:r w:rsidR="001B1A32" w:rsidRPr="009377B4">
        <w:rPr>
          <w:rFonts w:cstheme="minorHAnsi"/>
          <w:sz w:val="24"/>
          <w:szCs w:val="24"/>
        </w:rPr>
        <w:t xml:space="preserve"> </w:t>
      </w:r>
      <w:r w:rsidRPr="009377B4">
        <w:rPr>
          <w:rFonts w:cstheme="minorHAnsi"/>
          <w:sz w:val="24"/>
          <w:szCs w:val="24"/>
        </w:rPr>
        <w:t>T.</w:t>
      </w:r>
      <w:r w:rsidR="001B1A32" w:rsidRPr="009377B4">
        <w:rPr>
          <w:rFonts w:cstheme="minorHAnsi"/>
          <w:sz w:val="24"/>
          <w:szCs w:val="24"/>
        </w:rPr>
        <w:t xml:space="preserve"> </w:t>
      </w:r>
      <w:r w:rsidRPr="009377B4">
        <w:rPr>
          <w:rFonts w:cstheme="minorHAnsi"/>
          <w:sz w:val="24"/>
          <w:szCs w:val="24"/>
        </w:rPr>
        <w:t>Novak</w:t>
      </w:r>
      <w:bookmarkStart w:id="7" w:name="bau6"/>
      <w:bookmarkEnd w:id="6"/>
    </w:p>
    <w:p w14:paraId="06CA389E" w14:textId="305996E4" w:rsidR="002A0751" w:rsidRPr="009377B4" w:rsidRDefault="002A0751" w:rsidP="001B1A32">
      <w:pPr>
        <w:pStyle w:val="NoSpacing"/>
        <w:rPr>
          <w:rFonts w:cstheme="minorHAnsi"/>
          <w:sz w:val="24"/>
          <w:szCs w:val="24"/>
        </w:rPr>
      </w:pPr>
      <w:r w:rsidRPr="009377B4">
        <w:rPr>
          <w:rFonts w:cstheme="minorHAnsi"/>
          <w:sz w:val="24"/>
          <w:szCs w:val="24"/>
        </w:rPr>
        <w:t>Virginia Tech, Department of Civil &amp; Environmental Engineering, Blacksburg, VA</w:t>
      </w:r>
    </w:p>
    <w:p w14:paraId="49FFEE98" w14:textId="0950EDC6" w:rsidR="00070801" w:rsidRPr="009377B4" w:rsidRDefault="00070801" w:rsidP="001B1A32">
      <w:pPr>
        <w:pStyle w:val="NoSpacing"/>
        <w:rPr>
          <w:rFonts w:cstheme="minorHAnsi"/>
          <w:sz w:val="24"/>
          <w:szCs w:val="24"/>
        </w:rPr>
      </w:pPr>
      <w:r w:rsidRPr="009377B4">
        <w:rPr>
          <w:rFonts w:cstheme="minorHAnsi"/>
          <w:sz w:val="24"/>
          <w:szCs w:val="24"/>
        </w:rPr>
        <w:t>P.</w:t>
      </w:r>
      <w:r w:rsidR="001B1A32" w:rsidRPr="009377B4">
        <w:rPr>
          <w:rFonts w:cstheme="minorHAnsi"/>
          <w:sz w:val="24"/>
          <w:szCs w:val="24"/>
        </w:rPr>
        <w:t xml:space="preserve"> </w:t>
      </w:r>
      <w:r w:rsidRPr="009377B4">
        <w:rPr>
          <w:rFonts w:cstheme="minorHAnsi"/>
          <w:sz w:val="24"/>
          <w:szCs w:val="24"/>
        </w:rPr>
        <w:t>J.</w:t>
      </w:r>
      <w:r w:rsidR="001B1A32" w:rsidRPr="009377B4">
        <w:rPr>
          <w:rFonts w:cstheme="minorHAnsi"/>
          <w:sz w:val="24"/>
          <w:szCs w:val="24"/>
        </w:rPr>
        <w:t xml:space="preserve"> </w:t>
      </w:r>
      <w:r w:rsidRPr="009377B4">
        <w:rPr>
          <w:rFonts w:cstheme="minorHAnsi"/>
          <w:sz w:val="24"/>
          <w:szCs w:val="24"/>
        </w:rPr>
        <w:t>Novak</w:t>
      </w:r>
      <w:bookmarkEnd w:id="7"/>
    </w:p>
    <w:p w14:paraId="1FD17204" w14:textId="193EB84D" w:rsidR="002A0751" w:rsidRPr="009377B4" w:rsidRDefault="002A0751" w:rsidP="001B1A32">
      <w:pPr>
        <w:pStyle w:val="NoSpacing"/>
        <w:rPr>
          <w:rFonts w:cstheme="minorHAnsi"/>
          <w:sz w:val="24"/>
          <w:szCs w:val="24"/>
        </w:rPr>
      </w:pPr>
      <w:bookmarkStart w:id="8" w:name="_Hlk63056741"/>
      <w:r w:rsidRPr="009377B4">
        <w:rPr>
          <w:rFonts w:cstheme="minorHAnsi"/>
          <w:sz w:val="24"/>
          <w:szCs w:val="24"/>
        </w:rPr>
        <w:t>University of Minnesota, Department of Civil Engineering, Minneapolis, MN</w:t>
      </w:r>
    </w:p>
    <w:bookmarkEnd w:id="8"/>
    <w:p w14:paraId="4606CF3D" w14:textId="77777777" w:rsidR="001B1A32" w:rsidRPr="009377B4" w:rsidRDefault="001B1A32" w:rsidP="00070801">
      <w:pPr>
        <w:rPr>
          <w:rFonts w:cstheme="minorHAnsi"/>
        </w:rPr>
      </w:pPr>
    </w:p>
    <w:p w14:paraId="18FA34B2" w14:textId="5FDD40AB" w:rsidR="00070801" w:rsidRPr="009377B4" w:rsidRDefault="00070801" w:rsidP="001B1A32">
      <w:pPr>
        <w:pStyle w:val="Heading1"/>
        <w:rPr>
          <w:rFonts w:asciiTheme="minorHAnsi" w:hAnsiTheme="minorHAnsi" w:cstheme="minorHAnsi"/>
          <w:lang w:val="en"/>
        </w:rPr>
      </w:pPr>
      <w:r w:rsidRPr="009377B4">
        <w:rPr>
          <w:rFonts w:asciiTheme="minorHAnsi" w:hAnsiTheme="minorHAnsi" w:cstheme="minorHAnsi"/>
          <w:lang w:val="en"/>
        </w:rPr>
        <w:lastRenderedPageBreak/>
        <w:t>Abstract</w:t>
      </w:r>
    </w:p>
    <w:p w14:paraId="51C44FAE" w14:textId="77777777" w:rsidR="00070801" w:rsidRPr="009377B4" w:rsidRDefault="00070801" w:rsidP="00070801">
      <w:pPr>
        <w:rPr>
          <w:rFonts w:cstheme="minorHAnsi"/>
          <w:lang w:val="en"/>
        </w:rPr>
      </w:pPr>
      <w:r w:rsidRPr="009377B4">
        <w:rPr>
          <w:rFonts w:cstheme="minorHAnsi"/>
          <w:lang w:val="en"/>
        </w:rPr>
        <w:t xml:space="preserve">The presence of micropollutants can be a concern for land application of biosolids. Of particular interest are nonylphenol </w:t>
      </w:r>
      <w:proofErr w:type="spellStart"/>
      <w:r w:rsidRPr="009377B4">
        <w:rPr>
          <w:rFonts w:cstheme="minorHAnsi"/>
          <w:lang w:val="en"/>
        </w:rPr>
        <w:t>diethoxylate</w:t>
      </w:r>
      <w:proofErr w:type="spellEnd"/>
      <w:r w:rsidRPr="009377B4">
        <w:rPr>
          <w:rFonts w:cstheme="minorHAnsi"/>
          <w:lang w:val="en"/>
        </w:rPr>
        <w:t xml:space="preserve"> (NP</w:t>
      </w:r>
      <w:r w:rsidRPr="009377B4">
        <w:rPr>
          <w:rFonts w:cstheme="minorHAnsi"/>
          <w:vertAlign w:val="subscript"/>
          <w:lang w:val="en"/>
        </w:rPr>
        <w:t>2</w:t>
      </w:r>
      <w:r w:rsidRPr="009377B4">
        <w:rPr>
          <w:rFonts w:cstheme="minorHAnsi"/>
          <w:lang w:val="en"/>
        </w:rPr>
        <w:t xml:space="preserve">EO), nonylphenol </w:t>
      </w:r>
      <w:proofErr w:type="spellStart"/>
      <w:r w:rsidRPr="009377B4">
        <w:rPr>
          <w:rFonts w:cstheme="minorHAnsi"/>
          <w:lang w:val="en"/>
        </w:rPr>
        <w:t>monoethoxylate</w:t>
      </w:r>
      <w:proofErr w:type="spellEnd"/>
      <w:r w:rsidRPr="009377B4">
        <w:rPr>
          <w:rFonts w:cstheme="minorHAnsi"/>
          <w:lang w:val="en"/>
        </w:rPr>
        <w:t xml:space="preserve"> (NP</w:t>
      </w:r>
      <w:r w:rsidRPr="009377B4">
        <w:rPr>
          <w:rFonts w:cstheme="minorHAnsi"/>
          <w:vertAlign w:val="subscript"/>
          <w:lang w:val="en"/>
        </w:rPr>
        <w:t>1</w:t>
      </w:r>
      <w:r w:rsidRPr="009377B4">
        <w:rPr>
          <w:rFonts w:cstheme="minorHAnsi"/>
          <w:lang w:val="en"/>
        </w:rPr>
        <w:t>EO), and nonylphenol (NP), collectively referred to as NPE, which accumulate in anaerobically digested biosolids and are subject to regulation based on the environmental risks associated with them. Because biosolids are a valuable nutrient resource, it is essential that we understand how various treatment processes impact the fate of NPE in biosolids. Thermal hydrolysis (TH) coupled with mesophilic anaerobic digestion (MAD) is an advanced digestion process that destroys pathogens in biosolids and increases methane yields and volatile solids destruction. We investigated the impact of thermal hydrolysis pretreatment on the subsequent biodegradation of NPE in digested biosolids. Biosolids were treated with TH, anaerobic digestion, and aerobic digestion in laboratory-scale reactors, and NPE were analyzed in the influent and effluent of the digesters. NP</w:t>
      </w:r>
      <w:r w:rsidRPr="009377B4">
        <w:rPr>
          <w:rFonts w:cstheme="minorHAnsi"/>
          <w:vertAlign w:val="subscript"/>
          <w:lang w:val="en"/>
        </w:rPr>
        <w:t>2</w:t>
      </w:r>
      <w:r w:rsidRPr="009377B4">
        <w:rPr>
          <w:rFonts w:cstheme="minorHAnsi"/>
          <w:lang w:val="en"/>
        </w:rPr>
        <w:t>EO and NP</w:t>
      </w:r>
      <w:r w:rsidRPr="009377B4">
        <w:rPr>
          <w:rFonts w:cstheme="minorHAnsi"/>
          <w:vertAlign w:val="subscript"/>
          <w:lang w:val="en"/>
        </w:rPr>
        <w:t>1</w:t>
      </w:r>
      <w:r w:rsidRPr="009377B4">
        <w:rPr>
          <w:rFonts w:cstheme="minorHAnsi"/>
          <w:lang w:val="en"/>
        </w:rPr>
        <w:t xml:space="preserve">EO have been observed to degrade to the more estrogenic NP under anaerobic conditions; therefore, changes in the ratio of NP:NPE were of interest. The increase in </w:t>
      </w:r>
      <w:proofErr w:type="gramStart"/>
      <w:r w:rsidRPr="009377B4">
        <w:rPr>
          <w:rFonts w:cstheme="minorHAnsi"/>
          <w:lang w:val="en"/>
        </w:rPr>
        <w:t>NP:NPE</w:t>
      </w:r>
      <w:proofErr w:type="gramEnd"/>
      <w:r w:rsidRPr="009377B4">
        <w:rPr>
          <w:rFonts w:cstheme="minorHAnsi"/>
          <w:lang w:val="en"/>
        </w:rPr>
        <w:t xml:space="preserve"> following MAD was 56%; the average increase of this ratio in four sets of TH-MAD samples, however, was only 24.6 ± 3.1%. In addition, TH experiments performed in pure water verified that, during TH, the high temperature and pressure alone did not directly destroy NPE; TH experiments with NP added to sludge also showed that NP was not destroyed by the high temperature and pressure of TH when in a more complex sludge matrix. The post-aerobic digestion phases removed NPE, regardless of whether TH pretreatment occurred. This research indicates that changes in biosolids processing can have impacts beyond just gas production and solids destruction.</w:t>
      </w:r>
    </w:p>
    <w:p w14:paraId="733196D5" w14:textId="77777777" w:rsidR="00070801" w:rsidRPr="009377B4" w:rsidRDefault="00070801" w:rsidP="00070801">
      <w:pPr>
        <w:rPr>
          <w:rFonts w:cstheme="minorHAnsi"/>
          <w:b/>
          <w:bCs/>
        </w:rPr>
      </w:pPr>
      <w:r w:rsidRPr="009377B4">
        <w:rPr>
          <w:rFonts w:cstheme="minorHAnsi"/>
          <w:b/>
          <w:bCs/>
        </w:rPr>
        <w:t>Graphical abstract</w:t>
      </w:r>
    </w:p>
    <w:p w14:paraId="5074544D" w14:textId="580CDA22" w:rsidR="00070801" w:rsidRPr="009377B4" w:rsidRDefault="00070801" w:rsidP="00070801">
      <w:pPr>
        <w:rPr>
          <w:rFonts w:cstheme="minorHAnsi"/>
        </w:rPr>
      </w:pPr>
      <w:r w:rsidRPr="009377B4">
        <w:rPr>
          <w:rFonts w:cstheme="minorHAnsi"/>
          <w:noProof/>
        </w:rPr>
        <w:drawing>
          <wp:inline distT="0" distB="0" distL="0" distR="0" wp14:anchorId="4616D190" wp14:editId="5342B9F0">
            <wp:extent cx="2743200" cy="1591056"/>
            <wp:effectExtent l="0" t="0" r="0" b="9525"/>
            <wp:docPr id="1610" name="Picture 16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 name="Picture 161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p>
    <w:p w14:paraId="3D42BB9F" w14:textId="77777777" w:rsidR="00070801" w:rsidRPr="009377B4" w:rsidRDefault="00070801" w:rsidP="00BF1FFB">
      <w:pPr>
        <w:pStyle w:val="Heading1"/>
        <w:rPr>
          <w:rFonts w:asciiTheme="minorHAnsi" w:hAnsiTheme="minorHAnsi" w:cstheme="minorHAnsi"/>
        </w:rPr>
      </w:pPr>
      <w:r w:rsidRPr="009377B4">
        <w:rPr>
          <w:rFonts w:asciiTheme="minorHAnsi" w:hAnsiTheme="minorHAnsi" w:cstheme="minorHAnsi"/>
        </w:rPr>
        <w:t>Keywords</w:t>
      </w:r>
    </w:p>
    <w:p w14:paraId="0B4B4767" w14:textId="2A61458E" w:rsidR="00070801" w:rsidRPr="009377B4" w:rsidRDefault="00070801" w:rsidP="00070801">
      <w:pPr>
        <w:rPr>
          <w:rFonts w:cstheme="minorHAnsi"/>
        </w:rPr>
      </w:pPr>
      <w:r w:rsidRPr="009377B4">
        <w:rPr>
          <w:rFonts w:cstheme="minorHAnsi"/>
        </w:rPr>
        <w:t>Anaerobic digestion</w:t>
      </w:r>
      <w:r w:rsidR="00BF1FFB" w:rsidRPr="009377B4">
        <w:rPr>
          <w:rFonts w:cstheme="minorHAnsi"/>
        </w:rPr>
        <w:t xml:space="preserve">, </w:t>
      </w:r>
      <w:r w:rsidRPr="009377B4">
        <w:rPr>
          <w:rFonts w:cstheme="minorHAnsi"/>
        </w:rPr>
        <w:t>Thermal hydrolysis</w:t>
      </w:r>
      <w:r w:rsidR="00BF1FFB" w:rsidRPr="009377B4">
        <w:rPr>
          <w:rFonts w:cstheme="minorHAnsi"/>
        </w:rPr>
        <w:t xml:space="preserve">, </w:t>
      </w:r>
      <w:r w:rsidRPr="009377B4">
        <w:rPr>
          <w:rFonts w:cstheme="minorHAnsi"/>
        </w:rPr>
        <w:t>Nonylphenol</w:t>
      </w:r>
      <w:r w:rsidR="00BF1FFB" w:rsidRPr="009377B4">
        <w:rPr>
          <w:rFonts w:cstheme="minorHAnsi"/>
        </w:rPr>
        <w:t xml:space="preserve">, </w:t>
      </w:r>
      <w:r w:rsidRPr="009377B4">
        <w:rPr>
          <w:rFonts w:cstheme="minorHAnsi"/>
        </w:rPr>
        <w:t>Nonylphenol ethoxylates</w:t>
      </w:r>
      <w:r w:rsidR="00BF1FFB" w:rsidRPr="009377B4">
        <w:rPr>
          <w:rFonts w:cstheme="minorHAnsi"/>
        </w:rPr>
        <w:t xml:space="preserve">, </w:t>
      </w:r>
      <w:r w:rsidRPr="009377B4">
        <w:rPr>
          <w:rFonts w:cstheme="minorHAnsi"/>
        </w:rPr>
        <w:t>Biosolids</w:t>
      </w:r>
      <w:r w:rsidR="00BF1FFB" w:rsidRPr="009377B4">
        <w:rPr>
          <w:rFonts w:cstheme="minorHAnsi"/>
        </w:rPr>
        <w:t xml:space="preserve">, </w:t>
      </w:r>
      <w:proofErr w:type="spellStart"/>
      <w:r w:rsidRPr="009377B4">
        <w:rPr>
          <w:rFonts w:cstheme="minorHAnsi"/>
        </w:rPr>
        <w:t>Estrogenicity</w:t>
      </w:r>
      <w:proofErr w:type="spellEnd"/>
    </w:p>
    <w:p w14:paraId="61FEFD7B" w14:textId="77777777" w:rsidR="00070801" w:rsidRPr="009377B4" w:rsidRDefault="00070801" w:rsidP="00BF1FFB">
      <w:pPr>
        <w:pStyle w:val="Heading1"/>
        <w:rPr>
          <w:rFonts w:asciiTheme="minorHAnsi" w:hAnsiTheme="minorHAnsi" w:cstheme="minorHAnsi"/>
        </w:rPr>
      </w:pPr>
      <w:r w:rsidRPr="009377B4">
        <w:rPr>
          <w:rFonts w:asciiTheme="minorHAnsi" w:hAnsiTheme="minorHAnsi" w:cstheme="minorHAnsi"/>
        </w:rPr>
        <w:t>1. Introduction</w:t>
      </w:r>
    </w:p>
    <w:p w14:paraId="0E4F37F6" w14:textId="5DCE9726" w:rsidR="00070801" w:rsidRPr="009377B4" w:rsidRDefault="00070801" w:rsidP="00070801">
      <w:pPr>
        <w:rPr>
          <w:rFonts w:cstheme="minorHAnsi"/>
        </w:rPr>
      </w:pPr>
      <w:r w:rsidRPr="009377B4">
        <w:rPr>
          <w:rFonts w:cstheme="minorHAnsi"/>
        </w:rPr>
        <w:t>Anaerobic digestion has been used worldwide for over 100 years to stabilize wastewater solids (</w:t>
      </w:r>
      <w:bookmarkStart w:id="9" w:name="bbib47"/>
      <w:r w:rsidRPr="009377B4">
        <w:rPr>
          <w:rFonts w:cstheme="minorHAnsi"/>
        </w:rPr>
        <w:t>Van Lier et al., 2001</w:t>
      </w:r>
      <w:bookmarkEnd w:id="9"/>
      <w:r w:rsidRPr="009377B4">
        <w:rPr>
          <w:rFonts w:cstheme="minorHAnsi"/>
        </w:rPr>
        <w:t>). As global energy demands continue to increase, it is important to make this process as efficient as possible and to effectively utilize all byproducts of wastewater treatment, including biosolids. A recent study indicated that anaerobic digesters could emerge as an important and useful renewable energy source for electricity generation in the face of new greenhouse gas emission limits (</w:t>
      </w:r>
      <w:bookmarkStart w:id="10" w:name="bbib52"/>
      <w:proofErr w:type="spellStart"/>
      <w:r w:rsidRPr="009377B4">
        <w:rPr>
          <w:rFonts w:cstheme="minorHAnsi"/>
        </w:rPr>
        <w:t>Zaks</w:t>
      </w:r>
      <w:proofErr w:type="spellEnd"/>
      <w:r w:rsidRPr="009377B4">
        <w:rPr>
          <w:rFonts w:cstheme="minorHAnsi"/>
        </w:rPr>
        <w:t xml:space="preserve"> et al., 2011</w:t>
      </w:r>
      <w:bookmarkEnd w:id="10"/>
      <w:r w:rsidRPr="009377B4">
        <w:rPr>
          <w:rFonts w:cstheme="minorHAnsi"/>
        </w:rPr>
        <w:t>). Approximately half of the biosolids produced in the European Union (EU) and the United States (US) are used as fertilizer through land application (</w:t>
      </w:r>
      <w:bookmarkStart w:id="11" w:name="bbib13"/>
      <w:r w:rsidRPr="009377B4">
        <w:rPr>
          <w:rFonts w:cstheme="minorHAnsi"/>
        </w:rPr>
        <w:t>European Commission, 2008</w:t>
      </w:r>
      <w:bookmarkEnd w:id="11"/>
      <w:r w:rsidRPr="009377B4">
        <w:rPr>
          <w:rFonts w:cstheme="minorHAnsi"/>
        </w:rPr>
        <w:t>, </w:t>
      </w:r>
      <w:bookmarkStart w:id="12" w:name="bbib45"/>
      <w:r w:rsidRPr="009377B4">
        <w:rPr>
          <w:rFonts w:cstheme="minorHAnsi"/>
        </w:rPr>
        <w:t>U.S. Environmental Protection Agency, 2002</w:t>
      </w:r>
      <w:bookmarkEnd w:id="12"/>
      <w:r w:rsidRPr="009377B4">
        <w:rPr>
          <w:rFonts w:cstheme="minorHAnsi"/>
        </w:rPr>
        <w:t>). According to a life-cycle assessment on the use of biosolids, land application can greatly reduce the carbon footprint of solids handling when compared to the landfilling of biosolids (</w:t>
      </w:r>
      <w:bookmarkStart w:id="13" w:name="bbib35"/>
      <w:r w:rsidRPr="009377B4">
        <w:rPr>
          <w:rFonts w:cstheme="minorHAnsi"/>
        </w:rPr>
        <w:t>Peters and Rowley, 2009</w:t>
      </w:r>
      <w:bookmarkEnd w:id="13"/>
      <w:r w:rsidRPr="009377B4">
        <w:rPr>
          <w:rFonts w:cstheme="minorHAnsi"/>
        </w:rPr>
        <w:t>). Additionally, agricultural phosphorus demand is reduced through the land application of biosolids, helping to alleviate a growing global problem of diminishing phosphorus reserves (</w:t>
      </w:r>
      <w:bookmarkStart w:id="14" w:name="bbib48"/>
      <w:proofErr w:type="spellStart"/>
      <w:r w:rsidRPr="009377B4">
        <w:rPr>
          <w:rFonts w:cstheme="minorHAnsi"/>
        </w:rPr>
        <w:t>Weikard</w:t>
      </w:r>
      <w:proofErr w:type="spellEnd"/>
      <w:r w:rsidRPr="009377B4">
        <w:rPr>
          <w:rFonts w:cstheme="minorHAnsi"/>
        </w:rPr>
        <w:t xml:space="preserve"> and </w:t>
      </w:r>
      <w:proofErr w:type="spellStart"/>
      <w:r w:rsidRPr="009377B4">
        <w:rPr>
          <w:rFonts w:cstheme="minorHAnsi"/>
        </w:rPr>
        <w:t>Seyhan</w:t>
      </w:r>
      <w:proofErr w:type="spellEnd"/>
      <w:r w:rsidRPr="009377B4">
        <w:rPr>
          <w:rFonts w:cstheme="minorHAnsi"/>
        </w:rPr>
        <w:t>, 2009</w:t>
      </w:r>
      <w:bookmarkEnd w:id="14"/>
      <w:r w:rsidRPr="009377B4">
        <w:rPr>
          <w:rFonts w:cstheme="minorHAnsi"/>
        </w:rPr>
        <w:t xml:space="preserve">). Land application of biosolids is not without risks, </w:t>
      </w:r>
      <w:r w:rsidRPr="009377B4">
        <w:rPr>
          <w:rFonts w:cstheme="minorHAnsi"/>
        </w:rPr>
        <w:lastRenderedPageBreak/>
        <w:t>however, including potential problems associated with the presence of micropollutants, particularly estrogenic compounds, in biosolids.</w:t>
      </w:r>
    </w:p>
    <w:p w14:paraId="10228C39" w14:textId="1455BE07" w:rsidR="00070801" w:rsidRPr="009377B4" w:rsidRDefault="00070801" w:rsidP="00070801">
      <w:pPr>
        <w:rPr>
          <w:rFonts w:cstheme="minorHAnsi"/>
        </w:rPr>
      </w:pPr>
      <w:r w:rsidRPr="009377B4">
        <w:rPr>
          <w:rFonts w:cstheme="minorHAnsi"/>
        </w:rPr>
        <w:t xml:space="preserve">Of the micropollutants found in wastewater solids, nonylphenol </w:t>
      </w:r>
      <w:proofErr w:type="spellStart"/>
      <w:r w:rsidRPr="009377B4">
        <w:rPr>
          <w:rFonts w:cstheme="minorHAnsi"/>
        </w:rPr>
        <w:t>monoethoxylate</w:t>
      </w:r>
      <w:proofErr w:type="spellEnd"/>
      <w:r w:rsidRPr="009377B4">
        <w:rPr>
          <w:rFonts w:cstheme="minorHAnsi"/>
        </w:rPr>
        <w:t xml:space="preserve"> (NP</w:t>
      </w:r>
      <w:r w:rsidRPr="009377B4">
        <w:rPr>
          <w:rFonts w:cstheme="minorHAnsi"/>
          <w:vertAlign w:val="subscript"/>
        </w:rPr>
        <w:t>1</w:t>
      </w:r>
      <w:r w:rsidRPr="009377B4">
        <w:rPr>
          <w:rFonts w:cstheme="minorHAnsi"/>
        </w:rPr>
        <w:t xml:space="preserve">EO), nonylphenol </w:t>
      </w:r>
      <w:proofErr w:type="spellStart"/>
      <w:r w:rsidRPr="009377B4">
        <w:rPr>
          <w:rFonts w:cstheme="minorHAnsi"/>
        </w:rPr>
        <w:t>diethoxylate</w:t>
      </w:r>
      <w:proofErr w:type="spellEnd"/>
      <w:r w:rsidRPr="009377B4">
        <w:rPr>
          <w:rFonts w:cstheme="minorHAnsi"/>
        </w:rPr>
        <w:t xml:space="preserve"> (NP</w:t>
      </w:r>
      <w:r w:rsidRPr="009377B4">
        <w:rPr>
          <w:rFonts w:cstheme="minorHAnsi"/>
          <w:vertAlign w:val="subscript"/>
        </w:rPr>
        <w:t>2</w:t>
      </w:r>
      <w:r w:rsidRPr="009377B4">
        <w:rPr>
          <w:rFonts w:cstheme="minorHAnsi"/>
        </w:rPr>
        <w:t xml:space="preserve">EO; these two ethoxylates collectively referred to as NPEO) and NP (all three compounds collectively referred to as NPE) are of particular interest </w:t>
      </w:r>
      <w:proofErr w:type="gramStart"/>
      <w:r w:rsidRPr="009377B4">
        <w:rPr>
          <w:rFonts w:cstheme="minorHAnsi"/>
        </w:rPr>
        <w:t>as a result of</w:t>
      </w:r>
      <w:proofErr w:type="gramEnd"/>
      <w:r w:rsidRPr="009377B4">
        <w:rPr>
          <w:rFonts w:cstheme="minorHAnsi"/>
        </w:rPr>
        <w:t xml:space="preserve"> their endocrine disrupting capabilities (</w:t>
      </w:r>
      <w:bookmarkStart w:id="15" w:name="bbib30"/>
      <w:proofErr w:type="spellStart"/>
      <w:r w:rsidRPr="009377B4">
        <w:rPr>
          <w:rFonts w:cstheme="minorHAnsi"/>
        </w:rPr>
        <w:t>Masuyama</w:t>
      </w:r>
      <w:proofErr w:type="spellEnd"/>
      <w:r w:rsidRPr="009377B4">
        <w:rPr>
          <w:rFonts w:cstheme="minorHAnsi"/>
        </w:rPr>
        <w:t xml:space="preserve"> et al., 2000</w:t>
      </w:r>
      <w:bookmarkEnd w:id="15"/>
      <w:r w:rsidRPr="009377B4">
        <w:rPr>
          <w:rFonts w:cstheme="minorHAnsi"/>
        </w:rPr>
        <w:t xml:space="preserve">) and </w:t>
      </w:r>
      <w:proofErr w:type="spellStart"/>
      <w:r w:rsidRPr="009377B4">
        <w:rPr>
          <w:rFonts w:cstheme="minorHAnsi"/>
        </w:rPr>
        <w:t>estrogenicity</w:t>
      </w:r>
      <w:proofErr w:type="spellEnd"/>
      <w:r w:rsidRPr="009377B4">
        <w:rPr>
          <w:rFonts w:cstheme="minorHAnsi"/>
        </w:rPr>
        <w:t xml:space="preserve"> (</w:t>
      </w:r>
      <w:bookmarkStart w:id="16" w:name="bbib23"/>
      <w:r w:rsidRPr="009377B4">
        <w:rPr>
          <w:rFonts w:cstheme="minorHAnsi"/>
        </w:rPr>
        <w:t>Jobling and Sumpter, 1993). Nonylphenol has been detected at levels greater than 1000 mg/kg in biosolids used for land application (</w:t>
      </w:r>
      <w:bookmarkStart w:id="17" w:name="bbib26"/>
      <w:r w:rsidRPr="009377B4">
        <w:rPr>
          <w:rFonts w:cstheme="minorHAnsi"/>
        </w:rPr>
        <w:t>Kinney et al., 2006), and was shown to bioaccumulate in earthworms inhabiting a field fertilized with biosolids (</w:t>
      </w:r>
      <w:bookmarkStart w:id="18" w:name="bbib27"/>
      <w:r w:rsidRPr="009377B4">
        <w:rPr>
          <w:rFonts w:cstheme="minorHAnsi"/>
        </w:rPr>
        <w:t>Kinney et al., 2008</w:t>
      </w:r>
      <w:bookmarkEnd w:id="18"/>
      <w:r w:rsidRPr="009377B4">
        <w:rPr>
          <w:rFonts w:cstheme="minorHAnsi"/>
        </w:rPr>
        <w:t>). In 2003 the EU passed a directive that restricted the sale or use of NPE (</w:t>
      </w:r>
      <w:bookmarkStart w:id="19" w:name="bbib14"/>
      <w:r w:rsidRPr="009377B4">
        <w:rPr>
          <w:rFonts w:cstheme="minorHAnsi"/>
        </w:rPr>
        <w:t>European Union, 2003</w:t>
      </w:r>
      <w:bookmarkEnd w:id="19"/>
      <w:r w:rsidRPr="009377B4">
        <w:rPr>
          <w:rFonts w:cstheme="minorHAnsi"/>
        </w:rPr>
        <w:t xml:space="preserve">). In the </w:t>
      </w:r>
      <w:proofErr w:type="gramStart"/>
      <w:r w:rsidRPr="009377B4">
        <w:rPr>
          <w:rFonts w:cstheme="minorHAnsi"/>
        </w:rPr>
        <w:t>US</w:t>
      </w:r>
      <w:proofErr w:type="gramEnd"/>
      <w:r w:rsidRPr="009377B4">
        <w:rPr>
          <w:rFonts w:cstheme="minorHAnsi"/>
        </w:rPr>
        <w:t xml:space="preserve"> the Environmental Protection Agency has started a “Safer Detergents Stewardship Initiative” to encourage use of surfactants other than NPE. A report that updated the 2003 working document on land application of biosolids has suggested that NPE should not exceed 450 mg/kg of dry solids (</w:t>
      </w:r>
      <w:bookmarkStart w:id="20" w:name="bbib40"/>
      <w:r w:rsidRPr="009377B4">
        <w:rPr>
          <w:rFonts w:cstheme="minorHAnsi"/>
        </w:rPr>
        <w:t>Salado et al., 2010</w:t>
      </w:r>
      <w:bookmarkEnd w:id="20"/>
      <w:r w:rsidRPr="009377B4">
        <w:rPr>
          <w:rFonts w:cstheme="minorHAnsi"/>
        </w:rPr>
        <w:t>, </w:t>
      </w:r>
      <w:bookmarkStart w:id="21" w:name="bbib12"/>
      <w:r w:rsidRPr="009377B4">
        <w:rPr>
          <w:rFonts w:cstheme="minorHAnsi"/>
        </w:rPr>
        <w:t>Commission of European Communities, 2003</w:t>
      </w:r>
      <w:bookmarkEnd w:id="21"/>
      <w:r w:rsidRPr="009377B4">
        <w:rPr>
          <w:rFonts w:cstheme="minorHAnsi"/>
        </w:rPr>
        <w:t>); nevertheless, NPE in biosolids have exceeded this level in both the EU (</w:t>
      </w:r>
      <w:bookmarkStart w:id="22" w:name="bbib41"/>
      <w:r w:rsidRPr="009377B4">
        <w:rPr>
          <w:rFonts w:cstheme="minorHAnsi"/>
        </w:rPr>
        <w:t>Santos et al., 2007</w:t>
      </w:r>
      <w:bookmarkEnd w:id="22"/>
      <w:r w:rsidRPr="009377B4">
        <w:rPr>
          <w:rFonts w:cstheme="minorHAnsi"/>
        </w:rPr>
        <w:t>) and the US (Kinney et al., 2006</w:t>
      </w:r>
      <w:bookmarkEnd w:id="17"/>
      <w:r w:rsidRPr="009377B4">
        <w:rPr>
          <w:rFonts w:cstheme="minorHAnsi"/>
        </w:rPr>
        <w:t>). It is reasonable to expect that the presence of NP in biosolids could result in additional bans or restrictions on the use of NP and NPE within the EU or elsewhere. Therefore, it is critical that we understand how both conventional biosolids handling technologies and emerging technologies impact the fate of NPE in biosolids.</w:t>
      </w:r>
    </w:p>
    <w:p w14:paraId="186A0E7F" w14:textId="1556D03A" w:rsidR="00070801" w:rsidRPr="009377B4" w:rsidRDefault="00070801" w:rsidP="00070801">
      <w:pPr>
        <w:rPr>
          <w:rFonts w:cstheme="minorHAnsi"/>
        </w:rPr>
      </w:pPr>
      <w:r w:rsidRPr="009377B4">
        <w:rPr>
          <w:rFonts w:cstheme="minorHAnsi"/>
        </w:rPr>
        <w:t>Anaerobic sludge stabilization often results in an accumulation of NP in biosolids (</w:t>
      </w:r>
      <w:bookmarkStart w:id="23" w:name="bbib17"/>
      <w:r w:rsidRPr="009377B4">
        <w:rPr>
          <w:rFonts w:cstheme="minorHAnsi"/>
        </w:rPr>
        <w:t>Giger et al., 1984), likely because the anaerobic degradation of NP is very slow compared to its formation from longer-chain ethoxylates (</w:t>
      </w:r>
      <w:bookmarkStart w:id="24" w:name="bbib10"/>
      <w:r w:rsidRPr="009377B4">
        <w:rPr>
          <w:rFonts w:cstheme="minorHAnsi"/>
        </w:rPr>
        <w:t xml:space="preserve">Chang et al., 2008), either </w:t>
      </w:r>
      <w:proofErr w:type="spellStart"/>
      <w:r w:rsidRPr="009377B4">
        <w:rPr>
          <w:rFonts w:cstheme="minorHAnsi"/>
        </w:rPr>
        <w:t>NP</w:t>
      </w:r>
      <w:r w:rsidRPr="009377B4">
        <w:rPr>
          <w:rFonts w:cstheme="minorHAnsi"/>
          <w:i/>
          <w:iCs/>
          <w:vertAlign w:val="subscript"/>
        </w:rPr>
        <w:t>n</w:t>
      </w:r>
      <w:r w:rsidRPr="009377B4">
        <w:rPr>
          <w:rFonts w:cstheme="minorHAnsi"/>
        </w:rPr>
        <w:t>EO</w:t>
      </w:r>
      <w:proofErr w:type="spellEnd"/>
      <w:r w:rsidRPr="009377B4">
        <w:rPr>
          <w:rFonts w:cstheme="minorHAnsi"/>
        </w:rPr>
        <w:t xml:space="preserve"> (</w:t>
      </w:r>
      <w:r w:rsidRPr="009377B4">
        <w:rPr>
          <w:rFonts w:cstheme="minorHAnsi"/>
          <w:i/>
          <w:iCs/>
        </w:rPr>
        <w:t>n</w:t>
      </w:r>
      <w:r w:rsidRPr="009377B4">
        <w:rPr>
          <w:rFonts w:cstheme="minorHAnsi"/>
        </w:rPr>
        <w:t> = 3–20) or NP</w:t>
      </w:r>
      <w:r w:rsidRPr="009377B4">
        <w:rPr>
          <w:rFonts w:cstheme="minorHAnsi"/>
          <w:vertAlign w:val="subscript"/>
        </w:rPr>
        <w:t>1</w:t>
      </w:r>
      <w:r w:rsidRPr="009377B4">
        <w:rPr>
          <w:rFonts w:cstheme="minorHAnsi"/>
        </w:rPr>
        <w:t>EO plus NP</w:t>
      </w:r>
      <w:r w:rsidRPr="009377B4">
        <w:rPr>
          <w:rFonts w:cstheme="minorHAnsi"/>
          <w:vertAlign w:val="subscript"/>
        </w:rPr>
        <w:t>2</w:t>
      </w:r>
      <w:r w:rsidRPr="009377B4">
        <w:rPr>
          <w:rFonts w:cstheme="minorHAnsi"/>
        </w:rPr>
        <w:t xml:space="preserve">EO. Anaerobic biodegradation of longer chain </w:t>
      </w:r>
      <w:proofErr w:type="spellStart"/>
      <w:r w:rsidRPr="009377B4">
        <w:rPr>
          <w:rFonts w:cstheme="minorHAnsi"/>
        </w:rPr>
        <w:t>NP</w:t>
      </w:r>
      <w:r w:rsidRPr="009377B4">
        <w:rPr>
          <w:rFonts w:cstheme="minorHAnsi"/>
          <w:i/>
          <w:iCs/>
          <w:vertAlign w:val="subscript"/>
        </w:rPr>
        <w:t>n</w:t>
      </w:r>
      <w:r w:rsidRPr="009377B4">
        <w:rPr>
          <w:rFonts w:cstheme="minorHAnsi"/>
        </w:rPr>
        <w:t>EOs</w:t>
      </w:r>
      <w:proofErr w:type="spellEnd"/>
      <w:r w:rsidRPr="009377B4">
        <w:rPr>
          <w:rFonts w:cstheme="minorHAnsi"/>
        </w:rPr>
        <w:t xml:space="preserve"> (</w:t>
      </w:r>
      <w:r w:rsidRPr="009377B4">
        <w:rPr>
          <w:rFonts w:cstheme="minorHAnsi"/>
          <w:i/>
          <w:iCs/>
        </w:rPr>
        <w:t>n</w:t>
      </w:r>
      <w:r w:rsidRPr="009377B4">
        <w:rPr>
          <w:rFonts w:cstheme="minorHAnsi"/>
        </w:rPr>
        <w:t> = 3–20) to short-chain NPEO has been demonstrated in the laboratory when fed at very high concentrations (100 g/kg) (</w:t>
      </w:r>
      <w:bookmarkStart w:id="25" w:name="bbib29"/>
      <w:r w:rsidRPr="009377B4">
        <w:rPr>
          <w:rFonts w:cstheme="minorHAnsi"/>
        </w:rPr>
        <w:t>Lu et al., 2008</w:t>
      </w:r>
      <w:bookmarkEnd w:id="25"/>
      <w:r w:rsidRPr="009377B4">
        <w:rPr>
          <w:rFonts w:cstheme="minorHAnsi"/>
        </w:rPr>
        <w:t xml:space="preserve">); nevertheless, other research has found </w:t>
      </w:r>
      <w:proofErr w:type="spellStart"/>
      <w:r w:rsidRPr="009377B4">
        <w:rPr>
          <w:rFonts w:cstheme="minorHAnsi"/>
        </w:rPr>
        <w:t>NP</w:t>
      </w:r>
      <w:r w:rsidRPr="009377B4">
        <w:rPr>
          <w:rFonts w:cstheme="minorHAnsi"/>
          <w:i/>
          <w:iCs/>
          <w:vertAlign w:val="subscript"/>
        </w:rPr>
        <w:t>n</w:t>
      </w:r>
      <w:r w:rsidRPr="009377B4">
        <w:rPr>
          <w:rFonts w:cstheme="minorHAnsi"/>
        </w:rPr>
        <w:t>EO</w:t>
      </w:r>
      <w:proofErr w:type="spellEnd"/>
      <w:r w:rsidRPr="009377B4">
        <w:rPr>
          <w:rFonts w:cstheme="minorHAnsi"/>
        </w:rPr>
        <w:t xml:space="preserve"> to be more recalcitrant under anaerobic conditions, with half-lives greater than 100 days in sediments (</w:t>
      </w:r>
      <w:bookmarkStart w:id="26" w:name="bbib15"/>
      <w:r w:rsidRPr="009377B4">
        <w:rPr>
          <w:rFonts w:cstheme="minorHAnsi"/>
        </w:rPr>
        <w:t xml:space="preserve">Ferguson and </w:t>
      </w:r>
      <w:proofErr w:type="spellStart"/>
      <w:r w:rsidRPr="009377B4">
        <w:rPr>
          <w:rFonts w:cstheme="minorHAnsi"/>
        </w:rPr>
        <w:t>Brownawell</w:t>
      </w:r>
      <w:proofErr w:type="spellEnd"/>
      <w:r w:rsidRPr="009377B4">
        <w:rPr>
          <w:rFonts w:cstheme="minorHAnsi"/>
        </w:rPr>
        <w:t>, 2003). The biodegradation of NPEO to NP under anaerobic conditions, on the other hand, is well documented in full-scale systems (Giger et al., 1984, </w:t>
      </w:r>
      <w:bookmarkStart w:id="27" w:name="bbib1"/>
      <w:proofErr w:type="spellStart"/>
      <w:r w:rsidRPr="009377B4">
        <w:rPr>
          <w:rFonts w:cstheme="minorHAnsi"/>
        </w:rPr>
        <w:t>Ahel</w:t>
      </w:r>
      <w:proofErr w:type="spellEnd"/>
      <w:r w:rsidRPr="009377B4">
        <w:rPr>
          <w:rFonts w:cstheme="minorHAnsi"/>
        </w:rPr>
        <w:t xml:space="preserve"> et al., 1994, </w:t>
      </w:r>
      <w:bookmarkStart w:id="28" w:name="bbib34"/>
      <w:proofErr w:type="spellStart"/>
      <w:r w:rsidRPr="009377B4">
        <w:rPr>
          <w:rFonts w:cstheme="minorHAnsi"/>
        </w:rPr>
        <w:t>Patureau</w:t>
      </w:r>
      <w:proofErr w:type="spellEnd"/>
      <w:r w:rsidRPr="009377B4">
        <w:rPr>
          <w:rFonts w:cstheme="minorHAnsi"/>
        </w:rPr>
        <w:t xml:space="preserve"> et al., 2008</w:t>
      </w:r>
      <w:bookmarkEnd w:id="28"/>
      <w:r w:rsidRPr="009377B4">
        <w:rPr>
          <w:rFonts w:cstheme="minorHAnsi"/>
        </w:rPr>
        <w:t>) and is often the immediate precursor to NP in digesters.</w:t>
      </w:r>
    </w:p>
    <w:p w14:paraId="37BAE2EC" w14:textId="5A4A8DB0" w:rsidR="00070801" w:rsidRPr="009377B4" w:rsidRDefault="00070801" w:rsidP="00070801">
      <w:pPr>
        <w:rPr>
          <w:rFonts w:cstheme="minorHAnsi"/>
        </w:rPr>
      </w:pPr>
      <w:r w:rsidRPr="009377B4">
        <w:rPr>
          <w:rFonts w:cstheme="minorHAnsi"/>
        </w:rPr>
        <w:t>Because NP is more estrogenic than NPEO (</w:t>
      </w:r>
      <w:bookmarkStart w:id="29" w:name="bbib37"/>
      <w:r w:rsidRPr="009377B4">
        <w:rPr>
          <w:rFonts w:cstheme="minorHAnsi"/>
        </w:rPr>
        <w:t xml:space="preserve">Routledge and Sumpter, 1996) anaerobic digestion can increase the </w:t>
      </w:r>
      <w:proofErr w:type="spellStart"/>
      <w:r w:rsidRPr="009377B4">
        <w:rPr>
          <w:rFonts w:cstheme="minorHAnsi"/>
        </w:rPr>
        <w:t>estrogenicity</w:t>
      </w:r>
      <w:proofErr w:type="spellEnd"/>
      <w:r w:rsidRPr="009377B4">
        <w:rPr>
          <w:rFonts w:cstheme="minorHAnsi"/>
        </w:rPr>
        <w:t xml:space="preserve"> of biosolids (</w:t>
      </w:r>
      <w:bookmarkStart w:id="30" w:name="bbib21"/>
      <w:r w:rsidRPr="009377B4">
        <w:rPr>
          <w:rFonts w:cstheme="minorHAnsi"/>
        </w:rPr>
        <w:t xml:space="preserve">Holbrook et al., 2002). This production of </w:t>
      </w:r>
      <w:proofErr w:type="spellStart"/>
      <w:r w:rsidRPr="009377B4">
        <w:rPr>
          <w:rFonts w:cstheme="minorHAnsi"/>
        </w:rPr>
        <w:t>estrogenicity</w:t>
      </w:r>
      <w:proofErr w:type="spellEnd"/>
      <w:r w:rsidRPr="009377B4">
        <w:rPr>
          <w:rFonts w:cstheme="minorHAnsi"/>
        </w:rPr>
        <w:t xml:space="preserve"> is of particular concern to wastewater utilities because anaerobic digestion is widely considered a beneficial technology for solids stabilization, producing methane gas and recoverable soluble nutrients, and effectively reducing the number of pathogens and pathogenic indicators in biosolids prior to land application.</w:t>
      </w:r>
    </w:p>
    <w:p w14:paraId="17A047D6" w14:textId="00C891CA" w:rsidR="00070801" w:rsidRPr="009377B4" w:rsidRDefault="00070801" w:rsidP="00070801">
      <w:pPr>
        <w:rPr>
          <w:rFonts w:cstheme="minorHAnsi"/>
        </w:rPr>
      </w:pPr>
      <w:r w:rsidRPr="009377B4">
        <w:rPr>
          <w:rFonts w:cstheme="minorHAnsi"/>
        </w:rPr>
        <w:t>An emerging process for solids handling is the advanced pretreatment process of thermal hydrolysis (TH). This process of TH followed by mesophilic anaerobic digestion (TH-MAD) has been implemented in plants worldwide because of benefits such as increased volatile solids reduction, improved sludge dewaterability, and minimization of digester volume requirements (</w:t>
      </w:r>
      <w:bookmarkStart w:id="31" w:name="bbib25"/>
      <w:proofErr w:type="spellStart"/>
      <w:r w:rsidRPr="009377B4">
        <w:rPr>
          <w:rFonts w:cstheme="minorHAnsi"/>
        </w:rPr>
        <w:t>Kepp</w:t>
      </w:r>
      <w:proofErr w:type="spellEnd"/>
      <w:r w:rsidRPr="009377B4">
        <w:rPr>
          <w:rFonts w:cstheme="minorHAnsi"/>
        </w:rPr>
        <w:t xml:space="preserve"> et al., 2000</w:t>
      </w:r>
      <w:bookmarkEnd w:id="31"/>
      <w:r w:rsidRPr="009377B4">
        <w:rPr>
          <w:rFonts w:cstheme="minorHAnsi"/>
        </w:rPr>
        <w:t>, </w:t>
      </w:r>
      <w:bookmarkStart w:id="32" w:name="bbib36"/>
      <w:proofErr w:type="spellStart"/>
      <w:r w:rsidRPr="009377B4">
        <w:rPr>
          <w:rFonts w:cstheme="minorHAnsi"/>
        </w:rPr>
        <w:t>Pickworth</w:t>
      </w:r>
      <w:proofErr w:type="spellEnd"/>
      <w:r w:rsidRPr="009377B4">
        <w:rPr>
          <w:rFonts w:cstheme="minorHAnsi"/>
        </w:rPr>
        <w:t xml:space="preserve"> et al., 2006</w:t>
      </w:r>
      <w:bookmarkEnd w:id="32"/>
      <w:r w:rsidRPr="009377B4">
        <w:rPr>
          <w:rFonts w:cstheme="minorHAnsi"/>
        </w:rPr>
        <w:t>, </w:t>
      </w:r>
      <w:bookmarkStart w:id="33" w:name="bbib50"/>
      <w:r w:rsidRPr="009377B4">
        <w:rPr>
          <w:rFonts w:cstheme="minorHAnsi"/>
        </w:rPr>
        <w:t>Wilson et al., 2011). During TH, sludge is heated to 150 °C for 30 min at a pressure of 5–8 bar; under these conditions particulate organic matter is hydrolyzed into soluble organic matter. Because the hydrolytic pretreatment step substantially alters the chemical and physical properties of the sludge, the biodegradation of NPEO to NP during the subsequent digestion stage could also be altered relative to a conventional digestion process with no pretreatment. </w:t>
      </w:r>
      <w:bookmarkStart w:id="34" w:name="bbib7"/>
      <w:proofErr w:type="spellStart"/>
      <w:r w:rsidRPr="009377B4">
        <w:rPr>
          <w:rFonts w:cstheme="minorHAnsi"/>
        </w:rPr>
        <w:t>Carballa</w:t>
      </w:r>
      <w:proofErr w:type="spellEnd"/>
      <w:r w:rsidRPr="009377B4">
        <w:rPr>
          <w:rFonts w:cstheme="minorHAnsi"/>
        </w:rPr>
        <w:t xml:space="preserve"> et al. (2006)</w:t>
      </w:r>
      <w:bookmarkEnd w:id="34"/>
      <w:r w:rsidRPr="009377B4">
        <w:rPr>
          <w:rFonts w:cstheme="minorHAnsi"/>
        </w:rPr>
        <w:t> found that autoclaving sludge at 130 °C for 60 min prior to MAD did not improve removal of estrone, 17β-estradiol, or 17α-</w:t>
      </w:r>
      <w:proofErr w:type="spellStart"/>
      <w:r w:rsidRPr="009377B4">
        <w:rPr>
          <w:rFonts w:cstheme="minorHAnsi"/>
        </w:rPr>
        <w:t>ethinylestradiol</w:t>
      </w:r>
      <w:proofErr w:type="spellEnd"/>
      <w:r w:rsidRPr="009377B4">
        <w:rPr>
          <w:rFonts w:cstheme="minorHAnsi"/>
        </w:rPr>
        <w:t xml:space="preserve"> and </w:t>
      </w:r>
      <w:bookmarkStart w:id="35" w:name="bbib3"/>
      <w:r w:rsidRPr="009377B4">
        <w:rPr>
          <w:rFonts w:cstheme="minorHAnsi"/>
        </w:rPr>
        <w:t>Barret et al. (2010a) found that thermal treatment of primary sludge did not improve removal of NP. Research is still needed on how TH pretreatment of blended primary and secondary sludge affects the fate of NPE during subsequent anaerobic digestion.</w:t>
      </w:r>
    </w:p>
    <w:p w14:paraId="7AF096E2" w14:textId="77777777" w:rsidR="00070801" w:rsidRPr="009377B4" w:rsidRDefault="00070801" w:rsidP="00070801">
      <w:pPr>
        <w:rPr>
          <w:rFonts w:cstheme="minorHAnsi"/>
        </w:rPr>
      </w:pPr>
      <w:r w:rsidRPr="009377B4">
        <w:rPr>
          <w:rFonts w:cstheme="minorHAnsi"/>
        </w:rPr>
        <w:lastRenderedPageBreak/>
        <w:t>The objectives of this research were to determine the direct impact of TH on NPE, and the impact of TH-MAD, relative to conventional MAD and aerobic digestion, on the biodegradation of NPEO to NP. Laboratory digester studies were conducted to determine if sludge pretreatment alters the efficiency of NPEO and NP biodegradation during downstream anaerobic and aerobic digestion. Batch thermal hydrolysis experiments were conducted to determine if the TH pretreatment step directly destroyed NPE.</w:t>
      </w:r>
    </w:p>
    <w:p w14:paraId="7AD95A81" w14:textId="77777777" w:rsidR="00070801" w:rsidRPr="009377B4" w:rsidRDefault="00070801" w:rsidP="00BF1FFB">
      <w:pPr>
        <w:pStyle w:val="Heading1"/>
        <w:rPr>
          <w:rFonts w:asciiTheme="minorHAnsi" w:hAnsiTheme="minorHAnsi" w:cstheme="minorHAnsi"/>
        </w:rPr>
      </w:pPr>
      <w:r w:rsidRPr="009377B4">
        <w:rPr>
          <w:rFonts w:asciiTheme="minorHAnsi" w:hAnsiTheme="minorHAnsi" w:cstheme="minorHAnsi"/>
        </w:rPr>
        <w:t>2. Materials and methods</w:t>
      </w:r>
    </w:p>
    <w:p w14:paraId="7F71F12F" w14:textId="77777777" w:rsidR="00070801" w:rsidRPr="009377B4" w:rsidRDefault="00070801" w:rsidP="00BF1FFB">
      <w:pPr>
        <w:pStyle w:val="Heading2"/>
        <w:rPr>
          <w:rFonts w:asciiTheme="minorHAnsi" w:hAnsiTheme="minorHAnsi" w:cstheme="minorHAnsi"/>
        </w:rPr>
      </w:pPr>
      <w:r w:rsidRPr="009377B4">
        <w:rPr>
          <w:rFonts w:asciiTheme="minorHAnsi" w:hAnsiTheme="minorHAnsi" w:cstheme="minorHAnsi"/>
        </w:rPr>
        <w:t>2.1. Chemicals</w:t>
      </w:r>
    </w:p>
    <w:p w14:paraId="513E8EAF" w14:textId="77777777" w:rsidR="00070801" w:rsidRPr="009377B4" w:rsidRDefault="00070801" w:rsidP="00070801">
      <w:pPr>
        <w:rPr>
          <w:rFonts w:cstheme="minorHAnsi"/>
        </w:rPr>
      </w:pPr>
      <w:r w:rsidRPr="009377B4">
        <w:rPr>
          <w:rFonts w:cstheme="minorHAnsi"/>
        </w:rPr>
        <w:t xml:space="preserve">Triclosan (sold as </w:t>
      </w:r>
      <w:proofErr w:type="spellStart"/>
      <w:r w:rsidRPr="009377B4">
        <w:rPr>
          <w:rFonts w:cstheme="minorHAnsi"/>
        </w:rPr>
        <w:t>Irgasan</w:t>
      </w:r>
      <w:proofErr w:type="spellEnd"/>
      <w:r w:rsidRPr="009377B4">
        <w:rPr>
          <w:rFonts w:cstheme="minorHAnsi"/>
        </w:rPr>
        <w:t>, ≥97%), 17β-estradiol (E2) (≥98%), nonylphenol (NP, technical grade mixture), bisphenol A (BPA) (97%),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technical analytical standards, and IGEPAL CO – 210 (a mixture of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purchased from Sigma–Aldrich (St. Louis, MO). Non-labeled p-n-NP</w:t>
      </w:r>
      <w:r w:rsidRPr="009377B4">
        <w:rPr>
          <w:rFonts w:cstheme="minorHAnsi"/>
          <w:vertAlign w:val="subscript"/>
        </w:rPr>
        <w:t>1</w:t>
      </w:r>
      <w:r w:rsidRPr="009377B4">
        <w:rPr>
          <w:rFonts w:cstheme="minorHAnsi"/>
        </w:rPr>
        <w:t>EO and p-n-</w:t>
      </w:r>
      <w:proofErr w:type="gramStart"/>
      <w:r w:rsidRPr="009377B4">
        <w:rPr>
          <w:rFonts w:cstheme="minorHAnsi"/>
        </w:rPr>
        <w:t>NP</w:t>
      </w:r>
      <w:r w:rsidRPr="009377B4">
        <w:rPr>
          <w:rFonts w:cstheme="minorHAnsi"/>
          <w:vertAlign w:val="subscript"/>
        </w:rPr>
        <w:t>2</w:t>
      </w:r>
      <w:r w:rsidRPr="009377B4">
        <w:rPr>
          <w:rFonts w:cstheme="minorHAnsi"/>
        </w:rPr>
        <w:t>EO, and</w:t>
      </w:r>
      <w:proofErr w:type="gramEnd"/>
      <w:r w:rsidRPr="009377B4">
        <w:rPr>
          <w:rFonts w:cstheme="minorHAnsi"/>
        </w:rPr>
        <w:t xml:space="preserve"> labeled </w:t>
      </w:r>
      <w:r w:rsidRPr="009377B4">
        <w:rPr>
          <w:rFonts w:cstheme="minorHAnsi"/>
          <w:vertAlign w:val="superscript"/>
        </w:rPr>
        <w:t>13</w:t>
      </w:r>
      <w:r w:rsidRPr="009377B4">
        <w:rPr>
          <w:rFonts w:cstheme="minorHAnsi"/>
        </w:rPr>
        <w:t>C</w:t>
      </w:r>
      <w:r w:rsidRPr="009377B4">
        <w:rPr>
          <w:rFonts w:cstheme="minorHAnsi"/>
          <w:vertAlign w:val="subscript"/>
        </w:rPr>
        <w:t>6</w:t>
      </w:r>
      <w:r w:rsidRPr="009377B4">
        <w:rPr>
          <w:rFonts w:cstheme="minorHAnsi"/>
        </w:rPr>
        <w:t>-p-n-NP (99%), were purchased from Cambridge Isotope Laboratories (Andover, MA). Cyclohexane, dichloromethane (DCM), acetone, and methanol were all HPLC grade or higher.</w:t>
      </w:r>
    </w:p>
    <w:p w14:paraId="67F4BE17" w14:textId="77777777" w:rsidR="00070801" w:rsidRPr="009377B4" w:rsidRDefault="00070801" w:rsidP="00BF1FFB">
      <w:pPr>
        <w:pStyle w:val="Heading2"/>
        <w:rPr>
          <w:rFonts w:asciiTheme="minorHAnsi" w:hAnsiTheme="minorHAnsi" w:cstheme="minorHAnsi"/>
        </w:rPr>
      </w:pPr>
      <w:r w:rsidRPr="009377B4">
        <w:rPr>
          <w:rFonts w:asciiTheme="minorHAnsi" w:hAnsiTheme="minorHAnsi" w:cstheme="minorHAnsi"/>
        </w:rPr>
        <w:t>2.2. Experimental setup</w:t>
      </w:r>
    </w:p>
    <w:p w14:paraId="332D757D" w14:textId="77777777" w:rsidR="00070801" w:rsidRPr="009377B4" w:rsidRDefault="00070801" w:rsidP="00BF1FFB">
      <w:pPr>
        <w:pStyle w:val="Heading3"/>
        <w:rPr>
          <w:rFonts w:asciiTheme="minorHAnsi" w:hAnsiTheme="minorHAnsi" w:cstheme="minorHAnsi"/>
        </w:rPr>
      </w:pPr>
      <w:r w:rsidRPr="009377B4">
        <w:rPr>
          <w:rFonts w:asciiTheme="minorHAnsi" w:hAnsiTheme="minorHAnsi" w:cstheme="minorHAnsi"/>
        </w:rPr>
        <w:t>2.2.1. Thermal hydrolysis of micropollutants in water or sludge</w:t>
      </w:r>
    </w:p>
    <w:p w14:paraId="7200FCEC" w14:textId="77777777" w:rsidR="00070801" w:rsidRPr="009377B4" w:rsidRDefault="00070801" w:rsidP="00070801">
      <w:pPr>
        <w:rPr>
          <w:rFonts w:cstheme="minorHAnsi"/>
        </w:rPr>
      </w:pPr>
      <w:r w:rsidRPr="009377B4">
        <w:rPr>
          <w:rFonts w:cstheme="minorHAnsi"/>
        </w:rPr>
        <w:t>Thermal hydrolysis experiments were performed in a general chemical digestion bomb (No. 4745, Parr Instrument Co., Moline IL) to determine if pertinent micropollutants were degraded from the high temperature and pressure conditions of TH. Bisphenol-A, triclosan,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dissolved into methanol and were mixed with Milli-Q water to achieve a final methanol concentration of 0.4%; chemical concentrations were approximately 10 </w:t>
      </w:r>
      <w:proofErr w:type="spellStart"/>
      <w:r w:rsidRPr="009377B4">
        <w:rPr>
          <w:rFonts w:cstheme="minorHAnsi"/>
        </w:rPr>
        <w:t>μM</w:t>
      </w:r>
      <w:proofErr w:type="spellEnd"/>
      <w:r w:rsidRPr="009377B4">
        <w:rPr>
          <w:rFonts w:cstheme="minorHAnsi"/>
        </w:rPr>
        <w:t>. Experiments were also performed with neat NP, NP</w:t>
      </w:r>
      <w:r w:rsidRPr="009377B4">
        <w:rPr>
          <w:rFonts w:cstheme="minorHAnsi"/>
          <w:vertAlign w:val="subscript"/>
        </w:rPr>
        <w:t>1</w:t>
      </w:r>
      <w:r w:rsidRPr="009377B4">
        <w:rPr>
          <w:rFonts w:cstheme="minorHAnsi"/>
        </w:rPr>
        <w:t>EO + NP</w:t>
      </w:r>
      <w:r w:rsidRPr="009377B4">
        <w:rPr>
          <w:rFonts w:cstheme="minorHAnsi"/>
          <w:vertAlign w:val="subscript"/>
        </w:rPr>
        <w:t>2</w:t>
      </w:r>
      <w:r w:rsidRPr="009377B4">
        <w:rPr>
          <w:rFonts w:cstheme="minorHAnsi"/>
        </w:rPr>
        <w:t>EO, or triclosan (no methanol) mixed with Milli-Q water. Ten mL of water/methanol or water were placed in the bomb, which was then heated for two hours at 150 °C in an oven at a pressure of 5.1 bar. Samples were removed from the bomb the following day to ensure that they had cooled sufficiently to avoid volatile loss of compound upon opening the bombs. Additional experiments were performed with NP</w:t>
      </w:r>
      <w:r w:rsidRPr="009377B4">
        <w:rPr>
          <w:rFonts w:cstheme="minorHAnsi"/>
          <w:vertAlign w:val="subscript"/>
        </w:rPr>
        <w:t>1</w:t>
      </w:r>
      <w:r w:rsidRPr="009377B4">
        <w:rPr>
          <w:rFonts w:cstheme="minorHAnsi"/>
        </w:rPr>
        <w:t>EO + NP</w:t>
      </w:r>
      <w:r w:rsidRPr="009377B4">
        <w:rPr>
          <w:rFonts w:cstheme="minorHAnsi"/>
          <w:vertAlign w:val="subscript"/>
        </w:rPr>
        <w:t>2</w:t>
      </w:r>
      <w:r w:rsidRPr="009377B4">
        <w:rPr>
          <w:rFonts w:cstheme="minorHAnsi"/>
        </w:rPr>
        <w:t>EO in which the sample was exposed to two consecutive thermal hydrolysis treatments (1 per day) to determine if degradation occurred after multiple thermal treatments. Controls were run in an identical manner except that they were not heated. Initial and final concentrations of the analytes were determined by liquid chromatography–mass spectrometry (LC/MS). Replicate bomb experiments were performed for all compounds tested.</w:t>
      </w:r>
    </w:p>
    <w:p w14:paraId="2AF3D2A3" w14:textId="3131BB2A" w:rsidR="00070801" w:rsidRPr="009377B4" w:rsidRDefault="00070801" w:rsidP="00070801">
      <w:pPr>
        <w:rPr>
          <w:rFonts w:cstheme="minorHAnsi"/>
        </w:rPr>
      </w:pPr>
      <w:r w:rsidRPr="009377B4">
        <w:rPr>
          <w:rFonts w:cstheme="minorHAnsi"/>
        </w:rPr>
        <w:t>Experiments were also performed on NP added to sludge and subjected to TH or NP added to sludge and allowed to sit at room temperature (room temperature control). Additional details on these TH experiments in sludge are available in the </w:t>
      </w:r>
      <w:bookmarkStart w:id="36" w:name="bappsec1"/>
      <w:r w:rsidRPr="009377B4">
        <w:rPr>
          <w:rFonts w:cstheme="minorHAnsi"/>
        </w:rPr>
        <w:t>Supporting Information (SI Text 1).</w:t>
      </w:r>
    </w:p>
    <w:p w14:paraId="66E47614" w14:textId="77777777" w:rsidR="00070801" w:rsidRPr="009377B4" w:rsidRDefault="00070801" w:rsidP="00BF1FFB">
      <w:pPr>
        <w:pStyle w:val="Heading3"/>
        <w:rPr>
          <w:rFonts w:asciiTheme="minorHAnsi" w:hAnsiTheme="minorHAnsi" w:cstheme="minorHAnsi"/>
        </w:rPr>
      </w:pPr>
      <w:r w:rsidRPr="009377B4">
        <w:rPr>
          <w:rFonts w:asciiTheme="minorHAnsi" w:hAnsiTheme="minorHAnsi" w:cstheme="minorHAnsi"/>
        </w:rPr>
        <w:t xml:space="preserve">2.2.2. Thermal hydrolysis of wastewater sludge followed by anaerobic </w:t>
      </w:r>
      <w:proofErr w:type="gramStart"/>
      <w:r w:rsidRPr="009377B4">
        <w:rPr>
          <w:rFonts w:asciiTheme="minorHAnsi" w:hAnsiTheme="minorHAnsi" w:cstheme="minorHAnsi"/>
        </w:rPr>
        <w:t>digestion</w:t>
      </w:r>
      <w:proofErr w:type="gramEnd"/>
    </w:p>
    <w:p w14:paraId="6592C650" w14:textId="66746B8B" w:rsidR="00070801" w:rsidRPr="009377B4" w:rsidRDefault="00070801" w:rsidP="00070801">
      <w:pPr>
        <w:rPr>
          <w:rFonts w:cstheme="minorHAnsi"/>
        </w:rPr>
      </w:pPr>
      <w:r w:rsidRPr="009377B4">
        <w:rPr>
          <w:rFonts w:cstheme="minorHAnsi"/>
        </w:rPr>
        <w:t>Lab-scale experiments were also performed in which raw sludge was subjected to TH followed by anaerobic digestion to determine if TH pretreatment altered the biodegradation of NPEO to NP. Three thermal hydrolysis-mesophilic anaerobic digestion (TH-MAD) reactors were operated. One reactor (TH150-MAD) received sludge that underwent TH at 150 °C followed by MAD with an SRT of 15 days; a second reactor (TH170-MAD) received sludge that underwent TH at 170 °C followed by MAD with an SRT of 15 days; a third reactor (TH150-MAD20) received sludge that underwent TH at 150 °C followed by MAD with an SRT of 20 days. A conventional mesophilic anaerobic digester (MAD) was fed untreated sludge and served as a control. Biosolids from full-scale MAD reactors at Pepper’s Ferry Regional Wastewater Treatment Plant (Radford, VA) were used to seed the lab-scale MAD reactor, and biosolids from a full-scale TH-MAD reactor were used to seed the lab-scale TH-MAD reactors. The reactor operating conditions and general reactor performance are described in </w:t>
      </w:r>
      <w:bookmarkStart w:id="37" w:name="btbl1"/>
      <w:r w:rsidRPr="009377B4">
        <w:rPr>
          <w:rFonts w:cstheme="minorHAnsi"/>
        </w:rPr>
        <w:t xml:space="preserve">Table 1. The feed to either the MAD digester or the TH step was a 50/50 mixture (by mass) of primary and secondary (activated) municipal wastewater sludge obtained from the Blue Plains wastewater treatment plant (WWTP) in Washington </w:t>
      </w:r>
      <w:r w:rsidRPr="009377B4">
        <w:rPr>
          <w:rFonts w:cstheme="minorHAnsi"/>
        </w:rPr>
        <w:lastRenderedPageBreak/>
        <w:t>D.C. Feed for the control MAD reactor was shipped weekly on ice from Blue Plains WWTP to Virginia Tech overnight and stored at 4 °C until fed to the digester (less than two weeks). Sludge subjected to TH was shipped on ice overnight from Blue Plains WWTP to the TH pilot-scale plant (see below) where it was stored at 4 °C until treatment (less than two weeks).</w:t>
      </w:r>
    </w:p>
    <w:p w14:paraId="54F3D837" w14:textId="77777777" w:rsidR="0002421A" w:rsidRPr="009377B4" w:rsidRDefault="0002421A" w:rsidP="00070801">
      <w:pPr>
        <w:rPr>
          <w:rFonts w:cstheme="minorHAnsi"/>
        </w:rPr>
        <w:sectPr w:rsidR="0002421A" w:rsidRPr="009377B4" w:rsidSect="00013176">
          <w:pgSz w:w="12240" w:h="15840"/>
          <w:pgMar w:top="1080" w:right="1080" w:bottom="1080" w:left="1080" w:header="720" w:footer="720" w:gutter="0"/>
          <w:cols w:space="720"/>
          <w:docGrid w:linePitch="360"/>
        </w:sectPr>
      </w:pPr>
    </w:p>
    <w:p w14:paraId="4ACEDE3A" w14:textId="464EB7F4" w:rsidR="00070801" w:rsidRPr="009377B4" w:rsidRDefault="00070801" w:rsidP="00070801">
      <w:pPr>
        <w:rPr>
          <w:rFonts w:cstheme="minorHAnsi"/>
        </w:rPr>
      </w:pPr>
      <w:r w:rsidRPr="009377B4">
        <w:rPr>
          <w:rFonts w:cstheme="minorHAnsi"/>
        </w:rPr>
        <w:lastRenderedPageBreak/>
        <w:t>Table 1. Average reactor operating conditions and performance.</w:t>
      </w:r>
    </w:p>
    <w:tbl>
      <w:tblPr>
        <w:tblStyle w:val="TableGrid"/>
        <w:tblW w:w="0" w:type="auto"/>
        <w:tblLook w:val="04A0" w:firstRow="1" w:lastRow="0" w:firstColumn="1" w:lastColumn="0" w:noHBand="0" w:noVBand="1"/>
      </w:tblPr>
      <w:tblGrid>
        <w:gridCol w:w="2155"/>
        <w:gridCol w:w="990"/>
        <w:gridCol w:w="1170"/>
        <w:gridCol w:w="1170"/>
        <w:gridCol w:w="1440"/>
        <w:gridCol w:w="1243"/>
        <w:gridCol w:w="1107"/>
        <w:gridCol w:w="2194"/>
        <w:gridCol w:w="2201"/>
      </w:tblGrid>
      <w:tr w:rsidR="00070801" w:rsidRPr="009377B4" w14:paraId="675C8394" w14:textId="77777777" w:rsidTr="0002421A">
        <w:tc>
          <w:tcPr>
            <w:tcW w:w="2155" w:type="dxa"/>
            <w:hideMark/>
          </w:tcPr>
          <w:p w14:paraId="7D3037E0" w14:textId="77777777" w:rsidR="00070801" w:rsidRPr="009377B4" w:rsidRDefault="00070801" w:rsidP="00070801">
            <w:pPr>
              <w:rPr>
                <w:rFonts w:cstheme="minorHAnsi"/>
                <w:b/>
                <w:bCs/>
              </w:rPr>
            </w:pPr>
            <w:r w:rsidRPr="009377B4">
              <w:rPr>
                <w:rFonts w:cstheme="minorHAnsi"/>
                <w:b/>
                <w:bCs/>
              </w:rPr>
              <w:t>Sample</w:t>
            </w:r>
          </w:p>
        </w:tc>
        <w:tc>
          <w:tcPr>
            <w:tcW w:w="990" w:type="dxa"/>
            <w:hideMark/>
          </w:tcPr>
          <w:p w14:paraId="3DDC804A" w14:textId="77777777" w:rsidR="00070801" w:rsidRPr="009377B4" w:rsidRDefault="00070801" w:rsidP="00070801">
            <w:pPr>
              <w:rPr>
                <w:rFonts w:cstheme="minorHAnsi"/>
                <w:b/>
                <w:bCs/>
              </w:rPr>
            </w:pPr>
            <w:r w:rsidRPr="009377B4">
              <w:rPr>
                <w:rFonts w:cstheme="minorHAnsi"/>
                <w:b/>
                <w:bCs/>
              </w:rPr>
              <w:t>SRT (days)</w:t>
            </w:r>
          </w:p>
        </w:tc>
        <w:tc>
          <w:tcPr>
            <w:tcW w:w="1170" w:type="dxa"/>
            <w:hideMark/>
          </w:tcPr>
          <w:p w14:paraId="4F3270B9" w14:textId="77777777" w:rsidR="00070801" w:rsidRPr="009377B4" w:rsidRDefault="00070801" w:rsidP="00070801">
            <w:pPr>
              <w:rPr>
                <w:rFonts w:cstheme="minorHAnsi"/>
                <w:b/>
                <w:bCs/>
              </w:rPr>
            </w:pPr>
            <w:r w:rsidRPr="009377B4">
              <w:rPr>
                <w:rFonts w:cstheme="minorHAnsi"/>
                <w:b/>
                <w:bCs/>
              </w:rPr>
              <w:t>Temp (°C)</w:t>
            </w:r>
          </w:p>
        </w:tc>
        <w:tc>
          <w:tcPr>
            <w:tcW w:w="1170" w:type="dxa"/>
            <w:hideMark/>
          </w:tcPr>
          <w:p w14:paraId="5D1B3AE1" w14:textId="77777777" w:rsidR="00070801" w:rsidRPr="009377B4" w:rsidRDefault="00070801" w:rsidP="00070801">
            <w:pPr>
              <w:rPr>
                <w:rFonts w:cstheme="minorHAnsi"/>
                <w:b/>
                <w:bCs/>
              </w:rPr>
            </w:pPr>
            <w:r w:rsidRPr="009377B4">
              <w:rPr>
                <w:rFonts w:cstheme="minorHAnsi"/>
                <w:b/>
                <w:bCs/>
              </w:rPr>
              <w:t>Total solids in samples (%)</w:t>
            </w:r>
          </w:p>
        </w:tc>
        <w:tc>
          <w:tcPr>
            <w:tcW w:w="1440" w:type="dxa"/>
            <w:hideMark/>
          </w:tcPr>
          <w:p w14:paraId="78AEA320" w14:textId="77777777" w:rsidR="00070801" w:rsidRPr="009377B4" w:rsidRDefault="00070801" w:rsidP="00070801">
            <w:pPr>
              <w:rPr>
                <w:rFonts w:cstheme="minorHAnsi"/>
                <w:b/>
                <w:bCs/>
              </w:rPr>
            </w:pPr>
            <w:r w:rsidRPr="009377B4">
              <w:rPr>
                <w:rFonts w:cstheme="minorHAnsi"/>
                <w:b/>
                <w:bCs/>
              </w:rPr>
              <w:t>Volatile solids reduction (%)</w:t>
            </w:r>
          </w:p>
        </w:tc>
        <w:tc>
          <w:tcPr>
            <w:tcW w:w="1243" w:type="dxa"/>
            <w:hideMark/>
          </w:tcPr>
          <w:p w14:paraId="5EB4F736" w14:textId="77777777" w:rsidR="00070801" w:rsidRPr="009377B4" w:rsidRDefault="00070801" w:rsidP="00070801">
            <w:pPr>
              <w:rPr>
                <w:rFonts w:cstheme="minorHAnsi"/>
                <w:b/>
                <w:bCs/>
              </w:rPr>
            </w:pPr>
            <w:r w:rsidRPr="009377B4">
              <w:rPr>
                <w:rFonts w:cstheme="minorHAnsi"/>
                <w:b/>
                <w:bCs/>
              </w:rPr>
              <w:t xml:space="preserve">VFA (mg/L as </w:t>
            </w:r>
            <w:proofErr w:type="spellStart"/>
            <w:r w:rsidRPr="009377B4">
              <w:rPr>
                <w:rFonts w:cstheme="minorHAnsi"/>
                <w:b/>
                <w:bCs/>
              </w:rPr>
              <w:t>HAc</w:t>
            </w:r>
            <w:proofErr w:type="spellEnd"/>
            <w:r w:rsidRPr="009377B4">
              <w:rPr>
                <w:rFonts w:cstheme="minorHAnsi"/>
                <w:b/>
                <w:bCs/>
              </w:rPr>
              <w:t>)</w:t>
            </w:r>
          </w:p>
        </w:tc>
        <w:tc>
          <w:tcPr>
            <w:tcW w:w="1107" w:type="dxa"/>
            <w:hideMark/>
          </w:tcPr>
          <w:p w14:paraId="5F7CC4BB" w14:textId="77777777" w:rsidR="00070801" w:rsidRPr="009377B4" w:rsidRDefault="00070801" w:rsidP="00070801">
            <w:pPr>
              <w:rPr>
                <w:rFonts w:cstheme="minorHAnsi"/>
                <w:b/>
                <w:bCs/>
              </w:rPr>
            </w:pPr>
            <w:r w:rsidRPr="009377B4">
              <w:rPr>
                <w:rFonts w:cstheme="minorHAnsi"/>
                <w:b/>
                <w:bCs/>
              </w:rPr>
              <w:t>Ammonia (mg/L)</w:t>
            </w:r>
          </w:p>
        </w:tc>
        <w:tc>
          <w:tcPr>
            <w:tcW w:w="2194" w:type="dxa"/>
            <w:hideMark/>
          </w:tcPr>
          <w:p w14:paraId="50942C46" w14:textId="77777777" w:rsidR="00070801" w:rsidRPr="009377B4" w:rsidRDefault="00070801" w:rsidP="00070801">
            <w:pPr>
              <w:rPr>
                <w:rFonts w:cstheme="minorHAnsi"/>
                <w:b/>
                <w:bCs/>
              </w:rPr>
            </w:pPr>
            <w:r w:rsidRPr="009377B4">
              <w:rPr>
                <w:rFonts w:cstheme="minorHAnsi"/>
                <w:b/>
                <w:bCs/>
              </w:rPr>
              <w:t>Duration of operation at sampling time (SRTs)</w:t>
            </w:r>
          </w:p>
        </w:tc>
        <w:tc>
          <w:tcPr>
            <w:tcW w:w="0" w:type="auto"/>
            <w:hideMark/>
          </w:tcPr>
          <w:p w14:paraId="5F735A4F" w14:textId="77777777" w:rsidR="00070801" w:rsidRPr="009377B4" w:rsidRDefault="00070801" w:rsidP="00070801">
            <w:pPr>
              <w:rPr>
                <w:rFonts w:cstheme="minorHAnsi"/>
                <w:b/>
                <w:bCs/>
              </w:rPr>
            </w:pPr>
            <w:r w:rsidRPr="009377B4">
              <w:rPr>
                <w:rFonts w:cstheme="minorHAnsi"/>
                <w:b/>
                <w:bCs/>
              </w:rPr>
              <w:t xml:space="preserve">Days past </w:t>
            </w:r>
            <w:proofErr w:type="gramStart"/>
            <w:r w:rsidRPr="009377B4">
              <w:rPr>
                <w:rFonts w:cstheme="minorHAnsi"/>
                <w:b/>
                <w:bCs/>
              </w:rPr>
              <w:t>steady-state</w:t>
            </w:r>
            <w:proofErr w:type="gramEnd"/>
            <w:r w:rsidRPr="009377B4">
              <w:rPr>
                <w:rFonts w:cstheme="minorHAnsi"/>
                <w:b/>
                <w:bCs/>
              </w:rPr>
              <w:t xml:space="preserve"> at time of sampling</w:t>
            </w:r>
          </w:p>
        </w:tc>
      </w:tr>
      <w:tr w:rsidR="00070801" w:rsidRPr="009377B4" w14:paraId="22750726" w14:textId="77777777" w:rsidTr="0002421A">
        <w:tc>
          <w:tcPr>
            <w:tcW w:w="2155" w:type="dxa"/>
            <w:hideMark/>
          </w:tcPr>
          <w:p w14:paraId="6330C0C5" w14:textId="5BDDA961" w:rsidR="00070801" w:rsidRPr="009377B4" w:rsidRDefault="00070801" w:rsidP="00070801">
            <w:pPr>
              <w:rPr>
                <w:rFonts w:cstheme="minorHAnsi"/>
              </w:rPr>
            </w:pPr>
            <w:bookmarkStart w:id="38" w:name="btbl1fna" w:colFirst="0" w:colLast="0"/>
            <w:r w:rsidRPr="009377B4">
              <w:rPr>
                <w:rFonts w:cstheme="minorHAnsi"/>
              </w:rPr>
              <w:t xml:space="preserve">MAD </w:t>
            </w:r>
            <w:proofErr w:type="spellStart"/>
            <w:r w:rsidRPr="009377B4">
              <w:rPr>
                <w:rFonts w:cstheme="minorHAnsi"/>
              </w:rPr>
              <w:t>Inf</w:t>
            </w:r>
            <w:r w:rsidRPr="009377B4">
              <w:rPr>
                <w:rFonts w:cstheme="minorHAnsi"/>
                <w:vertAlign w:val="superscript"/>
              </w:rPr>
              <w:t>a</w:t>
            </w:r>
            <w:proofErr w:type="spellEnd"/>
          </w:p>
        </w:tc>
        <w:tc>
          <w:tcPr>
            <w:tcW w:w="990" w:type="dxa"/>
            <w:hideMark/>
          </w:tcPr>
          <w:p w14:paraId="60603702" w14:textId="77777777" w:rsidR="00070801" w:rsidRPr="009377B4" w:rsidRDefault="00070801" w:rsidP="00070801">
            <w:pPr>
              <w:rPr>
                <w:rFonts w:cstheme="minorHAnsi"/>
              </w:rPr>
            </w:pPr>
          </w:p>
        </w:tc>
        <w:tc>
          <w:tcPr>
            <w:tcW w:w="1170" w:type="dxa"/>
            <w:hideMark/>
          </w:tcPr>
          <w:p w14:paraId="662B21B7" w14:textId="77777777" w:rsidR="00070801" w:rsidRPr="009377B4" w:rsidRDefault="00070801" w:rsidP="00070801">
            <w:pPr>
              <w:rPr>
                <w:rFonts w:cstheme="minorHAnsi"/>
              </w:rPr>
            </w:pPr>
          </w:p>
        </w:tc>
        <w:tc>
          <w:tcPr>
            <w:tcW w:w="1170" w:type="dxa"/>
            <w:hideMark/>
          </w:tcPr>
          <w:p w14:paraId="1FB94917" w14:textId="77777777" w:rsidR="00070801" w:rsidRPr="009377B4" w:rsidRDefault="00070801" w:rsidP="00070801">
            <w:pPr>
              <w:rPr>
                <w:rFonts w:cstheme="minorHAnsi"/>
              </w:rPr>
            </w:pPr>
            <w:r w:rsidRPr="009377B4">
              <w:rPr>
                <w:rFonts w:cstheme="minorHAnsi"/>
              </w:rPr>
              <w:t>5.5</w:t>
            </w:r>
          </w:p>
        </w:tc>
        <w:tc>
          <w:tcPr>
            <w:tcW w:w="1440" w:type="dxa"/>
            <w:hideMark/>
          </w:tcPr>
          <w:p w14:paraId="2235C881" w14:textId="77777777" w:rsidR="00070801" w:rsidRPr="009377B4" w:rsidRDefault="00070801" w:rsidP="00070801">
            <w:pPr>
              <w:rPr>
                <w:rFonts w:cstheme="minorHAnsi"/>
              </w:rPr>
            </w:pPr>
          </w:p>
        </w:tc>
        <w:tc>
          <w:tcPr>
            <w:tcW w:w="1243" w:type="dxa"/>
            <w:hideMark/>
          </w:tcPr>
          <w:p w14:paraId="0459CBD7" w14:textId="77777777" w:rsidR="00070801" w:rsidRPr="009377B4" w:rsidRDefault="00070801" w:rsidP="00070801">
            <w:pPr>
              <w:rPr>
                <w:rFonts w:cstheme="minorHAnsi"/>
              </w:rPr>
            </w:pPr>
          </w:p>
        </w:tc>
        <w:tc>
          <w:tcPr>
            <w:tcW w:w="1107" w:type="dxa"/>
            <w:hideMark/>
          </w:tcPr>
          <w:p w14:paraId="03EDBBD2" w14:textId="77777777" w:rsidR="00070801" w:rsidRPr="009377B4" w:rsidRDefault="00070801" w:rsidP="00070801">
            <w:pPr>
              <w:rPr>
                <w:rFonts w:cstheme="minorHAnsi"/>
              </w:rPr>
            </w:pPr>
            <w:r w:rsidRPr="009377B4">
              <w:rPr>
                <w:rFonts w:cstheme="minorHAnsi"/>
              </w:rPr>
              <w:t>915</w:t>
            </w:r>
          </w:p>
        </w:tc>
        <w:tc>
          <w:tcPr>
            <w:tcW w:w="2194" w:type="dxa"/>
            <w:hideMark/>
          </w:tcPr>
          <w:p w14:paraId="524B0A0E" w14:textId="77777777" w:rsidR="00070801" w:rsidRPr="009377B4" w:rsidRDefault="00070801" w:rsidP="00070801">
            <w:pPr>
              <w:rPr>
                <w:rFonts w:cstheme="minorHAnsi"/>
              </w:rPr>
            </w:pPr>
          </w:p>
        </w:tc>
        <w:tc>
          <w:tcPr>
            <w:tcW w:w="0" w:type="auto"/>
            <w:hideMark/>
          </w:tcPr>
          <w:p w14:paraId="23CD9FB7" w14:textId="77777777" w:rsidR="00070801" w:rsidRPr="009377B4" w:rsidRDefault="00070801" w:rsidP="00070801">
            <w:pPr>
              <w:rPr>
                <w:rFonts w:cstheme="minorHAnsi"/>
              </w:rPr>
            </w:pPr>
          </w:p>
        </w:tc>
      </w:tr>
      <w:tr w:rsidR="00070801" w:rsidRPr="009377B4" w14:paraId="4C5BDE4A" w14:textId="77777777" w:rsidTr="0002421A">
        <w:tc>
          <w:tcPr>
            <w:tcW w:w="2155" w:type="dxa"/>
            <w:hideMark/>
          </w:tcPr>
          <w:p w14:paraId="7EA00435" w14:textId="217500AD" w:rsidR="00070801" w:rsidRPr="009377B4" w:rsidRDefault="00070801" w:rsidP="00070801">
            <w:pPr>
              <w:rPr>
                <w:rFonts w:cstheme="minorHAnsi"/>
              </w:rPr>
            </w:pPr>
            <w:r w:rsidRPr="009377B4">
              <w:rPr>
                <w:rFonts w:cstheme="minorHAnsi"/>
              </w:rPr>
              <w:t xml:space="preserve">MAD </w:t>
            </w:r>
            <w:proofErr w:type="spellStart"/>
            <w:r w:rsidRPr="009377B4">
              <w:rPr>
                <w:rFonts w:cstheme="minorHAnsi"/>
              </w:rPr>
              <w:t>Eff</w:t>
            </w:r>
            <w:r w:rsidRPr="009377B4">
              <w:rPr>
                <w:rFonts w:cstheme="minorHAnsi"/>
                <w:vertAlign w:val="superscript"/>
              </w:rPr>
              <w:t>a</w:t>
            </w:r>
            <w:proofErr w:type="spellEnd"/>
          </w:p>
        </w:tc>
        <w:tc>
          <w:tcPr>
            <w:tcW w:w="990" w:type="dxa"/>
            <w:hideMark/>
          </w:tcPr>
          <w:p w14:paraId="5BCE696D" w14:textId="77777777" w:rsidR="00070801" w:rsidRPr="009377B4" w:rsidRDefault="00070801" w:rsidP="00070801">
            <w:pPr>
              <w:rPr>
                <w:rFonts w:cstheme="minorHAnsi"/>
              </w:rPr>
            </w:pPr>
            <w:r w:rsidRPr="009377B4">
              <w:rPr>
                <w:rFonts w:cstheme="minorHAnsi"/>
              </w:rPr>
              <w:t>15</w:t>
            </w:r>
          </w:p>
        </w:tc>
        <w:tc>
          <w:tcPr>
            <w:tcW w:w="1170" w:type="dxa"/>
            <w:hideMark/>
          </w:tcPr>
          <w:p w14:paraId="18AF6453" w14:textId="77777777" w:rsidR="00070801" w:rsidRPr="009377B4" w:rsidRDefault="00070801" w:rsidP="00070801">
            <w:pPr>
              <w:rPr>
                <w:rFonts w:cstheme="minorHAnsi"/>
              </w:rPr>
            </w:pPr>
            <w:r w:rsidRPr="009377B4">
              <w:rPr>
                <w:rFonts w:cstheme="minorHAnsi"/>
              </w:rPr>
              <w:t>37</w:t>
            </w:r>
          </w:p>
        </w:tc>
        <w:tc>
          <w:tcPr>
            <w:tcW w:w="1170" w:type="dxa"/>
            <w:hideMark/>
          </w:tcPr>
          <w:p w14:paraId="1BA882F2" w14:textId="77777777" w:rsidR="00070801" w:rsidRPr="009377B4" w:rsidRDefault="00070801" w:rsidP="00070801">
            <w:pPr>
              <w:rPr>
                <w:rFonts w:cstheme="minorHAnsi"/>
              </w:rPr>
            </w:pPr>
            <w:r w:rsidRPr="009377B4">
              <w:rPr>
                <w:rFonts w:cstheme="minorHAnsi"/>
              </w:rPr>
              <w:t>3.1</w:t>
            </w:r>
          </w:p>
        </w:tc>
        <w:tc>
          <w:tcPr>
            <w:tcW w:w="1440" w:type="dxa"/>
            <w:hideMark/>
          </w:tcPr>
          <w:p w14:paraId="2AB439A2" w14:textId="77777777" w:rsidR="00070801" w:rsidRPr="009377B4" w:rsidRDefault="00070801" w:rsidP="00070801">
            <w:pPr>
              <w:rPr>
                <w:rFonts w:cstheme="minorHAnsi"/>
              </w:rPr>
            </w:pPr>
            <w:r w:rsidRPr="009377B4">
              <w:rPr>
                <w:rFonts w:cstheme="minorHAnsi"/>
              </w:rPr>
              <w:t>50</w:t>
            </w:r>
          </w:p>
        </w:tc>
        <w:tc>
          <w:tcPr>
            <w:tcW w:w="1243" w:type="dxa"/>
            <w:hideMark/>
          </w:tcPr>
          <w:p w14:paraId="5F13CCC6" w14:textId="77777777" w:rsidR="00070801" w:rsidRPr="009377B4" w:rsidRDefault="00070801" w:rsidP="00070801">
            <w:pPr>
              <w:rPr>
                <w:rFonts w:cstheme="minorHAnsi"/>
              </w:rPr>
            </w:pPr>
            <w:r w:rsidRPr="009377B4">
              <w:rPr>
                <w:rFonts w:cstheme="minorHAnsi"/>
              </w:rPr>
              <w:t>230</w:t>
            </w:r>
          </w:p>
        </w:tc>
        <w:tc>
          <w:tcPr>
            <w:tcW w:w="1107" w:type="dxa"/>
            <w:hideMark/>
          </w:tcPr>
          <w:p w14:paraId="15A3A85E" w14:textId="77777777" w:rsidR="00070801" w:rsidRPr="009377B4" w:rsidRDefault="00070801" w:rsidP="00070801">
            <w:pPr>
              <w:rPr>
                <w:rFonts w:cstheme="minorHAnsi"/>
              </w:rPr>
            </w:pPr>
            <w:r w:rsidRPr="009377B4">
              <w:rPr>
                <w:rFonts w:cstheme="minorHAnsi"/>
              </w:rPr>
              <w:t>1760</w:t>
            </w:r>
          </w:p>
        </w:tc>
        <w:tc>
          <w:tcPr>
            <w:tcW w:w="2194" w:type="dxa"/>
            <w:hideMark/>
          </w:tcPr>
          <w:p w14:paraId="427EC8DC" w14:textId="77777777" w:rsidR="00070801" w:rsidRPr="009377B4" w:rsidRDefault="00070801" w:rsidP="00070801">
            <w:pPr>
              <w:rPr>
                <w:rFonts w:cstheme="minorHAnsi"/>
              </w:rPr>
            </w:pPr>
            <w:r w:rsidRPr="009377B4">
              <w:rPr>
                <w:rFonts w:cstheme="minorHAnsi"/>
              </w:rPr>
              <w:t>11.8</w:t>
            </w:r>
          </w:p>
        </w:tc>
        <w:tc>
          <w:tcPr>
            <w:tcW w:w="0" w:type="auto"/>
            <w:hideMark/>
          </w:tcPr>
          <w:p w14:paraId="14EC67EE" w14:textId="77777777" w:rsidR="00070801" w:rsidRPr="009377B4" w:rsidRDefault="00070801" w:rsidP="00070801">
            <w:pPr>
              <w:rPr>
                <w:rFonts w:cstheme="minorHAnsi"/>
              </w:rPr>
            </w:pPr>
            <w:r w:rsidRPr="009377B4">
              <w:rPr>
                <w:rFonts w:cstheme="minorHAnsi"/>
              </w:rPr>
              <w:t>40</w:t>
            </w:r>
          </w:p>
        </w:tc>
      </w:tr>
      <w:tr w:rsidR="00070801" w:rsidRPr="009377B4" w14:paraId="652F063A" w14:textId="77777777" w:rsidTr="0002421A">
        <w:tc>
          <w:tcPr>
            <w:tcW w:w="2155" w:type="dxa"/>
            <w:hideMark/>
          </w:tcPr>
          <w:p w14:paraId="7B6BAC00" w14:textId="4614E24D" w:rsidR="00070801" w:rsidRPr="009377B4" w:rsidRDefault="00070801" w:rsidP="00070801">
            <w:pPr>
              <w:rPr>
                <w:rFonts w:cstheme="minorHAnsi"/>
              </w:rPr>
            </w:pPr>
            <w:r w:rsidRPr="009377B4">
              <w:rPr>
                <w:rFonts w:cstheme="minorHAnsi"/>
              </w:rPr>
              <w:t xml:space="preserve">MAD-AER </w:t>
            </w:r>
            <w:proofErr w:type="spellStart"/>
            <w:r w:rsidRPr="009377B4">
              <w:rPr>
                <w:rFonts w:cstheme="minorHAnsi"/>
              </w:rPr>
              <w:t>Eff</w:t>
            </w:r>
            <w:r w:rsidRPr="009377B4">
              <w:rPr>
                <w:rFonts w:cstheme="minorHAnsi"/>
                <w:vertAlign w:val="superscript"/>
              </w:rPr>
              <w:t>a</w:t>
            </w:r>
            <w:proofErr w:type="spellEnd"/>
          </w:p>
        </w:tc>
        <w:tc>
          <w:tcPr>
            <w:tcW w:w="990" w:type="dxa"/>
            <w:hideMark/>
          </w:tcPr>
          <w:p w14:paraId="6CB26426" w14:textId="77777777" w:rsidR="00070801" w:rsidRPr="009377B4" w:rsidRDefault="00070801" w:rsidP="00070801">
            <w:pPr>
              <w:rPr>
                <w:rFonts w:cstheme="minorHAnsi"/>
              </w:rPr>
            </w:pPr>
            <w:r w:rsidRPr="009377B4">
              <w:rPr>
                <w:rFonts w:cstheme="minorHAnsi"/>
              </w:rPr>
              <w:t>6</w:t>
            </w:r>
          </w:p>
        </w:tc>
        <w:tc>
          <w:tcPr>
            <w:tcW w:w="1170" w:type="dxa"/>
            <w:hideMark/>
          </w:tcPr>
          <w:p w14:paraId="12B8F23B" w14:textId="77777777" w:rsidR="00070801" w:rsidRPr="009377B4" w:rsidRDefault="00070801" w:rsidP="00070801">
            <w:pPr>
              <w:rPr>
                <w:rFonts w:cstheme="minorHAnsi"/>
              </w:rPr>
            </w:pPr>
            <w:r w:rsidRPr="009377B4">
              <w:rPr>
                <w:rFonts w:cstheme="minorHAnsi"/>
              </w:rPr>
              <w:t>34</w:t>
            </w:r>
          </w:p>
        </w:tc>
        <w:tc>
          <w:tcPr>
            <w:tcW w:w="1170" w:type="dxa"/>
            <w:hideMark/>
          </w:tcPr>
          <w:p w14:paraId="5C316E9D" w14:textId="77777777" w:rsidR="00070801" w:rsidRPr="009377B4" w:rsidRDefault="00070801" w:rsidP="00070801">
            <w:pPr>
              <w:rPr>
                <w:rFonts w:cstheme="minorHAnsi"/>
              </w:rPr>
            </w:pPr>
            <w:r w:rsidRPr="009377B4">
              <w:rPr>
                <w:rFonts w:cstheme="minorHAnsi"/>
              </w:rPr>
              <w:t>2.5</w:t>
            </w:r>
          </w:p>
        </w:tc>
        <w:tc>
          <w:tcPr>
            <w:tcW w:w="1440" w:type="dxa"/>
            <w:hideMark/>
          </w:tcPr>
          <w:p w14:paraId="6F6D6B2D" w14:textId="77777777" w:rsidR="00070801" w:rsidRPr="009377B4" w:rsidRDefault="00070801" w:rsidP="00070801">
            <w:pPr>
              <w:rPr>
                <w:rFonts w:cstheme="minorHAnsi"/>
              </w:rPr>
            </w:pPr>
            <w:r w:rsidRPr="009377B4">
              <w:rPr>
                <w:rFonts w:cstheme="minorHAnsi"/>
              </w:rPr>
              <w:t>62</w:t>
            </w:r>
          </w:p>
        </w:tc>
        <w:tc>
          <w:tcPr>
            <w:tcW w:w="1243" w:type="dxa"/>
            <w:hideMark/>
          </w:tcPr>
          <w:p w14:paraId="53B59E00" w14:textId="77777777" w:rsidR="00070801" w:rsidRPr="009377B4" w:rsidRDefault="00070801" w:rsidP="00070801">
            <w:pPr>
              <w:rPr>
                <w:rFonts w:cstheme="minorHAnsi"/>
              </w:rPr>
            </w:pPr>
            <w:r w:rsidRPr="009377B4">
              <w:rPr>
                <w:rFonts w:cstheme="minorHAnsi"/>
              </w:rPr>
              <w:t>36</w:t>
            </w:r>
          </w:p>
        </w:tc>
        <w:tc>
          <w:tcPr>
            <w:tcW w:w="1107" w:type="dxa"/>
            <w:hideMark/>
          </w:tcPr>
          <w:p w14:paraId="797B3B31" w14:textId="77777777" w:rsidR="00070801" w:rsidRPr="009377B4" w:rsidRDefault="00070801" w:rsidP="00070801">
            <w:pPr>
              <w:rPr>
                <w:rFonts w:cstheme="minorHAnsi"/>
              </w:rPr>
            </w:pPr>
            <w:r w:rsidRPr="009377B4">
              <w:rPr>
                <w:rFonts w:cstheme="minorHAnsi"/>
              </w:rPr>
              <w:t>282</w:t>
            </w:r>
          </w:p>
        </w:tc>
        <w:tc>
          <w:tcPr>
            <w:tcW w:w="2194" w:type="dxa"/>
            <w:hideMark/>
          </w:tcPr>
          <w:p w14:paraId="079AB4CD" w14:textId="77777777" w:rsidR="00070801" w:rsidRPr="009377B4" w:rsidRDefault="00070801" w:rsidP="00070801">
            <w:pPr>
              <w:rPr>
                <w:rFonts w:cstheme="minorHAnsi"/>
              </w:rPr>
            </w:pPr>
            <w:r w:rsidRPr="009377B4">
              <w:rPr>
                <w:rFonts w:cstheme="minorHAnsi"/>
              </w:rPr>
              <w:t>35.4</w:t>
            </w:r>
          </w:p>
        </w:tc>
        <w:tc>
          <w:tcPr>
            <w:tcW w:w="0" w:type="auto"/>
            <w:hideMark/>
          </w:tcPr>
          <w:p w14:paraId="5516C276" w14:textId="77777777" w:rsidR="00070801" w:rsidRPr="009377B4" w:rsidRDefault="00070801" w:rsidP="00070801">
            <w:pPr>
              <w:rPr>
                <w:rFonts w:cstheme="minorHAnsi"/>
              </w:rPr>
            </w:pPr>
            <w:r w:rsidRPr="009377B4">
              <w:rPr>
                <w:rFonts w:cstheme="minorHAnsi"/>
              </w:rPr>
              <w:t>40</w:t>
            </w:r>
          </w:p>
        </w:tc>
      </w:tr>
      <w:tr w:rsidR="00070801" w:rsidRPr="009377B4" w14:paraId="0C155A11" w14:textId="77777777" w:rsidTr="0002421A">
        <w:tc>
          <w:tcPr>
            <w:tcW w:w="2155" w:type="dxa"/>
            <w:hideMark/>
          </w:tcPr>
          <w:p w14:paraId="5C676AAA" w14:textId="223A45F8" w:rsidR="00070801" w:rsidRPr="009377B4" w:rsidRDefault="00070801" w:rsidP="00070801">
            <w:pPr>
              <w:rPr>
                <w:rFonts w:cstheme="minorHAnsi"/>
              </w:rPr>
            </w:pPr>
            <w:bookmarkStart w:id="39" w:name="btbl1fnb" w:colFirst="0" w:colLast="0"/>
            <w:bookmarkEnd w:id="38"/>
            <w:r w:rsidRPr="009377B4">
              <w:rPr>
                <w:rFonts w:cstheme="minorHAnsi"/>
              </w:rPr>
              <w:t xml:space="preserve">TH150-MAD </w:t>
            </w:r>
            <w:proofErr w:type="spellStart"/>
            <w:r w:rsidRPr="009377B4">
              <w:rPr>
                <w:rFonts w:cstheme="minorHAnsi"/>
              </w:rPr>
              <w:t>Inf</w:t>
            </w:r>
            <w:r w:rsidRPr="009377B4">
              <w:rPr>
                <w:rFonts w:cstheme="minorHAnsi"/>
                <w:vertAlign w:val="superscript"/>
              </w:rPr>
              <w:t>b</w:t>
            </w:r>
            <w:proofErr w:type="spellEnd"/>
          </w:p>
        </w:tc>
        <w:tc>
          <w:tcPr>
            <w:tcW w:w="990" w:type="dxa"/>
            <w:hideMark/>
          </w:tcPr>
          <w:p w14:paraId="0673E1D0" w14:textId="77777777" w:rsidR="00070801" w:rsidRPr="009377B4" w:rsidRDefault="00070801" w:rsidP="00070801">
            <w:pPr>
              <w:rPr>
                <w:rFonts w:cstheme="minorHAnsi"/>
              </w:rPr>
            </w:pPr>
          </w:p>
        </w:tc>
        <w:tc>
          <w:tcPr>
            <w:tcW w:w="1170" w:type="dxa"/>
            <w:hideMark/>
          </w:tcPr>
          <w:p w14:paraId="26AAAB2D" w14:textId="77777777" w:rsidR="00070801" w:rsidRPr="009377B4" w:rsidRDefault="00070801" w:rsidP="00070801">
            <w:pPr>
              <w:rPr>
                <w:rFonts w:cstheme="minorHAnsi"/>
              </w:rPr>
            </w:pPr>
          </w:p>
        </w:tc>
        <w:tc>
          <w:tcPr>
            <w:tcW w:w="1170" w:type="dxa"/>
            <w:hideMark/>
          </w:tcPr>
          <w:p w14:paraId="7C75A32D" w14:textId="1FD174A2" w:rsidR="00070801" w:rsidRPr="009377B4" w:rsidRDefault="00070801" w:rsidP="00070801">
            <w:pPr>
              <w:rPr>
                <w:rFonts w:cstheme="minorHAnsi"/>
              </w:rPr>
            </w:pPr>
            <w:r w:rsidRPr="009377B4">
              <w:rPr>
                <w:rFonts w:cstheme="minorHAnsi"/>
              </w:rPr>
              <w:t>9.8</w:t>
            </w:r>
            <w:bookmarkStart w:id="40" w:name="btbl1fnd" w:colFirst="3" w:colLast="8"/>
            <w:r w:rsidRPr="009377B4">
              <w:rPr>
                <w:rFonts w:cstheme="minorHAnsi"/>
                <w:vertAlign w:val="superscript"/>
              </w:rPr>
              <w:t>d</w:t>
            </w:r>
            <w:r w:rsidRPr="009377B4">
              <w:rPr>
                <w:rFonts w:cstheme="minorHAnsi"/>
              </w:rPr>
              <w:t>; 12.8</w:t>
            </w:r>
            <w:bookmarkStart w:id="41" w:name="btbl1fne" w:colFirst="3" w:colLast="8"/>
            <w:r w:rsidRPr="009377B4">
              <w:rPr>
                <w:rFonts w:cstheme="minorHAnsi"/>
                <w:vertAlign w:val="superscript"/>
              </w:rPr>
              <w:t>e</w:t>
            </w:r>
          </w:p>
        </w:tc>
        <w:tc>
          <w:tcPr>
            <w:tcW w:w="1440" w:type="dxa"/>
            <w:hideMark/>
          </w:tcPr>
          <w:p w14:paraId="480200A4" w14:textId="77777777" w:rsidR="00070801" w:rsidRPr="009377B4" w:rsidRDefault="00070801" w:rsidP="00070801">
            <w:pPr>
              <w:rPr>
                <w:rFonts w:cstheme="minorHAnsi"/>
              </w:rPr>
            </w:pPr>
          </w:p>
        </w:tc>
        <w:tc>
          <w:tcPr>
            <w:tcW w:w="1243" w:type="dxa"/>
            <w:hideMark/>
          </w:tcPr>
          <w:p w14:paraId="0FDF60D5" w14:textId="77777777" w:rsidR="00070801" w:rsidRPr="009377B4" w:rsidRDefault="00070801" w:rsidP="00070801">
            <w:pPr>
              <w:rPr>
                <w:rFonts w:cstheme="minorHAnsi"/>
              </w:rPr>
            </w:pPr>
            <w:r w:rsidRPr="009377B4">
              <w:rPr>
                <w:rFonts w:cstheme="minorHAnsi"/>
              </w:rPr>
              <w:t>30,000</w:t>
            </w:r>
          </w:p>
        </w:tc>
        <w:tc>
          <w:tcPr>
            <w:tcW w:w="1107" w:type="dxa"/>
            <w:hideMark/>
          </w:tcPr>
          <w:p w14:paraId="07928946" w14:textId="77777777" w:rsidR="00070801" w:rsidRPr="009377B4" w:rsidRDefault="00070801" w:rsidP="00070801">
            <w:pPr>
              <w:rPr>
                <w:rFonts w:cstheme="minorHAnsi"/>
              </w:rPr>
            </w:pPr>
            <w:r w:rsidRPr="009377B4">
              <w:rPr>
                <w:rFonts w:cstheme="minorHAnsi"/>
              </w:rPr>
              <w:t>535</w:t>
            </w:r>
          </w:p>
        </w:tc>
        <w:tc>
          <w:tcPr>
            <w:tcW w:w="2194" w:type="dxa"/>
            <w:hideMark/>
          </w:tcPr>
          <w:p w14:paraId="1BA8F742" w14:textId="77777777" w:rsidR="00070801" w:rsidRPr="009377B4" w:rsidRDefault="00070801" w:rsidP="00070801">
            <w:pPr>
              <w:rPr>
                <w:rFonts w:cstheme="minorHAnsi"/>
              </w:rPr>
            </w:pPr>
          </w:p>
        </w:tc>
        <w:tc>
          <w:tcPr>
            <w:tcW w:w="0" w:type="auto"/>
            <w:hideMark/>
          </w:tcPr>
          <w:p w14:paraId="3C2254A0" w14:textId="77777777" w:rsidR="00070801" w:rsidRPr="009377B4" w:rsidRDefault="00070801" w:rsidP="00070801">
            <w:pPr>
              <w:rPr>
                <w:rFonts w:cstheme="minorHAnsi"/>
              </w:rPr>
            </w:pPr>
          </w:p>
        </w:tc>
      </w:tr>
      <w:tr w:rsidR="00070801" w:rsidRPr="009377B4" w14:paraId="366B3F0E" w14:textId="77777777" w:rsidTr="0002421A">
        <w:tc>
          <w:tcPr>
            <w:tcW w:w="2155" w:type="dxa"/>
            <w:hideMark/>
          </w:tcPr>
          <w:p w14:paraId="2A2CECC8" w14:textId="1ACBA654" w:rsidR="00070801" w:rsidRPr="009377B4" w:rsidRDefault="00070801" w:rsidP="00070801">
            <w:pPr>
              <w:rPr>
                <w:rFonts w:cstheme="minorHAnsi"/>
              </w:rPr>
            </w:pPr>
            <w:r w:rsidRPr="009377B4">
              <w:rPr>
                <w:rFonts w:cstheme="minorHAnsi"/>
              </w:rPr>
              <w:t xml:space="preserve">TH170-MAD </w:t>
            </w:r>
            <w:proofErr w:type="spellStart"/>
            <w:r w:rsidRPr="009377B4">
              <w:rPr>
                <w:rFonts w:cstheme="minorHAnsi"/>
              </w:rPr>
              <w:t>Inf</w:t>
            </w:r>
            <w:r w:rsidRPr="009377B4">
              <w:rPr>
                <w:rFonts w:cstheme="minorHAnsi"/>
                <w:vertAlign w:val="superscript"/>
              </w:rPr>
              <w:t>b</w:t>
            </w:r>
            <w:proofErr w:type="spellEnd"/>
          </w:p>
        </w:tc>
        <w:tc>
          <w:tcPr>
            <w:tcW w:w="990" w:type="dxa"/>
            <w:hideMark/>
          </w:tcPr>
          <w:p w14:paraId="18848DC0" w14:textId="77777777" w:rsidR="00070801" w:rsidRPr="009377B4" w:rsidRDefault="00070801" w:rsidP="00070801">
            <w:pPr>
              <w:rPr>
                <w:rFonts w:cstheme="minorHAnsi"/>
              </w:rPr>
            </w:pPr>
          </w:p>
        </w:tc>
        <w:tc>
          <w:tcPr>
            <w:tcW w:w="1170" w:type="dxa"/>
            <w:hideMark/>
          </w:tcPr>
          <w:p w14:paraId="303EB11A" w14:textId="77777777" w:rsidR="00070801" w:rsidRPr="009377B4" w:rsidRDefault="00070801" w:rsidP="00070801">
            <w:pPr>
              <w:rPr>
                <w:rFonts w:cstheme="minorHAnsi"/>
              </w:rPr>
            </w:pPr>
          </w:p>
        </w:tc>
        <w:tc>
          <w:tcPr>
            <w:tcW w:w="1170" w:type="dxa"/>
            <w:hideMark/>
          </w:tcPr>
          <w:p w14:paraId="701D0EAE" w14:textId="77777777" w:rsidR="00070801" w:rsidRPr="009377B4" w:rsidRDefault="00070801" w:rsidP="00070801">
            <w:pPr>
              <w:rPr>
                <w:rFonts w:cstheme="minorHAnsi"/>
              </w:rPr>
            </w:pPr>
            <w:r w:rsidRPr="009377B4">
              <w:rPr>
                <w:rFonts w:cstheme="minorHAnsi"/>
              </w:rPr>
              <w:t>9.8</w:t>
            </w:r>
          </w:p>
        </w:tc>
        <w:tc>
          <w:tcPr>
            <w:tcW w:w="1440" w:type="dxa"/>
            <w:hideMark/>
          </w:tcPr>
          <w:p w14:paraId="25C91A0E" w14:textId="77777777" w:rsidR="00070801" w:rsidRPr="009377B4" w:rsidRDefault="00070801" w:rsidP="00070801">
            <w:pPr>
              <w:rPr>
                <w:rFonts w:cstheme="minorHAnsi"/>
              </w:rPr>
            </w:pPr>
          </w:p>
        </w:tc>
        <w:tc>
          <w:tcPr>
            <w:tcW w:w="1243" w:type="dxa"/>
            <w:hideMark/>
          </w:tcPr>
          <w:p w14:paraId="2EF953D8" w14:textId="77777777" w:rsidR="00070801" w:rsidRPr="009377B4" w:rsidRDefault="00070801" w:rsidP="00070801">
            <w:pPr>
              <w:rPr>
                <w:rFonts w:cstheme="minorHAnsi"/>
              </w:rPr>
            </w:pPr>
            <w:r w:rsidRPr="009377B4">
              <w:rPr>
                <w:rFonts w:cstheme="minorHAnsi"/>
              </w:rPr>
              <w:t>34,950</w:t>
            </w:r>
          </w:p>
        </w:tc>
        <w:tc>
          <w:tcPr>
            <w:tcW w:w="1107" w:type="dxa"/>
            <w:hideMark/>
          </w:tcPr>
          <w:p w14:paraId="2E124742" w14:textId="77777777" w:rsidR="00070801" w:rsidRPr="009377B4" w:rsidRDefault="00070801" w:rsidP="00070801">
            <w:pPr>
              <w:rPr>
                <w:rFonts w:cstheme="minorHAnsi"/>
              </w:rPr>
            </w:pPr>
            <w:r w:rsidRPr="009377B4">
              <w:rPr>
                <w:rFonts w:cstheme="minorHAnsi"/>
              </w:rPr>
              <w:t>550</w:t>
            </w:r>
          </w:p>
        </w:tc>
        <w:tc>
          <w:tcPr>
            <w:tcW w:w="2194" w:type="dxa"/>
            <w:hideMark/>
          </w:tcPr>
          <w:p w14:paraId="0E4474E3" w14:textId="77777777" w:rsidR="00070801" w:rsidRPr="009377B4" w:rsidRDefault="00070801" w:rsidP="00070801">
            <w:pPr>
              <w:rPr>
                <w:rFonts w:cstheme="minorHAnsi"/>
              </w:rPr>
            </w:pPr>
          </w:p>
        </w:tc>
        <w:tc>
          <w:tcPr>
            <w:tcW w:w="0" w:type="auto"/>
            <w:hideMark/>
          </w:tcPr>
          <w:p w14:paraId="7344EDFF" w14:textId="77777777" w:rsidR="00070801" w:rsidRPr="009377B4" w:rsidRDefault="00070801" w:rsidP="00070801">
            <w:pPr>
              <w:rPr>
                <w:rFonts w:cstheme="minorHAnsi"/>
              </w:rPr>
            </w:pPr>
          </w:p>
        </w:tc>
      </w:tr>
      <w:tr w:rsidR="00070801" w:rsidRPr="009377B4" w14:paraId="01A6E17E" w14:textId="77777777" w:rsidTr="0002421A">
        <w:tc>
          <w:tcPr>
            <w:tcW w:w="2155" w:type="dxa"/>
            <w:hideMark/>
          </w:tcPr>
          <w:p w14:paraId="4B5ED9D2" w14:textId="166ECDC5" w:rsidR="00070801" w:rsidRPr="009377B4" w:rsidRDefault="00070801" w:rsidP="00070801">
            <w:pPr>
              <w:rPr>
                <w:rFonts w:cstheme="minorHAnsi"/>
              </w:rPr>
            </w:pPr>
            <w:bookmarkStart w:id="42" w:name="btbl1fnc" w:colFirst="0" w:colLast="0"/>
            <w:r w:rsidRPr="009377B4">
              <w:rPr>
                <w:rFonts w:cstheme="minorHAnsi"/>
              </w:rPr>
              <w:t xml:space="preserve">TH150-MAD </w:t>
            </w:r>
            <w:proofErr w:type="spellStart"/>
            <w:r w:rsidRPr="009377B4">
              <w:rPr>
                <w:rFonts w:cstheme="minorHAnsi"/>
              </w:rPr>
              <w:t>Eff</w:t>
            </w:r>
            <w:r w:rsidRPr="009377B4">
              <w:rPr>
                <w:rFonts w:cstheme="minorHAnsi"/>
                <w:vertAlign w:val="superscript"/>
              </w:rPr>
              <w:t>c</w:t>
            </w:r>
            <w:proofErr w:type="spellEnd"/>
          </w:p>
        </w:tc>
        <w:tc>
          <w:tcPr>
            <w:tcW w:w="990" w:type="dxa"/>
            <w:hideMark/>
          </w:tcPr>
          <w:p w14:paraId="10D7300C" w14:textId="77777777" w:rsidR="00070801" w:rsidRPr="009377B4" w:rsidRDefault="00070801" w:rsidP="00070801">
            <w:pPr>
              <w:rPr>
                <w:rFonts w:cstheme="minorHAnsi"/>
              </w:rPr>
            </w:pPr>
            <w:r w:rsidRPr="009377B4">
              <w:rPr>
                <w:rFonts w:cstheme="minorHAnsi"/>
              </w:rPr>
              <w:t>15</w:t>
            </w:r>
          </w:p>
        </w:tc>
        <w:tc>
          <w:tcPr>
            <w:tcW w:w="1170" w:type="dxa"/>
            <w:hideMark/>
          </w:tcPr>
          <w:p w14:paraId="2A5AFF46" w14:textId="77777777" w:rsidR="00070801" w:rsidRPr="009377B4" w:rsidRDefault="00070801" w:rsidP="00070801">
            <w:pPr>
              <w:rPr>
                <w:rFonts w:cstheme="minorHAnsi"/>
              </w:rPr>
            </w:pPr>
            <w:r w:rsidRPr="009377B4">
              <w:rPr>
                <w:rFonts w:cstheme="minorHAnsi"/>
              </w:rPr>
              <w:t>42</w:t>
            </w:r>
          </w:p>
        </w:tc>
        <w:tc>
          <w:tcPr>
            <w:tcW w:w="1170" w:type="dxa"/>
            <w:hideMark/>
          </w:tcPr>
          <w:p w14:paraId="7FFFDBC5" w14:textId="66299DB9" w:rsidR="00070801" w:rsidRPr="009377B4" w:rsidRDefault="00070801" w:rsidP="00070801">
            <w:pPr>
              <w:rPr>
                <w:rFonts w:cstheme="minorHAnsi"/>
              </w:rPr>
            </w:pPr>
            <w:r w:rsidRPr="009377B4">
              <w:rPr>
                <w:rFonts w:cstheme="minorHAnsi"/>
              </w:rPr>
              <w:t>5.8</w:t>
            </w:r>
            <w:r w:rsidRPr="009377B4">
              <w:rPr>
                <w:rFonts w:cstheme="minorHAnsi"/>
                <w:vertAlign w:val="superscript"/>
              </w:rPr>
              <w:t>d</w:t>
            </w:r>
            <w:r w:rsidRPr="009377B4">
              <w:rPr>
                <w:rFonts w:cstheme="minorHAnsi"/>
              </w:rPr>
              <w:t>; 6.1</w:t>
            </w:r>
            <w:r w:rsidRPr="009377B4">
              <w:rPr>
                <w:rFonts w:cstheme="minorHAnsi"/>
                <w:vertAlign w:val="superscript"/>
              </w:rPr>
              <w:t>e</w:t>
            </w:r>
          </w:p>
        </w:tc>
        <w:tc>
          <w:tcPr>
            <w:tcW w:w="1440" w:type="dxa"/>
            <w:hideMark/>
          </w:tcPr>
          <w:p w14:paraId="159F0F60" w14:textId="77777777" w:rsidR="00070801" w:rsidRPr="009377B4" w:rsidRDefault="00070801" w:rsidP="00070801">
            <w:pPr>
              <w:rPr>
                <w:rFonts w:cstheme="minorHAnsi"/>
              </w:rPr>
            </w:pPr>
            <w:r w:rsidRPr="009377B4">
              <w:rPr>
                <w:rFonts w:cstheme="minorHAnsi"/>
              </w:rPr>
              <w:t>59</w:t>
            </w:r>
          </w:p>
        </w:tc>
        <w:tc>
          <w:tcPr>
            <w:tcW w:w="1243" w:type="dxa"/>
            <w:hideMark/>
          </w:tcPr>
          <w:p w14:paraId="121DA4A1" w14:textId="77777777" w:rsidR="00070801" w:rsidRPr="009377B4" w:rsidRDefault="00070801" w:rsidP="00070801">
            <w:pPr>
              <w:rPr>
                <w:rFonts w:cstheme="minorHAnsi"/>
              </w:rPr>
            </w:pPr>
            <w:r w:rsidRPr="009377B4">
              <w:rPr>
                <w:rFonts w:cstheme="minorHAnsi"/>
              </w:rPr>
              <w:t>6180</w:t>
            </w:r>
          </w:p>
        </w:tc>
        <w:tc>
          <w:tcPr>
            <w:tcW w:w="1107" w:type="dxa"/>
            <w:hideMark/>
          </w:tcPr>
          <w:p w14:paraId="1641644C" w14:textId="77777777" w:rsidR="00070801" w:rsidRPr="009377B4" w:rsidRDefault="00070801" w:rsidP="00070801">
            <w:pPr>
              <w:rPr>
                <w:rFonts w:cstheme="minorHAnsi"/>
              </w:rPr>
            </w:pPr>
            <w:r w:rsidRPr="009377B4">
              <w:rPr>
                <w:rFonts w:cstheme="minorHAnsi"/>
              </w:rPr>
              <w:t>2510</w:t>
            </w:r>
          </w:p>
        </w:tc>
        <w:tc>
          <w:tcPr>
            <w:tcW w:w="2194" w:type="dxa"/>
            <w:hideMark/>
          </w:tcPr>
          <w:p w14:paraId="65B166BD" w14:textId="4D303C39" w:rsidR="00070801" w:rsidRPr="009377B4" w:rsidRDefault="00070801" w:rsidP="00070801">
            <w:pPr>
              <w:rPr>
                <w:rFonts w:cstheme="minorHAnsi"/>
              </w:rPr>
            </w:pPr>
            <w:r w:rsidRPr="009377B4">
              <w:rPr>
                <w:rFonts w:cstheme="minorHAnsi"/>
              </w:rPr>
              <w:t>5.5</w:t>
            </w:r>
            <w:r w:rsidRPr="009377B4">
              <w:rPr>
                <w:rFonts w:cstheme="minorHAnsi"/>
                <w:vertAlign w:val="superscript"/>
              </w:rPr>
              <w:t>d</w:t>
            </w:r>
            <w:r w:rsidRPr="009377B4">
              <w:rPr>
                <w:rFonts w:cstheme="minorHAnsi"/>
              </w:rPr>
              <w:t>; 21.3</w:t>
            </w:r>
            <w:r w:rsidRPr="009377B4">
              <w:rPr>
                <w:rFonts w:cstheme="minorHAnsi"/>
                <w:vertAlign w:val="superscript"/>
              </w:rPr>
              <w:t>e</w:t>
            </w:r>
          </w:p>
        </w:tc>
        <w:tc>
          <w:tcPr>
            <w:tcW w:w="0" w:type="auto"/>
            <w:hideMark/>
          </w:tcPr>
          <w:p w14:paraId="61BF442A" w14:textId="1E2E0A83" w:rsidR="00070801" w:rsidRPr="009377B4" w:rsidRDefault="00070801" w:rsidP="00070801">
            <w:pPr>
              <w:rPr>
                <w:rFonts w:cstheme="minorHAnsi"/>
              </w:rPr>
            </w:pPr>
            <w:r w:rsidRPr="009377B4">
              <w:rPr>
                <w:rFonts w:cstheme="minorHAnsi"/>
              </w:rPr>
              <w:t>21</w:t>
            </w:r>
            <w:r w:rsidRPr="009377B4">
              <w:rPr>
                <w:rFonts w:cstheme="minorHAnsi"/>
                <w:vertAlign w:val="superscript"/>
              </w:rPr>
              <w:t>d</w:t>
            </w:r>
            <w:r w:rsidRPr="009377B4">
              <w:rPr>
                <w:rFonts w:cstheme="minorHAnsi"/>
              </w:rPr>
              <w:t>; 258</w:t>
            </w:r>
            <w:r w:rsidRPr="009377B4">
              <w:rPr>
                <w:rFonts w:cstheme="minorHAnsi"/>
                <w:vertAlign w:val="superscript"/>
              </w:rPr>
              <w:t>e</w:t>
            </w:r>
          </w:p>
        </w:tc>
      </w:tr>
      <w:bookmarkEnd w:id="40"/>
      <w:bookmarkEnd w:id="41"/>
      <w:tr w:rsidR="00070801" w:rsidRPr="009377B4" w14:paraId="37381EC0" w14:textId="77777777" w:rsidTr="0002421A">
        <w:tc>
          <w:tcPr>
            <w:tcW w:w="2155" w:type="dxa"/>
            <w:hideMark/>
          </w:tcPr>
          <w:p w14:paraId="7A255744" w14:textId="3BCD6405" w:rsidR="00070801" w:rsidRPr="009377B4" w:rsidRDefault="00070801" w:rsidP="00070801">
            <w:pPr>
              <w:rPr>
                <w:rFonts w:cstheme="minorHAnsi"/>
              </w:rPr>
            </w:pPr>
            <w:r w:rsidRPr="009377B4">
              <w:rPr>
                <w:rFonts w:cstheme="minorHAnsi"/>
              </w:rPr>
              <w:t xml:space="preserve">TH170-MAD </w:t>
            </w:r>
            <w:proofErr w:type="spellStart"/>
            <w:r w:rsidRPr="009377B4">
              <w:rPr>
                <w:rFonts w:cstheme="minorHAnsi"/>
              </w:rPr>
              <w:t>Eff</w:t>
            </w:r>
            <w:r w:rsidRPr="009377B4">
              <w:rPr>
                <w:rFonts w:cstheme="minorHAnsi"/>
                <w:vertAlign w:val="superscript"/>
              </w:rPr>
              <w:t>c</w:t>
            </w:r>
            <w:proofErr w:type="spellEnd"/>
          </w:p>
        </w:tc>
        <w:tc>
          <w:tcPr>
            <w:tcW w:w="990" w:type="dxa"/>
            <w:hideMark/>
          </w:tcPr>
          <w:p w14:paraId="0591CA43" w14:textId="77777777" w:rsidR="00070801" w:rsidRPr="009377B4" w:rsidRDefault="00070801" w:rsidP="00070801">
            <w:pPr>
              <w:rPr>
                <w:rFonts w:cstheme="minorHAnsi"/>
              </w:rPr>
            </w:pPr>
            <w:r w:rsidRPr="009377B4">
              <w:rPr>
                <w:rFonts w:cstheme="minorHAnsi"/>
              </w:rPr>
              <w:t>15</w:t>
            </w:r>
          </w:p>
        </w:tc>
        <w:tc>
          <w:tcPr>
            <w:tcW w:w="1170" w:type="dxa"/>
            <w:hideMark/>
          </w:tcPr>
          <w:p w14:paraId="4509236A" w14:textId="77777777" w:rsidR="00070801" w:rsidRPr="009377B4" w:rsidRDefault="00070801" w:rsidP="00070801">
            <w:pPr>
              <w:rPr>
                <w:rFonts w:cstheme="minorHAnsi"/>
              </w:rPr>
            </w:pPr>
            <w:r w:rsidRPr="009377B4">
              <w:rPr>
                <w:rFonts w:cstheme="minorHAnsi"/>
              </w:rPr>
              <w:t>42</w:t>
            </w:r>
          </w:p>
        </w:tc>
        <w:tc>
          <w:tcPr>
            <w:tcW w:w="1170" w:type="dxa"/>
            <w:hideMark/>
          </w:tcPr>
          <w:p w14:paraId="0AA06065" w14:textId="77777777" w:rsidR="00070801" w:rsidRPr="009377B4" w:rsidRDefault="00070801" w:rsidP="00070801">
            <w:pPr>
              <w:rPr>
                <w:rFonts w:cstheme="minorHAnsi"/>
              </w:rPr>
            </w:pPr>
            <w:r w:rsidRPr="009377B4">
              <w:rPr>
                <w:rFonts w:cstheme="minorHAnsi"/>
              </w:rPr>
              <w:t>5.8</w:t>
            </w:r>
          </w:p>
        </w:tc>
        <w:tc>
          <w:tcPr>
            <w:tcW w:w="1440" w:type="dxa"/>
            <w:hideMark/>
          </w:tcPr>
          <w:p w14:paraId="459EAFB9" w14:textId="77777777" w:rsidR="00070801" w:rsidRPr="009377B4" w:rsidRDefault="00070801" w:rsidP="00070801">
            <w:pPr>
              <w:rPr>
                <w:rFonts w:cstheme="minorHAnsi"/>
              </w:rPr>
            </w:pPr>
            <w:r w:rsidRPr="009377B4">
              <w:rPr>
                <w:rFonts w:cstheme="minorHAnsi"/>
              </w:rPr>
              <w:t>58</w:t>
            </w:r>
          </w:p>
        </w:tc>
        <w:tc>
          <w:tcPr>
            <w:tcW w:w="1243" w:type="dxa"/>
            <w:hideMark/>
          </w:tcPr>
          <w:p w14:paraId="73C82C6A" w14:textId="77777777" w:rsidR="00070801" w:rsidRPr="009377B4" w:rsidRDefault="00070801" w:rsidP="00070801">
            <w:pPr>
              <w:rPr>
                <w:rFonts w:cstheme="minorHAnsi"/>
              </w:rPr>
            </w:pPr>
            <w:r w:rsidRPr="009377B4">
              <w:rPr>
                <w:rFonts w:cstheme="minorHAnsi"/>
              </w:rPr>
              <w:t>4250</w:t>
            </w:r>
          </w:p>
        </w:tc>
        <w:tc>
          <w:tcPr>
            <w:tcW w:w="1107" w:type="dxa"/>
            <w:hideMark/>
          </w:tcPr>
          <w:p w14:paraId="615CC109" w14:textId="77777777" w:rsidR="00070801" w:rsidRPr="009377B4" w:rsidRDefault="00070801" w:rsidP="00070801">
            <w:pPr>
              <w:rPr>
                <w:rFonts w:cstheme="minorHAnsi"/>
              </w:rPr>
            </w:pPr>
            <w:r w:rsidRPr="009377B4">
              <w:rPr>
                <w:rFonts w:cstheme="minorHAnsi"/>
              </w:rPr>
              <w:t>2470</w:t>
            </w:r>
          </w:p>
        </w:tc>
        <w:tc>
          <w:tcPr>
            <w:tcW w:w="2194" w:type="dxa"/>
            <w:hideMark/>
          </w:tcPr>
          <w:p w14:paraId="3E667114" w14:textId="77777777" w:rsidR="00070801" w:rsidRPr="009377B4" w:rsidRDefault="00070801" w:rsidP="00070801">
            <w:pPr>
              <w:rPr>
                <w:rFonts w:cstheme="minorHAnsi"/>
              </w:rPr>
            </w:pPr>
            <w:r w:rsidRPr="009377B4">
              <w:rPr>
                <w:rFonts w:cstheme="minorHAnsi"/>
              </w:rPr>
              <w:t>5.5</w:t>
            </w:r>
          </w:p>
        </w:tc>
        <w:tc>
          <w:tcPr>
            <w:tcW w:w="0" w:type="auto"/>
            <w:hideMark/>
          </w:tcPr>
          <w:p w14:paraId="7B0CDAF0" w14:textId="77777777" w:rsidR="00070801" w:rsidRPr="009377B4" w:rsidRDefault="00070801" w:rsidP="00070801">
            <w:pPr>
              <w:rPr>
                <w:rFonts w:cstheme="minorHAnsi"/>
              </w:rPr>
            </w:pPr>
            <w:r w:rsidRPr="009377B4">
              <w:rPr>
                <w:rFonts w:cstheme="minorHAnsi"/>
              </w:rPr>
              <w:t>33</w:t>
            </w:r>
          </w:p>
        </w:tc>
      </w:tr>
      <w:tr w:rsidR="00070801" w:rsidRPr="009377B4" w14:paraId="46B69E75" w14:textId="77777777" w:rsidTr="0002421A">
        <w:tc>
          <w:tcPr>
            <w:tcW w:w="2155" w:type="dxa"/>
            <w:hideMark/>
          </w:tcPr>
          <w:p w14:paraId="7F008570" w14:textId="25352168" w:rsidR="00070801" w:rsidRPr="009377B4" w:rsidRDefault="00070801" w:rsidP="00070801">
            <w:pPr>
              <w:rPr>
                <w:rFonts w:cstheme="minorHAnsi"/>
              </w:rPr>
            </w:pPr>
            <w:r w:rsidRPr="009377B4">
              <w:rPr>
                <w:rFonts w:cstheme="minorHAnsi"/>
              </w:rPr>
              <w:t xml:space="preserve">TH150-MAD20 </w:t>
            </w:r>
            <w:proofErr w:type="spellStart"/>
            <w:r w:rsidRPr="009377B4">
              <w:rPr>
                <w:rFonts w:cstheme="minorHAnsi"/>
              </w:rPr>
              <w:t>Eff</w:t>
            </w:r>
            <w:r w:rsidRPr="009377B4">
              <w:rPr>
                <w:rFonts w:cstheme="minorHAnsi"/>
                <w:vertAlign w:val="superscript"/>
              </w:rPr>
              <w:t>c</w:t>
            </w:r>
            <w:proofErr w:type="spellEnd"/>
          </w:p>
        </w:tc>
        <w:tc>
          <w:tcPr>
            <w:tcW w:w="990" w:type="dxa"/>
            <w:hideMark/>
          </w:tcPr>
          <w:p w14:paraId="520C03C9" w14:textId="77777777" w:rsidR="00070801" w:rsidRPr="009377B4" w:rsidRDefault="00070801" w:rsidP="00070801">
            <w:pPr>
              <w:rPr>
                <w:rFonts w:cstheme="minorHAnsi"/>
              </w:rPr>
            </w:pPr>
            <w:r w:rsidRPr="009377B4">
              <w:rPr>
                <w:rFonts w:cstheme="minorHAnsi"/>
              </w:rPr>
              <w:t>20</w:t>
            </w:r>
          </w:p>
        </w:tc>
        <w:tc>
          <w:tcPr>
            <w:tcW w:w="1170" w:type="dxa"/>
            <w:hideMark/>
          </w:tcPr>
          <w:p w14:paraId="31FA17A7" w14:textId="77777777" w:rsidR="00070801" w:rsidRPr="009377B4" w:rsidRDefault="00070801" w:rsidP="00070801">
            <w:pPr>
              <w:rPr>
                <w:rFonts w:cstheme="minorHAnsi"/>
              </w:rPr>
            </w:pPr>
            <w:r w:rsidRPr="009377B4">
              <w:rPr>
                <w:rFonts w:cstheme="minorHAnsi"/>
              </w:rPr>
              <w:t>42</w:t>
            </w:r>
          </w:p>
        </w:tc>
        <w:tc>
          <w:tcPr>
            <w:tcW w:w="1170" w:type="dxa"/>
            <w:hideMark/>
          </w:tcPr>
          <w:p w14:paraId="626A2F24" w14:textId="77777777" w:rsidR="00070801" w:rsidRPr="009377B4" w:rsidRDefault="00070801" w:rsidP="00070801">
            <w:pPr>
              <w:rPr>
                <w:rFonts w:cstheme="minorHAnsi"/>
              </w:rPr>
            </w:pPr>
            <w:r w:rsidRPr="009377B4">
              <w:rPr>
                <w:rFonts w:cstheme="minorHAnsi"/>
              </w:rPr>
              <w:t>6.7</w:t>
            </w:r>
          </w:p>
        </w:tc>
        <w:tc>
          <w:tcPr>
            <w:tcW w:w="1440" w:type="dxa"/>
            <w:hideMark/>
          </w:tcPr>
          <w:p w14:paraId="1E9F713D" w14:textId="77777777" w:rsidR="00070801" w:rsidRPr="009377B4" w:rsidRDefault="00070801" w:rsidP="00070801">
            <w:pPr>
              <w:rPr>
                <w:rFonts w:cstheme="minorHAnsi"/>
              </w:rPr>
            </w:pPr>
            <w:r w:rsidRPr="009377B4">
              <w:rPr>
                <w:rFonts w:cstheme="minorHAnsi"/>
              </w:rPr>
              <w:t>60</w:t>
            </w:r>
          </w:p>
        </w:tc>
        <w:tc>
          <w:tcPr>
            <w:tcW w:w="1243" w:type="dxa"/>
            <w:hideMark/>
          </w:tcPr>
          <w:p w14:paraId="65C7FFFC" w14:textId="77777777" w:rsidR="00070801" w:rsidRPr="009377B4" w:rsidRDefault="00070801" w:rsidP="00070801">
            <w:pPr>
              <w:rPr>
                <w:rFonts w:cstheme="minorHAnsi"/>
              </w:rPr>
            </w:pPr>
            <w:r w:rsidRPr="009377B4">
              <w:rPr>
                <w:rFonts w:cstheme="minorHAnsi"/>
              </w:rPr>
              <w:t>3230</w:t>
            </w:r>
          </w:p>
        </w:tc>
        <w:tc>
          <w:tcPr>
            <w:tcW w:w="1107" w:type="dxa"/>
            <w:hideMark/>
          </w:tcPr>
          <w:p w14:paraId="44B443AF" w14:textId="77777777" w:rsidR="00070801" w:rsidRPr="009377B4" w:rsidRDefault="00070801" w:rsidP="00070801">
            <w:pPr>
              <w:rPr>
                <w:rFonts w:cstheme="minorHAnsi"/>
              </w:rPr>
            </w:pPr>
            <w:r w:rsidRPr="009377B4">
              <w:rPr>
                <w:rFonts w:cstheme="minorHAnsi"/>
              </w:rPr>
              <w:t>2130</w:t>
            </w:r>
          </w:p>
        </w:tc>
        <w:tc>
          <w:tcPr>
            <w:tcW w:w="2194" w:type="dxa"/>
            <w:hideMark/>
          </w:tcPr>
          <w:p w14:paraId="529561F2" w14:textId="77777777" w:rsidR="00070801" w:rsidRPr="009377B4" w:rsidRDefault="00070801" w:rsidP="00070801">
            <w:pPr>
              <w:rPr>
                <w:rFonts w:cstheme="minorHAnsi"/>
              </w:rPr>
            </w:pPr>
            <w:r w:rsidRPr="009377B4">
              <w:rPr>
                <w:rFonts w:cstheme="minorHAnsi"/>
              </w:rPr>
              <w:t>7</w:t>
            </w:r>
          </w:p>
        </w:tc>
        <w:tc>
          <w:tcPr>
            <w:tcW w:w="0" w:type="auto"/>
            <w:hideMark/>
          </w:tcPr>
          <w:p w14:paraId="47DB64CB" w14:textId="77777777" w:rsidR="00070801" w:rsidRPr="009377B4" w:rsidRDefault="00070801" w:rsidP="00070801">
            <w:pPr>
              <w:rPr>
                <w:rFonts w:cstheme="minorHAnsi"/>
              </w:rPr>
            </w:pPr>
            <w:r w:rsidRPr="009377B4">
              <w:rPr>
                <w:rFonts w:cstheme="minorHAnsi"/>
              </w:rPr>
              <w:t>87</w:t>
            </w:r>
          </w:p>
        </w:tc>
      </w:tr>
      <w:bookmarkEnd w:id="42"/>
      <w:tr w:rsidR="00070801" w:rsidRPr="009377B4" w14:paraId="05CD7DD3" w14:textId="77777777" w:rsidTr="0002421A">
        <w:tc>
          <w:tcPr>
            <w:tcW w:w="2155" w:type="dxa"/>
            <w:hideMark/>
          </w:tcPr>
          <w:p w14:paraId="54BDC8B5" w14:textId="7C55AF3C" w:rsidR="00070801" w:rsidRPr="009377B4" w:rsidRDefault="00070801" w:rsidP="00070801">
            <w:pPr>
              <w:rPr>
                <w:rFonts w:cstheme="minorHAnsi"/>
              </w:rPr>
            </w:pPr>
            <w:r w:rsidRPr="009377B4">
              <w:rPr>
                <w:rFonts w:cstheme="minorHAnsi"/>
              </w:rPr>
              <w:t xml:space="preserve">TH-M-AER 20/20 </w:t>
            </w:r>
            <w:proofErr w:type="spellStart"/>
            <w:r w:rsidRPr="009377B4">
              <w:rPr>
                <w:rFonts w:cstheme="minorHAnsi"/>
              </w:rPr>
              <w:t>Eff</w:t>
            </w:r>
            <w:r w:rsidRPr="009377B4">
              <w:rPr>
                <w:rFonts w:cstheme="minorHAnsi"/>
                <w:vertAlign w:val="superscript"/>
              </w:rPr>
              <w:t>b</w:t>
            </w:r>
            <w:proofErr w:type="spellEnd"/>
          </w:p>
        </w:tc>
        <w:tc>
          <w:tcPr>
            <w:tcW w:w="990" w:type="dxa"/>
            <w:hideMark/>
          </w:tcPr>
          <w:p w14:paraId="0FC9BB26" w14:textId="77777777" w:rsidR="00070801" w:rsidRPr="009377B4" w:rsidRDefault="00070801" w:rsidP="00070801">
            <w:pPr>
              <w:rPr>
                <w:rFonts w:cstheme="minorHAnsi"/>
              </w:rPr>
            </w:pPr>
            <w:r w:rsidRPr="009377B4">
              <w:rPr>
                <w:rFonts w:cstheme="minorHAnsi"/>
              </w:rPr>
              <w:t>5</w:t>
            </w:r>
          </w:p>
        </w:tc>
        <w:tc>
          <w:tcPr>
            <w:tcW w:w="1170" w:type="dxa"/>
            <w:hideMark/>
          </w:tcPr>
          <w:p w14:paraId="491D49CA" w14:textId="77777777" w:rsidR="00070801" w:rsidRPr="009377B4" w:rsidRDefault="00070801" w:rsidP="00070801">
            <w:pPr>
              <w:rPr>
                <w:rFonts w:cstheme="minorHAnsi"/>
              </w:rPr>
            </w:pPr>
            <w:r w:rsidRPr="009377B4">
              <w:rPr>
                <w:rFonts w:cstheme="minorHAnsi"/>
              </w:rPr>
              <w:t>34</w:t>
            </w:r>
          </w:p>
        </w:tc>
        <w:tc>
          <w:tcPr>
            <w:tcW w:w="1170" w:type="dxa"/>
            <w:hideMark/>
          </w:tcPr>
          <w:p w14:paraId="03A4B1F0" w14:textId="77777777" w:rsidR="00070801" w:rsidRPr="009377B4" w:rsidRDefault="00070801" w:rsidP="00070801">
            <w:pPr>
              <w:rPr>
                <w:rFonts w:cstheme="minorHAnsi"/>
              </w:rPr>
            </w:pPr>
            <w:r w:rsidRPr="009377B4">
              <w:rPr>
                <w:rFonts w:cstheme="minorHAnsi"/>
              </w:rPr>
              <w:t>4.0</w:t>
            </w:r>
          </w:p>
        </w:tc>
        <w:tc>
          <w:tcPr>
            <w:tcW w:w="1440" w:type="dxa"/>
            <w:hideMark/>
          </w:tcPr>
          <w:p w14:paraId="604AF8B6" w14:textId="77777777" w:rsidR="00070801" w:rsidRPr="009377B4" w:rsidRDefault="00070801" w:rsidP="00070801">
            <w:pPr>
              <w:rPr>
                <w:rFonts w:cstheme="minorHAnsi"/>
              </w:rPr>
            </w:pPr>
            <w:r w:rsidRPr="009377B4">
              <w:rPr>
                <w:rFonts w:cstheme="minorHAnsi"/>
              </w:rPr>
              <w:t>70</w:t>
            </w:r>
          </w:p>
        </w:tc>
        <w:tc>
          <w:tcPr>
            <w:tcW w:w="1243" w:type="dxa"/>
            <w:hideMark/>
          </w:tcPr>
          <w:p w14:paraId="3734449F" w14:textId="77777777" w:rsidR="00070801" w:rsidRPr="009377B4" w:rsidRDefault="00070801" w:rsidP="00070801">
            <w:pPr>
              <w:rPr>
                <w:rFonts w:cstheme="minorHAnsi"/>
              </w:rPr>
            </w:pPr>
            <w:r w:rsidRPr="009377B4">
              <w:rPr>
                <w:rFonts w:cstheme="minorHAnsi"/>
              </w:rPr>
              <w:t>760</w:t>
            </w:r>
          </w:p>
        </w:tc>
        <w:tc>
          <w:tcPr>
            <w:tcW w:w="1107" w:type="dxa"/>
            <w:hideMark/>
          </w:tcPr>
          <w:p w14:paraId="6B394DD1" w14:textId="77777777" w:rsidR="00070801" w:rsidRPr="009377B4" w:rsidRDefault="00070801" w:rsidP="00070801">
            <w:pPr>
              <w:rPr>
                <w:rFonts w:cstheme="minorHAnsi"/>
              </w:rPr>
            </w:pPr>
            <w:r w:rsidRPr="009377B4">
              <w:rPr>
                <w:rFonts w:cstheme="minorHAnsi"/>
              </w:rPr>
              <w:t>828</w:t>
            </w:r>
          </w:p>
        </w:tc>
        <w:tc>
          <w:tcPr>
            <w:tcW w:w="2194" w:type="dxa"/>
            <w:hideMark/>
          </w:tcPr>
          <w:p w14:paraId="106B44C3" w14:textId="77777777" w:rsidR="00070801" w:rsidRPr="009377B4" w:rsidRDefault="00070801" w:rsidP="00070801">
            <w:pPr>
              <w:rPr>
                <w:rFonts w:cstheme="minorHAnsi"/>
              </w:rPr>
            </w:pPr>
            <w:r w:rsidRPr="009377B4">
              <w:rPr>
                <w:rFonts w:cstheme="minorHAnsi"/>
              </w:rPr>
              <w:t>2.5</w:t>
            </w:r>
          </w:p>
        </w:tc>
        <w:tc>
          <w:tcPr>
            <w:tcW w:w="0" w:type="auto"/>
            <w:hideMark/>
          </w:tcPr>
          <w:p w14:paraId="7E39ADCD" w14:textId="12706DD8" w:rsidR="00070801" w:rsidRPr="009377B4" w:rsidRDefault="00070801" w:rsidP="00070801">
            <w:pPr>
              <w:rPr>
                <w:rFonts w:cstheme="minorHAnsi"/>
              </w:rPr>
            </w:pPr>
            <w:r w:rsidRPr="009377B4">
              <w:rPr>
                <w:rFonts w:cstheme="minorHAnsi"/>
              </w:rPr>
              <w:t>15</w:t>
            </w:r>
            <w:bookmarkStart w:id="43" w:name="btbl1fnf" w:colFirst="8" w:colLast="8"/>
            <w:r w:rsidRPr="009377B4">
              <w:rPr>
                <w:rFonts w:cstheme="minorHAnsi"/>
                <w:vertAlign w:val="superscript"/>
              </w:rPr>
              <w:t>f</w:t>
            </w:r>
          </w:p>
        </w:tc>
      </w:tr>
      <w:tr w:rsidR="00070801" w:rsidRPr="009377B4" w14:paraId="11AC7B13" w14:textId="77777777" w:rsidTr="0002421A">
        <w:tc>
          <w:tcPr>
            <w:tcW w:w="2155" w:type="dxa"/>
            <w:hideMark/>
          </w:tcPr>
          <w:p w14:paraId="3760ADF1" w14:textId="75349909" w:rsidR="00070801" w:rsidRPr="009377B4" w:rsidRDefault="00070801" w:rsidP="00070801">
            <w:pPr>
              <w:rPr>
                <w:rFonts w:cstheme="minorHAnsi"/>
              </w:rPr>
            </w:pPr>
            <w:r w:rsidRPr="009377B4">
              <w:rPr>
                <w:rFonts w:cstheme="minorHAnsi"/>
              </w:rPr>
              <w:t xml:space="preserve">TH-M-AER 12/12 </w:t>
            </w:r>
            <w:proofErr w:type="spellStart"/>
            <w:r w:rsidRPr="009377B4">
              <w:rPr>
                <w:rFonts w:cstheme="minorHAnsi"/>
              </w:rPr>
              <w:t>Eff</w:t>
            </w:r>
            <w:r w:rsidRPr="009377B4">
              <w:rPr>
                <w:rFonts w:cstheme="minorHAnsi"/>
                <w:vertAlign w:val="superscript"/>
              </w:rPr>
              <w:t>b</w:t>
            </w:r>
            <w:proofErr w:type="spellEnd"/>
          </w:p>
        </w:tc>
        <w:tc>
          <w:tcPr>
            <w:tcW w:w="990" w:type="dxa"/>
            <w:hideMark/>
          </w:tcPr>
          <w:p w14:paraId="12FDC96D" w14:textId="77777777" w:rsidR="00070801" w:rsidRPr="009377B4" w:rsidRDefault="00070801" w:rsidP="00070801">
            <w:pPr>
              <w:rPr>
                <w:rFonts w:cstheme="minorHAnsi"/>
              </w:rPr>
            </w:pPr>
            <w:r w:rsidRPr="009377B4">
              <w:rPr>
                <w:rFonts w:cstheme="minorHAnsi"/>
              </w:rPr>
              <w:t>6</w:t>
            </w:r>
          </w:p>
        </w:tc>
        <w:tc>
          <w:tcPr>
            <w:tcW w:w="1170" w:type="dxa"/>
            <w:hideMark/>
          </w:tcPr>
          <w:p w14:paraId="2D250A07" w14:textId="77777777" w:rsidR="00070801" w:rsidRPr="009377B4" w:rsidRDefault="00070801" w:rsidP="00070801">
            <w:pPr>
              <w:rPr>
                <w:rFonts w:cstheme="minorHAnsi"/>
              </w:rPr>
            </w:pPr>
            <w:r w:rsidRPr="009377B4">
              <w:rPr>
                <w:rFonts w:cstheme="minorHAnsi"/>
              </w:rPr>
              <w:t>34</w:t>
            </w:r>
          </w:p>
        </w:tc>
        <w:tc>
          <w:tcPr>
            <w:tcW w:w="1170" w:type="dxa"/>
            <w:hideMark/>
          </w:tcPr>
          <w:p w14:paraId="00FE8790" w14:textId="77777777" w:rsidR="00070801" w:rsidRPr="009377B4" w:rsidRDefault="00070801" w:rsidP="00070801">
            <w:pPr>
              <w:rPr>
                <w:rFonts w:cstheme="minorHAnsi"/>
              </w:rPr>
            </w:pPr>
            <w:r w:rsidRPr="009377B4">
              <w:rPr>
                <w:rFonts w:cstheme="minorHAnsi"/>
              </w:rPr>
              <w:t>6.0</w:t>
            </w:r>
          </w:p>
        </w:tc>
        <w:tc>
          <w:tcPr>
            <w:tcW w:w="1440" w:type="dxa"/>
            <w:hideMark/>
          </w:tcPr>
          <w:p w14:paraId="3FA34AB2" w14:textId="77777777" w:rsidR="00070801" w:rsidRPr="009377B4" w:rsidRDefault="00070801" w:rsidP="00070801">
            <w:pPr>
              <w:rPr>
                <w:rFonts w:cstheme="minorHAnsi"/>
              </w:rPr>
            </w:pPr>
            <w:r w:rsidRPr="009377B4">
              <w:rPr>
                <w:rFonts w:cstheme="minorHAnsi"/>
              </w:rPr>
              <w:t>70</w:t>
            </w:r>
          </w:p>
        </w:tc>
        <w:tc>
          <w:tcPr>
            <w:tcW w:w="1243" w:type="dxa"/>
            <w:hideMark/>
          </w:tcPr>
          <w:p w14:paraId="76756F05" w14:textId="77777777" w:rsidR="00070801" w:rsidRPr="009377B4" w:rsidRDefault="00070801" w:rsidP="00070801">
            <w:pPr>
              <w:rPr>
                <w:rFonts w:cstheme="minorHAnsi"/>
              </w:rPr>
            </w:pPr>
            <w:r w:rsidRPr="009377B4">
              <w:rPr>
                <w:rFonts w:cstheme="minorHAnsi"/>
              </w:rPr>
              <w:t>760</w:t>
            </w:r>
          </w:p>
        </w:tc>
        <w:tc>
          <w:tcPr>
            <w:tcW w:w="1107" w:type="dxa"/>
            <w:hideMark/>
          </w:tcPr>
          <w:p w14:paraId="12310EC0" w14:textId="77777777" w:rsidR="00070801" w:rsidRPr="009377B4" w:rsidRDefault="00070801" w:rsidP="00070801">
            <w:pPr>
              <w:rPr>
                <w:rFonts w:cstheme="minorHAnsi"/>
              </w:rPr>
            </w:pPr>
            <w:r w:rsidRPr="009377B4">
              <w:rPr>
                <w:rFonts w:cstheme="minorHAnsi"/>
              </w:rPr>
              <w:t>171</w:t>
            </w:r>
          </w:p>
        </w:tc>
        <w:tc>
          <w:tcPr>
            <w:tcW w:w="2194" w:type="dxa"/>
            <w:hideMark/>
          </w:tcPr>
          <w:p w14:paraId="7F0FA002" w14:textId="77777777" w:rsidR="00070801" w:rsidRPr="009377B4" w:rsidRDefault="00070801" w:rsidP="00070801">
            <w:pPr>
              <w:rPr>
                <w:rFonts w:cstheme="minorHAnsi"/>
              </w:rPr>
            </w:pPr>
            <w:r w:rsidRPr="009377B4">
              <w:rPr>
                <w:rFonts w:cstheme="minorHAnsi"/>
              </w:rPr>
              <w:t>2</w:t>
            </w:r>
          </w:p>
        </w:tc>
        <w:tc>
          <w:tcPr>
            <w:tcW w:w="0" w:type="auto"/>
            <w:hideMark/>
          </w:tcPr>
          <w:p w14:paraId="157A58C7" w14:textId="48EE54BC" w:rsidR="00070801" w:rsidRPr="009377B4" w:rsidRDefault="00070801" w:rsidP="00070801">
            <w:pPr>
              <w:rPr>
                <w:rFonts w:cstheme="minorHAnsi"/>
              </w:rPr>
            </w:pPr>
            <w:r w:rsidRPr="009377B4">
              <w:rPr>
                <w:rFonts w:cstheme="minorHAnsi"/>
              </w:rPr>
              <w:t>12</w:t>
            </w:r>
            <w:r w:rsidRPr="009377B4">
              <w:rPr>
                <w:rFonts w:cstheme="minorHAnsi"/>
                <w:vertAlign w:val="superscript"/>
              </w:rPr>
              <w:t>f</w:t>
            </w:r>
          </w:p>
        </w:tc>
      </w:tr>
    </w:tbl>
    <w:bookmarkEnd w:id="39"/>
    <w:bookmarkEnd w:id="43"/>
    <w:p w14:paraId="3C31D97C" w14:textId="3B7E212C" w:rsidR="00070801" w:rsidRPr="009377B4" w:rsidRDefault="00070801" w:rsidP="00BA3DE6">
      <w:pPr>
        <w:spacing w:after="0"/>
        <w:rPr>
          <w:rFonts w:cstheme="minorHAnsi"/>
        </w:rPr>
      </w:pPr>
      <w:proofErr w:type="spellStart"/>
      <w:r w:rsidRPr="009377B4">
        <w:rPr>
          <w:rFonts w:cstheme="minorHAnsi"/>
          <w:vertAlign w:val="superscript"/>
        </w:rPr>
        <w:t>a</w:t>
      </w:r>
      <w:bookmarkStart w:id="44" w:name="bbib2"/>
      <w:r w:rsidRPr="009377B4">
        <w:rPr>
          <w:rFonts w:cstheme="minorHAnsi"/>
        </w:rPr>
        <w:t>Banjade</w:t>
      </w:r>
      <w:proofErr w:type="spellEnd"/>
      <w:r w:rsidRPr="009377B4">
        <w:rPr>
          <w:rFonts w:cstheme="minorHAnsi"/>
        </w:rPr>
        <w:t>, 2008.</w:t>
      </w:r>
    </w:p>
    <w:p w14:paraId="1942F640" w14:textId="3EBEF553" w:rsidR="00070801" w:rsidRPr="009377B4" w:rsidRDefault="00070801" w:rsidP="00BA3DE6">
      <w:pPr>
        <w:spacing w:after="0"/>
        <w:rPr>
          <w:rFonts w:cstheme="minorHAnsi"/>
        </w:rPr>
      </w:pPr>
      <w:proofErr w:type="spellStart"/>
      <w:r w:rsidRPr="009377B4">
        <w:rPr>
          <w:rFonts w:cstheme="minorHAnsi"/>
          <w:vertAlign w:val="superscript"/>
        </w:rPr>
        <w:t>b</w:t>
      </w:r>
      <w:bookmarkStart w:id="45" w:name="bbib54"/>
      <w:r w:rsidRPr="009377B4">
        <w:rPr>
          <w:rFonts w:cstheme="minorHAnsi"/>
        </w:rPr>
        <w:t>Tanneru</w:t>
      </w:r>
      <w:proofErr w:type="spellEnd"/>
      <w:r w:rsidRPr="009377B4">
        <w:rPr>
          <w:rFonts w:cstheme="minorHAnsi"/>
        </w:rPr>
        <w:t>, 2009</w:t>
      </w:r>
      <w:bookmarkEnd w:id="45"/>
      <w:r w:rsidRPr="009377B4">
        <w:rPr>
          <w:rFonts w:cstheme="minorHAnsi"/>
        </w:rPr>
        <w:t>.</w:t>
      </w:r>
    </w:p>
    <w:p w14:paraId="10495AED" w14:textId="40DB37FA" w:rsidR="00070801" w:rsidRPr="009377B4" w:rsidRDefault="00070801" w:rsidP="00BA3DE6">
      <w:pPr>
        <w:spacing w:after="0"/>
        <w:rPr>
          <w:rFonts w:cstheme="minorHAnsi"/>
        </w:rPr>
      </w:pPr>
      <w:proofErr w:type="spellStart"/>
      <w:r w:rsidRPr="009377B4">
        <w:rPr>
          <w:rFonts w:cstheme="minorHAnsi"/>
          <w:vertAlign w:val="superscript"/>
        </w:rPr>
        <w:t>c</w:t>
      </w:r>
      <w:r w:rsidRPr="009377B4">
        <w:rPr>
          <w:rFonts w:cstheme="minorHAnsi"/>
        </w:rPr>
        <w:t>Wilson</w:t>
      </w:r>
      <w:proofErr w:type="spellEnd"/>
      <w:r w:rsidRPr="009377B4">
        <w:rPr>
          <w:rFonts w:cstheme="minorHAnsi"/>
        </w:rPr>
        <w:t xml:space="preserve"> et al., 2011</w:t>
      </w:r>
      <w:bookmarkEnd w:id="33"/>
      <w:r w:rsidRPr="009377B4">
        <w:rPr>
          <w:rFonts w:cstheme="minorHAnsi"/>
        </w:rPr>
        <w:t>.</w:t>
      </w:r>
    </w:p>
    <w:p w14:paraId="3D10C499" w14:textId="107E8C10" w:rsidR="00070801" w:rsidRPr="009377B4" w:rsidRDefault="00070801" w:rsidP="00BA3DE6">
      <w:pPr>
        <w:spacing w:after="0"/>
        <w:rPr>
          <w:rFonts w:cstheme="minorHAnsi"/>
        </w:rPr>
      </w:pPr>
      <w:r w:rsidRPr="009377B4">
        <w:rPr>
          <w:rFonts w:cstheme="minorHAnsi"/>
          <w:vertAlign w:val="superscript"/>
        </w:rPr>
        <w:t>d</w:t>
      </w:r>
      <w:r w:rsidRPr="009377B4">
        <w:rPr>
          <w:rFonts w:cstheme="minorHAnsi"/>
        </w:rPr>
        <w:t>TH150-MADa.</w:t>
      </w:r>
    </w:p>
    <w:p w14:paraId="54845B6A" w14:textId="3374AFC9" w:rsidR="00070801" w:rsidRPr="009377B4" w:rsidRDefault="00070801" w:rsidP="00BA3DE6">
      <w:pPr>
        <w:spacing w:after="0"/>
        <w:rPr>
          <w:rFonts w:cstheme="minorHAnsi"/>
        </w:rPr>
      </w:pPr>
      <w:r w:rsidRPr="009377B4">
        <w:rPr>
          <w:rFonts w:cstheme="minorHAnsi"/>
          <w:vertAlign w:val="superscript"/>
        </w:rPr>
        <w:t>e</w:t>
      </w:r>
      <w:r w:rsidRPr="009377B4">
        <w:rPr>
          <w:rFonts w:cstheme="minorHAnsi"/>
        </w:rPr>
        <w:t>TH150-MADb.</w:t>
      </w:r>
    </w:p>
    <w:p w14:paraId="33B4A2AA" w14:textId="4678BB5F" w:rsidR="00070801" w:rsidRPr="009377B4" w:rsidRDefault="00070801" w:rsidP="00BA3DE6">
      <w:pPr>
        <w:spacing w:after="0"/>
        <w:rPr>
          <w:rFonts w:cstheme="minorHAnsi"/>
        </w:rPr>
      </w:pPr>
      <w:proofErr w:type="spellStart"/>
      <w:r w:rsidRPr="009377B4">
        <w:rPr>
          <w:rFonts w:cstheme="minorHAnsi"/>
          <w:vertAlign w:val="superscript"/>
        </w:rPr>
        <w:t>f</w:t>
      </w:r>
      <w:r w:rsidRPr="009377B4">
        <w:rPr>
          <w:rFonts w:cstheme="minorHAnsi"/>
        </w:rPr>
        <w:t>Days</w:t>
      </w:r>
      <w:proofErr w:type="spellEnd"/>
      <w:r w:rsidRPr="009377B4">
        <w:rPr>
          <w:rFonts w:cstheme="minorHAnsi"/>
        </w:rPr>
        <w:t xml:space="preserve"> in operation with consistent aeration/anoxic cycling.</w:t>
      </w:r>
    </w:p>
    <w:p w14:paraId="76BE4BF7" w14:textId="77777777" w:rsidR="0002421A" w:rsidRPr="009377B4" w:rsidRDefault="0002421A" w:rsidP="00070801">
      <w:pPr>
        <w:rPr>
          <w:rFonts w:cstheme="minorHAnsi"/>
        </w:rPr>
        <w:sectPr w:rsidR="0002421A" w:rsidRPr="009377B4" w:rsidSect="0002421A">
          <w:pgSz w:w="15840" w:h="12240" w:orient="landscape"/>
          <w:pgMar w:top="1080" w:right="1080" w:bottom="1080" w:left="1080" w:header="720" w:footer="720" w:gutter="0"/>
          <w:cols w:space="720"/>
          <w:docGrid w:linePitch="360"/>
        </w:sectPr>
      </w:pPr>
    </w:p>
    <w:p w14:paraId="33D1261B" w14:textId="3FDC511F" w:rsidR="00070801" w:rsidRPr="009377B4" w:rsidRDefault="00070801" w:rsidP="00070801">
      <w:pPr>
        <w:rPr>
          <w:rFonts w:cstheme="minorHAnsi"/>
        </w:rPr>
      </w:pPr>
      <w:r w:rsidRPr="009377B4">
        <w:rPr>
          <w:rFonts w:cstheme="minorHAnsi"/>
        </w:rPr>
        <w:lastRenderedPageBreak/>
        <w:t xml:space="preserve">The TH treatment step took place at a pilot-scale system operated by RDP Technologies, Inc. in Norristown, PA. In the pilot system approximately 30–40 L of blended sludge were heated to either 150 °C or 170 °C under high pressure (5–8 bar) for 30 min. The reactor was vented to the atmosphere by a quick flash to reduce the pressure. This TH-treated sludge was then shipped to Virginia Tech overnight on ice where it was stored at 4 °C until used as the influent feed to the TH-MAD reactors. The lab-scale anaerobic digesters were </w:t>
      </w:r>
      <w:proofErr w:type="spellStart"/>
      <w:r w:rsidRPr="009377B4">
        <w:rPr>
          <w:rFonts w:cstheme="minorHAnsi"/>
        </w:rPr>
        <w:t>Minibrew</w:t>
      </w:r>
      <w:proofErr w:type="spellEnd"/>
      <w:r w:rsidRPr="009377B4">
        <w:rPr>
          <w:rFonts w:cstheme="minorHAnsi"/>
        </w:rPr>
        <w:t xml:space="preserve"> </w:t>
      </w:r>
      <w:proofErr w:type="gramStart"/>
      <w:r w:rsidRPr="009377B4">
        <w:rPr>
          <w:rFonts w:cstheme="minorHAnsi"/>
        </w:rPr>
        <w:t>6.5 gallon</w:t>
      </w:r>
      <w:proofErr w:type="gramEnd"/>
      <w:r w:rsidRPr="009377B4">
        <w:rPr>
          <w:rFonts w:cstheme="minorHAnsi"/>
        </w:rPr>
        <w:t xml:space="preserve"> fermenters (Hobby Beverage Equipment Co.). The operational and performance parameters of each reactor are summarized in Table 1.</w:t>
      </w:r>
    </w:p>
    <w:p w14:paraId="79AFA52F" w14:textId="4B6DFFBC" w:rsidR="00070801" w:rsidRPr="009377B4" w:rsidRDefault="00070801" w:rsidP="00070801">
      <w:pPr>
        <w:rPr>
          <w:rFonts w:cstheme="minorHAnsi"/>
        </w:rPr>
      </w:pPr>
      <w:r w:rsidRPr="009377B4">
        <w:rPr>
          <w:rFonts w:cstheme="minorHAnsi"/>
        </w:rPr>
        <w:t>Influent and effluent samples from the TH170-MAD and TH150-MAD20 reactors were taken once, and influent and effluent from the TH150-MAD reactor were sampled twice, to generate an overall total of four sets of influent/effluent TH-MAD samples. The influent and effluent of the conventional MAD reactor was sampled once. While having one sample from the MAD reactor might not be representative of the conventional MAD process, much work is already available on the transformation of NPEO to NP in conventional MAD (Giger et al., 1984, </w:t>
      </w:r>
      <w:bookmarkStart w:id="46" w:name="bbib6"/>
      <w:r w:rsidRPr="009377B4">
        <w:rPr>
          <w:rFonts w:cstheme="minorHAnsi"/>
        </w:rPr>
        <w:t>Brunner et al., 1988), and thus it was deemed most important to operate and sample multiple TH-MAD reactors. The first set of TH150-MAD samples are labeled with an ‘a’ and the second set of TH150-MAD samples are denoted with a ‘b’; these samples were taken 237 days apart. All influent and effluent digester samples were packed in a cooler with ice packs, stored in plastic bottles, and shipped to the University of Minnesota overnight; once at the University of Minnesota, the samples were stored at 4 °C until they were freeze dried for further cleanup and analysis (maximum storage time of any sample at 4 °C was 104 days). A test on the effect of storage time on NP showed that there was a 5.5% difference between NP in a sample analyzed immediately (Day 0) and a sample analyzed after 154 days of storage at 4 °C. Samples were normalized to amount of influent raw sludge present in the sample to account for variations in solids destruction during digestion.</w:t>
      </w:r>
    </w:p>
    <w:p w14:paraId="6260F1EF" w14:textId="6278254A" w:rsidR="00070801" w:rsidRPr="009377B4" w:rsidRDefault="00070801" w:rsidP="00070801">
      <w:pPr>
        <w:rPr>
          <w:rFonts w:cstheme="minorHAnsi"/>
        </w:rPr>
      </w:pPr>
      <w:r w:rsidRPr="009377B4">
        <w:rPr>
          <w:rFonts w:cstheme="minorHAnsi"/>
        </w:rPr>
        <w:t xml:space="preserve">The samples from the anaerobic digesters (MAD + TH-MAD digesters) were taken after at least one sludge retention time (SRT) following the initiation of steady-state (Table 1). </w:t>
      </w:r>
      <w:proofErr w:type="gramStart"/>
      <w:r w:rsidRPr="009377B4">
        <w:rPr>
          <w:rFonts w:cstheme="minorHAnsi"/>
        </w:rPr>
        <w:t>Steady-state</w:t>
      </w:r>
      <w:proofErr w:type="gramEnd"/>
      <w:r w:rsidRPr="009377B4">
        <w:rPr>
          <w:rFonts w:cstheme="minorHAnsi"/>
        </w:rPr>
        <w:t xml:space="preserve"> was defined as a time in operation in which the daily gas production differed by less than 10% from the average, and the pH varied by 0.1 or less from the average.</w:t>
      </w:r>
    </w:p>
    <w:p w14:paraId="3C2E5363" w14:textId="77777777" w:rsidR="00070801" w:rsidRPr="009377B4" w:rsidRDefault="00070801" w:rsidP="00BA3DE6">
      <w:pPr>
        <w:pStyle w:val="Heading3"/>
        <w:rPr>
          <w:rFonts w:asciiTheme="minorHAnsi" w:hAnsiTheme="minorHAnsi" w:cstheme="minorHAnsi"/>
        </w:rPr>
      </w:pPr>
      <w:r w:rsidRPr="009377B4">
        <w:rPr>
          <w:rFonts w:asciiTheme="minorHAnsi" w:hAnsiTheme="minorHAnsi" w:cstheme="minorHAnsi"/>
        </w:rPr>
        <w:t xml:space="preserve">2.2.3. Aerobic digestion following anaerobic </w:t>
      </w:r>
      <w:proofErr w:type="gramStart"/>
      <w:r w:rsidRPr="009377B4">
        <w:rPr>
          <w:rFonts w:asciiTheme="minorHAnsi" w:hAnsiTheme="minorHAnsi" w:cstheme="minorHAnsi"/>
        </w:rPr>
        <w:t>digestion</w:t>
      </w:r>
      <w:proofErr w:type="gramEnd"/>
    </w:p>
    <w:p w14:paraId="5841D694" w14:textId="285E6B7E" w:rsidR="00070801" w:rsidRPr="009377B4" w:rsidRDefault="00070801" w:rsidP="00070801">
      <w:pPr>
        <w:rPr>
          <w:rFonts w:cstheme="minorHAnsi"/>
        </w:rPr>
      </w:pPr>
      <w:r w:rsidRPr="009377B4">
        <w:rPr>
          <w:rFonts w:cstheme="minorHAnsi"/>
        </w:rPr>
        <w:t xml:space="preserve">Aerobic digesters were set up to determine the benefit, with respect to NPE and total </w:t>
      </w:r>
      <w:proofErr w:type="spellStart"/>
      <w:r w:rsidRPr="009377B4">
        <w:rPr>
          <w:rFonts w:cstheme="minorHAnsi"/>
        </w:rPr>
        <w:t>estrogenicity</w:t>
      </w:r>
      <w:proofErr w:type="spellEnd"/>
      <w:r w:rsidRPr="009377B4">
        <w:rPr>
          <w:rFonts w:cstheme="minorHAnsi"/>
        </w:rPr>
        <w:t xml:space="preserve"> removal, of an aerobic digestion phase following TH-MAD or MAD. Following MAD, the MAD effluent served as the influent to an aerobic reactor (MAD-AER reactor); therefore, the MAD effluent was the same as the MAD-AER influent. The aerobic digester consisted of a 9.5-L glass reactor (</w:t>
      </w:r>
      <w:bookmarkStart w:id="47" w:name="bbib33"/>
      <w:r w:rsidRPr="009377B4">
        <w:rPr>
          <w:rFonts w:cstheme="minorHAnsi"/>
        </w:rPr>
        <w:t>Novak et al., 2011</w:t>
      </w:r>
      <w:bookmarkEnd w:id="47"/>
      <w:r w:rsidRPr="009377B4">
        <w:rPr>
          <w:rFonts w:cstheme="minorHAnsi"/>
        </w:rPr>
        <w:t>) that was aerated continuously. Dissolved oxygen levels were maintained at 2.5–3 mg/L (</w:t>
      </w:r>
      <w:proofErr w:type="spellStart"/>
      <w:r w:rsidRPr="009377B4">
        <w:rPr>
          <w:rFonts w:cstheme="minorHAnsi"/>
        </w:rPr>
        <w:t>Banjade</w:t>
      </w:r>
      <w:proofErr w:type="spellEnd"/>
      <w:r w:rsidRPr="009377B4">
        <w:rPr>
          <w:rFonts w:cstheme="minorHAnsi"/>
        </w:rPr>
        <w:t>, 2008</w:t>
      </w:r>
      <w:bookmarkEnd w:id="44"/>
      <w:r w:rsidRPr="009377B4">
        <w:rPr>
          <w:rFonts w:cstheme="minorHAnsi"/>
        </w:rPr>
        <w:t>). The MAD-AER reactor was sampled after at least one sludge retention time (SRT) following the initiation of steady-state (Table 1</w:t>
      </w:r>
      <w:bookmarkEnd w:id="37"/>
      <w:r w:rsidRPr="009377B4">
        <w:rPr>
          <w:rFonts w:cstheme="minorHAnsi"/>
        </w:rPr>
        <w:t>).</w:t>
      </w:r>
    </w:p>
    <w:p w14:paraId="70D1CEE5" w14:textId="77777777" w:rsidR="00070801" w:rsidRPr="009377B4" w:rsidRDefault="00070801" w:rsidP="00070801">
      <w:pPr>
        <w:rPr>
          <w:rFonts w:cstheme="minorHAnsi"/>
        </w:rPr>
      </w:pPr>
      <w:r w:rsidRPr="009377B4">
        <w:rPr>
          <w:rFonts w:cstheme="minorHAnsi"/>
        </w:rPr>
        <w:t xml:space="preserve">Following TH-MAD, an aerobic/anoxic reactor was operated under two different conditions. In the first operational setup, aerobic and anoxic phases were alternated every 20 min. The influent and effluent to this reactor </w:t>
      </w:r>
      <w:proofErr w:type="gramStart"/>
      <w:r w:rsidRPr="009377B4">
        <w:rPr>
          <w:rFonts w:cstheme="minorHAnsi"/>
        </w:rPr>
        <w:t>are</w:t>
      </w:r>
      <w:proofErr w:type="gramEnd"/>
      <w:r w:rsidRPr="009377B4">
        <w:rPr>
          <w:rFonts w:cstheme="minorHAnsi"/>
        </w:rPr>
        <w:t xml:space="preserve"> called TH-M-AER 20/20 Inf and TH-M-AER 20/20 Eff, respectively. The influent to this reactor was a blend of the digested effluent from the TH150-MAD and TH170-MAD reactors. Under the second set of operational conditions the aerobic and anoxic phases were alternated every 12 min. The influent and effluent to this reactor </w:t>
      </w:r>
      <w:proofErr w:type="gramStart"/>
      <w:r w:rsidRPr="009377B4">
        <w:rPr>
          <w:rFonts w:cstheme="minorHAnsi"/>
        </w:rPr>
        <w:t>are</w:t>
      </w:r>
      <w:proofErr w:type="gramEnd"/>
      <w:r w:rsidRPr="009377B4">
        <w:rPr>
          <w:rFonts w:cstheme="minorHAnsi"/>
        </w:rPr>
        <w:t xml:space="preserve"> called TH-M-AER 12/12 Inf and TH-M-AER 12/12 Eff, respectively. The influent to this reactor was a blend of the digested effluents from the TH150-MAD and TH150-MAD20 reactors. The SRTs in these TH-M-AER digesters were held constant for more than nine SRTs, but the cycling scheme of the aerobic and anoxic phase was held constant for just two SRTs. We therefore did not consider the aerobic digesters following the TH-MAD treatments to be at steady-state.</w:t>
      </w:r>
    </w:p>
    <w:p w14:paraId="3BFB0CF2" w14:textId="77777777" w:rsidR="00070801" w:rsidRPr="009377B4" w:rsidRDefault="00070801" w:rsidP="00BA3DE6">
      <w:pPr>
        <w:pStyle w:val="Heading2"/>
        <w:rPr>
          <w:rFonts w:asciiTheme="minorHAnsi" w:hAnsiTheme="minorHAnsi" w:cstheme="minorHAnsi"/>
        </w:rPr>
      </w:pPr>
      <w:r w:rsidRPr="009377B4">
        <w:rPr>
          <w:rFonts w:asciiTheme="minorHAnsi" w:hAnsiTheme="minorHAnsi" w:cstheme="minorHAnsi"/>
        </w:rPr>
        <w:lastRenderedPageBreak/>
        <w:t>2.3. Biosolids sample handling and processing for LC/MS and YES analysis</w:t>
      </w:r>
    </w:p>
    <w:p w14:paraId="292C6D2B" w14:textId="0E895485" w:rsidR="00070801" w:rsidRPr="009377B4" w:rsidRDefault="00070801" w:rsidP="00070801">
      <w:pPr>
        <w:rPr>
          <w:rFonts w:cstheme="minorHAnsi"/>
        </w:rPr>
      </w:pPr>
      <w:r w:rsidRPr="009377B4">
        <w:rPr>
          <w:rFonts w:cstheme="minorHAnsi"/>
        </w:rPr>
        <w:t>Samples were sent for freeze drying to either the National Lacustrine Core Repository (</w:t>
      </w:r>
      <w:proofErr w:type="spellStart"/>
      <w:r w:rsidRPr="009377B4">
        <w:rPr>
          <w:rFonts w:cstheme="minorHAnsi"/>
        </w:rPr>
        <w:t>LacCore</w:t>
      </w:r>
      <w:proofErr w:type="spellEnd"/>
      <w:r w:rsidRPr="009377B4">
        <w:rPr>
          <w:rFonts w:cstheme="minorHAnsi"/>
        </w:rPr>
        <w:t xml:space="preserve">) or the </w:t>
      </w:r>
      <w:proofErr w:type="spellStart"/>
      <w:r w:rsidRPr="009377B4">
        <w:rPr>
          <w:rFonts w:cstheme="minorHAnsi"/>
        </w:rPr>
        <w:t>Gortner</w:t>
      </w:r>
      <w:proofErr w:type="spellEnd"/>
      <w:r w:rsidRPr="009377B4">
        <w:rPr>
          <w:rFonts w:cstheme="minorHAnsi"/>
        </w:rPr>
        <w:t xml:space="preserve"> Laboratory located at the University of Minnesota. A fraction of the dried solids was weighed (approximately 1 g) and underwent successive overnight Soxhlet extractions in methanol followed by DCM. The liquid extract was reduced via evaporation using a </w:t>
      </w:r>
      <w:proofErr w:type="spellStart"/>
      <w:r w:rsidRPr="009377B4">
        <w:rPr>
          <w:rFonts w:cstheme="minorHAnsi"/>
        </w:rPr>
        <w:t>Rotovap</w:t>
      </w:r>
      <w:proofErr w:type="spellEnd"/>
      <w:r w:rsidRPr="009377B4">
        <w:rPr>
          <w:rFonts w:cstheme="minorHAnsi"/>
        </w:rPr>
        <w:t xml:space="preserve"> (</w:t>
      </w:r>
      <w:proofErr w:type="spellStart"/>
      <w:r w:rsidRPr="009377B4">
        <w:rPr>
          <w:rFonts w:cstheme="minorHAnsi"/>
        </w:rPr>
        <w:t>Rotovapor</w:t>
      </w:r>
      <w:proofErr w:type="spellEnd"/>
      <w:r w:rsidRPr="009377B4">
        <w:rPr>
          <w:rFonts w:cstheme="minorHAnsi"/>
        </w:rPr>
        <w:t xml:space="preserve"> R-3000, BUCHI Laboratory Equipment). Dichloromethane completely evaporated and the remaining methanol extract was reduced to 10 </w:t>
      </w:r>
      <w:proofErr w:type="spellStart"/>
      <w:r w:rsidRPr="009377B4">
        <w:rPr>
          <w:rFonts w:cstheme="minorHAnsi"/>
        </w:rPr>
        <w:t>mL.</w:t>
      </w:r>
      <w:proofErr w:type="spellEnd"/>
      <w:r w:rsidRPr="009377B4">
        <w:rPr>
          <w:rFonts w:cstheme="minorHAnsi"/>
        </w:rPr>
        <w:t xml:space="preserve"> A quantitative aliquot (approximately 10% by volume) was removed and filtered through a 0.2 </w:t>
      </w:r>
      <w:proofErr w:type="spellStart"/>
      <w:r w:rsidRPr="009377B4">
        <w:rPr>
          <w:rFonts w:cstheme="minorHAnsi"/>
        </w:rPr>
        <w:t>μm</w:t>
      </w:r>
      <w:proofErr w:type="spellEnd"/>
      <w:r w:rsidRPr="009377B4">
        <w:rPr>
          <w:rFonts w:cstheme="minorHAnsi"/>
        </w:rPr>
        <w:t xml:space="preserve"> filter for yeast estrogen screen (YES) analysis. The remaining extract was </w:t>
      </w:r>
      <w:proofErr w:type="gramStart"/>
      <w:r w:rsidRPr="009377B4">
        <w:rPr>
          <w:rFonts w:cstheme="minorHAnsi"/>
        </w:rPr>
        <w:t>solvent-exchanged</w:t>
      </w:r>
      <w:proofErr w:type="gramEnd"/>
      <w:r w:rsidRPr="009377B4">
        <w:rPr>
          <w:rFonts w:cstheme="minorHAnsi"/>
        </w:rPr>
        <w:t xml:space="preserve"> into cyclohexane for further cleanup prior to LC/MS analysis. This fraction was loaded onto a normal phase cleanup column containing sodium sulfate, alumina, and silica, and extracted with cyclohexane, DCM, and acetone. The cyclohexane fraction was wasted, and the DCM and acetone fractions were pooled for further preparation. Samples from the TH170-MAD, TH150-MADa, and TH-M-AER 20/20 reactors were analyzed at this point, whereas samples from the conventional MAD, TH150-MADb, and TH-M-AER 12/12 reactors were loaded onto a gel permeation column (GPC) for further cleanup. The GPC had a 25 mm diameter and 100 cm </w:t>
      </w:r>
      <w:proofErr w:type="gramStart"/>
      <w:r w:rsidRPr="009377B4">
        <w:rPr>
          <w:rFonts w:cstheme="minorHAnsi"/>
        </w:rPr>
        <w:t>length, and</w:t>
      </w:r>
      <w:proofErr w:type="gramEnd"/>
      <w:r w:rsidRPr="009377B4">
        <w:rPr>
          <w:rFonts w:cstheme="minorHAnsi"/>
        </w:rPr>
        <w:t xml:space="preserve"> contained Bio-Beads S-X3 (Bio Rad Co., Hercules CA). The mobile phase, a mixture of cyclohexane/DCM (60/40 by volume), was pumped at a rate of 5 mL per min and the eluent collected from 50 min to 120 min was retained for LC/MS analysis. This final aliquot was exchanged into methanol, blown down under a nitrogen stream to approximately one mL, and filtered through 0.2 </w:t>
      </w:r>
      <w:proofErr w:type="spellStart"/>
      <w:r w:rsidRPr="009377B4">
        <w:rPr>
          <w:rFonts w:cstheme="minorHAnsi"/>
        </w:rPr>
        <w:t>μm</w:t>
      </w:r>
      <w:proofErr w:type="spellEnd"/>
      <w:r w:rsidRPr="009377B4">
        <w:rPr>
          <w:rFonts w:cstheme="minorHAnsi"/>
        </w:rPr>
        <w:t xml:space="preserve"> filters for analysis via LC/MS. The relative standard deviation (RSD) of the ratio of NP/NPE on duplicate samples extracted from the same freeze-dried aliquot was 11.8% after alumina/silica processing, and 2.8% after GPC processing. The extraction and cleanup method for the TH experiments in sludge were different and are described in detail in the Supporting Information (SI Text 1).</w:t>
      </w:r>
    </w:p>
    <w:p w14:paraId="2864C883" w14:textId="77777777" w:rsidR="00070801" w:rsidRPr="009377B4" w:rsidRDefault="00070801" w:rsidP="00BA3DE6">
      <w:pPr>
        <w:pStyle w:val="Heading2"/>
        <w:rPr>
          <w:rFonts w:asciiTheme="minorHAnsi" w:hAnsiTheme="minorHAnsi" w:cstheme="minorHAnsi"/>
        </w:rPr>
      </w:pPr>
      <w:r w:rsidRPr="009377B4">
        <w:rPr>
          <w:rFonts w:asciiTheme="minorHAnsi" w:hAnsiTheme="minorHAnsi" w:cstheme="minorHAnsi"/>
        </w:rPr>
        <w:t>2.4. Analytical methods and binding assay</w:t>
      </w:r>
    </w:p>
    <w:p w14:paraId="3D6D24C7" w14:textId="77777777" w:rsidR="00070801" w:rsidRPr="009377B4" w:rsidRDefault="00070801" w:rsidP="00BA3DE6">
      <w:pPr>
        <w:pStyle w:val="Heading3"/>
        <w:rPr>
          <w:rFonts w:asciiTheme="minorHAnsi" w:hAnsiTheme="minorHAnsi" w:cstheme="minorHAnsi"/>
        </w:rPr>
      </w:pPr>
      <w:r w:rsidRPr="009377B4">
        <w:rPr>
          <w:rFonts w:asciiTheme="minorHAnsi" w:hAnsiTheme="minorHAnsi" w:cstheme="minorHAnsi"/>
        </w:rPr>
        <w:t>2.4.1. LC/MS operation</w:t>
      </w:r>
    </w:p>
    <w:p w14:paraId="1F28C24F" w14:textId="77777777" w:rsidR="00070801" w:rsidRPr="009377B4" w:rsidRDefault="00070801" w:rsidP="00070801">
      <w:pPr>
        <w:rPr>
          <w:rFonts w:cstheme="minorHAnsi"/>
        </w:rPr>
      </w:pPr>
      <w:r w:rsidRPr="009377B4">
        <w:rPr>
          <w:rFonts w:cstheme="minorHAnsi"/>
        </w:rPr>
        <w:t xml:space="preserve">Analyte quantification was performed on </w:t>
      </w:r>
      <w:proofErr w:type="gramStart"/>
      <w:r w:rsidRPr="009377B4">
        <w:rPr>
          <w:rFonts w:cstheme="minorHAnsi"/>
        </w:rPr>
        <w:t>an</w:t>
      </w:r>
      <w:proofErr w:type="gramEnd"/>
      <w:r w:rsidRPr="009377B4">
        <w:rPr>
          <w:rFonts w:cstheme="minorHAnsi"/>
        </w:rPr>
        <w:t xml:space="preserve"> 1050 Agilent HPLC connected to an MS equipped with electrospray ionization (ESI). Chromatography was performed on a </w:t>
      </w:r>
      <w:proofErr w:type="spellStart"/>
      <w:r w:rsidRPr="009377B4">
        <w:rPr>
          <w:rFonts w:cstheme="minorHAnsi"/>
        </w:rPr>
        <w:t>Synergi</w:t>
      </w:r>
      <w:proofErr w:type="spellEnd"/>
      <w:r w:rsidRPr="009377B4">
        <w:rPr>
          <w:rFonts w:cstheme="minorHAnsi"/>
        </w:rPr>
        <w:t xml:space="preserve"> (150 × 2.0 mm, 4 </w:t>
      </w:r>
      <w:proofErr w:type="spellStart"/>
      <w:r w:rsidRPr="009377B4">
        <w:rPr>
          <w:rFonts w:cstheme="minorHAnsi"/>
        </w:rPr>
        <w:t>μm</w:t>
      </w:r>
      <w:proofErr w:type="spellEnd"/>
      <w:r w:rsidRPr="009377B4">
        <w:rPr>
          <w:rFonts w:cstheme="minorHAnsi"/>
        </w:rPr>
        <w:t>) RP column that was protected by a guard column (4 × 2.0 mm) (Phenomenex, Inc.; Torrance, CA). Mobile phase was constantly pumped at a rate of 200 </w:t>
      </w:r>
      <w:proofErr w:type="spellStart"/>
      <w:r w:rsidRPr="009377B4">
        <w:rPr>
          <w:rFonts w:cstheme="minorHAnsi"/>
        </w:rPr>
        <w:t>μL</w:t>
      </w:r>
      <w:proofErr w:type="spellEnd"/>
      <w:r w:rsidRPr="009377B4">
        <w:rPr>
          <w:rFonts w:cstheme="minorHAnsi"/>
        </w:rPr>
        <w:t xml:space="preserve"> per min and consisted of an isocratic 23.5%/76.5% mixture of solvent A (90% water, 10% methanol, 2 mM ammonium acetate) and solvent B (100% methanol, 2 mM ammonium acetate). The MS was operated in selective ion monitoring (SIM) mode. The drying gas temperature was 350 °C. Nitrogen was the </w:t>
      </w:r>
      <w:proofErr w:type="spellStart"/>
      <w:r w:rsidRPr="009377B4">
        <w:rPr>
          <w:rFonts w:cstheme="minorHAnsi"/>
        </w:rPr>
        <w:t>desolvation</w:t>
      </w:r>
      <w:proofErr w:type="spellEnd"/>
      <w:r w:rsidRPr="009377B4">
        <w:rPr>
          <w:rFonts w:cstheme="minorHAnsi"/>
        </w:rPr>
        <w:t xml:space="preserve"> gas and the nebulizing gas. The MS capillary voltage was set to 4 kV. NP (analyzed in biosolids and clean water TH experiments), triclosan, and bisphenol-A (clean water only) were quantified in negative mode.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(analyzed in biosolids and clean water experiments) were quantified in positive mode.</w:t>
      </w:r>
    </w:p>
    <w:p w14:paraId="79B30645" w14:textId="77777777" w:rsidR="00070801" w:rsidRPr="009377B4" w:rsidRDefault="00070801" w:rsidP="00070801">
      <w:pPr>
        <w:rPr>
          <w:rFonts w:cstheme="minorHAnsi"/>
        </w:rPr>
      </w:pPr>
      <w:r w:rsidRPr="009377B4">
        <w:rPr>
          <w:rFonts w:cstheme="minorHAnsi"/>
        </w:rPr>
        <w:t>Internal standards (</w:t>
      </w:r>
      <w:r w:rsidRPr="009377B4">
        <w:rPr>
          <w:rFonts w:cstheme="minorHAnsi"/>
          <w:vertAlign w:val="superscript"/>
        </w:rPr>
        <w:t>13</w:t>
      </w:r>
      <w:r w:rsidRPr="009377B4">
        <w:rPr>
          <w:rFonts w:cstheme="minorHAnsi"/>
        </w:rPr>
        <w:t>C</w:t>
      </w:r>
      <w:r w:rsidRPr="009377B4">
        <w:rPr>
          <w:rFonts w:cstheme="minorHAnsi"/>
          <w:vertAlign w:val="subscript"/>
        </w:rPr>
        <w:t>6</w:t>
      </w:r>
      <w:r w:rsidRPr="009377B4">
        <w:rPr>
          <w:rFonts w:cstheme="minorHAnsi"/>
        </w:rPr>
        <w:t>-NP for negative mode; p-n-NP</w:t>
      </w:r>
      <w:r w:rsidRPr="009377B4">
        <w:rPr>
          <w:rFonts w:cstheme="minorHAnsi"/>
          <w:vertAlign w:val="subscript"/>
        </w:rPr>
        <w:t>1</w:t>
      </w:r>
      <w:r w:rsidRPr="009377B4">
        <w:rPr>
          <w:rFonts w:cstheme="minorHAnsi"/>
        </w:rPr>
        <w:t>EO and p-n-NP</w:t>
      </w:r>
      <w:r w:rsidRPr="009377B4">
        <w:rPr>
          <w:rFonts w:cstheme="minorHAnsi"/>
          <w:vertAlign w:val="subscript"/>
        </w:rPr>
        <w:t>2</w:t>
      </w:r>
      <w:r w:rsidRPr="009377B4">
        <w:rPr>
          <w:rFonts w:cstheme="minorHAnsi"/>
        </w:rPr>
        <w:t>EO for positive mode) were used to account for matrix suppression in biosolids samples and variation in instrument injection volumes. A methanol blank and a standard were injected at least once every 12 samples to check for column contamination and consistency in MS response. The instrument detection limit (IDL; ng injected)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0.4, 1.25, 0.23, respectively. The corresponding method quantification limits (based on analyte recovery, sample concentration factors during cleanup, and a ratio of 10/3 for quantification to detection limits)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0.4, 1.3, and 0.2 mg/kg, respectively. NPE levels were typically 1–2 orders of magnitude greater than the MQL. Spike-recovery tests on samples to which analytes were added following lyophilization resulted in recoveries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of 94%, 94%, and 112%, respectively. The relative standard deviation (RSD) on duplicate recovery tests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1.3%, 4.1%, and 10.9%. Ten blanks were extracted along with samples and were also analyzed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Only one blank contained an analyte (NP) with a concentration greater than 10% of that detected in a sample;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never detected above 10% of the sample concentration.</w:t>
      </w:r>
    </w:p>
    <w:p w14:paraId="64048066" w14:textId="77777777" w:rsidR="00070801" w:rsidRPr="009377B4" w:rsidRDefault="00070801" w:rsidP="00BA3DE6">
      <w:pPr>
        <w:pStyle w:val="Heading3"/>
        <w:rPr>
          <w:rFonts w:asciiTheme="minorHAnsi" w:hAnsiTheme="minorHAnsi" w:cstheme="minorHAnsi"/>
        </w:rPr>
      </w:pPr>
      <w:r w:rsidRPr="009377B4">
        <w:rPr>
          <w:rFonts w:asciiTheme="minorHAnsi" w:hAnsiTheme="minorHAnsi" w:cstheme="minorHAnsi"/>
        </w:rPr>
        <w:lastRenderedPageBreak/>
        <w:t xml:space="preserve">2.4.2. YES assay </w:t>
      </w:r>
      <w:proofErr w:type="gramStart"/>
      <w:r w:rsidRPr="009377B4">
        <w:rPr>
          <w:rFonts w:asciiTheme="minorHAnsi" w:hAnsiTheme="minorHAnsi" w:cstheme="minorHAnsi"/>
        </w:rPr>
        <w:t>procedure</w:t>
      </w:r>
      <w:proofErr w:type="gramEnd"/>
    </w:p>
    <w:p w14:paraId="1BBEA24C" w14:textId="788911D1" w:rsidR="00070801" w:rsidRPr="009377B4" w:rsidRDefault="00070801" w:rsidP="00070801">
      <w:pPr>
        <w:rPr>
          <w:rFonts w:cstheme="minorHAnsi"/>
        </w:rPr>
      </w:pPr>
      <w:r w:rsidRPr="009377B4">
        <w:rPr>
          <w:rFonts w:cstheme="minorHAnsi"/>
        </w:rPr>
        <w:t xml:space="preserve">The YES assay was performed as described by Routledge and Sumpter (1996), with minor modifications. Yeast absorbance was measured at 540 nm and 620 nm by a microplate spectrophotometer (Molecular Devices, Inc.; Sunnyvale, CA), and readings were taken after incubation at 32 °C for 3 days or until a standard curve fully developed. Adjusted absorbance values used to quantify response were calculated as shown in Section 2.5. Plates were shaken for two minutes prior to incubation. </w:t>
      </w:r>
      <w:proofErr w:type="gramStart"/>
      <w:r w:rsidRPr="009377B4">
        <w:rPr>
          <w:rFonts w:cstheme="minorHAnsi"/>
        </w:rPr>
        <w:t>YES</w:t>
      </w:r>
      <w:proofErr w:type="gramEnd"/>
      <w:r w:rsidRPr="009377B4">
        <w:rPr>
          <w:rFonts w:cstheme="minorHAnsi"/>
        </w:rPr>
        <w:t xml:space="preserve"> assay data are generally assumed to be semi-quantitative (</w:t>
      </w:r>
      <w:bookmarkStart w:id="48" w:name="bbib46"/>
      <w:r w:rsidRPr="009377B4">
        <w:rPr>
          <w:rFonts w:cstheme="minorHAnsi"/>
        </w:rPr>
        <w:t>Van den Belt et al., 2004</w:t>
      </w:r>
      <w:bookmarkEnd w:id="48"/>
      <w:r w:rsidRPr="009377B4">
        <w:rPr>
          <w:rFonts w:cstheme="minorHAnsi"/>
        </w:rPr>
        <w:t>) because chemical analysis and the YES assay produce non-identical estrogenic values of the same order of magnitude (</w:t>
      </w:r>
      <w:bookmarkStart w:id="49" w:name="bbib39"/>
      <w:proofErr w:type="spellStart"/>
      <w:r w:rsidRPr="009377B4">
        <w:rPr>
          <w:rFonts w:cstheme="minorHAnsi"/>
        </w:rPr>
        <w:t>Rutishauser</w:t>
      </w:r>
      <w:proofErr w:type="spellEnd"/>
      <w:r w:rsidRPr="009377B4">
        <w:rPr>
          <w:rFonts w:cstheme="minorHAnsi"/>
        </w:rPr>
        <w:t xml:space="preserve"> et al., 2004). Therefore, comparisons were made between samples that were tested on plates with a similar response in standard curves. Comparisons between samples were made by obtaining EC50 values from the modeled dose–response curve as described below in Section </w:t>
      </w:r>
      <w:bookmarkStart w:id="50" w:name="bsec2.5"/>
      <w:r w:rsidRPr="009377B4">
        <w:rPr>
          <w:rFonts w:cstheme="minorHAnsi"/>
        </w:rPr>
        <w:t>2.5</w:t>
      </w:r>
      <w:bookmarkEnd w:id="50"/>
      <w:r w:rsidRPr="009377B4">
        <w:rPr>
          <w:rFonts w:cstheme="minorHAnsi"/>
        </w:rPr>
        <w:t>.</w:t>
      </w:r>
    </w:p>
    <w:p w14:paraId="7B64FDE5" w14:textId="77777777" w:rsidR="00070801" w:rsidRPr="009377B4" w:rsidRDefault="00070801" w:rsidP="00BA3DE6">
      <w:pPr>
        <w:pStyle w:val="Heading2"/>
        <w:rPr>
          <w:rFonts w:asciiTheme="minorHAnsi" w:hAnsiTheme="minorHAnsi" w:cstheme="minorHAnsi"/>
        </w:rPr>
      </w:pPr>
      <w:r w:rsidRPr="009377B4">
        <w:rPr>
          <w:rFonts w:asciiTheme="minorHAnsi" w:hAnsiTheme="minorHAnsi" w:cstheme="minorHAnsi"/>
        </w:rPr>
        <w:t xml:space="preserve">2.5. YES assay </w:t>
      </w:r>
      <w:proofErr w:type="gramStart"/>
      <w:r w:rsidRPr="009377B4">
        <w:rPr>
          <w:rFonts w:asciiTheme="minorHAnsi" w:hAnsiTheme="minorHAnsi" w:cstheme="minorHAnsi"/>
        </w:rPr>
        <w:t>calculations</w:t>
      </w:r>
      <w:proofErr w:type="gramEnd"/>
    </w:p>
    <w:p w14:paraId="658B232C" w14:textId="59B2B02E" w:rsidR="00BD782F" w:rsidRPr="009377B4" w:rsidRDefault="00070801" w:rsidP="00070801">
      <w:pPr>
        <w:rPr>
          <w:rFonts w:cstheme="minorHAnsi"/>
        </w:rPr>
      </w:pPr>
      <w:r w:rsidRPr="009377B4">
        <w:rPr>
          <w:rFonts w:cstheme="minorHAnsi"/>
        </w:rPr>
        <w:t>When a complete dose–response curve was generated, E2-equivalents (EEQ) were calculated from the ratio of EC50 values in the sample and the standard curve (Eq. </w:t>
      </w:r>
      <w:bookmarkStart w:id="51" w:name="bfd1"/>
      <w:r w:rsidRPr="009377B4">
        <w:rPr>
          <w:rFonts w:cstheme="minorHAnsi"/>
        </w:rPr>
        <w:t>(1)</w:t>
      </w:r>
      <w:bookmarkEnd w:id="51"/>
      <w:r w:rsidRPr="009377B4">
        <w:rPr>
          <w:rFonts w:cstheme="minorHAnsi"/>
        </w:rPr>
        <w:t>).</w:t>
      </w:r>
    </w:p>
    <w:p w14:paraId="6C6D348C" w14:textId="4B465DD9" w:rsidR="00070801" w:rsidRPr="009377B4" w:rsidRDefault="00070801" w:rsidP="00070801">
      <w:pPr>
        <w:rPr>
          <w:rFonts w:cstheme="minorHAnsi"/>
        </w:rPr>
      </w:pPr>
      <w:r w:rsidRPr="009377B4">
        <w:rPr>
          <w:rFonts w:cstheme="minorHAnsi"/>
        </w:rPr>
        <w:t>(1)</w:t>
      </w:r>
      <m:oMath>
        <m:r>
          <m:rPr>
            <m:nor/>
          </m:rPr>
          <w:rPr>
            <w:rFonts w:cstheme="minorHAnsi"/>
          </w:rPr>
          <m:t xml:space="preserve"> </m:t>
        </m:r>
        <m:r>
          <m:rPr>
            <m:nor/>
          </m:rPr>
          <w:rPr>
            <w:rFonts w:cstheme="minorHAnsi"/>
          </w:rPr>
          <m:t>EEQ</m:t>
        </m:r>
        <m:r>
          <w:rPr>
            <w:rFonts w:ascii="Cambria Math" w:hAnsi="Cambria Math" w:cstheme="minorHAnsi"/>
          </w:rPr>
          <m:t>(</m:t>
        </m:r>
        <m:f>
          <m:fPr>
            <m:ctrlPr>
              <w:rPr>
                <w:rFonts w:ascii="Cambria Math" w:hAnsi="Cambria Math" w:cstheme="minorHAnsi"/>
              </w:rPr>
            </m:ctrlPr>
          </m:fPr>
          <m:num>
            <m:r>
              <m:rPr>
                <m:nor/>
              </m:rPr>
              <w:rPr>
                <w:rFonts w:cstheme="minorHAnsi"/>
              </w:rPr>
              <m:t>ng</m:t>
            </m:r>
            <m:r>
              <w:rPr>
                <w:rFonts w:ascii="Cambria Math" w:hAnsi="Cambria Math" w:cstheme="minorHAnsi"/>
              </w:rPr>
              <m:t>_</m:t>
            </m:r>
            <m:r>
              <m:rPr>
                <m:nor/>
              </m:rPr>
              <w:rPr>
                <w:rFonts w:cstheme="minorHAnsi"/>
              </w:rPr>
              <m:t>E</m:t>
            </m:r>
            <m:r>
              <w:rPr>
                <w:rFonts w:ascii="Cambria Math" w:hAnsi="Cambria Math" w:cstheme="minorHAnsi"/>
              </w:rPr>
              <m:t>2</m:t>
            </m:r>
          </m:num>
          <m:den>
            <m:r>
              <m:rPr>
                <m:nor/>
              </m:rPr>
              <w:rPr>
                <w:rFonts w:cstheme="minorHAnsi"/>
              </w:rPr>
              <m:t>g</m:t>
            </m:r>
            <m:r>
              <w:rPr>
                <w:rFonts w:ascii="Cambria Math" w:hAnsi="Cambria Math" w:cstheme="minorHAnsi"/>
              </w:rPr>
              <m:t>_</m:t>
            </m:r>
            <m:r>
              <m:rPr>
                <m:nor/>
              </m:rPr>
              <w:rPr>
                <w:rFonts w:cstheme="minorHAnsi"/>
              </w:rPr>
              <m:t>sample</m:t>
            </m:r>
          </m:den>
        </m:f>
        <m:r>
          <w:rPr>
            <w:rFonts w:ascii="Cambria Math" w:hAnsi="Cambria Math" w:cstheme="minorHAnsi"/>
          </w:rPr>
          <m:t>)=</m:t>
        </m:r>
        <m:f>
          <m:fPr>
            <m:ctrlPr>
              <w:rPr>
                <w:rFonts w:ascii="Cambria Math" w:hAnsi="Cambria Math" w:cstheme="minorHAnsi"/>
              </w:rPr>
            </m:ctrlPr>
          </m:fPr>
          <m:num>
            <m:r>
              <m:rPr>
                <m:nor/>
              </m:rPr>
              <w:rPr>
                <w:rFonts w:cstheme="minorHAnsi"/>
              </w:rPr>
              <m:t>EC</m:t>
            </m:r>
            <m:sSub>
              <m:sSubPr>
                <m:ctrlPr>
                  <w:rPr>
                    <w:rFonts w:ascii="Cambria Math" w:hAnsi="Cambria Math" w:cstheme="minorHAnsi"/>
                  </w:rPr>
                </m:ctrlPr>
              </m:sSubPr>
              <m:e>
                <m:r>
                  <w:rPr>
                    <w:rFonts w:ascii="Cambria Math" w:hAnsi="Cambria Math" w:cstheme="minorHAnsi"/>
                  </w:rPr>
                  <m:t>50</m:t>
                </m:r>
              </m:e>
              <m:sub>
                <m:r>
                  <m:rPr>
                    <m:nor/>
                  </m:rPr>
                  <w:rPr>
                    <w:rFonts w:cstheme="minorHAnsi"/>
                  </w:rPr>
                  <m:t>std</m:t>
                </m:r>
              </m:sub>
            </m:sSub>
            <m:r>
              <w:rPr>
                <w:rFonts w:ascii="Cambria Math" w:hAnsi="Cambria Math" w:cstheme="minorHAnsi"/>
              </w:rPr>
              <m:t>(</m:t>
            </m:r>
            <m:f>
              <m:fPr>
                <m:type m:val="lin"/>
                <m:ctrlPr>
                  <w:rPr>
                    <w:rFonts w:ascii="Cambria Math" w:hAnsi="Cambria Math" w:cstheme="minorHAnsi"/>
                  </w:rPr>
                </m:ctrlPr>
              </m:fPr>
              <m:num>
                <m:r>
                  <m:rPr>
                    <m:nor/>
                  </m:rPr>
                  <w:rPr>
                    <w:rFonts w:cstheme="minorHAnsi"/>
                  </w:rPr>
                  <m:t>ngE</m:t>
                </m:r>
                <m:r>
                  <w:rPr>
                    <w:rFonts w:ascii="Cambria Math" w:hAnsi="Cambria Math" w:cstheme="minorHAnsi"/>
                  </w:rPr>
                  <m:t>2</m:t>
                </m:r>
              </m:num>
              <m:den>
                <m:r>
                  <m:rPr>
                    <m:nor/>
                  </m:rPr>
                  <w:rPr>
                    <w:rFonts w:cstheme="minorHAnsi"/>
                  </w:rPr>
                  <m:t>L</m:t>
                </m:r>
              </m:den>
            </m:f>
            <m:r>
              <w:rPr>
                <w:rFonts w:ascii="Cambria Math" w:hAnsi="Cambria Math" w:cstheme="minorHAnsi"/>
              </w:rPr>
              <m:t>)</m:t>
            </m:r>
          </m:num>
          <m:den>
            <m:r>
              <m:rPr>
                <m:nor/>
              </m:rPr>
              <w:rPr>
                <w:rFonts w:cstheme="minorHAnsi"/>
              </w:rPr>
              <m:t>EC</m:t>
            </m:r>
            <m:sSub>
              <m:sSubPr>
                <m:ctrlPr>
                  <w:rPr>
                    <w:rFonts w:ascii="Cambria Math" w:hAnsi="Cambria Math" w:cstheme="minorHAnsi"/>
                  </w:rPr>
                </m:ctrlPr>
              </m:sSubPr>
              <m:e>
                <m:r>
                  <w:rPr>
                    <w:rFonts w:ascii="Cambria Math" w:hAnsi="Cambria Math" w:cstheme="minorHAnsi"/>
                  </w:rPr>
                  <m:t>50</m:t>
                </m:r>
              </m:e>
              <m:sub>
                <m:r>
                  <m:rPr>
                    <m:nor/>
                  </m:rPr>
                  <w:rPr>
                    <w:rFonts w:cstheme="minorHAnsi"/>
                  </w:rPr>
                  <m:t>sample</m:t>
                </m:r>
              </m:sub>
            </m:sSub>
            <m:r>
              <w:rPr>
                <w:rFonts w:ascii="Cambria Math" w:hAnsi="Cambria Math" w:cstheme="minorHAnsi"/>
              </w:rPr>
              <m:t>(</m:t>
            </m:r>
            <m:f>
              <m:fPr>
                <m:type m:val="lin"/>
                <m:ctrlPr>
                  <w:rPr>
                    <w:rFonts w:ascii="Cambria Math" w:hAnsi="Cambria Math" w:cstheme="minorHAnsi"/>
                  </w:rPr>
                </m:ctrlPr>
              </m:fPr>
              <m:num>
                <m:r>
                  <m:rPr>
                    <m:nor/>
                  </m:rPr>
                  <w:rPr>
                    <w:rFonts w:cstheme="minorHAnsi"/>
                  </w:rPr>
                  <m:t>g</m:t>
                </m:r>
              </m:num>
              <m:den>
                <m:r>
                  <m:rPr>
                    <m:nor/>
                  </m:rPr>
                  <w:rPr>
                    <w:rFonts w:cstheme="minorHAnsi"/>
                  </w:rPr>
                  <m:t>L</m:t>
                </m:r>
              </m:den>
            </m:f>
            <m:r>
              <w:rPr>
                <w:rFonts w:ascii="Cambria Math" w:hAnsi="Cambria Math" w:cstheme="minorHAnsi"/>
              </w:rPr>
              <m:t>)</m:t>
            </m:r>
          </m:den>
        </m:f>
      </m:oMath>
    </w:p>
    <w:p w14:paraId="6933DD7B" w14:textId="324B06D0" w:rsidR="00BD782F" w:rsidRPr="009377B4" w:rsidRDefault="00070801" w:rsidP="00070801">
      <w:pPr>
        <w:rPr>
          <w:rFonts w:cstheme="minorHAnsi"/>
        </w:rPr>
      </w:pPr>
      <w:r w:rsidRPr="009377B4">
        <w:rPr>
          <w:rFonts w:cstheme="minorHAnsi"/>
        </w:rPr>
        <w:t>Absorption data at 540 nm were corrected for background absorbance and turbidity using Eq. </w:t>
      </w:r>
      <w:bookmarkStart w:id="52" w:name="bfd2"/>
      <w:r w:rsidRPr="009377B4">
        <w:rPr>
          <w:rFonts w:cstheme="minorHAnsi"/>
        </w:rPr>
        <w:t>(2)</w:t>
      </w:r>
      <w:bookmarkEnd w:id="52"/>
      <w:r w:rsidRPr="009377B4">
        <w:rPr>
          <w:rFonts w:cstheme="minorHAnsi"/>
        </w:rPr>
        <w:t>.</w:t>
      </w:r>
    </w:p>
    <w:p w14:paraId="3485D087" w14:textId="243D9F31" w:rsidR="00070801" w:rsidRPr="009377B4" w:rsidRDefault="00070801" w:rsidP="00070801">
      <w:pPr>
        <w:rPr>
          <w:rFonts w:cstheme="minorHAnsi"/>
        </w:rPr>
      </w:pPr>
      <w:r w:rsidRPr="009377B4">
        <w:rPr>
          <w:rFonts w:cstheme="minorHAnsi"/>
        </w:rPr>
        <w:t>(2)</w:t>
      </w:r>
      <m:oMath>
        <m:r>
          <m:rPr>
            <m:nor/>
          </m:rPr>
          <w:rPr>
            <w:rFonts w:cstheme="minorHAnsi"/>
          </w:rPr>
          <m:t xml:space="preserve"> </m:t>
        </m:r>
        <w:proofErr w:type="spellStart"/>
        <m:r>
          <m:rPr>
            <m:nor/>
          </m:rPr>
          <w:rPr>
            <w:rFonts w:cstheme="minorHAnsi"/>
          </w:rPr>
          <m:t>Adjustedabsorbance</m:t>
        </m:r>
        <w:proofErr w:type="spellEnd"/>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540</m:t>
            </m:r>
          </m:sub>
        </m:sSub>
        <m:r>
          <m:rPr>
            <m:nor/>
          </m:rPr>
          <w:rPr>
            <w:rFonts w:cstheme="minorHAnsi"/>
          </w:rPr>
          <m:t>total</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540</m:t>
            </m:r>
          </m:sub>
        </m:sSub>
        <m:r>
          <m:rPr>
            <m:nor/>
          </m:rPr>
          <w:rPr>
            <w:rFonts w:cstheme="minorHAnsi"/>
          </w:rPr>
          <m:t>matrix</m:t>
        </m:r>
        <m:r>
          <w:rPr>
            <w:rFonts w:ascii="Cambria Math" w:hAnsi="Cambria Math" w:cstheme="minorHAnsi"/>
          </w:rPr>
          <m:t>-1.07*[</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620</m:t>
            </m:r>
          </m:sub>
        </m:sSub>
        <m:r>
          <m:rPr>
            <m:nor/>
          </m:rPr>
          <w:rPr>
            <w:rFonts w:cstheme="minorHAnsi"/>
          </w:rPr>
          <m:t>total</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620</m:t>
            </m:r>
          </m:sub>
        </m:sSub>
        <m:r>
          <m:rPr>
            <m:nor/>
          </m:rPr>
          <w:rPr>
            <w:rFonts w:cstheme="minorHAnsi"/>
          </w:rPr>
          <m:t>matrix</m:t>
        </m:r>
        <m:r>
          <w:rPr>
            <w:rFonts w:ascii="Cambria Math" w:hAnsi="Cambria Math" w:cstheme="minorHAnsi"/>
          </w:rPr>
          <m:t>]</m:t>
        </m:r>
      </m:oMath>
    </w:p>
    <w:p w14:paraId="690F0FF2" w14:textId="1A823BDA" w:rsidR="00417A23" w:rsidRPr="009377B4" w:rsidRDefault="00070801" w:rsidP="00070801">
      <w:pPr>
        <w:rPr>
          <w:rFonts w:cstheme="minorHAnsi"/>
        </w:rPr>
      </w:pPr>
      <w:r w:rsidRPr="009377B4">
        <w:rPr>
          <w:rFonts w:cstheme="minorHAnsi"/>
        </w:rPr>
        <w:t>Some sludge samples were toxic to the yeast at high concentrations and caused early die off during the YES assay, resulting in no development of a classic dose–response curve. Best-fit models were applied to the useable data in these toxic samples to complete a full curve, as described in detail elsewhere (</w:t>
      </w:r>
      <w:bookmarkStart w:id="53" w:name="bbib43"/>
      <w:r w:rsidRPr="009377B4">
        <w:rPr>
          <w:rFonts w:cstheme="minorHAnsi"/>
        </w:rPr>
        <w:t>Stanford and Weinberg, 2010</w:t>
      </w:r>
      <w:bookmarkEnd w:id="53"/>
      <w:r w:rsidRPr="009377B4">
        <w:rPr>
          <w:rFonts w:cstheme="minorHAnsi"/>
        </w:rPr>
        <w:t>). Briefly, data were fit to the dose–response equation (Eq. </w:t>
      </w:r>
      <w:bookmarkStart w:id="54" w:name="bfd3"/>
      <w:r w:rsidRPr="009377B4">
        <w:rPr>
          <w:rFonts w:cstheme="minorHAnsi"/>
        </w:rPr>
        <w:t>(3)</w:t>
      </w:r>
      <w:bookmarkEnd w:id="54"/>
      <w:r w:rsidRPr="009377B4">
        <w:rPr>
          <w:rFonts w:cstheme="minorHAnsi"/>
        </w:rPr>
        <w:t>), where </w:t>
      </w:r>
      <w:r w:rsidRPr="009377B4">
        <w:rPr>
          <w:rFonts w:cstheme="minorHAnsi"/>
          <w:i/>
          <w:iCs/>
        </w:rPr>
        <w:t>Y</w:t>
      </w:r>
      <w:r w:rsidRPr="009377B4">
        <w:rPr>
          <w:rFonts w:cstheme="minorHAnsi"/>
        </w:rPr>
        <w:t> is adjusted absorbance, </w:t>
      </w:r>
      <w:r w:rsidRPr="009377B4">
        <w:rPr>
          <w:rFonts w:cstheme="minorHAnsi"/>
          <w:i/>
          <w:iCs/>
        </w:rPr>
        <w:t>L</w:t>
      </w:r>
      <w:r w:rsidRPr="009377B4">
        <w:rPr>
          <w:rFonts w:cstheme="minorHAnsi"/>
        </w:rPr>
        <w:t> is minimum response, </w:t>
      </w:r>
      <w:r w:rsidRPr="009377B4">
        <w:rPr>
          <w:rFonts w:cstheme="minorHAnsi"/>
          <w:i/>
          <w:iCs/>
        </w:rPr>
        <w:t>H</w:t>
      </w:r>
      <w:r w:rsidRPr="009377B4">
        <w:rPr>
          <w:rFonts w:cstheme="minorHAnsi"/>
        </w:rPr>
        <w:t> is maximum response, slope is the Hillslope of the curve, and </w:t>
      </w:r>
      <w:r w:rsidRPr="009377B4">
        <w:rPr>
          <w:rFonts w:cstheme="minorHAnsi"/>
          <w:i/>
          <w:iCs/>
        </w:rPr>
        <w:t>X</w:t>
      </w:r>
      <w:r w:rsidRPr="009377B4">
        <w:rPr>
          <w:rFonts w:cstheme="minorHAnsi"/>
        </w:rPr>
        <w:t> is the concentration. </w:t>
      </w:r>
      <w:r w:rsidRPr="009377B4">
        <w:rPr>
          <w:rFonts w:cstheme="minorHAnsi"/>
          <w:i/>
          <w:iCs/>
        </w:rPr>
        <w:t>H</w:t>
      </w:r>
      <w:r w:rsidRPr="009377B4">
        <w:rPr>
          <w:rFonts w:cstheme="minorHAnsi"/>
        </w:rPr>
        <w:t> and </w:t>
      </w:r>
      <w:r w:rsidRPr="009377B4">
        <w:rPr>
          <w:rFonts w:cstheme="minorHAnsi"/>
          <w:i/>
          <w:iCs/>
        </w:rPr>
        <w:t>L</w:t>
      </w:r>
      <w:r w:rsidRPr="009377B4">
        <w:rPr>
          <w:rFonts w:cstheme="minorHAnsi"/>
        </w:rPr>
        <w:t xml:space="preserve"> were manually selected based on response of the standard and the slope and EC50 were automatically generated by </w:t>
      </w:r>
      <w:proofErr w:type="spellStart"/>
      <w:r w:rsidRPr="009377B4">
        <w:rPr>
          <w:rFonts w:cstheme="minorHAnsi"/>
        </w:rPr>
        <w:t>Graphpad</w:t>
      </w:r>
      <w:proofErr w:type="spellEnd"/>
      <w:r w:rsidRPr="009377B4">
        <w:rPr>
          <w:rFonts w:cstheme="minorHAnsi"/>
        </w:rPr>
        <w:t xml:space="preserve"> Prism software (</w:t>
      </w:r>
      <w:proofErr w:type="spellStart"/>
      <w:r w:rsidRPr="009377B4">
        <w:rPr>
          <w:rFonts w:cstheme="minorHAnsi"/>
        </w:rPr>
        <w:t>Graphpad</w:t>
      </w:r>
      <w:proofErr w:type="spellEnd"/>
      <w:r w:rsidRPr="009377B4">
        <w:rPr>
          <w:rFonts w:cstheme="minorHAnsi"/>
        </w:rPr>
        <w:t xml:space="preserve"> Software, Inc.; La Jolla, CA).</w:t>
      </w:r>
    </w:p>
    <w:p w14:paraId="0C9D93A7" w14:textId="7B6255F1" w:rsidR="00070801" w:rsidRPr="009377B4" w:rsidRDefault="00070801" w:rsidP="00070801">
      <w:pPr>
        <w:rPr>
          <w:rFonts w:cstheme="minorHAnsi"/>
        </w:rPr>
      </w:pPr>
      <w:r w:rsidRPr="009377B4">
        <w:rPr>
          <w:rFonts w:cstheme="minorHAnsi"/>
        </w:rPr>
        <w:t>(3)</w:t>
      </w:r>
      <m:oMath>
        <m:r>
          <w:rPr>
            <w:rFonts w:ascii="Cambria Math" w:hAnsi="Cambria Math" w:cstheme="minorHAnsi"/>
          </w:rPr>
          <m:t xml:space="preserve"> </m:t>
        </m:r>
        <m:r>
          <w:rPr>
            <w:rFonts w:ascii="Cambria Math" w:hAnsi="Cambria Math" w:cstheme="minorHAnsi"/>
          </w:rPr>
          <m:t>Y=L+</m:t>
        </m:r>
        <m:f>
          <m:fPr>
            <m:ctrlPr>
              <w:rPr>
                <w:rFonts w:ascii="Cambria Math" w:hAnsi="Cambria Math" w:cstheme="minorHAnsi"/>
              </w:rPr>
            </m:ctrlPr>
          </m:fPr>
          <m:num>
            <m:r>
              <w:rPr>
                <w:rFonts w:ascii="Cambria Math" w:hAnsi="Cambria Math" w:cstheme="minorHAnsi"/>
              </w:rPr>
              <m:t>H-L</m:t>
            </m:r>
          </m:num>
          <m:den>
            <m:r>
              <w:rPr>
                <w:rFonts w:ascii="Cambria Math" w:hAnsi="Cambria Math" w:cstheme="minorHAnsi"/>
              </w:rPr>
              <m:t>(1+</m:t>
            </m:r>
            <m:sSup>
              <m:sSupPr>
                <m:ctrlPr>
                  <w:rPr>
                    <w:rFonts w:ascii="Cambria Math" w:hAnsi="Cambria Math" w:cstheme="minorHAnsi"/>
                  </w:rPr>
                </m:ctrlPr>
              </m:sSupPr>
              <m:e>
                <m:r>
                  <m:rPr>
                    <m:sty m:val="p"/>
                  </m:rPr>
                  <w:rPr>
                    <w:rFonts w:ascii="Cambria Math" w:hAnsi="Cambria Math" w:cstheme="minorHAnsi"/>
                  </w:rPr>
                  <m:t>ⅇ</m:t>
                </m:r>
              </m:e>
              <m:sup>
                <m:r>
                  <w:rPr>
                    <w:rFonts w:ascii="Cambria Math" w:hAnsi="Cambria Math" w:cstheme="minorHAnsi"/>
                  </w:rPr>
                  <m:t>(</m:t>
                </m:r>
                <m:r>
                  <m:rPr>
                    <m:nor/>
                  </m:rPr>
                  <w:rPr>
                    <w:rFonts w:cstheme="minorHAnsi"/>
                  </w:rPr>
                  <m:t>slope</m:t>
                </m:r>
                <m:r>
                  <w:rPr>
                    <w:rFonts w:ascii="Cambria Math" w:hAnsi="Cambria Math" w:cstheme="minorHAnsi"/>
                  </w:rPr>
                  <m:t>*[</m:t>
                </m:r>
                <m:r>
                  <m:rPr>
                    <m:sty m:val="p"/>
                  </m:rPr>
                  <w:rPr>
                    <w:rFonts w:ascii="Cambria Math" w:hAnsi="Cambria Math" w:cstheme="minorHAnsi"/>
                  </w:rPr>
                  <m:t>log</m:t>
                </m:r>
                <m:r>
                  <m:rPr>
                    <m:nor/>
                  </m:rPr>
                  <w:rPr>
                    <w:rFonts w:cstheme="minorHAnsi"/>
                  </w:rPr>
                  <m:t>EC</m:t>
                </m:r>
                <m:r>
                  <w:rPr>
                    <w:rFonts w:ascii="Cambria Math" w:hAnsi="Cambria Math" w:cstheme="minorHAnsi"/>
                  </w:rPr>
                  <m:t>50-</m:t>
                </m:r>
                <m:r>
                  <m:rPr>
                    <m:sty m:val="p"/>
                  </m:rPr>
                  <w:rPr>
                    <w:rFonts w:ascii="Cambria Math" w:hAnsi="Cambria Math" w:cstheme="minorHAnsi"/>
                  </w:rPr>
                  <m:t>log</m:t>
                </m:r>
                <m:r>
                  <w:rPr>
                    <w:rFonts w:ascii="Cambria Math" w:hAnsi="Cambria Math" w:cstheme="minorHAnsi"/>
                  </w:rPr>
                  <m:t>X])</m:t>
                </m:r>
              </m:sup>
            </m:sSup>
            <m:r>
              <w:rPr>
                <w:rFonts w:ascii="Cambria Math" w:hAnsi="Cambria Math" w:cstheme="minorHAnsi"/>
              </w:rPr>
              <m:t>)</m:t>
            </m:r>
          </m:den>
        </m:f>
      </m:oMath>
    </w:p>
    <w:p w14:paraId="7F6F2D99" w14:textId="294BA1CC" w:rsidR="00B25E5E" w:rsidRPr="009377B4" w:rsidRDefault="00070801" w:rsidP="00070801">
      <w:pPr>
        <w:rPr>
          <w:rFonts w:cstheme="minorHAnsi"/>
        </w:rPr>
      </w:pPr>
      <w:r w:rsidRPr="009377B4">
        <w:rPr>
          <w:rFonts w:cstheme="minorHAnsi"/>
        </w:rPr>
        <w:t>Calculated estrogenic equivalents (CEEQ), reported in ng E2/g sample, were calculated from the LC/MS-generated NPE concentrations and the relative potencies (</w:t>
      </w:r>
      <w:r w:rsidRPr="009377B4">
        <w:rPr>
          <w:rFonts w:cstheme="minorHAnsi"/>
          <w:i/>
          <w:iCs/>
        </w:rPr>
        <w:t>i.e.</w:t>
      </w:r>
      <w:r w:rsidRPr="009377B4">
        <w:rPr>
          <w:rFonts w:cstheme="minorHAnsi"/>
        </w:rPr>
        <w:t xml:space="preserve">, </w:t>
      </w:r>
      <w:proofErr w:type="spellStart"/>
      <w:r w:rsidRPr="009377B4">
        <w:rPr>
          <w:rFonts w:cstheme="minorHAnsi"/>
        </w:rPr>
        <w:t>estrogenicity</w:t>
      </w:r>
      <w:proofErr w:type="spellEnd"/>
      <w:r w:rsidRPr="009377B4">
        <w:rPr>
          <w:rFonts w:cstheme="minorHAnsi"/>
        </w:rPr>
        <w:t xml:space="preserve"> of analyte relative to </w:t>
      </w:r>
      <w:proofErr w:type="spellStart"/>
      <w:r w:rsidRPr="009377B4">
        <w:rPr>
          <w:rFonts w:cstheme="minorHAnsi"/>
        </w:rPr>
        <w:t>estrogenicity</w:t>
      </w:r>
      <w:proofErr w:type="spellEnd"/>
      <w:r w:rsidRPr="009377B4">
        <w:rPr>
          <w:rFonts w:cstheme="minorHAnsi"/>
        </w:rPr>
        <w:t xml:space="preserve"> of E2) of the measured compound (Eq. </w:t>
      </w:r>
      <w:bookmarkStart w:id="55" w:name="bfd4"/>
      <w:r w:rsidRPr="009377B4">
        <w:rPr>
          <w:rFonts w:cstheme="minorHAnsi"/>
        </w:rPr>
        <w:t>(4)</w:t>
      </w:r>
      <w:bookmarkEnd w:id="55"/>
      <w:r w:rsidRPr="009377B4">
        <w:rPr>
          <w:rFonts w:cstheme="minorHAnsi"/>
        </w:rPr>
        <w:t>). Relative potencies for NP, NP</w:t>
      </w:r>
      <w:r w:rsidRPr="009377B4">
        <w:rPr>
          <w:rFonts w:cstheme="minorHAnsi"/>
          <w:vertAlign w:val="subscript"/>
        </w:rPr>
        <w:t>1</w:t>
      </w:r>
      <w:r w:rsidRPr="009377B4">
        <w:rPr>
          <w:rFonts w:cstheme="minorHAnsi"/>
        </w:rPr>
        <w:t>EO, and NP</w:t>
      </w:r>
      <w:r w:rsidRPr="009377B4">
        <w:rPr>
          <w:rFonts w:cstheme="minorHAnsi"/>
          <w:vertAlign w:val="subscript"/>
        </w:rPr>
        <w:t>2</w:t>
      </w:r>
      <w:r w:rsidRPr="009377B4">
        <w:rPr>
          <w:rFonts w:cstheme="minorHAnsi"/>
        </w:rPr>
        <w:t>EO were taken from </w:t>
      </w:r>
      <w:bookmarkStart w:id="56" w:name="bbib16"/>
      <w:r w:rsidRPr="009377B4">
        <w:rPr>
          <w:rFonts w:cstheme="minorHAnsi"/>
        </w:rPr>
        <w:t>Gabriel et al., 2008</w:t>
      </w:r>
      <w:bookmarkEnd w:id="56"/>
      <w:r w:rsidRPr="009377B4">
        <w:rPr>
          <w:rFonts w:cstheme="minorHAnsi"/>
        </w:rPr>
        <w:t>, </w:t>
      </w:r>
      <w:bookmarkStart w:id="57" w:name="bbib8"/>
      <w:r w:rsidRPr="009377B4">
        <w:rPr>
          <w:rFonts w:cstheme="minorHAnsi"/>
        </w:rPr>
        <w:t>Cespedes et al., 2004</w:t>
      </w:r>
      <w:bookmarkEnd w:id="57"/>
      <w:r w:rsidRPr="009377B4">
        <w:rPr>
          <w:rFonts w:cstheme="minorHAnsi"/>
        </w:rPr>
        <w:t xml:space="preserve">, and Routledge and Sumpter (1996), respectively. These CEEQ values were compared to the measured EEQ values obtained from the YES assay to estimate the fraction of </w:t>
      </w:r>
      <w:proofErr w:type="spellStart"/>
      <w:r w:rsidRPr="009377B4">
        <w:rPr>
          <w:rFonts w:cstheme="minorHAnsi"/>
        </w:rPr>
        <w:t>estrogenicity</w:t>
      </w:r>
      <w:proofErr w:type="spellEnd"/>
      <w:r w:rsidRPr="009377B4">
        <w:rPr>
          <w:rFonts w:cstheme="minorHAnsi"/>
        </w:rPr>
        <w:t xml:space="preserve"> that NPE accounted for in the biosolids samples.</w:t>
      </w:r>
    </w:p>
    <w:p w14:paraId="14362185" w14:textId="2CD29B40" w:rsidR="00070801" w:rsidRPr="009377B4" w:rsidRDefault="00070801" w:rsidP="00070801">
      <w:pPr>
        <w:rPr>
          <w:rFonts w:cstheme="minorHAnsi"/>
        </w:rPr>
      </w:pPr>
      <w:r w:rsidRPr="009377B4">
        <w:rPr>
          <w:rFonts w:cstheme="minorHAnsi"/>
        </w:rPr>
        <w:t>(4)</w:t>
      </w:r>
      <m:oMath>
        <m:r>
          <m:rPr>
            <m:nor/>
          </m:rPr>
          <w:rPr>
            <w:rFonts w:cstheme="minorHAnsi"/>
          </w:rPr>
          <m:t xml:space="preserve"> </m:t>
        </m:r>
        <m:r>
          <m:rPr>
            <m:nor/>
          </m:rPr>
          <w:rPr>
            <w:rFonts w:cstheme="minorHAnsi"/>
          </w:rPr>
          <m:t>CEEQ</m:t>
        </m:r>
        <m:r>
          <w:rPr>
            <w:rFonts w:ascii="Cambria Math" w:hAnsi="Cambria Math" w:cstheme="minorHAnsi"/>
          </w:rPr>
          <m:t>=(</m:t>
        </m:r>
        <m:f>
          <m:fPr>
            <m:ctrlPr>
              <w:rPr>
                <w:rFonts w:ascii="Cambria Math" w:hAnsi="Cambria Math" w:cstheme="minorHAnsi"/>
              </w:rPr>
            </m:ctrlPr>
          </m:fPr>
          <m:num>
            <m:r>
              <m:rPr>
                <m:nor/>
              </m:rPr>
              <w:rPr>
                <w:rFonts w:cstheme="minorHAnsi"/>
              </w:rPr>
              <m:t>ng</m:t>
            </m:r>
            <m:r>
              <w:rPr>
                <w:rFonts w:ascii="Cambria Math" w:hAnsi="Cambria Math" w:cstheme="minorHAnsi"/>
              </w:rPr>
              <m:t>(X)</m:t>
            </m:r>
          </m:num>
          <m:den>
            <m:r>
              <m:rPr>
                <m:nor/>
              </m:rPr>
              <w:rPr>
                <w:rFonts w:cstheme="minorHAnsi"/>
              </w:rPr>
              <m:t>g</m:t>
            </m:r>
            <m:r>
              <w:rPr>
                <w:rFonts w:ascii="Cambria Math" w:hAnsi="Cambria Math" w:cstheme="minorHAnsi"/>
              </w:rPr>
              <m:t>_</m:t>
            </m:r>
            <m:r>
              <m:rPr>
                <m:nor/>
              </m:rPr>
              <w:rPr>
                <w:rFonts w:cstheme="minorHAnsi"/>
              </w:rPr>
              <m:t>sample</m:t>
            </m:r>
          </m:den>
        </m:f>
        <m:r>
          <w:rPr>
            <w:rFonts w:ascii="Cambria Math" w:hAnsi="Cambria Math" w:cstheme="minorHAnsi"/>
          </w:rPr>
          <m:t>)(</m:t>
        </m:r>
        <m:f>
          <m:fPr>
            <m:ctrlPr>
              <w:rPr>
                <w:rFonts w:ascii="Cambria Math" w:hAnsi="Cambria Math" w:cstheme="minorHAnsi"/>
              </w:rPr>
            </m:ctrlPr>
          </m:fPr>
          <m:num>
            <m:r>
              <m:rPr>
                <m:nor/>
              </m:rPr>
              <w:rPr>
                <w:rFonts w:cstheme="minorHAnsi"/>
              </w:rPr>
              <m:t>ngE</m:t>
            </m:r>
            <m:r>
              <w:rPr>
                <w:rFonts w:ascii="Cambria Math" w:hAnsi="Cambria Math" w:cstheme="minorHAnsi"/>
              </w:rPr>
              <m:t>2_</m:t>
            </m:r>
            <m:r>
              <m:rPr>
                <m:nor/>
              </m:rPr>
              <w:rPr>
                <w:rFonts w:cstheme="minorHAnsi"/>
              </w:rPr>
              <m:t>eq</m:t>
            </m:r>
          </m:num>
          <m:den>
            <m:r>
              <m:rPr>
                <m:nor/>
              </m:rPr>
              <w:rPr>
                <w:rFonts w:cstheme="minorHAnsi"/>
              </w:rPr>
              <m:t>ng</m:t>
            </m:r>
            <m:r>
              <w:rPr>
                <w:rFonts w:ascii="Cambria Math" w:hAnsi="Cambria Math" w:cstheme="minorHAnsi"/>
              </w:rPr>
              <m:t>(X)</m:t>
            </m:r>
          </m:den>
        </m:f>
        <m:r>
          <w:rPr>
            <w:rFonts w:ascii="Cambria Math" w:hAnsi="Cambria Math" w:cstheme="minorHAnsi"/>
          </w:rPr>
          <m:t>)</m:t>
        </m:r>
      </m:oMath>
    </w:p>
    <w:p w14:paraId="7BB0B977" w14:textId="77777777" w:rsidR="00070801" w:rsidRPr="009377B4" w:rsidRDefault="00070801" w:rsidP="00B25E5E">
      <w:pPr>
        <w:pStyle w:val="Heading1"/>
        <w:rPr>
          <w:rFonts w:asciiTheme="minorHAnsi" w:hAnsiTheme="minorHAnsi" w:cstheme="minorHAnsi"/>
        </w:rPr>
      </w:pPr>
      <w:r w:rsidRPr="009377B4">
        <w:rPr>
          <w:rFonts w:asciiTheme="minorHAnsi" w:hAnsiTheme="minorHAnsi" w:cstheme="minorHAnsi"/>
        </w:rPr>
        <w:t>3. Results and discussion</w:t>
      </w:r>
    </w:p>
    <w:p w14:paraId="45C7F561" w14:textId="77777777" w:rsidR="00070801" w:rsidRPr="009377B4" w:rsidRDefault="00070801" w:rsidP="00B25E5E">
      <w:pPr>
        <w:pStyle w:val="Heading2"/>
        <w:rPr>
          <w:rFonts w:asciiTheme="minorHAnsi" w:hAnsiTheme="minorHAnsi" w:cstheme="minorHAnsi"/>
        </w:rPr>
      </w:pPr>
      <w:r w:rsidRPr="009377B4">
        <w:rPr>
          <w:rFonts w:asciiTheme="minorHAnsi" w:hAnsiTheme="minorHAnsi" w:cstheme="minorHAnsi"/>
        </w:rPr>
        <w:t>3.1. Thermal hydrolysis of micropollutants in a water or sludge matrix</w:t>
      </w:r>
    </w:p>
    <w:p w14:paraId="231D5A7D" w14:textId="19D6B355" w:rsidR="00070801" w:rsidRPr="009377B4" w:rsidRDefault="00070801" w:rsidP="00070801">
      <w:pPr>
        <w:rPr>
          <w:rFonts w:cstheme="minorHAnsi"/>
        </w:rPr>
      </w:pPr>
      <w:r w:rsidRPr="009377B4">
        <w:rPr>
          <w:rFonts w:cstheme="minorHAnsi"/>
        </w:rPr>
        <w:t>Our initial experiments focused on whether the high temperature and pressure conditions used during TH could directly destroy micropollutants typically found in high concentrations in solid wastewater residuals, </w:t>
      </w:r>
      <w:r w:rsidRPr="009377B4">
        <w:rPr>
          <w:rFonts w:cstheme="minorHAnsi"/>
          <w:i/>
          <w:iCs/>
        </w:rPr>
        <w:t>i.e.</w:t>
      </w:r>
      <w:r w:rsidRPr="009377B4">
        <w:rPr>
          <w:rFonts w:cstheme="minorHAnsi"/>
        </w:rPr>
        <w:t>, NP, NP</w:t>
      </w:r>
      <w:r w:rsidRPr="009377B4">
        <w:rPr>
          <w:rFonts w:cstheme="minorHAnsi"/>
          <w:vertAlign w:val="subscript"/>
        </w:rPr>
        <w:t>1</w:t>
      </w:r>
      <w:r w:rsidRPr="009377B4">
        <w:rPr>
          <w:rFonts w:cstheme="minorHAnsi"/>
        </w:rPr>
        <w:t>EO, NP</w:t>
      </w:r>
      <w:r w:rsidRPr="009377B4">
        <w:rPr>
          <w:rFonts w:cstheme="minorHAnsi"/>
          <w:vertAlign w:val="subscript"/>
        </w:rPr>
        <w:t>2</w:t>
      </w:r>
      <w:r w:rsidRPr="009377B4">
        <w:rPr>
          <w:rFonts w:cstheme="minorHAnsi"/>
        </w:rPr>
        <w:t>EO, triclosan, and bisphenol A (</w:t>
      </w:r>
      <w:bookmarkStart w:id="58" w:name="bbib11"/>
      <w:proofErr w:type="spellStart"/>
      <w:r w:rsidRPr="009377B4">
        <w:rPr>
          <w:rFonts w:cstheme="minorHAnsi"/>
        </w:rPr>
        <w:t>Citulski</w:t>
      </w:r>
      <w:proofErr w:type="spellEnd"/>
      <w:r w:rsidRPr="009377B4">
        <w:rPr>
          <w:rFonts w:cstheme="minorHAnsi"/>
        </w:rPr>
        <w:t xml:space="preserve"> and </w:t>
      </w:r>
      <w:proofErr w:type="spellStart"/>
      <w:r w:rsidRPr="009377B4">
        <w:rPr>
          <w:rFonts w:cstheme="minorHAnsi"/>
        </w:rPr>
        <w:t>Farahbakhsh</w:t>
      </w:r>
      <w:proofErr w:type="spellEnd"/>
      <w:r w:rsidRPr="009377B4">
        <w:rPr>
          <w:rFonts w:cstheme="minorHAnsi"/>
        </w:rPr>
        <w:t>, 2010</w:t>
      </w:r>
      <w:bookmarkEnd w:id="58"/>
      <w:r w:rsidRPr="009377B4">
        <w:rPr>
          <w:rFonts w:cstheme="minorHAnsi"/>
        </w:rPr>
        <w:t>, </w:t>
      </w:r>
      <w:bookmarkStart w:id="59" w:name="bbib32"/>
      <w:r w:rsidRPr="009377B4">
        <w:rPr>
          <w:rFonts w:cstheme="minorHAnsi"/>
        </w:rPr>
        <w:t>McClellan and Halden, 2010</w:t>
      </w:r>
      <w:bookmarkEnd w:id="59"/>
      <w:r w:rsidRPr="009377B4">
        <w:rPr>
          <w:rFonts w:cstheme="minorHAnsi"/>
        </w:rPr>
        <w:t>, </w:t>
      </w:r>
      <w:bookmarkStart w:id="60" w:name="bbib44"/>
      <w:r w:rsidRPr="009377B4">
        <w:rPr>
          <w:rFonts w:cstheme="minorHAnsi"/>
        </w:rPr>
        <w:t>Staples et al., 2010</w:t>
      </w:r>
      <w:bookmarkEnd w:id="60"/>
      <w:r w:rsidRPr="009377B4">
        <w:rPr>
          <w:rFonts w:cstheme="minorHAnsi"/>
        </w:rPr>
        <w:t xml:space="preserve">). The high temperature and pressure during TH </w:t>
      </w:r>
      <w:proofErr w:type="gramStart"/>
      <w:r w:rsidRPr="009377B4">
        <w:rPr>
          <w:rFonts w:cstheme="minorHAnsi"/>
        </w:rPr>
        <w:t>has</w:t>
      </w:r>
      <w:proofErr w:type="gramEnd"/>
      <w:r w:rsidRPr="009377B4">
        <w:rPr>
          <w:rFonts w:cstheme="minorHAnsi"/>
        </w:rPr>
        <w:t xml:space="preserve"> been shown to transform lipids to volatile fatty acids by fragmentation of the hydrocarbon chain (</w:t>
      </w:r>
      <w:bookmarkStart w:id="61" w:name="bbib49"/>
      <w:r w:rsidRPr="009377B4">
        <w:rPr>
          <w:rFonts w:cstheme="minorHAnsi"/>
        </w:rPr>
        <w:t xml:space="preserve">Wilson and Novak, 2009), thus suggesting that compounds </w:t>
      </w:r>
      <w:r w:rsidRPr="009377B4">
        <w:rPr>
          <w:rFonts w:cstheme="minorHAnsi"/>
        </w:rPr>
        <w:lastRenderedPageBreak/>
        <w:t>with hydrocarbon chains such as NP might be degraded via TH. No destruction of NP nor of the other micropollutants tested was observed during TH (</w:t>
      </w:r>
      <w:bookmarkStart w:id="62" w:name="btbl2"/>
      <w:r w:rsidRPr="009377B4">
        <w:rPr>
          <w:rFonts w:cstheme="minorHAnsi"/>
        </w:rPr>
        <w:t>Table 2; Figure S2; Figure S3). In the sludge matrix there was no significant difference at the 95% confidence (Student’s </w:t>
      </w:r>
      <w:r w:rsidRPr="009377B4">
        <w:rPr>
          <w:rFonts w:cstheme="minorHAnsi"/>
          <w:i/>
          <w:iCs/>
        </w:rPr>
        <w:t>t</w:t>
      </w:r>
      <w:r w:rsidRPr="009377B4">
        <w:rPr>
          <w:rFonts w:cstheme="minorHAnsi"/>
        </w:rPr>
        <w:t>-test) interval between the concentration of NP in the TH-treated and room temperature control systems, although the standard deviation between samples was high (Figure S3). Any effect that TH might have on the transformation of these micropollutants therefore would be a result of altered downstream biodegradation via secondary impacts (</w:t>
      </w:r>
      <w:r w:rsidRPr="009377B4">
        <w:rPr>
          <w:rFonts w:cstheme="minorHAnsi"/>
          <w:i/>
          <w:iCs/>
        </w:rPr>
        <w:t>e.g.</w:t>
      </w:r>
      <w:r w:rsidRPr="009377B4">
        <w:rPr>
          <w:rFonts w:cstheme="minorHAnsi"/>
        </w:rPr>
        <w:t>, changing bioavailability or soluble carbon), and not a result of direct TH-mediated transformation. Thus, we focus the remainder of our discussion on the effect of TH on downstream biological processes and what occurs during anaerobic and aerobic digestion following TH.</w:t>
      </w:r>
    </w:p>
    <w:p w14:paraId="3825357E" w14:textId="77777777" w:rsidR="00070801" w:rsidRPr="009377B4" w:rsidRDefault="00070801" w:rsidP="00070801">
      <w:pPr>
        <w:rPr>
          <w:rFonts w:cstheme="minorHAnsi"/>
        </w:rPr>
      </w:pPr>
      <w:r w:rsidRPr="009377B4">
        <w:rPr>
          <w:rFonts w:cstheme="minorHAnsi"/>
        </w:rPr>
        <w:t>Table 2. Impact of TH on micropollutants in water.</w:t>
      </w:r>
    </w:p>
    <w:tbl>
      <w:tblPr>
        <w:tblStyle w:val="TableGrid"/>
        <w:tblW w:w="0" w:type="auto"/>
        <w:tblLook w:val="04A0" w:firstRow="1" w:lastRow="0" w:firstColumn="1" w:lastColumn="0" w:noHBand="0" w:noVBand="1"/>
      </w:tblPr>
      <w:tblGrid>
        <w:gridCol w:w="1795"/>
        <w:gridCol w:w="1153"/>
        <w:gridCol w:w="1282"/>
        <w:gridCol w:w="922"/>
        <w:gridCol w:w="2244"/>
      </w:tblGrid>
      <w:tr w:rsidR="00070801" w:rsidRPr="009377B4" w14:paraId="036518E5" w14:textId="77777777" w:rsidTr="00B25E5E">
        <w:tc>
          <w:tcPr>
            <w:tcW w:w="0" w:type="auto"/>
            <w:hideMark/>
          </w:tcPr>
          <w:p w14:paraId="0681F293" w14:textId="77777777" w:rsidR="00070801" w:rsidRPr="009377B4" w:rsidRDefault="00070801" w:rsidP="00070801">
            <w:pPr>
              <w:rPr>
                <w:rFonts w:cstheme="minorHAnsi"/>
                <w:b/>
                <w:bCs/>
              </w:rPr>
            </w:pPr>
            <w:r w:rsidRPr="009377B4">
              <w:rPr>
                <w:rFonts w:cstheme="minorHAnsi"/>
                <w:b/>
                <w:bCs/>
              </w:rPr>
              <w:t>Analyte</w:t>
            </w:r>
          </w:p>
        </w:tc>
        <w:tc>
          <w:tcPr>
            <w:tcW w:w="0" w:type="auto"/>
            <w:hideMark/>
          </w:tcPr>
          <w:p w14:paraId="4243B609" w14:textId="77777777" w:rsidR="00070801" w:rsidRPr="009377B4" w:rsidRDefault="00070801" w:rsidP="00070801">
            <w:pPr>
              <w:rPr>
                <w:rFonts w:cstheme="minorHAnsi"/>
                <w:b/>
                <w:bCs/>
              </w:rPr>
            </w:pPr>
            <w:r w:rsidRPr="009377B4">
              <w:rPr>
                <w:rFonts w:cstheme="minorHAnsi"/>
                <w:b/>
                <w:bCs/>
              </w:rPr>
              <w:t>Replicates</w:t>
            </w:r>
          </w:p>
        </w:tc>
        <w:tc>
          <w:tcPr>
            <w:tcW w:w="0" w:type="auto"/>
            <w:hideMark/>
          </w:tcPr>
          <w:p w14:paraId="3AAB5FCC" w14:textId="77777777" w:rsidR="00070801" w:rsidRPr="009377B4" w:rsidRDefault="00070801" w:rsidP="00070801">
            <w:pPr>
              <w:rPr>
                <w:rFonts w:cstheme="minorHAnsi"/>
                <w:b/>
                <w:bCs/>
              </w:rPr>
            </w:pPr>
            <w:r w:rsidRPr="009377B4">
              <w:rPr>
                <w:rFonts w:cstheme="minorHAnsi"/>
                <w:b/>
                <w:bCs/>
              </w:rPr>
              <w:t>Solution</w:t>
            </w:r>
          </w:p>
        </w:tc>
        <w:tc>
          <w:tcPr>
            <w:tcW w:w="0" w:type="auto"/>
            <w:hideMark/>
          </w:tcPr>
          <w:p w14:paraId="5B86D77F" w14:textId="77777777" w:rsidR="00070801" w:rsidRPr="009377B4" w:rsidRDefault="00070801" w:rsidP="00070801">
            <w:pPr>
              <w:rPr>
                <w:rFonts w:cstheme="minorHAnsi"/>
                <w:b/>
                <w:bCs/>
              </w:rPr>
            </w:pPr>
            <w:r w:rsidRPr="009377B4">
              <w:rPr>
                <w:rFonts w:cstheme="minorHAnsi"/>
                <w:b/>
                <w:bCs/>
                <w:i/>
                <w:iCs/>
              </w:rPr>
              <w:t>p</w:t>
            </w:r>
            <w:r w:rsidRPr="009377B4">
              <w:rPr>
                <w:rFonts w:cstheme="minorHAnsi"/>
                <w:b/>
                <w:bCs/>
              </w:rPr>
              <w:t>-Value</w:t>
            </w:r>
          </w:p>
        </w:tc>
        <w:tc>
          <w:tcPr>
            <w:tcW w:w="0" w:type="auto"/>
            <w:hideMark/>
          </w:tcPr>
          <w:p w14:paraId="5F05FA6D" w14:textId="77777777" w:rsidR="00070801" w:rsidRPr="009377B4" w:rsidRDefault="00070801" w:rsidP="00070801">
            <w:pPr>
              <w:rPr>
                <w:rFonts w:cstheme="minorHAnsi"/>
                <w:b/>
                <w:bCs/>
              </w:rPr>
            </w:pPr>
            <w:r w:rsidRPr="009377B4">
              <w:rPr>
                <w:rFonts w:cstheme="minorHAnsi"/>
                <w:b/>
                <w:bCs/>
              </w:rPr>
              <w:t>Removal efficiency (</w:t>
            </w:r>
            <w:r w:rsidRPr="009377B4">
              <w:rPr>
                <w:rFonts w:cstheme="minorHAnsi"/>
                <w:b/>
                <w:bCs/>
                <w:i/>
                <w:iCs/>
              </w:rPr>
              <w:t>η</w:t>
            </w:r>
            <w:r w:rsidRPr="009377B4">
              <w:rPr>
                <w:rFonts w:cstheme="minorHAnsi"/>
                <w:b/>
                <w:bCs/>
              </w:rPr>
              <w:t>)</w:t>
            </w:r>
          </w:p>
        </w:tc>
      </w:tr>
      <w:tr w:rsidR="00B25E5E" w:rsidRPr="009377B4" w14:paraId="28D9D597" w14:textId="77777777" w:rsidTr="004B73DE">
        <w:tc>
          <w:tcPr>
            <w:tcW w:w="1795" w:type="dxa"/>
            <w:hideMark/>
          </w:tcPr>
          <w:p w14:paraId="53DB6869" w14:textId="48B5D543" w:rsidR="00B25E5E" w:rsidRPr="009377B4" w:rsidRDefault="00B25E5E" w:rsidP="00070801">
            <w:pPr>
              <w:rPr>
                <w:rFonts w:cstheme="minorHAnsi"/>
              </w:rPr>
            </w:pPr>
            <w:r w:rsidRPr="009377B4">
              <w:rPr>
                <w:rFonts w:cstheme="minorHAnsi"/>
                <w:i/>
                <w:iCs/>
              </w:rPr>
              <w:t>(C</w:t>
            </w:r>
            <w:r w:rsidRPr="009377B4">
              <w:rPr>
                <w:rFonts w:cstheme="minorHAnsi"/>
                <w:i/>
                <w:iCs/>
                <w:vertAlign w:val="subscript"/>
              </w:rPr>
              <w:t>RT</w:t>
            </w:r>
            <w:r w:rsidRPr="009377B4">
              <w:rPr>
                <w:rFonts w:cstheme="minorHAnsi"/>
                <w:i/>
                <w:iCs/>
              </w:rPr>
              <w:t xml:space="preserve"> v. </w:t>
            </w:r>
            <w:proofErr w:type="gramStart"/>
            <w:r w:rsidRPr="009377B4">
              <w:rPr>
                <w:rFonts w:cstheme="minorHAnsi"/>
                <w:i/>
                <w:iCs/>
              </w:rPr>
              <w:t>C</w:t>
            </w:r>
            <w:r w:rsidRPr="009377B4">
              <w:rPr>
                <w:rFonts w:cstheme="minorHAnsi"/>
                <w:i/>
                <w:iCs/>
                <w:vertAlign w:val="subscript"/>
              </w:rPr>
              <w:t>THP</w:t>
            </w:r>
            <w:r w:rsidRPr="009377B4">
              <w:rPr>
                <w:rFonts w:cstheme="minorHAnsi"/>
                <w:i/>
                <w:iCs/>
              </w:rPr>
              <w:t>)</w:t>
            </w:r>
            <w:bookmarkStart w:id="63" w:name="btbl2fnb"/>
            <w:r w:rsidRPr="009377B4">
              <w:rPr>
                <w:rFonts w:cstheme="minorHAnsi"/>
                <w:vertAlign w:val="superscript"/>
              </w:rPr>
              <w:t>b</w:t>
            </w:r>
            <w:proofErr w:type="gramEnd"/>
          </w:p>
        </w:tc>
        <w:tc>
          <w:tcPr>
            <w:tcW w:w="1153" w:type="dxa"/>
          </w:tcPr>
          <w:p w14:paraId="23415DC3" w14:textId="77777777" w:rsidR="00B25E5E" w:rsidRPr="009377B4" w:rsidRDefault="00B25E5E" w:rsidP="00070801">
            <w:pPr>
              <w:rPr>
                <w:rFonts w:cstheme="minorHAnsi"/>
              </w:rPr>
            </w:pPr>
          </w:p>
        </w:tc>
        <w:tc>
          <w:tcPr>
            <w:tcW w:w="0" w:type="auto"/>
          </w:tcPr>
          <w:p w14:paraId="1DB6BE9C" w14:textId="77777777" w:rsidR="00B25E5E" w:rsidRPr="009377B4" w:rsidRDefault="00B25E5E" w:rsidP="00070801">
            <w:pPr>
              <w:rPr>
                <w:rFonts w:cstheme="minorHAnsi"/>
              </w:rPr>
            </w:pPr>
          </w:p>
        </w:tc>
        <w:tc>
          <w:tcPr>
            <w:tcW w:w="0" w:type="auto"/>
          </w:tcPr>
          <w:p w14:paraId="06BB2611" w14:textId="77777777" w:rsidR="00B25E5E" w:rsidRPr="009377B4" w:rsidRDefault="00B25E5E" w:rsidP="00070801">
            <w:pPr>
              <w:rPr>
                <w:rFonts w:cstheme="minorHAnsi"/>
              </w:rPr>
            </w:pPr>
          </w:p>
        </w:tc>
        <w:bookmarkEnd w:id="63"/>
        <w:tc>
          <w:tcPr>
            <w:tcW w:w="0" w:type="auto"/>
          </w:tcPr>
          <w:p w14:paraId="5878AEE1" w14:textId="62723EAD" w:rsidR="00B25E5E" w:rsidRPr="009377B4" w:rsidRDefault="00B25E5E" w:rsidP="00070801">
            <w:pPr>
              <w:rPr>
                <w:rFonts w:cstheme="minorHAnsi"/>
              </w:rPr>
            </w:pPr>
          </w:p>
        </w:tc>
      </w:tr>
      <w:tr w:rsidR="00070801" w:rsidRPr="009377B4" w14:paraId="234C2296" w14:textId="77777777" w:rsidTr="00B25E5E">
        <w:tc>
          <w:tcPr>
            <w:tcW w:w="0" w:type="auto"/>
            <w:hideMark/>
          </w:tcPr>
          <w:p w14:paraId="47E3D241" w14:textId="77777777" w:rsidR="00070801" w:rsidRPr="009377B4" w:rsidRDefault="00070801" w:rsidP="00070801">
            <w:pPr>
              <w:rPr>
                <w:rFonts w:cstheme="minorHAnsi"/>
              </w:rPr>
            </w:pPr>
            <w:r w:rsidRPr="009377B4">
              <w:rPr>
                <w:rFonts w:cstheme="minorHAnsi"/>
              </w:rPr>
              <w:t>NP</w:t>
            </w:r>
          </w:p>
        </w:tc>
        <w:tc>
          <w:tcPr>
            <w:tcW w:w="0" w:type="auto"/>
            <w:hideMark/>
          </w:tcPr>
          <w:p w14:paraId="0A05DDA2" w14:textId="77777777" w:rsidR="00070801" w:rsidRPr="009377B4" w:rsidRDefault="00070801" w:rsidP="00070801">
            <w:pPr>
              <w:rPr>
                <w:rFonts w:cstheme="minorHAnsi"/>
              </w:rPr>
            </w:pPr>
            <w:r w:rsidRPr="009377B4">
              <w:rPr>
                <w:rFonts w:cstheme="minorHAnsi"/>
              </w:rPr>
              <w:t>3</w:t>
            </w:r>
          </w:p>
        </w:tc>
        <w:tc>
          <w:tcPr>
            <w:tcW w:w="0" w:type="auto"/>
            <w:hideMark/>
          </w:tcPr>
          <w:p w14:paraId="1E145769" w14:textId="77777777" w:rsidR="00070801" w:rsidRPr="009377B4" w:rsidRDefault="00070801" w:rsidP="00070801">
            <w:pPr>
              <w:rPr>
                <w:rFonts w:cstheme="minorHAnsi"/>
              </w:rPr>
            </w:pPr>
            <w:r w:rsidRPr="009377B4">
              <w:rPr>
                <w:rFonts w:cstheme="minorHAnsi"/>
              </w:rPr>
              <w:t>Water</w:t>
            </w:r>
          </w:p>
        </w:tc>
        <w:tc>
          <w:tcPr>
            <w:tcW w:w="0" w:type="auto"/>
            <w:hideMark/>
          </w:tcPr>
          <w:p w14:paraId="0D6A1C88" w14:textId="77777777" w:rsidR="00070801" w:rsidRPr="009377B4" w:rsidRDefault="00070801" w:rsidP="00070801">
            <w:pPr>
              <w:rPr>
                <w:rFonts w:cstheme="minorHAnsi"/>
              </w:rPr>
            </w:pPr>
            <w:r w:rsidRPr="009377B4">
              <w:rPr>
                <w:rFonts w:cstheme="minorHAnsi"/>
              </w:rPr>
              <w:t>0.555</w:t>
            </w:r>
          </w:p>
        </w:tc>
        <w:tc>
          <w:tcPr>
            <w:tcW w:w="0" w:type="auto"/>
            <w:hideMark/>
          </w:tcPr>
          <w:p w14:paraId="3AD54886" w14:textId="2DD1F108" w:rsidR="00070801" w:rsidRPr="009377B4" w:rsidRDefault="00070801" w:rsidP="00070801">
            <w:pPr>
              <w:rPr>
                <w:rFonts w:cstheme="minorHAnsi"/>
              </w:rPr>
            </w:pPr>
            <w:proofErr w:type="spellStart"/>
            <w:r w:rsidRPr="009377B4">
              <w:rPr>
                <w:rFonts w:cstheme="minorHAnsi"/>
              </w:rPr>
              <w:t>NS</w:t>
            </w:r>
            <w:bookmarkStart w:id="64" w:name="btbl2fna"/>
            <w:r w:rsidRPr="009377B4">
              <w:rPr>
                <w:rFonts w:cstheme="minorHAnsi"/>
                <w:vertAlign w:val="superscript"/>
              </w:rPr>
              <w:t>a</w:t>
            </w:r>
            <w:bookmarkEnd w:id="64"/>
            <w:proofErr w:type="spellEnd"/>
          </w:p>
        </w:tc>
      </w:tr>
      <w:tr w:rsidR="00070801" w:rsidRPr="009377B4" w14:paraId="75F98DFD" w14:textId="77777777" w:rsidTr="00B25E5E">
        <w:tc>
          <w:tcPr>
            <w:tcW w:w="0" w:type="auto"/>
            <w:hideMark/>
          </w:tcPr>
          <w:p w14:paraId="3AD7892B" w14:textId="77777777" w:rsidR="00070801" w:rsidRPr="009377B4" w:rsidRDefault="00070801" w:rsidP="00070801">
            <w:pPr>
              <w:rPr>
                <w:rFonts w:cstheme="minorHAnsi"/>
              </w:rPr>
            </w:pPr>
            <w:r w:rsidRPr="009377B4">
              <w:rPr>
                <w:rFonts w:cstheme="minorHAnsi"/>
              </w:rPr>
              <w:t>NP</w:t>
            </w:r>
            <w:r w:rsidRPr="009377B4">
              <w:rPr>
                <w:rFonts w:cstheme="minorHAnsi"/>
                <w:vertAlign w:val="subscript"/>
              </w:rPr>
              <w:t>1</w:t>
            </w:r>
            <w:r w:rsidRPr="009377B4">
              <w:rPr>
                <w:rFonts w:cstheme="minorHAnsi"/>
              </w:rPr>
              <w:t>EO</w:t>
            </w:r>
          </w:p>
        </w:tc>
        <w:tc>
          <w:tcPr>
            <w:tcW w:w="0" w:type="auto"/>
            <w:hideMark/>
          </w:tcPr>
          <w:p w14:paraId="79B604B1" w14:textId="77777777" w:rsidR="00070801" w:rsidRPr="009377B4" w:rsidRDefault="00070801" w:rsidP="00070801">
            <w:pPr>
              <w:rPr>
                <w:rFonts w:cstheme="minorHAnsi"/>
              </w:rPr>
            </w:pPr>
            <w:r w:rsidRPr="009377B4">
              <w:rPr>
                <w:rFonts w:cstheme="minorHAnsi"/>
              </w:rPr>
              <w:t>3</w:t>
            </w:r>
          </w:p>
        </w:tc>
        <w:tc>
          <w:tcPr>
            <w:tcW w:w="0" w:type="auto"/>
            <w:hideMark/>
          </w:tcPr>
          <w:p w14:paraId="56DF04D8" w14:textId="77777777" w:rsidR="00070801" w:rsidRPr="009377B4" w:rsidRDefault="00070801" w:rsidP="00070801">
            <w:pPr>
              <w:rPr>
                <w:rFonts w:cstheme="minorHAnsi"/>
              </w:rPr>
            </w:pPr>
            <w:r w:rsidRPr="009377B4">
              <w:rPr>
                <w:rFonts w:cstheme="minorHAnsi"/>
              </w:rPr>
              <w:t>Water</w:t>
            </w:r>
          </w:p>
        </w:tc>
        <w:tc>
          <w:tcPr>
            <w:tcW w:w="0" w:type="auto"/>
            <w:hideMark/>
          </w:tcPr>
          <w:p w14:paraId="44C9A6C3" w14:textId="77777777" w:rsidR="00070801" w:rsidRPr="009377B4" w:rsidRDefault="00070801" w:rsidP="00070801">
            <w:pPr>
              <w:rPr>
                <w:rFonts w:cstheme="minorHAnsi"/>
              </w:rPr>
            </w:pPr>
            <w:r w:rsidRPr="009377B4">
              <w:rPr>
                <w:rFonts w:cstheme="minorHAnsi"/>
              </w:rPr>
              <w:t>0.940</w:t>
            </w:r>
          </w:p>
        </w:tc>
        <w:tc>
          <w:tcPr>
            <w:tcW w:w="0" w:type="auto"/>
            <w:hideMark/>
          </w:tcPr>
          <w:p w14:paraId="070F6DF2" w14:textId="77777777" w:rsidR="00070801" w:rsidRPr="009377B4" w:rsidRDefault="00070801" w:rsidP="00070801">
            <w:pPr>
              <w:rPr>
                <w:rFonts w:cstheme="minorHAnsi"/>
              </w:rPr>
            </w:pPr>
            <w:r w:rsidRPr="009377B4">
              <w:rPr>
                <w:rFonts w:cstheme="minorHAnsi"/>
              </w:rPr>
              <w:t>NS</w:t>
            </w:r>
          </w:p>
        </w:tc>
      </w:tr>
      <w:tr w:rsidR="00070801" w:rsidRPr="009377B4" w14:paraId="1392083F" w14:textId="77777777" w:rsidTr="00B25E5E">
        <w:tc>
          <w:tcPr>
            <w:tcW w:w="0" w:type="auto"/>
            <w:hideMark/>
          </w:tcPr>
          <w:p w14:paraId="01C92224" w14:textId="77777777" w:rsidR="00070801" w:rsidRPr="009377B4" w:rsidRDefault="00070801" w:rsidP="00070801">
            <w:pPr>
              <w:rPr>
                <w:rFonts w:cstheme="minorHAnsi"/>
              </w:rPr>
            </w:pPr>
            <w:r w:rsidRPr="009377B4">
              <w:rPr>
                <w:rFonts w:cstheme="minorHAnsi"/>
              </w:rPr>
              <w:t>NP</w:t>
            </w:r>
            <w:r w:rsidRPr="009377B4">
              <w:rPr>
                <w:rFonts w:cstheme="minorHAnsi"/>
                <w:vertAlign w:val="subscript"/>
              </w:rPr>
              <w:t>2</w:t>
            </w:r>
            <w:r w:rsidRPr="009377B4">
              <w:rPr>
                <w:rFonts w:cstheme="minorHAnsi"/>
              </w:rPr>
              <w:t>EO</w:t>
            </w:r>
          </w:p>
        </w:tc>
        <w:tc>
          <w:tcPr>
            <w:tcW w:w="0" w:type="auto"/>
            <w:hideMark/>
          </w:tcPr>
          <w:p w14:paraId="1C2F830A" w14:textId="77777777" w:rsidR="00070801" w:rsidRPr="009377B4" w:rsidRDefault="00070801" w:rsidP="00070801">
            <w:pPr>
              <w:rPr>
                <w:rFonts w:cstheme="minorHAnsi"/>
              </w:rPr>
            </w:pPr>
            <w:r w:rsidRPr="009377B4">
              <w:rPr>
                <w:rFonts w:cstheme="minorHAnsi"/>
              </w:rPr>
              <w:t>3</w:t>
            </w:r>
          </w:p>
        </w:tc>
        <w:tc>
          <w:tcPr>
            <w:tcW w:w="0" w:type="auto"/>
            <w:hideMark/>
          </w:tcPr>
          <w:p w14:paraId="65C2E6CE" w14:textId="77777777" w:rsidR="00070801" w:rsidRPr="009377B4" w:rsidRDefault="00070801" w:rsidP="00070801">
            <w:pPr>
              <w:rPr>
                <w:rFonts w:cstheme="minorHAnsi"/>
              </w:rPr>
            </w:pPr>
            <w:r w:rsidRPr="009377B4">
              <w:rPr>
                <w:rFonts w:cstheme="minorHAnsi"/>
              </w:rPr>
              <w:t>Water</w:t>
            </w:r>
          </w:p>
        </w:tc>
        <w:tc>
          <w:tcPr>
            <w:tcW w:w="0" w:type="auto"/>
            <w:hideMark/>
          </w:tcPr>
          <w:p w14:paraId="011D6B52" w14:textId="77777777" w:rsidR="00070801" w:rsidRPr="009377B4" w:rsidRDefault="00070801" w:rsidP="00070801">
            <w:pPr>
              <w:rPr>
                <w:rFonts w:cstheme="minorHAnsi"/>
              </w:rPr>
            </w:pPr>
            <w:r w:rsidRPr="009377B4">
              <w:rPr>
                <w:rFonts w:cstheme="minorHAnsi"/>
              </w:rPr>
              <w:t>0.516</w:t>
            </w:r>
          </w:p>
        </w:tc>
        <w:tc>
          <w:tcPr>
            <w:tcW w:w="0" w:type="auto"/>
            <w:hideMark/>
          </w:tcPr>
          <w:p w14:paraId="60AACD47" w14:textId="77777777" w:rsidR="00070801" w:rsidRPr="009377B4" w:rsidRDefault="00070801" w:rsidP="00070801">
            <w:pPr>
              <w:rPr>
                <w:rFonts w:cstheme="minorHAnsi"/>
              </w:rPr>
            </w:pPr>
            <w:r w:rsidRPr="009377B4">
              <w:rPr>
                <w:rFonts w:cstheme="minorHAnsi"/>
              </w:rPr>
              <w:t>NS</w:t>
            </w:r>
          </w:p>
        </w:tc>
      </w:tr>
      <w:tr w:rsidR="00B25E5E" w:rsidRPr="009377B4" w14:paraId="383B79B2" w14:textId="77777777" w:rsidTr="00B25E5E">
        <w:tc>
          <w:tcPr>
            <w:tcW w:w="0" w:type="auto"/>
            <w:hideMark/>
          </w:tcPr>
          <w:p w14:paraId="3DDCAB54" w14:textId="717F2BE9" w:rsidR="00B25E5E" w:rsidRPr="009377B4" w:rsidRDefault="00B25E5E" w:rsidP="00070801">
            <w:pPr>
              <w:rPr>
                <w:rFonts w:cstheme="minorHAnsi"/>
              </w:rPr>
            </w:pPr>
            <w:r w:rsidRPr="009377B4">
              <w:rPr>
                <w:rFonts w:cstheme="minorHAnsi"/>
                <w:i/>
                <w:iCs/>
              </w:rPr>
              <w:t>(C</w:t>
            </w:r>
            <w:r w:rsidRPr="009377B4">
              <w:rPr>
                <w:rFonts w:cstheme="minorHAnsi"/>
                <w:i/>
                <w:iCs/>
                <w:vertAlign w:val="subscript"/>
              </w:rPr>
              <w:t>o</w:t>
            </w:r>
            <w:r w:rsidRPr="009377B4">
              <w:rPr>
                <w:rFonts w:cstheme="minorHAnsi"/>
                <w:i/>
                <w:iCs/>
              </w:rPr>
              <w:t xml:space="preserve"> v. </w:t>
            </w:r>
            <w:proofErr w:type="gramStart"/>
            <w:r w:rsidRPr="009377B4">
              <w:rPr>
                <w:rFonts w:cstheme="minorHAnsi"/>
                <w:i/>
                <w:iCs/>
              </w:rPr>
              <w:t>C</w:t>
            </w:r>
            <w:r w:rsidRPr="009377B4">
              <w:rPr>
                <w:rFonts w:cstheme="minorHAnsi"/>
                <w:i/>
                <w:iCs/>
                <w:vertAlign w:val="subscript"/>
              </w:rPr>
              <w:t>THP</w:t>
            </w:r>
            <w:r w:rsidRPr="009377B4">
              <w:rPr>
                <w:rFonts w:cstheme="minorHAnsi"/>
                <w:i/>
                <w:iCs/>
              </w:rPr>
              <w:t>)</w:t>
            </w:r>
            <w:bookmarkStart w:id="65" w:name="btbl2fnc"/>
            <w:r w:rsidRPr="009377B4">
              <w:rPr>
                <w:rFonts w:cstheme="minorHAnsi"/>
                <w:vertAlign w:val="superscript"/>
              </w:rPr>
              <w:t>c</w:t>
            </w:r>
            <w:proofErr w:type="gramEnd"/>
          </w:p>
        </w:tc>
        <w:tc>
          <w:tcPr>
            <w:tcW w:w="0" w:type="auto"/>
          </w:tcPr>
          <w:p w14:paraId="55A58C35" w14:textId="77777777" w:rsidR="00B25E5E" w:rsidRPr="009377B4" w:rsidRDefault="00B25E5E" w:rsidP="00070801">
            <w:pPr>
              <w:rPr>
                <w:rFonts w:cstheme="minorHAnsi"/>
              </w:rPr>
            </w:pPr>
          </w:p>
        </w:tc>
        <w:tc>
          <w:tcPr>
            <w:tcW w:w="0" w:type="auto"/>
          </w:tcPr>
          <w:p w14:paraId="4B00AD29" w14:textId="77777777" w:rsidR="00B25E5E" w:rsidRPr="009377B4" w:rsidRDefault="00B25E5E" w:rsidP="00070801">
            <w:pPr>
              <w:rPr>
                <w:rFonts w:cstheme="minorHAnsi"/>
              </w:rPr>
            </w:pPr>
          </w:p>
        </w:tc>
        <w:tc>
          <w:tcPr>
            <w:tcW w:w="0" w:type="auto"/>
          </w:tcPr>
          <w:p w14:paraId="73FFEAEA" w14:textId="77777777" w:rsidR="00B25E5E" w:rsidRPr="009377B4" w:rsidRDefault="00B25E5E" w:rsidP="00070801">
            <w:pPr>
              <w:rPr>
                <w:rFonts w:cstheme="minorHAnsi"/>
              </w:rPr>
            </w:pPr>
          </w:p>
        </w:tc>
        <w:bookmarkEnd w:id="65"/>
        <w:tc>
          <w:tcPr>
            <w:tcW w:w="0" w:type="auto"/>
          </w:tcPr>
          <w:p w14:paraId="0F5E85B0" w14:textId="6F69833D" w:rsidR="00B25E5E" w:rsidRPr="009377B4" w:rsidRDefault="00B25E5E" w:rsidP="00070801">
            <w:pPr>
              <w:rPr>
                <w:rFonts w:cstheme="minorHAnsi"/>
              </w:rPr>
            </w:pPr>
          </w:p>
        </w:tc>
      </w:tr>
      <w:tr w:rsidR="00070801" w:rsidRPr="009377B4" w14:paraId="194D229E" w14:textId="77777777" w:rsidTr="00B25E5E">
        <w:tc>
          <w:tcPr>
            <w:tcW w:w="0" w:type="auto"/>
            <w:hideMark/>
          </w:tcPr>
          <w:p w14:paraId="5CB86373" w14:textId="77777777" w:rsidR="00070801" w:rsidRPr="009377B4" w:rsidRDefault="00070801" w:rsidP="00070801">
            <w:pPr>
              <w:rPr>
                <w:rFonts w:cstheme="minorHAnsi"/>
              </w:rPr>
            </w:pPr>
            <w:r w:rsidRPr="009377B4">
              <w:rPr>
                <w:rFonts w:cstheme="minorHAnsi"/>
              </w:rPr>
              <w:t>Triclosan</w:t>
            </w:r>
          </w:p>
        </w:tc>
        <w:tc>
          <w:tcPr>
            <w:tcW w:w="0" w:type="auto"/>
            <w:hideMark/>
          </w:tcPr>
          <w:p w14:paraId="28CC1F0D" w14:textId="77777777" w:rsidR="00070801" w:rsidRPr="009377B4" w:rsidRDefault="00070801" w:rsidP="00070801">
            <w:pPr>
              <w:rPr>
                <w:rFonts w:cstheme="minorHAnsi"/>
              </w:rPr>
            </w:pPr>
            <w:r w:rsidRPr="009377B4">
              <w:rPr>
                <w:rFonts w:cstheme="minorHAnsi"/>
              </w:rPr>
              <w:t>3</w:t>
            </w:r>
          </w:p>
        </w:tc>
        <w:tc>
          <w:tcPr>
            <w:tcW w:w="0" w:type="auto"/>
            <w:hideMark/>
          </w:tcPr>
          <w:p w14:paraId="39CFFB42" w14:textId="77777777" w:rsidR="00070801" w:rsidRPr="009377B4" w:rsidRDefault="00070801" w:rsidP="00070801">
            <w:pPr>
              <w:rPr>
                <w:rFonts w:cstheme="minorHAnsi"/>
              </w:rPr>
            </w:pPr>
            <w:r w:rsidRPr="009377B4">
              <w:rPr>
                <w:rFonts w:cstheme="minorHAnsi"/>
              </w:rPr>
              <w:t>Water</w:t>
            </w:r>
          </w:p>
        </w:tc>
        <w:tc>
          <w:tcPr>
            <w:tcW w:w="0" w:type="auto"/>
            <w:hideMark/>
          </w:tcPr>
          <w:p w14:paraId="7AE6DC07" w14:textId="77777777" w:rsidR="00070801" w:rsidRPr="009377B4" w:rsidRDefault="00070801" w:rsidP="00070801">
            <w:pPr>
              <w:rPr>
                <w:rFonts w:cstheme="minorHAnsi"/>
              </w:rPr>
            </w:pPr>
            <w:r w:rsidRPr="009377B4">
              <w:rPr>
                <w:rFonts w:cstheme="minorHAnsi"/>
              </w:rPr>
              <w:t>0.336</w:t>
            </w:r>
          </w:p>
        </w:tc>
        <w:tc>
          <w:tcPr>
            <w:tcW w:w="0" w:type="auto"/>
            <w:hideMark/>
          </w:tcPr>
          <w:p w14:paraId="0593FC92" w14:textId="77777777" w:rsidR="00070801" w:rsidRPr="009377B4" w:rsidRDefault="00070801" w:rsidP="00070801">
            <w:pPr>
              <w:rPr>
                <w:rFonts w:cstheme="minorHAnsi"/>
              </w:rPr>
            </w:pPr>
            <w:r w:rsidRPr="009377B4">
              <w:rPr>
                <w:rFonts w:cstheme="minorHAnsi"/>
              </w:rPr>
              <w:t>NS</w:t>
            </w:r>
          </w:p>
        </w:tc>
      </w:tr>
      <w:tr w:rsidR="00070801" w:rsidRPr="009377B4" w14:paraId="59A25955" w14:textId="77777777" w:rsidTr="00B25E5E">
        <w:tc>
          <w:tcPr>
            <w:tcW w:w="0" w:type="auto"/>
            <w:hideMark/>
          </w:tcPr>
          <w:p w14:paraId="3F35B601" w14:textId="77777777" w:rsidR="00070801" w:rsidRPr="009377B4" w:rsidRDefault="00070801" w:rsidP="00070801">
            <w:pPr>
              <w:rPr>
                <w:rFonts w:cstheme="minorHAnsi"/>
              </w:rPr>
            </w:pPr>
            <w:r w:rsidRPr="009377B4">
              <w:rPr>
                <w:rFonts w:cstheme="minorHAnsi"/>
              </w:rPr>
              <w:t>BPA</w:t>
            </w:r>
          </w:p>
        </w:tc>
        <w:tc>
          <w:tcPr>
            <w:tcW w:w="0" w:type="auto"/>
            <w:hideMark/>
          </w:tcPr>
          <w:p w14:paraId="0A941D75" w14:textId="77777777" w:rsidR="00070801" w:rsidRPr="009377B4" w:rsidRDefault="00070801" w:rsidP="00070801">
            <w:pPr>
              <w:rPr>
                <w:rFonts w:cstheme="minorHAnsi"/>
              </w:rPr>
            </w:pPr>
            <w:r w:rsidRPr="009377B4">
              <w:rPr>
                <w:rFonts w:cstheme="minorHAnsi"/>
              </w:rPr>
              <w:t>3</w:t>
            </w:r>
          </w:p>
        </w:tc>
        <w:tc>
          <w:tcPr>
            <w:tcW w:w="0" w:type="auto"/>
            <w:hideMark/>
          </w:tcPr>
          <w:p w14:paraId="6F3AC3DA" w14:textId="77777777" w:rsidR="00070801" w:rsidRPr="009377B4" w:rsidRDefault="00070801" w:rsidP="00070801">
            <w:pPr>
              <w:rPr>
                <w:rFonts w:cstheme="minorHAnsi"/>
              </w:rPr>
            </w:pPr>
            <w:r w:rsidRPr="009377B4">
              <w:rPr>
                <w:rFonts w:cstheme="minorHAnsi"/>
              </w:rPr>
              <w:t>0.4% MeOH</w:t>
            </w:r>
          </w:p>
        </w:tc>
        <w:tc>
          <w:tcPr>
            <w:tcW w:w="0" w:type="auto"/>
            <w:hideMark/>
          </w:tcPr>
          <w:p w14:paraId="3C7884CC" w14:textId="77777777" w:rsidR="00070801" w:rsidRPr="009377B4" w:rsidRDefault="00070801" w:rsidP="00070801">
            <w:pPr>
              <w:rPr>
                <w:rFonts w:cstheme="minorHAnsi"/>
              </w:rPr>
            </w:pPr>
            <w:r w:rsidRPr="009377B4">
              <w:rPr>
                <w:rFonts w:cstheme="minorHAnsi"/>
              </w:rPr>
              <w:t>0.724</w:t>
            </w:r>
          </w:p>
        </w:tc>
        <w:tc>
          <w:tcPr>
            <w:tcW w:w="0" w:type="auto"/>
            <w:hideMark/>
          </w:tcPr>
          <w:p w14:paraId="768B50A9" w14:textId="77777777" w:rsidR="00070801" w:rsidRPr="009377B4" w:rsidRDefault="00070801" w:rsidP="00070801">
            <w:pPr>
              <w:rPr>
                <w:rFonts w:cstheme="minorHAnsi"/>
              </w:rPr>
            </w:pPr>
            <w:r w:rsidRPr="009377B4">
              <w:rPr>
                <w:rFonts w:cstheme="minorHAnsi"/>
              </w:rPr>
              <w:t>NS</w:t>
            </w:r>
          </w:p>
        </w:tc>
      </w:tr>
      <w:tr w:rsidR="00B25E5E" w:rsidRPr="009377B4" w14:paraId="361F8C76" w14:textId="77777777" w:rsidTr="00B25E5E">
        <w:tc>
          <w:tcPr>
            <w:tcW w:w="0" w:type="auto"/>
            <w:hideMark/>
          </w:tcPr>
          <w:p w14:paraId="57663E15" w14:textId="470CCCBA" w:rsidR="00B25E5E" w:rsidRPr="009377B4" w:rsidRDefault="00B25E5E" w:rsidP="00070801">
            <w:pPr>
              <w:rPr>
                <w:rFonts w:cstheme="minorHAnsi"/>
              </w:rPr>
            </w:pPr>
            <w:r w:rsidRPr="009377B4">
              <w:rPr>
                <w:rFonts w:cstheme="minorHAnsi"/>
                <w:i/>
                <w:iCs/>
              </w:rPr>
              <w:t>(C</w:t>
            </w:r>
            <w:r w:rsidRPr="009377B4">
              <w:rPr>
                <w:rFonts w:cstheme="minorHAnsi"/>
                <w:i/>
                <w:iCs/>
                <w:vertAlign w:val="subscript"/>
              </w:rPr>
              <w:t>DAY 1</w:t>
            </w:r>
            <w:r w:rsidRPr="009377B4">
              <w:rPr>
                <w:rFonts w:cstheme="minorHAnsi"/>
                <w:i/>
                <w:iCs/>
              </w:rPr>
              <w:t> v. C</w:t>
            </w:r>
            <w:r w:rsidRPr="009377B4">
              <w:rPr>
                <w:rFonts w:cstheme="minorHAnsi"/>
                <w:i/>
                <w:iCs/>
                <w:vertAlign w:val="subscript"/>
              </w:rPr>
              <w:t xml:space="preserve">DAY </w:t>
            </w:r>
            <w:proofErr w:type="gramStart"/>
            <w:r w:rsidRPr="009377B4">
              <w:rPr>
                <w:rFonts w:cstheme="minorHAnsi"/>
                <w:i/>
                <w:iCs/>
                <w:vertAlign w:val="subscript"/>
              </w:rPr>
              <w:t>2</w:t>
            </w:r>
            <w:r w:rsidRPr="009377B4">
              <w:rPr>
                <w:rFonts w:cstheme="minorHAnsi"/>
                <w:i/>
                <w:iCs/>
              </w:rPr>
              <w:t>)</w:t>
            </w:r>
            <w:bookmarkStart w:id="66" w:name="btbl2fnd"/>
            <w:r w:rsidRPr="009377B4">
              <w:rPr>
                <w:rFonts w:cstheme="minorHAnsi"/>
                <w:vertAlign w:val="superscript"/>
              </w:rPr>
              <w:t>d</w:t>
            </w:r>
            <w:proofErr w:type="gramEnd"/>
          </w:p>
        </w:tc>
        <w:tc>
          <w:tcPr>
            <w:tcW w:w="0" w:type="auto"/>
          </w:tcPr>
          <w:p w14:paraId="08688911" w14:textId="77777777" w:rsidR="00B25E5E" w:rsidRPr="009377B4" w:rsidRDefault="00B25E5E" w:rsidP="00070801">
            <w:pPr>
              <w:rPr>
                <w:rFonts w:cstheme="minorHAnsi"/>
              </w:rPr>
            </w:pPr>
          </w:p>
        </w:tc>
        <w:tc>
          <w:tcPr>
            <w:tcW w:w="0" w:type="auto"/>
          </w:tcPr>
          <w:p w14:paraId="2D5F180F" w14:textId="77777777" w:rsidR="00B25E5E" w:rsidRPr="009377B4" w:rsidRDefault="00B25E5E" w:rsidP="00070801">
            <w:pPr>
              <w:rPr>
                <w:rFonts w:cstheme="minorHAnsi"/>
              </w:rPr>
            </w:pPr>
          </w:p>
        </w:tc>
        <w:tc>
          <w:tcPr>
            <w:tcW w:w="0" w:type="auto"/>
          </w:tcPr>
          <w:p w14:paraId="342ACAD8" w14:textId="77777777" w:rsidR="00B25E5E" w:rsidRPr="009377B4" w:rsidRDefault="00B25E5E" w:rsidP="00070801">
            <w:pPr>
              <w:rPr>
                <w:rFonts w:cstheme="minorHAnsi"/>
              </w:rPr>
            </w:pPr>
          </w:p>
        </w:tc>
        <w:bookmarkEnd w:id="66"/>
        <w:tc>
          <w:tcPr>
            <w:tcW w:w="0" w:type="auto"/>
          </w:tcPr>
          <w:p w14:paraId="4FF99D97" w14:textId="6BF95607" w:rsidR="00B25E5E" w:rsidRPr="009377B4" w:rsidRDefault="00B25E5E" w:rsidP="00070801">
            <w:pPr>
              <w:rPr>
                <w:rFonts w:cstheme="minorHAnsi"/>
              </w:rPr>
            </w:pPr>
          </w:p>
        </w:tc>
      </w:tr>
      <w:tr w:rsidR="00070801" w:rsidRPr="009377B4" w14:paraId="1A75F71C" w14:textId="77777777" w:rsidTr="00B25E5E">
        <w:tc>
          <w:tcPr>
            <w:tcW w:w="0" w:type="auto"/>
            <w:hideMark/>
          </w:tcPr>
          <w:p w14:paraId="735C6634" w14:textId="77777777" w:rsidR="00070801" w:rsidRPr="009377B4" w:rsidRDefault="00070801" w:rsidP="00070801">
            <w:pPr>
              <w:rPr>
                <w:rFonts w:cstheme="minorHAnsi"/>
              </w:rPr>
            </w:pPr>
            <w:r w:rsidRPr="009377B4">
              <w:rPr>
                <w:rFonts w:cstheme="minorHAnsi"/>
              </w:rPr>
              <w:t>NP</w:t>
            </w:r>
            <w:r w:rsidRPr="009377B4">
              <w:rPr>
                <w:rFonts w:cstheme="minorHAnsi"/>
                <w:vertAlign w:val="subscript"/>
              </w:rPr>
              <w:t>1</w:t>
            </w:r>
            <w:r w:rsidRPr="009377B4">
              <w:rPr>
                <w:rFonts w:cstheme="minorHAnsi"/>
              </w:rPr>
              <w:t>EO</w:t>
            </w:r>
          </w:p>
        </w:tc>
        <w:tc>
          <w:tcPr>
            <w:tcW w:w="0" w:type="auto"/>
            <w:hideMark/>
          </w:tcPr>
          <w:p w14:paraId="3AC9C2D7" w14:textId="77777777" w:rsidR="00070801" w:rsidRPr="009377B4" w:rsidRDefault="00070801" w:rsidP="00070801">
            <w:pPr>
              <w:rPr>
                <w:rFonts w:cstheme="minorHAnsi"/>
              </w:rPr>
            </w:pPr>
            <w:r w:rsidRPr="009377B4">
              <w:rPr>
                <w:rFonts w:cstheme="minorHAnsi"/>
              </w:rPr>
              <w:t>3</w:t>
            </w:r>
          </w:p>
        </w:tc>
        <w:tc>
          <w:tcPr>
            <w:tcW w:w="0" w:type="auto"/>
            <w:hideMark/>
          </w:tcPr>
          <w:p w14:paraId="694485F3" w14:textId="77777777" w:rsidR="00070801" w:rsidRPr="009377B4" w:rsidRDefault="00070801" w:rsidP="00070801">
            <w:pPr>
              <w:rPr>
                <w:rFonts w:cstheme="minorHAnsi"/>
              </w:rPr>
            </w:pPr>
            <w:r w:rsidRPr="009377B4">
              <w:rPr>
                <w:rFonts w:cstheme="minorHAnsi"/>
              </w:rPr>
              <w:t>Water</w:t>
            </w:r>
          </w:p>
        </w:tc>
        <w:tc>
          <w:tcPr>
            <w:tcW w:w="0" w:type="auto"/>
            <w:hideMark/>
          </w:tcPr>
          <w:p w14:paraId="04D39EF0" w14:textId="77777777" w:rsidR="00070801" w:rsidRPr="009377B4" w:rsidRDefault="00070801" w:rsidP="00070801">
            <w:pPr>
              <w:rPr>
                <w:rFonts w:cstheme="minorHAnsi"/>
              </w:rPr>
            </w:pPr>
            <w:r w:rsidRPr="009377B4">
              <w:rPr>
                <w:rFonts w:cstheme="minorHAnsi"/>
              </w:rPr>
              <w:t>0.584</w:t>
            </w:r>
          </w:p>
        </w:tc>
        <w:tc>
          <w:tcPr>
            <w:tcW w:w="0" w:type="auto"/>
            <w:hideMark/>
          </w:tcPr>
          <w:p w14:paraId="458500A1" w14:textId="77777777" w:rsidR="00070801" w:rsidRPr="009377B4" w:rsidRDefault="00070801" w:rsidP="00070801">
            <w:pPr>
              <w:rPr>
                <w:rFonts w:cstheme="minorHAnsi"/>
              </w:rPr>
            </w:pPr>
            <w:r w:rsidRPr="009377B4">
              <w:rPr>
                <w:rFonts w:cstheme="minorHAnsi"/>
              </w:rPr>
              <w:t>NS</w:t>
            </w:r>
          </w:p>
        </w:tc>
      </w:tr>
      <w:tr w:rsidR="00070801" w:rsidRPr="009377B4" w14:paraId="6DE473CE" w14:textId="77777777" w:rsidTr="00B25E5E">
        <w:tc>
          <w:tcPr>
            <w:tcW w:w="0" w:type="auto"/>
            <w:hideMark/>
          </w:tcPr>
          <w:p w14:paraId="3A959FC0" w14:textId="77777777" w:rsidR="00070801" w:rsidRPr="009377B4" w:rsidRDefault="00070801" w:rsidP="00070801">
            <w:pPr>
              <w:rPr>
                <w:rFonts w:cstheme="minorHAnsi"/>
              </w:rPr>
            </w:pPr>
            <w:r w:rsidRPr="009377B4">
              <w:rPr>
                <w:rFonts w:cstheme="minorHAnsi"/>
              </w:rPr>
              <w:t>NP</w:t>
            </w:r>
            <w:r w:rsidRPr="009377B4">
              <w:rPr>
                <w:rFonts w:cstheme="minorHAnsi"/>
                <w:vertAlign w:val="subscript"/>
              </w:rPr>
              <w:t>2</w:t>
            </w:r>
            <w:r w:rsidRPr="009377B4">
              <w:rPr>
                <w:rFonts w:cstheme="minorHAnsi"/>
              </w:rPr>
              <w:t>EO</w:t>
            </w:r>
          </w:p>
        </w:tc>
        <w:tc>
          <w:tcPr>
            <w:tcW w:w="0" w:type="auto"/>
            <w:hideMark/>
          </w:tcPr>
          <w:p w14:paraId="191E5388" w14:textId="77777777" w:rsidR="00070801" w:rsidRPr="009377B4" w:rsidRDefault="00070801" w:rsidP="00070801">
            <w:pPr>
              <w:rPr>
                <w:rFonts w:cstheme="minorHAnsi"/>
              </w:rPr>
            </w:pPr>
            <w:r w:rsidRPr="009377B4">
              <w:rPr>
                <w:rFonts w:cstheme="minorHAnsi"/>
              </w:rPr>
              <w:t>3</w:t>
            </w:r>
          </w:p>
        </w:tc>
        <w:tc>
          <w:tcPr>
            <w:tcW w:w="0" w:type="auto"/>
            <w:hideMark/>
          </w:tcPr>
          <w:p w14:paraId="3B774686" w14:textId="77777777" w:rsidR="00070801" w:rsidRPr="009377B4" w:rsidRDefault="00070801" w:rsidP="00070801">
            <w:pPr>
              <w:rPr>
                <w:rFonts w:cstheme="minorHAnsi"/>
              </w:rPr>
            </w:pPr>
            <w:r w:rsidRPr="009377B4">
              <w:rPr>
                <w:rFonts w:cstheme="minorHAnsi"/>
              </w:rPr>
              <w:t>Water</w:t>
            </w:r>
          </w:p>
        </w:tc>
        <w:tc>
          <w:tcPr>
            <w:tcW w:w="0" w:type="auto"/>
            <w:hideMark/>
          </w:tcPr>
          <w:p w14:paraId="69D94C68" w14:textId="77777777" w:rsidR="00070801" w:rsidRPr="009377B4" w:rsidRDefault="00070801" w:rsidP="00070801">
            <w:pPr>
              <w:rPr>
                <w:rFonts w:cstheme="minorHAnsi"/>
              </w:rPr>
            </w:pPr>
            <w:r w:rsidRPr="009377B4">
              <w:rPr>
                <w:rFonts w:cstheme="minorHAnsi"/>
              </w:rPr>
              <w:t>0.898</w:t>
            </w:r>
          </w:p>
        </w:tc>
        <w:tc>
          <w:tcPr>
            <w:tcW w:w="0" w:type="auto"/>
            <w:hideMark/>
          </w:tcPr>
          <w:p w14:paraId="505527CB" w14:textId="77777777" w:rsidR="00070801" w:rsidRPr="009377B4" w:rsidRDefault="00070801" w:rsidP="00070801">
            <w:pPr>
              <w:rPr>
                <w:rFonts w:cstheme="minorHAnsi"/>
              </w:rPr>
            </w:pPr>
            <w:r w:rsidRPr="009377B4">
              <w:rPr>
                <w:rFonts w:cstheme="minorHAnsi"/>
              </w:rPr>
              <w:t>NS</w:t>
            </w:r>
          </w:p>
        </w:tc>
      </w:tr>
    </w:tbl>
    <w:p w14:paraId="390D7A05" w14:textId="51E7FA67" w:rsidR="00070801" w:rsidRPr="009377B4" w:rsidRDefault="00070801" w:rsidP="00B25E5E">
      <w:pPr>
        <w:spacing w:after="0"/>
        <w:rPr>
          <w:rFonts w:cstheme="minorHAnsi"/>
        </w:rPr>
      </w:pPr>
      <w:proofErr w:type="spellStart"/>
      <w:r w:rsidRPr="009377B4">
        <w:rPr>
          <w:rFonts w:cstheme="minorHAnsi"/>
          <w:vertAlign w:val="superscript"/>
        </w:rPr>
        <w:t>a</w:t>
      </w:r>
      <w:r w:rsidRPr="009377B4">
        <w:rPr>
          <w:rFonts w:cstheme="minorHAnsi"/>
        </w:rPr>
        <w:t>NS</w:t>
      </w:r>
      <w:proofErr w:type="spellEnd"/>
      <w:r w:rsidRPr="009377B4">
        <w:rPr>
          <w:rFonts w:cstheme="minorHAnsi"/>
        </w:rPr>
        <w:t> = no significant difference at </w:t>
      </w:r>
      <w:r w:rsidRPr="009377B4">
        <w:rPr>
          <w:rFonts w:cstheme="minorHAnsi"/>
          <w:i/>
          <w:iCs/>
        </w:rPr>
        <w:t>p</w:t>
      </w:r>
      <w:r w:rsidRPr="009377B4">
        <w:rPr>
          <w:rFonts w:cstheme="minorHAnsi"/>
        </w:rPr>
        <w:t> ≤ 0.05 between the two sets of samples.</w:t>
      </w:r>
    </w:p>
    <w:p w14:paraId="3A2E09CA" w14:textId="119390A5" w:rsidR="00070801" w:rsidRPr="009377B4" w:rsidRDefault="00070801" w:rsidP="00B25E5E">
      <w:pPr>
        <w:spacing w:after="0"/>
        <w:rPr>
          <w:rFonts w:cstheme="minorHAnsi"/>
        </w:rPr>
      </w:pPr>
      <w:proofErr w:type="spellStart"/>
      <w:r w:rsidRPr="009377B4">
        <w:rPr>
          <w:rFonts w:cstheme="minorHAnsi"/>
          <w:vertAlign w:val="superscript"/>
        </w:rPr>
        <w:t>b</w:t>
      </w:r>
      <w:r w:rsidRPr="009377B4">
        <w:rPr>
          <w:rFonts w:cstheme="minorHAnsi"/>
          <w:i/>
          <w:iCs/>
        </w:rPr>
        <w:t>t</w:t>
      </w:r>
      <w:proofErr w:type="spellEnd"/>
      <w:r w:rsidRPr="009377B4">
        <w:rPr>
          <w:rFonts w:cstheme="minorHAnsi"/>
        </w:rPr>
        <w:t>-test on concentrations in room temperature samples vs. TH samples.</w:t>
      </w:r>
    </w:p>
    <w:p w14:paraId="3EF3551C" w14:textId="5011269B" w:rsidR="00070801" w:rsidRPr="009377B4" w:rsidRDefault="00070801" w:rsidP="00B25E5E">
      <w:pPr>
        <w:spacing w:after="0"/>
        <w:rPr>
          <w:rFonts w:cstheme="minorHAnsi"/>
        </w:rPr>
      </w:pPr>
      <w:proofErr w:type="spellStart"/>
      <w:r w:rsidRPr="009377B4">
        <w:rPr>
          <w:rFonts w:cstheme="minorHAnsi"/>
          <w:vertAlign w:val="superscript"/>
        </w:rPr>
        <w:t>c</w:t>
      </w:r>
      <w:r w:rsidRPr="009377B4">
        <w:rPr>
          <w:rFonts w:cstheme="minorHAnsi"/>
          <w:i/>
          <w:iCs/>
        </w:rPr>
        <w:t>t</w:t>
      </w:r>
      <w:proofErr w:type="spellEnd"/>
      <w:r w:rsidRPr="009377B4">
        <w:rPr>
          <w:rFonts w:cstheme="minorHAnsi"/>
        </w:rPr>
        <w:t>-test on concentrations in initial sample taken prior to TH vs. sample taken after TH.</w:t>
      </w:r>
    </w:p>
    <w:p w14:paraId="72EFBF20" w14:textId="04220638" w:rsidR="00070801" w:rsidRPr="009377B4" w:rsidRDefault="00070801" w:rsidP="00B25E5E">
      <w:pPr>
        <w:spacing w:after="0"/>
        <w:rPr>
          <w:rFonts w:cstheme="minorHAnsi"/>
        </w:rPr>
      </w:pPr>
      <w:r w:rsidRPr="009377B4">
        <w:rPr>
          <w:rFonts w:cstheme="minorHAnsi"/>
          <w:vertAlign w:val="superscript"/>
        </w:rPr>
        <w:t>d</w:t>
      </w:r>
      <w:r w:rsidRPr="009377B4">
        <w:rPr>
          <w:rFonts w:cstheme="minorHAnsi"/>
          <w:i/>
          <w:iCs/>
        </w:rPr>
        <w:t>t</w:t>
      </w:r>
      <w:r w:rsidRPr="009377B4">
        <w:rPr>
          <w:rFonts w:cstheme="minorHAnsi"/>
        </w:rPr>
        <w:t>-test on concentrations in samples taken after one TH experiment vs. samples taken after a consecutive second TH experiment.</w:t>
      </w:r>
    </w:p>
    <w:p w14:paraId="7284236F" w14:textId="77777777" w:rsidR="00070801" w:rsidRPr="009377B4" w:rsidRDefault="00070801" w:rsidP="00B25E5E">
      <w:pPr>
        <w:pStyle w:val="Heading2"/>
        <w:rPr>
          <w:rFonts w:asciiTheme="minorHAnsi" w:hAnsiTheme="minorHAnsi" w:cstheme="minorHAnsi"/>
        </w:rPr>
      </w:pPr>
      <w:r w:rsidRPr="009377B4">
        <w:rPr>
          <w:rFonts w:asciiTheme="minorHAnsi" w:hAnsiTheme="minorHAnsi" w:cstheme="minorHAnsi"/>
        </w:rPr>
        <w:t>3.2. Impact of TH pretreatment on NPE mass in digester effluent</w:t>
      </w:r>
    </w:p>
    <w:p w14:paraId="5250606B" w14:textId="255E77B6" w:rsidR="00070801" w:rsidRPr="009377B4" w:rsidRDefault="00070801" w:rsidP="00070801">
      <w:pPr>
        <w:rPr>
          <w:rFonts w:cstheme="minorHAnsi"/>
        </w:rPr>
      </w:pPr>
      <w:r w:rsidRPr="009377B4">
        <w:rPr>
          <w:rFonts w:cstheme="minorHAnsi"/>
        </w:rPr>
        <w:t>The amount of NPE in the influent sludge to the TH-MAD reactors was consistently lower than the NPE in the influent sludge to the MAD reactor. This loss is not likely a result of chemical destruction, as demonstrated by our TH experiments in water (see Section </w:t>
      </w:r>
      <w:bookmarkStart w:id="67" w:name="bsec3.1"/>
      <w:r w:rsidRPr="009377B4">
        <w:rPr>
          <w:rFonts w:cstheme="minorHAnsi"/>
        </w:rPr>
        <w:t>3.1</w:t>
      </w:r>
      <w:bookmarkEnd w:id="67"/>
      <w:r w:rsidRPr="009377B4">
        <w:rPr>
          <w:rFonts w:cstheme="minorHAnsi"/>
        </w:rPr>
        <w:t>; Table 2</w:t>
      </w:r>
      <w:bookmarkEnd w:id="62"/>
      <w:r w:rsidRPr="009377B4">
        <w:rPr>
          <w:rFonts w:cstheme="minorHAnsi"/>
        </w:rPr>
        <w:t>) and TH experiments in sludge (SI Figure S3, SI Text 1); rather, this loss is likely a result of volatilization during the flashing process at the pilot-scale plant. In a full-scale operation, the sludge cooling process occurs in a closed system, and thus NPE will not be removed via volatilization.</w:t>
      </w:r>
    </w:p>
    <w:p w14:paraId="708FD5E4" w14:textId="47E5DF8D" w:rsidR="00070801" w:rsidRPr="009377B4" w:rsidRDefault="00070801" w:rsidP="00070801">
      <w:pPr>
        <w:rPr>
          <w:rFonts w:cstheme="minorHAnsi"/>
        </w:rPr>
      </w:pPr>
      <w:r w:rsidRPr="009377B4">
        <w:rPr>
          <w:rFonts w:cstheme="minorHAnsi"/>
        </w:rPr>
        <w:t xml:space="preserve">In </w:t>
      </w:r>
      <w:proofErr w:type="gramStart"/>
      <w:r w:rsidRPr="009377B4">
        <w:rPr>
          <w:rFonts w:cstheme="minorHAnsi"/>
        </w:rPr>
        <w:t>all of</w:t>
      </w:r>
      <w:proofErr w:type="gramEnd"/>
      <w:r w:rsidRPr="009377B4">
        <w:rPr>
          <w:rFonts w:cstheme="minorHAnsi"/>
        </w:rPr>
        <w:t xml:space="preserve"> the anaerobic reactors, with one exception (TH150-MAD20), the total masses of NPE in the influent and effluent were within 10% of each other (</w:t>
      </w:r>
      <w:bookmarkStart w:id="68" w:name="bfig1"/>
      <w:r w:rsidRPr="009377B4">
        <w:rPr>
          <w:rFonts w:cstheme="minorHAnsi"/>
        </w:rPr>
        <w:t>Fig. 1</w:t>
      </w:r>
      <w:bookmarkEnd w:id="68"/>
      <w:r w:rsidRPr="009377B4">
        <w:rPr>
          <w:rFonts w:cstheme="minorHAnsi"/>
        </w:rPr>
        <w:t xml:space="preserve">). This finding indicates that, in general, (1) NPEO was transformed to NP and (2) neither substantial loss of NP nor (3) long-chain </w:t>
      </w:r>
      <w:proofErr w:type="spellStart"/>
      <w:r w:rsidRPr="009377B4">
        <w:rPr>
          <w:rFonts w:cstheme="minorHAnsi"/>
        </w:rPr>
        <w:t>NP</w:t>
      </w:r>
      <w:r w:rsidRPr="009377B4">
        <w:rPr>
          <w:rFonts w:cstheme="minorHAnsi"/>
          <w:i/>
          <w:iCs/>
          <w:vertAlign w:val="subscript"/>
        </w:rPr>
        <w:t>n</w:t>
      </w:r>
      <w:r w:rsidRPr="009377B4">
        <w:rPr>
          <w:rFonts w:cstheme="minorHAnsi"/>
        </w:rPr>
        <w:t>EO</w:t>
      </w:r>
      <w:proofErr w:type="spellEnd"/>
      <w:r w:rsidRPr="009377B4">
        <w:rPr>
          <w:rFonts w:cstheme="minorHAnsi"/>
        </w:rPr>
        <w:t xml:space="preserve"> (</w:t>
      </w:r>
      <w:r w:rsidRPr="009377B4">
        <w:rPr>
          <w:rFonts w:cstheme="minorHAnsi"/>
          <w:i/>
          <w:iCs/>
        </w:rPr>
        <w:t>n</w:t>
      </w:r>
      <w:r w:rsidRPr="009377B4">
        <w:rPr>
          <w:rFonts w:cstheme="minorHAnsi"/>
        </w:rPr>
        <w:t xml:space="preserve"> = 3–20) degradation to NPE occurred during anaerobic digestion, regardless of TH pretreatment. This result was expected, as work has shown that </w:t>
      </w:r>
      <w:proofErr w:type="spellStart"/>
      <w:r w:rsidRPr="009377B4">
        <w:rPr>
          <w:rFonts w:cstheme="minorHAnsi"/>
        </w:rPr>
        <w:t>NP</w:t>
      </w:r>
      <w:r w:rsidRPr="009377B4">
        <w:rPr>
          <w:rFonts w:cstheme="minorHAnsi"/>
          <w:i/>
          <w:iCs/>
          <w:vertAlign w:val="subscript"/>
        </w:rPr>
        <w:t>n</w:t>
      </w:r>
      <w:r w:rsidRPr="009377B4">
        <w:rPr>
          <w:rFonts w:cstheme="minorHAnsi"/>
        </w:rPr>
        <w:t>EOs</w:t>
      </w:r>
      <w:proofErr w:type="spellEnd"/>
      <w:r w:rsidRPr="009377B4">
        <w:rPr>
          <w:rFonts w:cstheme="minorHAnsi"/>
        </w:rPr>
        <w:t xml:space="preserve"> are long-lived, with half-lives greater than 100 days in anaerobic sediments (Ferguson and </w:t>
      </w:r>
      <w:proofErr w:type="spellStart"/>
      <w:r w:rsidRPr="009377B4">
        <w:rPr>
          <w:rFonts w:cstheme="minorHAnsi"/>
        </w:rPr>
        <w:t>Brownawell</w:t>
      </w:r>
      <w:proofErr w:type="spellEnd"/>
      <w:r w:rsidRPr="009377B4">
        <w:rPr>
          <w:rFonts w:cstheme="minorHAnsi"/>
        </w:rPr>
        <w:t>, 2003</w:t>
      </w:r>
      <w:bookmarkEnd w:id="26"/>
      <w:r w:rsidRPr="009377B4">
        <w:rPr>
          <w:rFonts w:cstheme="minorHAnsi"/>
        </w:rPr>
        <w:t>), while the biodegradation of NP</w:t>
      </w:r>
      <w:r w:rsidRPr="009377B4">
        <w:rPr>
          <w:rFonts w:cstheme="minorHAnsi"/>
          <w:vertAlign w:val="subscript"/>
        </w:rPr>
        <w:t>2</w:t>
      </w:r>
      <w:r w:rsidRPr="009377B4">
        <w:rPr>
          <w:rFonts w:cstheme="minorHAnsi"/>
        </w:rPr>
        <w:t>EO to NP</w:t>
      </w:r>
      <w:r w:rsidRPr="009377B4">
        <w:rPr>
          <w:rFonts w:cstheme="minorHAnsi"/>
          <w:vertAlign w:val="subscript"/>
        </w:rPr>
        <w:t>1</w:t>
      </w:r>
      <w:r w:rsidRPr="009377B4">
        <w:rPr>
          <w:rFonts w:cstheme="minorHAnsi"/>
        </w:rPr>
        <w:t>EO and NP</w:t>
      </w:r>
      <w:r w:rsidRPr="009377B4">
        <w:rPr>
          <w:rFonts w:cstheme="minorHAnsi"/>
          <w:vertAlign w:val="subscript"/>
        </w:rPr>
        <w:t>1</w:t>
      </w:r>
      <w:r w:rsidRPr="009377B4">
        <w:rPr>
          <w:rFonts w:cstheme="minorHAnsi"/>
        </w:rPr>
        <w:t>EO to NP readily occurs under anaerobic conditions (Giger et al., 1984, </w:t>
      </w:r>
      <w:bookmarkStart w:id="69" w:name="bbib42"/>
      <w:r w:rsidRPr="009377B4">
        <w:rPr>
          <w:rFonts w:cstheme="minorHAnsi"/>
        </w:rPr>
        <w:t>Soares et al., 2008</w:t>
      </w:r>
      <w:bookmarkEnd w:id="69"/>
      <w:r w:rsidRPr="009377B4">
        <w:rPr>
          <w:rFonts w:cstheme="minorHAnsi"/>
        </w:rPr>
        <w:t>). In addition, although NP degradation under anaerobic conditions is possible (</w:t>
      </w:r>
      <w:bookmarkStart w:id="70" w:name="bbib9"/>
      <w:r w:rsidRPr="009377B4">
        <w:rPr>
          <w:rFonts w:cstheme="minorHAnsi"/>
        </w:rPr>
        <w:t>Chang et al., 2005</w:t>
      </w:r>
      <w:bookmarkEnd w:id="70"/>
      <w:r w:rsidRPr="009377B4">
        <w:rPr>
          <w:rFonts w:cstheme="minorHAnsi"/>
        </w:rPr>
        <w:t>, Chang et al., 2008), the rate is slow, and under typical digester conditions with large quantities of carbon available, NP degradation is not thought to readily occur (Giger et al., 1984</w:t>
      </w:r>
      <w:bookmarkEnd w:id="23"/>
      <w:r w:rsidRPr="009377B4">
        <w:rPr>
          <w:rFonts w:cstheme="minorHAnsi"/>
        </w:rPr>
        <w:t>).</w:t>
      </w:r>
    </w:p>
    <w:p w14:paraId="590D70AE" w14:textId="2AA5CBBE" w:rsidR="00070801" w:rsidRPr="009377B4" w:rsidRDefault="00070801" w:rsidP="00160522">
      <w:pPr>
        <w:pStyle w:val="NoSpacing"/>
        <w:rPr>
          <w:rFonts w:cstheme="minorHAnsi"/>
        </w:rPr>
      </w:pPr>
      <w:r w:rsidRPr="009377B4">
        <w:rPr>
          <w:rFonts w:cstheme="minorHAnsi"/>
          <w:noProof/>
        </w:rPr>
        <w:lastRenderedPageBreak/>
        <w:drawing>
          <wp:inline distT="0" distB="0" distL="0" distR="0" wp14:anchorId="74724977" wp14:editId="41E40E6B">
            <wp:extent cx="2743200" cy="1874520"/>
            <wp:effectExtent l="0" t="0" r="0" b="0"/>
            <wp:docPr id="1609" name="Picture 16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 name="Picture 1609">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1C2DB1AE" w14:textId="77777777" w:rsidR="00070801" w:rsidRPr="009377B4" w:rsidRDefault="00070801" w:rsidP="00070801">
      <w:pPr>
        <w:rPr>
          <w:rFonts w:cstheme="minorHAnsi"/>
        </w:rPr>
      </w:pPr>
      <w:r w:rsidRPr="009377B4">
        <w:rPr>
          <w:rFonts w:cstheme="minorHAnsi"/>
        </w:rPr>
        <w:t>Fig. 1. Impact of TH pretreatment to anaerobic digestion on total NPE in biosolids. Each bar represents the total NPE in each sample, with the individual concentrations of NP</w:t>
      </w:r>
      <w:r w:rsidRPr="009377B4">
        <w:rPr>
          <w:rFonts w:cstheme="minorHAnsi"/>
          <w:vertAlign w:val="subscript"/>
        </w:rPr>
        <w:t>2</w:t>
      </w:r>
      <w:r w:rsidRPr="009377B4">
        <w:rPr>
          <w:rFonts w:cstheme="minorHAnsi"/>
        </w:rPr>
        <w:t>EO, NP</w:t>
      </w:r>
      <w:r w:rsidRPr="009377B4">
        <w:rPr>
          <w:rFonts w:cstheme="minorHAnsi"/>
          <w:vertAlign w:val="subscript"/>
        </w:rPr>
        <w:t>1</w:t>
      </w:r>
      <w:r w:rsidRPr="009377B4">
        <w:rPr>
          <w:rFonts w:cstheme="minorHAnsi"/>
        </w:rPr>
        <w:t xml:space="preserve">EO, and NP represented as labeled on the plot. Error bars refer to standard error of the mean between triplicate runs on the LC/MS, </w:t>
      </w:r>
      <w:proofErr w:type="gramStart"/>
      <w:r w:rsidRPr="009377B4">
        <w:rPr>
          <w:rFonts w:cstheme="minorHAnsi"/>
        </w:rPr>
        <w:t>with the exception of</w:t>
      </w:r>
      <w:proofErr w:type="gramEnd"/>
      <w:r w:rsidRPr="009377B4">
        <w:rPr>
          <w:rFonts w:cstheme="minorHAnsi"/>
        </w:rPr>
        <w:t xml:space="preserve"> the MAD Eff sample where the error bars represent standard error of the mean on duplicate extractions.</w:t>
      </w:r>
    </w:p>
    <w:p w14:paraId="200627B2" w14:textId="77777777" w:rsidR="00070801" w:rsidRPr="009377B4" w:rsidRDefault="00070801" w:rsidP="00070801">
      <w:pPr>
        <w:rPr>
          <w:rFonts w:cstheme="minorHAnsi"/>
        </w:rPr>
      </w:pPr>
      <w:r w:rsidRPr="009377B4">
        <w:rPr>
          <w:rFonts w:cstheme="minorHAnsi"/>
        </w:rPr>
        <w:t>In the TH150-MAD20 reactor, however, the mass of NPE increased by 62% during digestion. Longer-chain ethoxylates (NP</w:t>
      </w:r>
      <w:r w:rsidRPr="009377B4">
        <w:rPr>
          <w:rFonts w:cstheme="minorHAnsi"/>
          <w:vertAlign w:val="subscript"/>
        </w:rPr>
        <w:t>3</w:t>
      </w:r>
      <w:r w:rsidRPr="009377B4">
        <w:rPr>
          <w:rFonts w:cstheme="minorHAnsi"/>
        </w:rPr>
        <w:t>EO–NP</w:t>
      </w:r>
      <w:r w:rsidRPr="009377B4">
        <w:rPr>
          <w:rFonts w:cstheme="minorHAnsi"/>
          <w:vertAlign w:val="subscript"/>
        </w:rPr>
        <w:t>20</w:t>
      </w:r>
      <w:r w:rsidRPr="009377B4">
        <w:rPr>
          <w:rFonts w:cstheme="minorHAnsi"/>
        </w:rPr>
        <w:t xml:space="preserve">EO, not analyzed in this study) are parent compounds of NPE. Although not observed in the MAD, TH150-MAD, and TH170-MAD reactors, the increase of total NPE seen in the TH150-MAD20 effluent suggests that higher chain ethoxylates can be broken down to NPE under these typical digester conditions. As a result, further investigation on the transformation of long-chain </w:t>
      </w:r>
      <w:proofErr w:type="spellStart"/>
      <w:r w:rsidRPr="009377B4">
        <w:rPr>
          <w:rFonts w:cstheme="minorHAnsi"/>
        </w:rPr>
        <w:t>NP</w:t>
      </w:r>
      <w:r w:rsidRPr="009377B4">
        <w:rPr>
          <w:rFonts w:cstheme="minorHAnsi"/>
          <w:i/>
          <w:iCs/>
          <w:vertAlign w:val="subscript"/>
        </w:rPr>
        <w:t>n</w:t>
      </w:r>
      <w:r w:rsidRPr="009377B4">
        <w:rPr>
          <w:rFonts w:cstheme="minorHAnsi"/>
        </w:rPr>
        <w:t>EOs</w:t>
      </w:r>
      <w:proofErr w:type="spellEnd"/>
      <w:r w:rsidRPr="009377B4">
        <w:rPr>
          <w:rFonts w:cstheme="minorHAnsi"/>
        </w:rPr>
        <w:t xml:space="preserve"> during TH-MAD with an extended SRT is warranted.</w:t>
      </w:r>
    </w:p>
    <w:p w14:paraId="272D9615" w14:textId="77777777" w:rsidR="00070801" w:rsidRPr="009377B4" w:rsidRDefault="00070801" w:rsidP="00160522">
      <w:pPr>
        <w:pStyle w:val="Heading2"/>
        <w:rPr>
          <w:rFonts w:asciiTheme="minorHAnsi" w:hAnsiTheme="minorHAnsi" w:cstheme="minorHAnsi"/>
        </w:rPr>
      </w:pPr>
      <w:r w:rsidRPr="009377B4">
        <w:rPr>
          <w:rFonts w:asciiTheme="minorHAnsi" w:hAnsiTheme="minorHAnsi" w:cstheme="minorHAnsi"/>
        </w:rPr>
        <w:t>3.3. Impact of TH pretreatment on the ratio of NP to NPE in digester effluent</w:t>
      </w:r>
    </w:p>
    <w:p w14:paraId="1AE362DF" w14:textId="02171D83" w:rsidR="00070801" w:rsidRPr="009377B4" w:rsidRDefault="00070801" w:rsidP="00070801">
      <w:pPr>
        <w:rPr>
          <w:rFonts w:cstheme="minorHAnsi"/>
        </w:rPr>
      </w:pPr>
      <w:r w:rsidRPr="009377B4">
        <w:rPr>
          <w:rFonts w:cstheme="minorHAnsi"/>
        </w:rPr>
        <w:t>The conventional MAD treatment process produced biosolids with a higher ratio of NP:NPE than the TH-MAD treatments (</w:t>
      </w:r>
      <w:bookmarkStart w:id="71" w:name="bfig2"/>
      <w:r w:rsidRPr="009377B4">
        <w:rPr>
          <w:rFonts w:cstheme="minorHAnsi"/>
        </w:rPr>
        <w:t xml:space="preserve">Fig. 2). The ratios of NP to NPE increased from influent to effluent in all anaerobic digesters </w:t>
      </w:r>
      <w:proofErr w:type="gramStart"/>
      <w:r w:rsidRPr="009377B4">
        <w:rPr>
          <w:rFonts w:cstheme="minorHAnsi"/>
        </w:rPr>
        <w:t>as a result of</w:t>
      </w:r>
      <w:proofErr w:type="gramEnd"/>
      <w:r w:rsidRPr="009377B4">
        <w:rPr>
          <w:rFonts w:cstheme="minorHAnsi"/>
        </w:rPr>
        <w:t xml:space="preserve"> the biodegradation of NPEO to NP (Fig. 2</w:t>
      </w:r>
      <w:bookmarkEnd w:id="71"/>
      <w:r w:rsidRPr="009377B4">
        <w:rPr>
          <w:rFonts w:cstheme="minorHAnsi"/>
        </w:rPr>
        <w:t xml:space="preserve">). The biodegradation efficiency of NPEO to NP varied, however, depending on whether TH preceded MAD. In conventional </w:t>
      </w:r>
      <w:proofErr w:type="gramStart"/>
      <w:r w:rsidRPr="009377B4">
        <w:rPr>
          <w:rFonts w:cstheme="minorHAnsi"/>
        </w:rPr>
        <w:t>MAD</w:t>
      </w:r>
      <w:proofErr w:type="gramEnd"/>
      <w:r w:rsidRPr="009377B4">
        <w:rPr>
          <w:rFonts w:cstheme="minorHAnsi"/>
        </w:rPr>
        <w:t xml:space="preserve"> the ratio of NP:NPE increased 56% following digestion, whereas in the three sets samples from TH-MAD reactors operated at 15 d SRT, the ratio of NP:NPE only increased 23.9 ± 3.4% (average ± standard deviation). The ratio of NP:NPE in the TH150-MAD20 reactor increased 26.6%. It is interesting that the conventional MAD treatment process was more efficient at biodegrading NPEO to NP than the advanced TH-MAD process, even though the TH-MAD reactors outperformed the conventional MAD reactor based on volatile solids reduction. Thus, digester performance based on classical criteria was not directly related to the biodegradation efficiency of NPEO to NP. These results, showing reduced NPEO biodegradation to NP following TH, are </w:t>
      </w:r>
      <w:proofErr w:type="gramStart"/>
      <w:r w:rsidRPr="009377B4">
        <w:rPr>
          <w:rFonts w:cstheme="minorHAnsi"/>
        </w:rPr>
        <w:t>similar to</w:t>
      </w:r>
      <w:proofErr w:type="gramEnd"/>
      <w:r w:rsidRPr="009377B4">
        <w:rPr>
          <w:rFonts w:cstheme="minorHAnsi"/>
        </w:rPr>
        <w:t xml:space="preserve"> other results that show PAH removal during anaerobic digestion decreased after TH of the feed sludge (Barret et al., 2010a</w:t>
      </w:r>
      <w:bookmarkEnd w:id="35"/>
      <w:r w:rsidRPr="009377B4">
        <w:rPr>
          <w:rFonts w:cstheme="minorHAnsi"/>
        </w:rPr>
        <w:t>).</w:t>
      </w:r>
    </w:p>
    <w:p w14:paraId="2054C42E" w14:textId="22A487DF" w:rsidR="00070801" w:rsidRPr="009377B4" w:rsidRDefault="00070801" w:rsidP="00160522">
      <w:pPr>
        <w:pStyle w:val="NoSpacing"/>
        <w:rPr>
          <w:rFonts w:cstheme="minorHAnsi"/>
        </w:rPr>
      </w:pPr>
      <w:r w:rsidRPr="009377B4">
        <w:rPr>
          <w:rFonts w:cstheme="minorHAnsi"/>
          <w:noProof/>
        </w:rPr>
        <w:drawing>
          <wp:inline distT="0" distB="0" distL="0" distR="0" wp14:anchorId="5F79575C" wp14:editId="6509FDBA">
            <wp:extent cx="2743200" cy="1737360"/>
            <wp:effectExtent l="0" t="0" r="0" b="0"/>
            <wp:docPr id="1608" name="Picture 16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 name="Picture 1608">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37360"/>
                    </a:xfrm>
                    <a:prstGeom prst="rect">
                      <a:avLst/>
                    </a:prstGeom>
                    <a:noFill/>
                    <a:ln>
                      <a:noFill/>
                    </a:ln>
                  </pic:spPr>
                </pic:pic>
              </a:graphicData>
            </a:graphic>
          </wp:inline>
        </w:drawing>
      </w:r>
    </w:p>
    <w:p w14:paraId="157E5DC0" w14:textId="77777777" w:rsidR="00070801" w:rsidRPr="009377B4" w:rsidRDefault="00070801" w:rsidP="00070801">
      <w:pPr>
        <w:rPr>
          <w:rFonts w:cstheme="minorHAnsi"/>
        </w:rPr>
      </w:pPr>
      <w:r w:rsidRPr="009377B4">
        <w:rPr>
          <w:rFonts w:cstheme="minorHAnsi"/>
        </w:rPr>
        <w:t>Fig. 2. Impact of TH pretreatment to anaerobic digestion on the ratio of NP to NPE.</w:t>
      </w:r>
    </w:p>
    <w:p w14:paraId="2BDF552F" w14:textId="549F3881" w:rsidR="00070801" w:rsidRPr="009377B4" w:rsidRDefault="00070801" w:rsidP="00070801">
      <w:pPr>
        <w:rPr>
          <w:rFonts w:cstheme="minorHAnsi"/>
        </w:rPr>
      </w:pPr>
      <w:bookmarkStart w:id="72" w:name="bbib5"/>
      <w:r w:rsidRPr="009377B4">
        <w:rPr>
          <w:rFonts w:cstheme="minorHAnsi"/>
        </w:rPr>
        <w:lastRenderedPageBreak/>
        <w:t>Barret et al. (2010c)</w:t>
      </w:r>
      <w:bookmarkEnd w:id="72"/>
      <w:r w:rsidRPr="009377B4">
        <w:rPr>
          <w:rFonts w:cstheme="minorHAnsi"/>
        </w:rPr>
        <w:t xml:space="preserve"> have suggested that PAH degradation during anaerobic digestion can be limited by bioavailability or </w:t>
      </w:r>
      <w:proofErr w:type="spellStart"/>
      <w:r w:rsidRPr="009377B4">
        <w:rPr>
          <w:rFonts w:cstheme="minorHAnsi"/>
        </w:rPr>
        <w:t>cometabolism</w:t>
      </w:r>
      <w:proofErr w:type="spellEnd"/>
      <w:r w:rsidRPr="009377B4">
        <w:rPr>
          <w:rFonts w:cstheme="minorHAnsi"/>
        </w:rPr>
        <w:t xml:space="preserve">. The fact that the TH-MAD reactors had higher solids destruction, an indicator of microbial activity, but lower conversion of NPEO to NP, indicates that, either 1) </w:t>
      </w:r>
      <w:proofErr w:type="spellStart"/>
      <w:r w:rsidRPr="009377B4">
        <w:rPr>
          <w:rFonts w:cstheme="minorHAnsi"/>
        </w:rPr>
        <w:t>cometabolism</w:t>
      </w:r>
      <w:proofErr w:type="spellEnd"/>
      <w:r w:rsidRPr="009377B4">
        <w:rPr>
          <w:rFonts w:cstheme="minorHAnsi"/>
        </w:rPr>
        <w:t xml:space="preserve"> was not the limiting factor, or 2) overall metabolism in the reactor was not a relevant indictor of NPEO biodegradation. Indeed, the TH process generated much higher levels of volatile fatty acids, perhaps resulting in the inhibition of ethoxylate-degrading organisms or greater substrate competition (</w:t>
      </w:r>
      <w:bookmarkStart w:id="73" w:name="bbib38"/>
      <w:r w:rsidRPr="009377B4">
        <w:rPr>
          <w:rFonts w:cstheme="minorHAnsi"/>
        </w:rPr>
        <w:t>Russell, 1992</w:t>
      </w:r>
      <w:bookmarkEnd w:id="73"/>
      <w:r w:rsidRPr="009377B4">
        <w:rPr>
          <w:rFonts w:cstheme="minorHAnsi"/>
        </w:rPr>
        <w:t>, Chang et al., 2008</w:t>
      </w:r>
      <w:bookmarkEnd w:id="24"/>
      <w:r w:rsidRPr="009377B4">
        <w:rPr>
          <w:rFonts w:cstheme="minorHAnsi"/>
        </w:rPr>
        <w:t>). The TH process also resulted in higher ammonia levels from the rapid conversion of soluble proteins (Wilson and Novak, 2009</w:t>
      </w:r>
      <w:bookmarkEnd w:id="61"/>
      <w:r w:rsidRPr="009377B4">
        <w:rPr>
          <w:rFonts w:cstheme="minorHAnsi"/>
        </w:rPr>
        <w:t>), which could inhibit the degradation of NPEO to NP. Thermal hydrolysis also reduces the bioavailability of hydrophobic micropollutants (</w:t>
      </w:r>
      <w:bookmarkStart w:id="74" w:name="bbib4"/>
      <w:r w:rsidRPr="009377B4">
        <w:rPr>
          <w:rFonts w:cstheme="minorHAnsi"/>
        </w:rPr>
        <w:t>Barret et al., 2010b</w:t>
      </w:r>
      <w:bookmarkEnd w:id="74"/>
      <w:r w:rsidRPr="009377B4">
        <w:rPr>
          <w:rFonts w:cstheme="minorHAnsi"/>
        </w:rPr>
        <w:t xml:space="preserve">), which could explain the reduction of NPEO biodegradation seen in the TH-MAD reactors with a </w:t>
      </w:r>
      <w:proofErr w:type="gramStart"/>
      <w:r w:rsidRPr="009377B4">
        <w:rPr>
          <w:rFonts w:cstheme="minorHAnsi"/>
        </w:rPr>
        <w:t>15 day</w:t>
      </w:r>
      <w:proofErr w:type="gramEnd"/>
      <w:r w:rsidRPr="009377B4">
        <w:rPr>
          <w:rFonts w:cstheme="minorHAnsi"/>
        </w:rPr>
        <w:t xml:space="preserve"> SRT.</w:t>
      </w:r>
    </w:p>
    <w:p w14:paraId="31D3BC06" w14:textId="1C8A94CE" w:rsidR="00070801" w:rsidRPr="009377B4" w:rsidRDefault="00070801" w:rsidP="00070801">
      <w:pPr>
        <w:rPr>
          <w:rFonts w:cstheme="minorHAnsi"/>
        </w:rPr>
      </w:pPr>
      <w:r w:rsidRPr="009377B4">
        <w:rPr>
          <w:rFonts w:cstheme="minorHAnsi"/>
        </w:rPr>
        <w:t>This trend of less NPEO conversion to NP in the TH-MAD setups was also observed when comparing results from our research to that of published full-scale studies (</w:t>
      </w:r>
      <w:bookmarkStart w:id="75" w:name="bfig3"/>
      <w:r w:rsidRPr="009377B4">
        <w:rPr>
          <w:rFonts w:cstheme="minorHAnsi"/>
        </w:rPr>
        <w:t xml:space="preserve">Fig. 3, SI Table 1). The average ratio of NP:NPE in 36 full-scale conventional mesophilic anaerobic digesters was 82%; in this study the NP/NPE ratio was 83% for the MAD reactor. Because the conversion of NPEO to NP in a few of the full-scale conventional MAD reactors was lower than in the TH-MAD reactors in this study, it cannot be stated that TH will always hamper the biodegradation of NPEOs to NP in downstream digestion. Nevertheless, the difference between the NP:NPEO ratio in </w:t>
      </w:r>
      <w:proofErr w:type="gramStart"/>
      <w:r w:rsidRPr="009377B4">
        <w:rPr>
          <w:rFonts w:cstheme="minorHAnsi"/>
        </w:rPr>
        <w:t>all of</w:t>
      </w:r>
      <w:proofErr w:type="gramEnd"/>
      <w:r w:rsidRPr="009377B4">
        <w:rPr>
          <w:rFonts w:cstheme="minorHAnsi"/>
        </w:rPr>
        <w:t xml:space="preserve"> the 36 full-scale reactors depicted in Fig. 3</w:t>
      </w:r>
      <w:bookmarkEnd w:id="75"/>
      <w:r w:rsidRPr="009377B4">
        <w:rPr>
          <w:rFonts w:cstheme="minorHAnsi"/>
        </w:rPr>
        <w:t> and the 4 sets of samples from the TH-MAD reactors in this study was statistically significant (</w:t>
      </w:r>
      <w:r w:rsidRPr="009377B4">
        <w:rPr>
          <w:rFonts w:cstheme="minorHAnsi"/>
          <w:i/>
          <w:iCs/>
        </w:rPr>
        <w:t>p</w:t>
      </w:r>
      <w:r w:rsidRPr="009377B4">
        <w:rPr>
          <w:rFonts w:cstheme="minorHAnsi"/>
        </w:rPr>
        <w:t> = 0.0006; Student’s </w:t>
      </w:r>
      <w:r w:rsidRPr="009377B4">
        <w:rPr>
          <w:rFonts w:cstheme="minorHAnsi"/>
          <w:i/>
          <w:iCs/>
        </w:rPr>
        <w:t>t</w:t>
      </w:r>
      <w:r w:rsidRPr="009377B4">
        <w:rPr>
          <w:rFonts w:cstheme="minorHAnsi"/>
        </w:rPr>
        <w:t>-test).</w:t>
      </w:r>
    </w:p>
    <w:p w14:paraId="22E104C1" w14:textId="26FF2523" w:rsidR="00070801" w:rsidRPr="009377B4" w:rsidRDefault="00070801" w:rsidP="00160522">
      <w:pPr>
        <w:pStyle w:val="NoSpacing"/>
        <w:rPr>
          <w:rFonts w:cstheme="minorHAnsi"/>
        </w:rPr>
      </w:pPr>
      <w:r w:rsidRPr="009377B4">
        <w:rPr>
          <w:rFonts w:cstheme="minorHAnsi"/>
          <w:noProof/>
        </w:rPr>
        <w:drawing>
          <wp:inline distT="0" distB="0" distL="0" distR="0" wp14:anchorId="4D194B73" wp14:editId="4B57C720">
            <wp:extent cx="2743200" cy="1847088"/>
            <wp:effectExtent l="0" t="0" r="0" b="1270"/>
            <wp:docPr id="1607" name="Picture 16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 name="Picture 160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3A2AFC08" w14:textId="173305C7" w:rsidR="00070801" w:rsidRPr="009377B4" w:rsidRDefault="00070801" w:rsidP="00070801">
      <w:pPr>
        <w:rPr>
          <w:rFonts w:cstheme="minorHAnsi"/>
        </w:rPr>
      </w:pPr>
      <w:r w:rsidRPr="009377B4">
        <w:rPr>
          <w:rFonts w:cstheme="minorHAnsi"/>
        </w:rPr>
        <w:t>Fig. 3. Impact of TH-MAD on ratio of NP to NPE relative to full-scale MAD digesters. MAD samples (</w:t>
      </w:r>
      <w:r w:rsidRPr="009377B4">
        <w:rPr>
          <w:rFonts w:cstheme="minorHAnsi"/>
          <w:i/>
          <w:iCs/>
        </w:rPr>
        <w:t>n</w:t>
      </w:r>
      <w:r w:rsidRPr="009377B4">
        <w:rPr>
          <w:rFonts w:cstheme="minorHAnsi"/>
        </w:rPr>
        <w:t> = 36) taken from </w:t>
      </w:r>
      <w:bookmarkStart w:id="76" w:name="bbib19"/>
      <w:proofErr w:type="spellStart"/>
      <w:r w:rsidRPr="009377B4">
        <w:rPr>
          <w:rFonts w:cstheme="minorHAnsi"/>
        </w:rPr>
        <w:t>Gonzáles</w:t>
      </w:r>
      <w:proofErr w:type="spellEnd"/>
      <w:r w:rsidRPr="009377B4">
        <w:rPr>
          <w:rFonts w:cstheme="minorHAnsi"/>
        </w:rPr>
        <w:t xml:space="preserve"> et al. (2010)</w:t>
      </w:r>
      <w:bookmarkEnd w:id="76"/>
      <w:r w:rsidRPr="009377B4">
        <w:rPr>
          <w:rFonts w:cstheme="minorHAnsi"/>
        </w:rPr>
        <w:t> and Brunner et al. (1988)</w:t>
      </w:r>
      <w:bookmarkEnd w:id="46"/>
      <w:r w:rsidRPr="009377B4">
        <w:rPr>
          <w:rFonts w:cstheme="minorHAnsi"/>
        </w:rPr>
        <w:t>; TH-MAD samples (</w:t>
      </w:r>
      <w:r w:rsidRPr="009377B4">
        <w:rPr>
          <w:rFonts w:cstheme="minorHAnsi"/>
          <w:i/>
          <w:iCs/>
        </w:rPr>
        <w:t>n</w:t>
      </w:r>
      <w:r w:rsidRPr="009377B4">
        <w:rPr>
          <w:rFonts w:cstheme="minorHAnsi"/>
        </w:rPr>
        <w:t> = 4) taken from this study. Error bars depict standard error of the mean. Actual values of NPE concentrations in all samples are shown in Table S1 of supporting information.</w:t>
      </w:r>
    </w:p>
    <w:p w14:paraId="1E1386FD" w14:textId="77777777" w:rsidR="00070801" w:rsidRPr="009377B4" w:rsidRDefault="00070801" w:rsidP="00160522">
      <w:pPr>
        <w:pStyle w:val="Heading2"/>
        <w:rPr>
          <w:rFonts w:asciiTheme="minorHAnsi" w:hAnsiTheme="minorHAnsi" w:cstheme="minorHAnsi"/>
        </w:rPr>
      </w:pPr>
      <w:r w:rsidRPr="009377B4">
        <w:rPr>
          <w:rFonts w:asciiTheme="minorHAnsi" w:hAnsiTheme="minorHAnsi" w:cstheme="minorHAnsi"/>
        </w:rPr>
        <w:t>3.4. Impact of a post-aerobic digestion phase on fate of NPE</w:t>
      </w:r>
    </w:p>
    <w:p w14:paraId="6E2E67B5" w14:textId="08908572" w:rsidR="00070801" w:rsidRPr="009377B4" w:rsidRDefault="00070801" w:rsidP="00070801">
      <w:pPr>
        <w:rPr>
          <w:rFonts w:cstheme="minorHAnsi"/>
        </w:rPr>
      </w:pPr>
      <w:r w:rsidRPr="009377B4">
        <w:rPr>
          <w:rFonts w:cstheme="minorHAnsi"/>
        </w:rPr>
        <w:t>The total NPE decreased in the additional aerobic phases that followed the MAD reactor and in the anoxic/aerobic phases that followed TH-MAD (</w:t>
      </w:r>
      <w:bookmarkStart w:id="77" w:name="bfig4"/>
      <w:r w:rsidRPr="009377B4">
        <w:rPr>
          <w:rFonts w:cstheme="minorHAnsi"/>
        </w:rPr>
        <w:t>Fig. 4</w:t>
      </w:r>
      <w:bookmarkEnd w:id="77"/>
      <w:r w:rsidRPr="009377B4">
        <w:rPr>
          <w:rFonts w:cstheme="minorHAnsi"/>
        </w:rPr>
        <w:t xml:space="preserve">). Under aerobic conditions, the total NPE decreased by nearly 70%, whereas in the post-digestion reactors (with anoxic/aerobic cycling) that followed TH-MAD, 30–45% of total NPE mass was removed. NP is mineralized under aerobic conditions (thus accounting for a decrease in total NPE), but </w:t>
      </w:r>
      <w:proofErr w:type="spellStart"/>
      <w:r w:rsidRPr="009377B4">
        <w:rPr>
          <w:rFonts w:cstheme="minorHAnsi"/>
        </w:rPr>
        <w:t>nonylphenoxy</w:t>
      </w:r>
      <w:proofErr w:type="spellEnd"/>
      <w:r w:rsidRPr="009377B4">
        <w:rPr>
          <w:rFonts w:cstheme="minorHAnsi"/>
        </w:rPr>
        <w:t xml:space="preserve"> carboxylates (NPECs) can also form during aerobic degradation of NPEO (</w:t>
      </w:r>
      <w:bookmarkStart w:id="78" w:name="bbib20"/>
      <w:proofErr w:type="spellStart"/>
      <w:r w:rsidRPr="009377B4">
        <w:rPr>
          <w:rFonts w:cstheme="minorHAnsi"/>
        </w:rPr>
        <w:t>Hesselsoe</w:t>
      </w:r>
      <w:proofErr w:type="spellEnd"/>
      <w:r w:rsidRPr="009377B4">
        <w:rPr>
          <w:rFonts w:cstheme="minorHAnsi"/>
        </w:rPr>
        <w:t xml:space="preserve"> et al., 2001</w:t>
      </w:r>
      <w:bookmarkEnd w:id="78"/>
      <w:r w:rsidRPr="009377B4">
        <w:rPr>
          <w:rFonts w:cstheme="minorHAnsi"/>
        </w:rPr>
        <w:t>, </w:t>
      </w:r>
      <w:proofErr w:type="spellStart"/>
      <w:r w:rsidRPr="009377B4">
        <w:rPr>
          <w:rFonts w:cstheme="minorHAnsi"/>
        </w:rPr>
        <w:t>Ahel</w:t>
      </w:r>
      <w:proofErr w:type="spellEnd"/>
      <w:r w:rsidRPr="009377B4">
        <w:rPr>
          <w:rFonts w:cstheme="minorHAnsi"/>
        </w:rPr>
        <w:t xml:space="preserve"> et al., 1994</w:t>
      </w:r>
      <w:bookmarkEnd w:id="27"/>
      <w:r w:rsidRPr="009377B4">
        <w:rPr>
          <w:rFonts w:cstheme="minorHAnsi"/>
        </w:rPr>
        <w:t xml:space="preserve">). NPEC were not analyzed and might have accounted for some loss of NPE during aerobic digestion. The LC/MS results showing a decrease in total NPE following aerobic or anoxic/aerobic treatment were corroborated by an observed reduction in total </w:t>
      </w:r>
      <w:proofErr w:type="spellStart"/>
      <w:r w:rsidRPr="009377B4">
        <w:rPr>
          <w:rFonts w:cstheme="minorHAnsi"/>
        </w:rPr>
        <w:t>estrogenicity</w:t>
      </w:r>
      <w:proofErr w:type="spellEnd"/>
      <w:r w:rsidRPr="009377B4">
        <w:rPr>
          <w:rFonts w:cstheme="minorHAnsi"/>
        </w:rPr>
        <w:t xml:space="preserve"> as measured via the YES assay. Total </w:t>
      </w:r>
      <w:proofErr w:type="spellStart"/>
      <w:r w:rsidRPr="009377B4">
        <w:rPr>
          <w:rFonts w:cstheme="minorHAnsi"/>
        </w:rPr>
        <w:t>estrogenicity</w:t>
      </w:r>
      <w:proofErr w:type="spellEnd"/>
      <w:r w:rsidRPr="009377B4">
        <w:rPr>
          <w:rFonts w:cstheme="minorHAnsi"/>
        </w:rPr>
        <w:t xml:space="preserve"> was reduced by approximately 50% during aeration following conventional MAD (Figure S1</w:t>
      </w:r>
      <w:bookmarkEnd w:id="36"/>
      <w:r w:rsidRPr="009377B4">
        <w:rPr>
          <w:rFonts w:cstheme="minorHAnsi"/>
        </w:rPr>
        <w:t>). Similar results have been observed by </w:t>
      </w:r>
      <w:bookmarkStart w:id="79" w:name="bbib28"/>
      <w:r w:rsidRPr="009377B4">
        <w:rPr>
          <w:rFonts w:cstheme="minorHAnsi"/>
        </w:rPr>
        <w:t>Knudsen et al. (2000)</w:t>
      </w:r>
      <w:bookmarkEnd w:id="79"/>
      <w:r w:rsidRPr="009377B4">
        <w:rPr>
          <w:rFonts w:cstheme="minorHAnsi"/>
        </w:rPr>
        <w:t xml:space="preserve">, who found that aerobic treatment following anaerobic digestion reduced NPE concentrations by over 75%. These results indicate that an additional </w:t>
      </w:r>
      <w:r w:rsidRPr="009377B4">
        <w:rPr>
          <w:rFonts w:cstheme="minorHAnsi"/>
        </w:rPr>
        <w:lastRenderedPageBreak/>
        <w:t>treatment phase that includes aeration of some fashion would decrease total NPE regardless of whether TH pretreatment was used.</w:t>
      </w:r>
    </w:p>
    <w:p w14:paraId="054D75C1" w14:textId="5CD3C84C" w:rsidR="00070801" w:rsidRPr="009377B4" w:rsidRDefault="00070801" w:rsidP="00160522">
      <w:pPr>
        <w:pStyle w:val="NoSpacing"/>
        <w:rPr>
          <w:rFonts w:cstheme="minorHAnsi"/>
        </w:rPr>
      </w:pPr>
      <w:r w:rsidRPr="009377B4">
        <w:rPr>
          <w:rFonts w:cstheme="minorHAnsi"/>
          <w:noProof/>
        </w:rPr>
        <w:drawing>
          <wp:inline distT="0" distB="0" distL="0" distR="0" wp14:anchorId="5E704B40" wp14:editId="017EE873">
            <wp:extent cx="2743200" cy="1655064"/>
            <wp:effectExtent l="0" t="0" r="0" b="2540"/>
            <wp:docPr id="1606" name="Picture 16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 name="Picture 160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55064"/>
                    </a:xfrm>
                    <a:prstGeom prst="rect">
                      <a:avLst/>
                    </a:prstGeom>
                    <a:noFill/>
                    <a:ln>
                      <a:noFill/>
                    </a:ln>
                  </pic:spPr>
                </pic:pic>
              </a:graphicData>
            </a:graphic>
          </wp:inline>
        </w:drawing>
      </w:r>
    </w:p>
    <w:p w14:paraId="63D2B100" w14:textId="77777777" w:rsidR="00070801" w:rsidRPr="009377B4" w:rsidRDefault="00070801" w:rsidP="00070801">
      <w:pPr>
        <w:rPr>
          <w:rFonts w:cstheme="minorHAnsi"/>
        </w:rPr>
      </w:pPr>
      <w:r w:rsidRPr="009377B4">
        <w:rPr>
          <w:rFonts w:cstheme="minorHAnsi"/>
        </w:rPr>
        <w:t xml:space="preserve">Fig. 4. Impact of post-aerobic digestion following anaerobic digestion on total NPE in biosolids. Error bars refer to standard error of the mean between triplicate runs on the LC/MS, </w:t>
      </w:r>
      <w:proofErr w:type="gramStart"/>
      <w:r w:rsidRPr="009377B4">
        <w:rPr>
          <w:rFonts w:cstheme="minorHAnsi"/>
        </w:rPr>
        <w:t>with the exception of</w:t>
      </w:r>
      <w:proofErr w:type="gramEnd"/>
      <w:r w:rsidRPr="009377B4">
        <w:rPr>
          <w:rFonts w:cstheme="minorHAnsi"/>
        </w:rPr>
        <w:t xml:space="preserve"> the MAD-AER Inf sample where the error bars represent standard error of the mean on duplicate extractions.</w:t>
      </w:r>
    </w:p>
    <w:p w14:paraId="24DD3E4B" w14:textId="77777777" w:rsidR="00070801" w:rsidRPr="009377B4" w:rsidRDefault="00070801" w:rsidP="00160522">
      <w:pPr>
        <w:pStyle w:val="Heading2"/>
        <w:rPr>
          <w:rFonts w:asciiTheme="minorHAnsi" w:hAnsiTheme="minorHAnsi" w:cstheme="minorHAnsi"/>
        </w:rPr>
      </w:pPr>
      <w:r w:rsidRPr="009377B4">
        <w:rPr>
          <w:rFonts w:asciiTheme="minorHAnsi" w:hAnsiTheme="minorHAnsi" w:cstheme="minorHAnsi"/>
        </w:rPr>
        <w:t xml:space="preserve">3.5. Contribution of NPE to total </w:t>
      </w:r>
      <w:proofErr w:type="spellStart"/>
      <w:r w:rsidRPr="009377B4">
        <w:rPr>
          <w:rFonts w:asciiTheme="minorHAnsi" w:hAnsiTheme="minorHAnsi" w:cstheme="minorHAnsi"/>
        </w:rPr>
        <w:t>estrogenicity</w:t>
      </w:r>
      <w:proofErr w:type="spellEnd"/>
    </w:p>
    <w:p w14:paraId="56AB8F4C" w14:textId="7683E6D8" w:rsidR="00070801" w:rsidRPr="009377B4" w:rsidRDefault="00070801" w:rsidP="00070801">
      <w:pPr>
        <w:rPr>
          <w:rFonts w:cstheme="minorHAnsi"/>
        </w:rPr>
      </w:pPr>
      <w:r w:rsidRPr="009377B4">
        <w:rPr>
          <w:rFonts w:cstheme="minorHAnsi"/>
        </w:rPr>
        <w:t>The NPE are only weakly estrogenic (Routledge and Sumpter, 1996</w:t>
      </w:r>
      <w:bookmarkEnd w:id="29"/>
      <w:r w:rsidRPr="009377B4">
        <w:rPr>
          <w:rFonts w:cstheme="minorHAnsi"/>
        </w:rPr>
        <w:t xml:space="preserve">). As a result of the high concentrations of NPE that accumulate in biosolids, however, NPE may still represent a notable fraction of the total </w:t>
      </w:r>
      <w:proofErr w:type="spellStart"/>
      <w:r w:rsidRPr="009377B4">
        <w:rPr>
          <w:rFonts w:cstheme="minorHAnsi"/>
        </w:rPr>
        <w:t>estrogenicity</w:t>
      </w:r>
      <w:proofErr w:type="spellEnd"/>
      <w:r w:rsidRPr="009377B4">
        <w:rPr>
          <w:rFonts w:cstheme="minorHAnsi"/>
        </w:rPr>
        <w:t xml:space="preserve"> in biosolids. Indeed, this study found the contribution of </w:t>
      </w:r>
      <w:proofErr w:type="spellStart"/>
      <w:r w:rsidRPr="009377B4">
        <w:rPr>
          <w:rFonts w:cstheme="minorHAnsi"/>
        </w:rPr>
        <w:t>estrogenicity</w:t>
      </w:r>
      <w:proofErr w:type="spellEnd"/>
      <w:r w:rsidRPr="009377B4">
        <w:rPr>
          <w:rFonts w:cstheme="minorHAnsi"/>
        </w:rPr>
        <w:t xml:space="preserve"> from NPE in anaerobically and aerobically treated biosolids was 21 ± 27% and 32 ± 16%, respectively. These results indicate that NPE represent a marked fraction of the total </w:t>
      </w:r>
      <w:proofErr w:type="spellStart"/>
      <w:r w:rsidRPr="009377B4">
        <w:rPr>
          <w:rFonts w:cstheme="minorHAnsi"/>
        </w:rPr>
        <w:t>estrogenicity</w:t>
      </w:r>
      <w:proofErr w:type="spellEnd"/>
      <w:r w:rsidRPr="009377B4">
        <w:rPr>
          <w:rFonts w:cstheme="minorHAnsi"/>
        </w:rPr>
        <w:t xml:space="preserve"> in biosolids. The NPE were shown to account for less than 4% of total </w:t>
      </w:r>
      <w:proofErr w:type="spellStart"/>
      <w:r w:rsidRPr="009377B4">
        <w:rPr>
          <w:rFonts w:cstheme="minorHAnsi"/>
        </w:rPr>
        <w:t>estrogenicity</w:t>
      </w:r>
      <w:proofErr w:type="spellEnd"/>
      <w:r w:rsidRPr="009377B4">
        <w:rPr>
          <w:rFonts w:cstheme="minorHAnsi"/>
        </w:rPr>
        <w:t xml:space="preserve"> in sewage treatment plant liquid effluent in two different studies (</w:t>
      </w:r>
      <w:proofErr w:type="spellStart"/>
      <w:r w:rsidRPr="009377B4">
        <w:rPr>
          <w:rFonts w:cstheme="minorHAnsi"/>
        </w:rPr>
        <w:t>Rutishauser</w:t>
      </w:r>
      <w:proofErr w:type="spellEnd"/>
      <w:r w:rsidRPr="009377B4">
        <w:rPr>
          <w:rFonts w:cstheme="minorHAnsi"/>
        </w:rPr>
        <w:t xml:space="preserve"> et al., 2004</w:t>
      </w:r>
      <w:bookmarkEnd w:id="49"/>
      <w:r w:rsidRPr="009377B4">
        <w:rPr>
          <w:rFonts w:cstheme="minorHAnsi"/>
        </w:rPr>
        <w:t>, </w:t>
      </w:r>
      <w:bookmarkStart w:id="80" w:name="bbib53"/>
      <w:r w:rsidRPr="009377B4">
        <w:rPr>
          <w:rFonts w:cstheme="minorHAnsi"/>
        </w:rPr>
        <w:t>Zhang et al., 2011</w:t>
      </w:r>
      <w:bookmarkEnd w:id="80"/>
      <w:r w:rsidRPr="009377B4">
        <w:rPr>
          <w:rFonts w:cstheme="minorHAnsi"/>
        </w:rPr>
        <w:t>). Conversely, Holbrook et al. (2002)</w:t>
      </w:r>
      <w:bookmarkEnd w:id="30"/>
      <w:r w:rsidRPr="009377B4">
        <w:rPr>
          <w:rFonts w:cstheme="minorHAnsi"/>
        </w:rPr>
        <w:t xml:space="preserve"> estimated that nonylphenol and </w:t>
      </w:r>
      <w:proofErr w:type="spellStart"/>
      <w:r w:rsidRPr="009377B4">
        <w:rPr>
          <w:rFonts w:cstheme="minorHAnsi"/>
        </w:rPr>
        <w:t>octylphenol</w:t>
      </w:r>
      <w:proofErr w:type="spellEnd"/>
      <w:r w:rsidRPr="009377B4">
        <w:rPr>
          <w:rFonts w:cstheme="minorHAnsi"/>
        </w:rPr>
        <w:t xml:space="preserve"> accounted for &gt;100% of the </w:t>
      </w:r>
      <w:proofErr w:type="spellStart"/>
      <w:r w:rsidRPr="009377B4">
        <w:rPr>
          <w:rFonts w:cstheme="minorHAnsi"/>
        </w:rPr>
        <w:t>estrogenicity</w:t>
      </w:r>
      <w:proofErr w:type="spellEnd"/>
      <w:r w:rsidRPr="009377B4">
        <w:rPr>
          <w:rFonts w:cstheme="minorHAnsi"/>
        </w:rPr>
        <w:t xml:space="preserve"> in biosolids. While NPE might be less of a concern regarding impacts in liquid discharge, their contribution to the </w:t>
      </w:r>
      <w:proofErr w:type="spellStart"/>
      <w:r w:rsidRPr="009377B4">
        <w:rPr>
          <w:rFonts w:cstheme="minorHAnsi"/>
        </w:rPr>
        <w:t>estrogenicity</w:t>
      </w:r>
      <w:proofErr w:type="spellEnd"/>
      <w:r w:rsidRPr="009377B4">
        <w:rPr>
          <w:rFonts w:cstheme="minorHAnsi"/>
        </w:rPr>
        <w:t xml:space="preserve"> of biosolids must be considered when evaluating the environmental impacts of land application. Even though NPE have been shown to readily degrade in soil (</w:t>
      </w:r>
      <w:bookmarkStart w:id="81" w:name="bbib18"/>
      <w:r w:rsidRPr="009377B4">
        <w:rPr>
          <w:rFonts w:cstheme="minorHAnsi"/>
        </w:rPr>
        <w:t>Gomez-Rico et al., 2008</w:t>
      </w:r>
      <w:bookmarkEnd w:id="81"/>
      <w:r w:rsidRPr="009377B4">
        <w:rPr>
          <w:rFonts w:cstheme="minorHAnsi"/>
        </w:rPr>
        <w:t>), NP was detected at mg/kg levels in soils that consistently received biosolids (</w:t>
      </w:r>
      <w:bookmarkStart w:id="82" w:name="bbib51"/>
      <w:r w:rsidRPr="009377B4">
        <w:rPr>
          <w:rFonts w:cstheme="minorHAnsi"/>
        </w:rPr>
        <w:t>Xia et al., 2010</w:t>
      </w:r>
      <w:bookmarkEnd w:id="82"/>
      <w:r w:rsidRPr="009377B4">
        <w:rPr>
          <w:rFonts w:cstheme="minorHAnsi"/>
        </w:rPr>
        <w:t xml:space="preserve">). </w:t>
      </w:r>
      <w:proofErr w:type="gramStart"/>
      <w:r w:rsidRPr="009377B4">
        <w:rPr>
          <w:rFonts w:cstheme="minorHAnsi"/>
        </w:rPr>
        <w:t>Certainly</w:t>
      </w:r>
      <w:proofErr w:type="gramEnd"/>
      <w:r w:rsidRPr="009377B4">
        <w:rPr>
          <w:rFonts w:cstheme="minorHAnsi"/>
        </w:rPr>
        <w:t xml:space="preserve"> the concentration of NPE in soil will depend on when biosolids are land applied and the concentration of NPE in the biosolids.</w:t>
      </w:r>
    </w:p>
    <w:p w14:paraId="0EA53E77" w14:textId="7C1104BD" w:rsidR="00070801" w:rsidRPr="009377B4" w:rsidRDefault="00070801" w:rsidP="00070801">
      <w:pPr>
        <w:rPr>
          <w:rFonts w:cstheme="minorHAnsi"/>
        </w:rPr>
      </w:pPr>
      <w:r w:rsidRPr="009377B4">
        <w:rPr>
          <w:rFonts w:cstheme="minorHAnsi"/>
        </w:rPr>
        <w:t xml:space="preserve">It is likely that low concentrations of natural estrogens (estrone and 17β-estradiol) contributed to the total </w:t>
      </w:r>
      <w:proofErr w:type="spellStart"/>
      <w:r w:rsidRPr="009377B4">
        <w:rPr>
          <w:rFonts w:cstheme="minorHAnsi"/>
        </w:rPr>
        <w:t>estrogenicity</w:t>
      </w:r>
      <w:proofErr w:type="spellEnd"/>
      <w:r w:rsidRPr="009377B4">
        <w:rPr>
          <w:rFonts w:cstheme="minorHAnsi"/>
        </w:rPr>
        <w:t xml:space="preserve"> of the biosolids (</w:t>
      </w:r>
      <w:bookmarkStart w:id="83" w:name="bbib22"/>
      <w:proofErr w:type="spellStart"/>
      <w:r w:rsidRPr="009377B4">
        <w:rPr>
          <w:rFonts w:cstheme="minorHAnsi"/>
        </w:rPr>
        <w:t>Janex</w:t>
      </w:r>
      <w:proofErr w:type="spellEnd"/>
      <w:r w:rsidRPr="009377B4">
        <w:rPr>
          <w:rFonts w:cstheme="minorHAnsi"/>
        </w:rPr>
        <w:t>-Habibi et al., 2009</w:t>
      </w:r>
      <w:bookmarkEnd w:id="83"/>
      <w:r w:rsidRPr="009377B4">
        <w:rPr>
          <w:rFonts w:cstheme="minorHAnsi"/>
        </w:rPr>
        <w:t xml:space="preserve">). Estrone and 17β-estradiol are several orders of magnitude more potent than NP in terms of </w:t>
      </w:r>
      <w:proofErr w:type="spellStart"/>
      <w:r w:rsidRPr="009377B4">
        <w:rPr>
          <w:rFonts w:cstheme="minorHAnsi"/>
        </w:rPr>
        <w:t>estrogenicity</w:t>
      </w:r>
      <w:proofErr w:type="spellEnd"/>
      <w:r w:rsidRPr="009377B4">
        <w:rPr>
          <w:rFonts w:cstheme="minorHAnsi"/>
        </w:rPr>
        <w:t xml:space="preserve"> (Jobling and Sumpter, 1993</w:t>
      </w:r>
      <w:bookmarkEnd w:id="16"/>
      <w:r w:rsidRPr="009377B4">
        <w:rPr>
          <w:rFonts w:cstheme="minorHAnsi"/>
        </w:rPr>
        <w:t>, </w:t>
      </w:r>
      <w:bookmarkStart w:id="84" w:name="bbib31"/>
      <w:r w:rsidRPr="009377B4">
        <w:rPr>
          <w:rFonts w:cstheme="minorHAnsi"/>
        </w:rPr>
        <w:t>Matsui et al., 2000</w:t>
      </w:r>
      <w:bookmarkEnd w:id="84"/>
      <w:r w:rsidRPr="009377B4">
        <w:rPr>
          <w:rFonts w:cstheme="minorHAnsi"/>
        </w:rPr>
        <w:t xml:space="preserve">), so even low concentrations (ng/kg levels) of natural estrogens could greatly increase the </w:t>
      </w:r>
      <w:proofErr w:type="spellStart"/>
      <w:r w:rsidRPr="009377B4">
        <w:rPr>
          <w:rFonts w:cstheme="minorHAnsi"/>
        </w:rPr>
        <w:t>estrogenicity</w:t>
      </w:r>
      <w:proofErr w:type="spellEnd"/>
      <w:r w:rsidRPr="009377B4">
        <w:rPr>
          <w:rFonts w:cstheme="minorHAnsi"/>
        </w:rPr>
        <w:t xml:space="preserve"> of biosolids. Yet, whereas the production and discharge of natural estrogens cannot be controlled or decreased, NPE usage and discharge can be limited. Our work showed that additional aerobic digestion, or perhaps composting (</w:t>
      </w:r>
      <w:bookmarkStart w:id="85" w:name="bbib24"/>
      <w:r w:rsidRPr="009377B4">
        <w:rPr>
          <w:rFonts w:cstheme="minorHAnsi"/>
        </w:rPr>
        <w:t>Jones and Westmoreland, 1998</w:t>
      </w:r>
      <w:bookmarkEnd w:id="85"/>
      <w:r w:rsidRPr="009377B4">
        <w:rPr>
          <w:rFonts w:cstheme="minorHAnsi"/>
        </w:rPr>
        <w:t xml:space="preserve">), is needed to remove total NPE after MAD (with or without an advanced TH process). Either widespread additional treatment of biosolids, concomitant with greater energy use and a larger carbon footprint, or a ban on NPE might therefore be needed to mitigate the impacts of </w:t>
      </w:r>
      <w:proofErr w:type="spellStart"/>
      <w:r w:rsidRPr="009377B4">
        <w:rPr>
          <w:rFonts w:cstheme="minorHAnsi"/>
        </w:rPr>
        <w:t>estrogenicity</w:t>
      </w:r>
      <w:proofErr w:type="spellEnd"/>
      <w:r w:rsidRPr="009377B4">
        <w:rPr>
          <w:rFonts w:cstheme="minorHAnsi"/>
        </w:rPr>
        <w:t xml:space="preserve"> from NPE in biosolids.</w:t>
      </w:r>
    </w:p>
    <w:p w14:paraId="745A0543" w14:textId="77777777" w:rsidR="00070801" w:rsidRPr="009377B4" w:rsidRDefault="00070801" w:rsidP="00160522">
      <w:pPr>
        <w:pStyle w:val="Heading1"/>
        <w:rPr>
          <w:rFonts w:asciiTheme="minorHAnsi" w:hAnsiTheme="minorHAnsi" w:cstheme="minorHAnsi"/>
        </w:rPr>
      </w:pPr>
      <w:r w:rsidRPr="009377B4">
        <w:rPr>
          <w:rFonts w:asciiTheme="minorHAnsi" w:hAnsiTheme="minorHAnsi" w:cstheme="minorHAnsi"/>
        </w:rPr>
        <w:t>4. Conclusions</w:t>
      </w:r>
    </w:p>
    <w:p w14:paraId="68C89BC3" w14:textId="618DCE84" w:rsidR="00070801" w:rsidRPr="009377B4" w:rsidRDefault="00070801" w:rsidP="00EC2A5B">
      <w:pPr>
        <w:pStyle w:val="ListParagraph"/>
        <w:numPr>
          <w:ilvl w:val="0"/>
          <w:numId w:val="13"/>
        </w:numPr>
        <w:rPr>
          <w:rFonts w:cstheme="minorHAnsi"/>
        </w:rPr>
      </w:pPr>
      <w:r w:rsidRPr="009377B4">
        <w:rPr>
          <w:rFonts w:cstheme="minorHAnsi"/>
        </w:rPr>
        <w:t xml:space="preserve">The high temperature and pressure conditions used for TH were not sufficient to degrade NP in sludge. Similarly, NPE were not degraded during TH in a water matrix (nor were other micropollutants tested, such as BPA and triclosan). While TH might indirectly impact the fate of NPE in digested biosolids by altering </w:t>
      </w:r>
      <w:proofErr w:type="spellStart"/>
      <w:r w:rsidRPr="009377B4">
        <w:rPr>
          <w:rFonts w:cstheme="minorHAnsi"/>
        </w:rPr>
        <w:t>physico</w:t>
      </w:r>
      <w:proofErr w:type="spellEnd"/>
      <w:r w:rsidRPr="009377B4">
        <w:rPr>
          <w:rFonts w:cstheme="minorHAnsi"/>
        </w:rPr>
        <w:t>-chemical properties in sludge (</w:t>
      </w:r>
      <w:r w:rsidRPr="009377B4">
        <w:rPr>
          <w:rFonts w:cstheme="minorHAnsi"/>
          <w:i/>
          <w:iCs/>
        </w:rPr>
        <w:t>e.g.</w:t>
      </w:r>
      <w:r w:rsidRPr="009377B4">
        <w:rPr>
          <w:rFonts w:cstheme="minorHAnsi"/>
        </w:rPr>
        <w:t>, bioavailability), this process does not directly degrade NPE abiotically.</w:t>
      </w:r>
    </w:p>
    <w:p w14:paraId="3FBB22F9" w14:textId="0842407B" w:rsidR="00070801" w:rsidRPr="009377B4" w:rsidRDefault="00070801" w:rsidP="00EC2A5B">
      <w:pPr>
        <w:pStyle w:val="ListParagraph"/>
        <w:numPr>
          <w:ilvl w:val="0"/>
          <w:numId w:val="13"/>
        </w:numPr>
        <w:rPr>
          <w:rFonts w:cstheme="minorHAnsi"/>
        </w:rPr>
      </w:pPr>
      <w:r w:rsidRPr="009377B4">
        <w:rPr>
          <w:rFonts w:cstheme="minorHAnsi"/>
        </w:rPr>
        <w:lastRenderedPageBreak/>
        <w:t>The total NPE in the influent and effluent of the anaerobic digesters (</w:t>
      </w:r>
      <w:proofErr w:type="gramStart"/>
      <w:r w:rsidRPr="009377B4">
        <w:rPr>
          <w:rFonts w:cstheme="minorHAnsi"/>
        </w:rPr>
        <w:t>15 day</w:t>
      </w:r>
      <w:proofErr w:type="gramEnd"/>
      <w:r w:rsidRPr="009377B4">
        <w:rPr>
          <w:rFonts w:cstheme="minorHAnsi"/>
        </w:rPr>
        <w:t xml:space="preserve"> SRT) was approximately equal, regardless of whether TH pretreatment was used or not. Under anaerobic conditions, NPEO were biodegraded to NP more rapidly than NP was biodegraded; this resulted in a decrease in NPEO and an increase of NP in digester effluents, with similar amounts of total NPE in the influent and effluent.</w:t>
      </w:r>
    </w:p>
    <w:p w14:paraId="0066D456" w14:textId="403EA8DA" w:rsidR="00070801" w:rsidRPr="009377B4" w:rsidRDefault="00070801" w:rsidP="00EC2A5B">
      <w:pPr>
        <w:pStyle w:val="ListParagraph"/>
        <w:numPr>
          <w:ilvl w:val="0"/>
          <w:numId w:val="13"/>
        </w:numPr>
        <w:rPr>
          <w:rFonts w:cstheme="minorHAnsi"/>
        </w:rPr>
      </w:pPr>
      <w:r w:rsidRPr="009377B4">
        <w:rPr>
          <w:rFonts w:cstheme="minorHAnsi"/>
        </w:rPr>
        <w:t xml:space="preserve">The NPE in the effluent of the TH-MAD-20d reactor increased relative to the influent. This increase in NPE suggests that longer chain </w:t>
      </w:r>
      <w:proofErr w:type="spellStart"/>
      <w:r w:rsidRPr="009377B4">
        <w:rPr>
          <w:rFonts w:cstheme="minorHAnsi"/>
        </w:rPr>
        <w:t>NP</w:t>
      </w:r>
      <w:r w:rsidRPr="009377B4">
        <w:rPr>
          <w:rFonts w:cstheme="minorHAnsi"/>
          <w:i/>
          <w:iCs/>
          <w:vertAlign w:val="subscript"/>
        </w:rPr>
        <w:t>n</w:t>
      </w:r>
      <w:r w:rsidRPr="009377B4">
        <w:rPr>
          <w:rFonts w:cstheme="minorHAnsi"/>
        </w:rPr>
        <w:t>EOs</w:t>
      </w:r>
      <w:proofErr w:type="spellEnd"/>
      <w:r w:rsidRPr="009377B4">
        <w:rPr>
          <w:rFonts w:cstheme="minorHAnsi"/>
        </w:rPr>
        <w:t xml:space="preserve"> were broken down to NPE during this extended SRT (20 days).</w:t>
      </w:r>
    </w:p>
    <w:p w14:paraId="2496F1F0" w14:textId="331BADD9" w:rsidR="00070801" w:rsidRPr="009377B4" w:rsidRDefault="00070801" w:rsidP="00EC2A5B">
      <w:pPr>
        <w:pStyle w:val="ListParagraph"/>
        <w:numPr>
          <w:ilvl w:val="0"/>
          <w:numId w:val="13"/>
        </w:numPr>
        <w:rPr>
          <w:rFonts w:cstheme="minorHAnsi"/>
        </w:rPr>
      </w:pPr>
      <w:r w:rsidRPr="009377B4">
        <w:rPr>
          <w:rFonts w:cstheme="minorHAnsi"/>
        </w:rPr>
        <w:t xml:space="preserve">The biodegradation of NPEO to NP was greater in the conventional MAD reactor than in the TH-MAD reactors, as evidenced by the ratios of NP to NPE in the digester effluents. The ratio of NP to NPE increased 56% following conventional MAD, while the average increase of NP to NPE was only 23.9% in the three samples from TH-MAD reactors with a </w:t>
      </w:r>
      <w:proofErr w:type="gramStart"/>
      <w:r w:rsidRPr="009377B4">
        <w:rPr>
          <w:rFonts w:cstheme="minorHAnsi"/>
        </w:rPr>
        <w:t>15 day</w:t>
      </w:r>
      <w:proofErr w:type="gramEnd"/>
      <w:r w:rsidRPr="009377B4">
        <w:rPr>
          <w:rFonts w:cstheme="minorHAnsi"/>
        </w:rPr>
        <w:t xml:space="preserve"> SRT. One possible explanation for this reduced biodegradation of NPEO to NP is that the TH process reduced the bioavailability of NPEO.</w:t>
      </w:r>
    </w:p>
    <w:p w14:paraId="2F48F366" w14:textId="47638FE1" w:rsidR="00070801" w:rsidRPr="009377B4" w:rsidRDefault="00070801" w:rsidP="00EC2A5B">
      <w:pPr>
        <w:pStyle w:val="ListParagraph"/>
        <w:numPr>
          <w:ilvl w:val="0"/>
          <w:numId w:val="13"/>
        </w:numPr>
        <w:rPr>
          <w:rFonts w:cstheme="minorHAnsi"/>
        </w:rPr>
      </w:pPr>
      <w:r w:rsidRPr="009377B4">
        <w:rPr>
          <w:rFonts w:cstheme="minorHAnsi"/>
        </w:rPr>
        <w:t xml:space="preserve">The addition of a post-digestion treatment step that included either alternating aerobic/anoxic conditions or strictly aerobic conditions reduced NPE by 30–70%. This additional treatment step could be costly as a result of oxygen </w:t>
      </w:r>
      <w:proofErr w:type="gramStart"/>
      <w:r w:rsidRPr="009377B4">
        <w:rPr>
          <w:rFonts w:cstheme="minorHAnsi"/>
        </w:rPr>
        <w:t>requirements, but</w:t>
      </w:r>
      <w:proofErr w:type="gramEnd"/>
      <w:r w:rsidRPr="009377B4">
        <w:rPr>
          <w:rFonts w:cstheme="minorHAnsi"/>
        </w:rPr>
        <w:t xml:space="preserve"> would help reduce NPE in biosolids used for land application.</w:t>
      </w:r>
    </w:p>
    <w:p w14:paraId="6721CA64" w14:textId="13FB846F" w:rsidR="00070801" w:rsidRPr="009377B4" w:rsidRDefault="00070801" w:rsidP="00EC2A5B">
      <w:pPr>
        <w:pStyle w:val="ListParagraph"/>
        <w:numPr>
          <w:ilvl w:val="0"/>
          <w:numId w:val="13"/>
        </w:numPr>
        <w:rPr>
          <w:rFonts w:cstheme="minorHAnsi"/>
        </w:rPr>
      </w:pPr>
      <w:r w:rsidRPr="009377B4">
        <w:rPr>
          <w:rFonts w:cstheme="minorHAnsi"/>
        </w:rPr>
        <w:t xml:space="preserve">The NPE accounted for 21 ± 27% and 32 ± 16% of the total </w:t>
      </w:r>
      <w:proofErr w:type="spellStart"/>
      <w:r w:rsidRPr="009377B4">
        <w:rPr>
          <w:rFonts w:cstheme="minorHAnsi"/>
        </w:rPr>
        <w:t>estrogenicity</w:t>
      </w:r>
      <w:proofErr w:type="spellEnd"/>
      <w:r w:rsidRPr="009377B4">
        <w:rPr>
          <w:rFonts w:cstheme="minorHAnsi"/>
        </w:rPr>
        <w:t xml:space="preserve"> in the biosolids after anaerobic and aerobic digestion, respectively.</w:t>
      </w:r>
    </w:p>
    <w:p w14:paraId="3B778EEF" w14:textId="5DF97063" w:rsidR="00070801" w:rsidRPr="009377B4" w:rsidRDefault="00070801" w:rsidP="00EC2A5B">
      <w:pPr>
        <w:pStyle w:val="ListParagraph"/>
        <w:numPr>
          <w:ilvl w:val="0"/>
          <w:numId w:val="13"/>
        </w:numPr>
        <w:rPr>
          <w:rFonts w:cstheme="minorHAnsi"/>
        </w:rPr>
      </w:pPr>
      <w:r w:rsidRPr="009377B4">
        <w:rPr>
          <w:rFonts w:cstheme="minorHAnsi"/>
        </w:rPr>
        <w:t>A ban on NPE would undoubtedly reduce NPE present in biosolids. Alternatively, additional wastewater treatment steps such as aerobic digestion or composting could be used to help mitigate the impact of NPE in biosolids.</w:t>
      </w:r>
    </w:p>
    <w:p w14:paraId="68660230" w14:textId="77777777" w:rsidR="00EC2A5B" w:rsidRPr="009377B4" w:rsidRDefault="00EC2A5B" w:rsidP="00070801">
      <w:pPr>
        <w:rPr>
          <w:rFonts w:cstheme="minorHAnsi"/>
        </w:rPr>
      </w:pPr>
    </w:p>
    <w:p w14:paraId="74B34621" w14:textId="77777777" w:rsidR="00070801" w:rsidRPr="009377B4" w:rsidRDefault="00070801" w:rsidP="00EC2A5B">
      <w:pPr>
        <w:pStyle w:val="Heading1"/>
        <w:rPr>
          <w:rFonts w:asciiTheme="minorHAnsi" w:hAnsiTheme="minorHAnsi" w:cstheme="minorHAnsi"/>
        </w:rPr>
      </w:pPr>
      <w:r w:rsidRPr="009377B4">
        <w:rPr>
          <w:rFonts w:asciiTheme="minorHAnsi" w:hAnsiTheme="minorHAnsi" w:cstheme="minorHAnsi"/>
        </w:rPr>
        <w:t>Acknowledgments</w:t>
      </w:r>
    </w:p>
    <w:p w14:paraId="1C9661FE" w14:textId="77777777" w:rsidR="00070801" w:rsidRPr="009377B4" w:rsidRDefault="00070801" w:rsidP="00070801">
      <w:pPr>
        <w:rPr>
          <w:rFonts w:cstheme="minorHAnsi"/>
        </w:rPr>
      </w:pPr>
      <w:r w:rsidRPr="009377B4">
        <w:rPr>
          <w:rFonts w:cstheme="minorHAnsi"/>
        </w:rPr>
        <w:t xml:space="preserve">PJM was supported by the National Science Foundation Integrative Graduate Education and Research Traineeship (IGERT) under Grant No. DGE-0504195, and the Water Environment Federation </w:t>
      </w:r>
      <w:proofErr w:type="spellStart"/>
      <w:r w:rsidRPr="009377B4">
        <w:rPr>
          <w:rFonts w:cstheme="minorHAnsi"/>
        </w:rPr>
        <w:t>Canham</w:t>
      </w:r>
      <w:proofErr w:type="spellEnd"/>
      <w:r w:rsidRPr="009377B4">
        <w:rPr>
          <w:rFonts w:cstheme="minorHAnsi"/>
        </w:rPr>
        <w:t xml:space="preserve"> Graduate Studies Scholarship. MW was partially supported by DC WASA. We would like to thank Matt </w:t>
      </w:r>
      <w:proofErr w:type="spellStart"/>
      <w:r w:rsidRPr="009377B4">
        <w:rPr>
          <w:rFonts w:cstheme="minorHAnsi"/>
        </w:rPr>
        <w:t>Simcik</w:t>
      </w:r>
      <w:proofErr w:type="spellEnd"/>
      <w:r w:rsidRPr="009377B4">
        <w:rPr>
          <w:rFonts w:cstheme="minorHAnsi"/>
        </w:rPr>
        <w:t xml:space="preserve"> for the use of his LC/MS. Much appreciation is given to Nancy Love and Michael Dodd for providing the recombinant yeast strain used in the YES assay.</w:t>
      </w:r>
    </w:p>
    <w:p w14:paraId="503A0671" w14:textId="77777777" w:rsidR="00070801" w:rsidRPr="009377B4" w:rsidRDefault="00070801" w:rsidP="00EC2A5B">
      <w:pPr>
        <w:pStyle w:val="Heading1"/>
        <w:rPr>
          <w:rFonts w:asciiTheme="minorHAnsi" w:hAnsiTheme="minorHAnsi" w:cstheme="minorHAnsi"/>
        </w:rPr>
      </w:pPr>
      <w:r w:rsidRPr="009377B4">
        <w:rPr>
          <w:rFonts w:asciiTheme="minorHAnsi" w:hAnsiTheme="minorHAnsi" w:cstheme="minorHAnsi"/>
        </w:rPr>
        <w:t>Appendix. Supplementary material</w:t>
      </w:r>
    </w:p>
    <w:p w14:paraId="5D160D97" w14:textId="77777777" w:rsidR="00070801" w:rsidRPr="009377B4" w:rsidRDefault="00070801" w:rsidP="00070801">
      <w:pPr>
        <w:rPr>
          <w:rFonts w:cstheme="minorHAnsi"/>
          <w:vanish/>
        </w:rPr>
      </w:pPr>
      <w:r w:rsidRPr="009377B4">
        <w:rPr>
          <w:rFonts w:cstheme="minorHAnsi"/>
          <w:vanish/>
        </w:rPr>
        <w:t>Top of Form</w:t>
      </w:r>
    </w:p>
    <w:p w14:paraId="50CD0EC2" w14:textId="77777777" w:rsidR="00070801" w:rsidRPr="009377B4" w:rsidRDefault="00070801" w:rsidP="00070801">
      <w:pPr>
        <w:rPr>
          <w:rFonts w:cstheme="minorHAnsi"/>
          <w:vanish/>
        </w:rPr>
      </w:pPr>
      <w:r w:rsidRPr="009377B4">
        <w:rPr>
          <w:rFonts w:cstheme="minorHAnsi"/>
          <w:vanish/>
        </w:rPr>
        <w:t>Bottom of Form</w:t>
      </w:r>
    </w:p>
    <w:p w14:paraId="7C7783A4" w14:textId="77777777" w:rsidR="00070801" w:rsidRPr="009377B4" w:rsidRDefault="007A3DF0" w:rsidP="00070801">
      <w:pPr>
        <w:rPr>
          <w:rFonts w:cstheme="minorHAnsi"/>
        </w:rPr>
      </w:pPr>
      <w:hyperlink r:id="rId15" w:tgtFrame="_blank" w:tooltip="Download Acrobat PDF file (9KB)" w:history="1">
        <w:proofErr w:type="gramStart"/>
        <w:r w:rsidR="00070801" w:rsidRPr="009377B4">
          <w:rPr>
            <w:rStyle w:val="Hyperlink"/>
            <w:rFonts w:cstheme="minorHAnsi"/>
          </w:rPr>
          <w:t>Download :</w:t>
        </w:r>
        <w:proofErr w:type="gramEnd"/>
        <w:r w:rsidR="00070801" w:rsidRPr="009377B4">
          <w:rPr>
            <w:rStyle w:val="Hyperlink"/>
            <w:rFonts w:cstheme="minorHAnsi"/>
          </w:rPr>
          <w:t> </w:t>
        </w:r>
        <w:r w:rsidR="00070801" w:rsidRPr="009377B4">
          <w:rPr>
            <w:rStyle w:val="Hyperlink"/>
            <w:rFonts w:cstheme="minorHAnsi"/>
            <w:b/>
            <w:bCs/>
          </w:rPr>
          <w:t>Download Acrobat PDF file (9KB)</w:t>
        </w:r>
      </w:hyperlink>
    </w:p>
    <w:p w14:paraId="100226BD" w14:textId="77777777" w:rsidR="00070801" w:rsidRPr="009377B4" w:rsidRDefault="00070801" w:rsidP="00070801">
      <w:pPr>
        <w:rPr>
          <w:rFonts w:cstheme="minorHAnsi"/>
        </w:rPr>
      </w:pPr>
      <w:r w:rsidRPr="009377B4">
        <w:rPr>
          <w:rFonts w:cstheme="minorHAnsi"/>
        </w:rPr>
        <w:t xml:space="preserve">Figure S1. Impact of a post-aeration digestion following anaerobic digestion on total </w:t>
      </w:r>
      <w:proofErr w:type="spellStart"/>
      <w:r w:rsidRPr="009377B4">
        <w:rPr>
          <w:rFonts w:cstheme="minorHAnsi"/>
        </w:rPr>
        <w:t>estrogenicity</w:t>
      </w:r>
      <w:proofErr w:type="spellEnd"/>
      <w:r w:rsidRPr="009377B4">
        <w:rPr>
          <w:rFonts w:cstheme="minorHAnsi"/>
        </w:rPr>
        <w:t xml:space="preserve"> in biosolids as depicted by YES assay results. A sample curve shifted to the left is more estrogenic than a sample curve on its right. The “MAD Eff” sample was the feed to the MAD-AER reactor.</w:t>
      </w:r>
    </w:p>
    <w:p w14:paraId="3D94D363" w14:textId="77777777" w:rsidR="00070801" w:rsidRPr="009377B4" w:rsidRDefault="007A3DF0" w:rsidP="00070801">
      <w:pPr>
        <w:rPr>
          <w:rFonts w:cstheme="minorHAnsi"/>
        </w:rPr>
      </w:pPr>
      <w:hyperlink r:id="rId16" w:tgtFrame="_blank" w:tooltip="Download Word document (17KB)" w:history="1">
        <w:proofErr w:type="gramStart"/>
        <w:r w:rsidR="00070801" w:rsidRPr="009377B4">
          <w:rPr>
            <w:rStyle w:val="Hyperlink"/>
            <w:rFonts w:cstheme="minorHAnsi"/>
          </w:rPr>
          <w:t>Download :</w:t>
        </w:r>
        <w:proofErr w:type="gramEnd"/>
        <w:r w:rsidR="00070801" w:rsidRPr="009377B4">
          <w:rPr>
            <w:rStyle w:val="Hyperlink"/>
            <w:rFonts w:cstheme="minorHAnsi"/>
          </w:rPr>
          <w:t> </w:t>
        </w:r>
        <w:r w:rsidR="00070801" w:rsidRPr="009377B4">
          <w:rPr>
            <w:rStyle w:val="Hyperlink"/>
            <w:rFonts w:cstheme="minorHAnsi"/>
            <w:b/>
            <w:bCs/>
          </w:rPr>
          <w:t>Download Word document (17KB)</w:t>
        </w:r>
      </w:hyperlink>
    </w:p>
    <w:p w14:paraId="117E55AF" w14:textId="77777777" w:rsidR="00070801" w:rsidRPr="009377B4" w:rsidRDefault="00070801" w:rsidP="00070801">
      <w:pPr>
        <w:rPr>
          <w:rFonts w:cstheme="minorHAnsi"/>
        </w:rPr>
      </w:pPr>
      <w:r w:rsidRPr="009377B4">
        <w:rPr>
          <w:rFonts w:cstheme="minorHAnsi"/>
        </w:rPr>
        <w:t>Figure S2. Effect of thermal hydrolysis treatment in a sludge matrix on the concentration of NP (all replicates shown). ‘Inf’ is influent, ‘TH’ is thermal hydrolysis treated sludge, ‘RT’ is room temperature. Numbers 1, 2, 3 refer to replicate experiments.</w:t>
      </w:r>
    </w:p>
    <w:p w14:paraId="36A9D073" w14:textId="77777777" w:rsidR="00070801" w:rsidRPr="009377B4" w:rsidRDefault="007A3DF0" w:rsidP="00070801">
      <w:pPr>
        <w:rPr>
          <w:rFonts w:cstheme="minorHAnsi"/>
        </w:rPr>
      </w:pPr>
      <w:hyperlink r:id="rId17" w:tgtFrame="_blank" w:tooltip="Download Acrobat PDF file (47KB)" w:history="1">
        <w:proofErr w:type="gramStart"/>
        <w:r w:rsidR="00070801" w:rsidRPr="009377B4">
          <w:rPr>
            <w:rStyle w:val="Hyperlink"/>
            <w:rFonts w:cstheme="minorHAnsi"/>
          </w:rPr>
          <w:t>Download :</w:t>
        </w:r>
        <w:proofErr w:type="gramEnd"/>
        <w:r w:rsidR="00070801" w:rsidRPr="009377B4">
          <w:rPr>
            <w:rStyle w:val="Hyperlink"/>
            <w:rFonts w:cstheme="minorHAnsi"/>
          </w:rPr>
          <w:t> </w:t>
        </w:r>
        <w:r w:rsidR="00070801" w:rsidRPr="009377B4">
          <w:rPr>
            <w:rStyle w:val="Hyperlink"/>
            <w:rFonts w:cstheme="minorHAnsi"/>
            <w:b/>
            <w:bCs/>
          </w:rPr>
          <w:t>Download Acrobat PDF file (47KB)</w:t>
        </w:r>
      </w:hyperlink>
    </w:p>
    <w:p w14:paraId="2BAE9642" w14:textId="77777777" w:rsidR="00070801" w:rsidRPr="009377B4" w:rsidRDefault="00070801" w:rsidP="00070801">
      <w:pPr>
        <w:rPr>
          <w:rFonts w:cstheme="minorHAnsi"/>
        </w:rPr>
      </w:pPr>
      <w:r w:rsidRPr="009377B4">
        <w:rPr>
          <w:rFonts w:cstheme="minorHAnsi"/>
        </w:rPr>
        <w:t>Figure S3. Effect of thermal hydrolysis treatment in a sludge matrix on the concentration of NP (averages shown plus standard deviation). Sample “TH-1” was removed from analysis.</w:t>
      </w:r>
    </w:p>
    <w:p w14:paraId="63C72A95" w14:textId="77777777" w:rsidR="00070801" w:rsidRPr="009377B4" w:rsidRDefault="007A3DF0" w:rsidP="00070801">
      <w:pPr>
        <w:rPr>
          <w:rFonts w:cstheme="minorHAnsi"/>
        </w:rPr>
      </w:pPr>
      <w:hyperlink r:id="rId18" w:tgtFrame="_blank" w:tooltip="Download Acrobat PDF file (6KB)" w:history="1">
        <w:r w:rsidR="00070801" w:rsidRPr="009377B4">
          <w:rPr>
            <w:rStyle w:val="Hyperlink"/>
            <w:rFonts w:cstheme="minorHAnsi"/>
          </w:rPr>
          <w:t>Download : </w:t>
        </w:r>
        <w:r w:rsidR="00070801" w:rsidRPr="009377B4">
          <w:rPr>
            <w:rStyle w:val="Hyperlink"/>
            <w:rFonts w:cstheme="minorHAnsi"/>
            <w:b/>
            <w:bCs/>
          </w:rPr>
          <w:t>Download Acrobat PDF file (6KB)</w:t>
        </w:r>
      </w:hyperlink>
      <w:hyperlink r:id="rId19" w:tgtFrame="_blank" w:tooltip="Download Acrobat PDF file (81KB)" w:history="1">
        <w:r w:rsidR="00070801" w:rsidRPr="009377B4">
          <w:rPr>
            <w:rStyle w:val="Hyperlink"/>
            <w:rFonts w:cstheme="minorHAnsi"/>
          </w:rPr>
          <w:t>Download : </w:t>
        </w:r>
        <w:r w:rsidR="00070801" w:rsidRPr="009377B4">
          <w:rPr>
            <w:rStyle w:val="Hyperlink"/>
            <w:rFonts w:cstheme="minorHAnsi"/>
            <w:b/>
            <w:bCs/>
          </w:rPr>
          <w:t>Download Acrobat PDF file (81KB)</w:t>
        </w:r>
      </w:hyperlink>
    </w:p>
    <w:p w14:paraId="6AB97057" w14:textId="77777777" w:rsidR="00070801" w:rsidRPr="009377B4" w:rsidRDefault="00070801" w:rsidP="0028260D">
      <w:pPr>
        <w:pStyle w:val="Heading1"/>
        <w:rPr>
          <w:rFonts w:asciiTheme="minorHAnsi" w:hAnsiTheme="minorHAnsi" w:cstheme="minorHAnsi"/>
        </w:rPr>
      </w:pPr>
      <w:r w:rsidRPr="009377B4">
        <w:rPr>
          <w:rFonts w:asciiTheme="minorHAnsi" w:hAnsiTheme="minorHAnsi" w:cstheme="minorHAnsi"/>
        </w:rPr>
        <w:lastRenderedPageBreak/>
        <w:t>References</w:t>
      </w:r>
    </w:p>
    <w:p w14:paraId="6717AE1E" w14:textId="7D9FCEA1" w:rsidR="00070801" w:rsidRPr="009377B4" w:rsidRDefault="00070801" w:rsidP="0028260D">
      <w:pPr>
        <w:pStyle w:val="NoSpacing"/>
        <w:ind w:left="720" w:hanging="720"/>
        <w:rPr>
          <w:rFonts w:cstheme="minorHAnsi"/>
        </w:rPr>
      </w:pPr>
      <w:proofErr w:type="spellStart"/>
      <w:r w:rsidRPr="009377B4">
        <w:rPr>
          <w:rFonts w:cstheme="minorHAnsi"/>
        </w:rPr>
        <w:t>Ahel</w:t>
      </w:r>
      <w:proofErr w:type="spellEnd"/>
      <w:r w:rsidRPr="009377B4">
        <w:rPr>
          <w:rFonts w:cstheme="minorHAnsi"/>
        </w:rPr>
        <w:t xml:space="preserve"> et al., 1994</w:t>
      </w:r>
    </w:p>
    <w:p w14:paraId="127FA00D" w14:textId="77777777" w:rsidR="00070801" w:rsidRPr="009377B4" w:rsidRDefault="00070801" w:rsidP="0028260D">
      <w:pPr>
        <w:pStyle w:val="NoSpacing"/>
        <w:ind w:left="720" w:hanging="720"/>
        <w:rPr>
          <w:rFonts w:cstheme="minorHAnsi"/>
        </w:rPr>
      </w:pPr>
      <w:r w:rsidRPr="009377B4">
        <w:rPr>
          <w:rFonts w:cstheme="minorHAnsi"/>
        </w:rPr>
        <w:t>M. </w:t>
      </w:r>
      <w:proofErr w:type="spellStart"/>
      <w:r w:rsidRPr="009377B4">
        <w:rPr>
          <w:rFonts w:cstheme="minorHAnsi"/>
        </w:rPr>
        <w:t>Ahel</w:t>
      </w:r>
      <w:proofErr w:type="spellEnd"/>
      <w:r w:rsidRPr="009377B4">
        <w:rPr>
          <w:rFonts w:cstheme="minorHAnsi"/>
        </w:rPr>
        <w:t>, W. Giger, M. </w:t>
      </w:r>
      <w:proofErr w:type="spellStart"/>
      <w:r w:rsidRPr="009377B4">
        <w:rPr>
          <w:rFonts w:cstheme="minorHAnsi"/>
        </w:rPr>
        <w:t>Koch</w:t>
      </w:r>
      <w:r w:rsidRPr="009377B4">
        <w:rPr>
          <w:rFonts w:cstheme="minorHAnsi"/>
          <w:b/>
          <w:bCs/>
        </w:rPr>
        <w:t>Behavior</w:t>
      </w:r>
      <w:proofErr w:type="spellEnd"/>
      <w:r w:rsidRPr="009377B4">
        <w:rPr>
          <w:rFonts w:cstheme="minorHAnsi"/>
          <w:b/>
          <w:bCs/>
        </w:rPr>
        <w:t xml:space="preserve"> of alkylphenol </w:t>
      </w:r>
      <w:proofErr w:type="spellStart"/>
      <w:r w:rsidRPr="009377B4">
        <w:rPr>
          <w:rFonts w:cstheme="minorHAnsi"/>
          <w:b/>
          <w:bCs/>
        </w:rPr>
        <w:t>polyethoxylate</w:t>
      </w:r>
      <w:proofErr w:type="spellEnd"/>
      <w:r w:rsidRPr="009377B4">
        <w:rPr>
          <w:rFonts w:cstheme="minorHAnsi"/>
          <w:b/>
          <w:bCs/>
        </w:rPr>
        <w:t xml:space="preserve"> surfactants in the aquatic environment – 1. Occurrence and transformation in sewage treatment</w:t>
      </w:r>
    </w:p>
    <w:p w14:paraId="452BBC75"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28 (5) (1994), pp. 1131-1142</w:t>
      </w:r>
    </w:p>
    <w:p w14:paraId="55D20C21" w14:textId="30738931" w:rsidR="00070801" w:rsidRPr="009377B4" w:rsidRDefault="00070801" w:rsidP="0028260D">
      <w:pPr>
        <w:pStyle w:val="NoSpacing"/>
        <w:ind w:left="720" w:hanging="720"/>
        <w:rPr>
          <w:rFonts w:cstheme="minorHAnsi"/>
        </w:rPr>
      </w:pPr>
      <w:proofErr w:type="spellStart"/>
      <w:r w:rsidRPr="009377B4">
        <w:rPr>
          <w:rFonts w:cstheme="minorHAnsi"/>
        </w:rPr>
        <w:t>Banjade</w:t>
      </w:r>
      <w:proofErr w:type="spellEnd"/>
      <w:r w:rsidRPr="009377B4">
        <w:rPr>
          <w:rFonts w:cstheme="minorHAnsi"/>
        </w:rPr>
        <w:t>, 2008</w:t>
      </w:r>
    </w:p>
    <w:p w14:paraId="7628383C" w14:textId="77777777" w:rsidR="00070801" w:rsidRPr="009377B4" w:rsidRDefault="00070801" w:rsidP="0028260D">
      <w:pPr>
        <w:pStyle w:val="NoSpacing"/>
        <w:ind w:left="720" w:hanging="720"/>
        <w:rPr>
          <w:rFonts w:cstheme="minorHAnsi"/>
        </w:rPr>
      </w:pPr>
      <w:proofErr w:type="spellStart"/>
      <w:r w:rsidRPr="009377B4">
        <w:rPr>
          <w:rFonts w:cstheme="minorHAnsi"/>
        </w:rPr>
        <w:t>Banjade</w:t>
      </w:r>
      <w:proofErr w:type="spellEnd"/>
      <w:r w:rsidRPr="009377B4">
        <w:rPr>
          <w:rFonts w:cstheme="minorHAnsi"/>
        </w:rPr>
        <w:t xml:space="preserve">, S., 2008. </w:t>
      </w:r>
      <w:r w:rsidRPr="009377B4">
        <w:rPr>
          <w:rFonts w:cstheme="minorHAnsi"/>
          <w:i/>
          <w:iCs/>
        </w:rPr>
        <w:t>Anaerobic/aerobic digestion for enhanced solids and nitrogen removal</w:t>
      </w:r>
      <w:r w:rsidRPr="009377B4">
        <w:rPr>
          <w:rFonts w:cstheme="minorHAnsi"/>
        </w:rPr>
        <w:t>. M.S. thesis, Virginia Polytechnic Institute and Statue University.</w:t>
      </w:r>
    </w:p>
    <w:p w14:paraId="722BEC74" w14:textId="5F07F43A" w:rsidR="00070801" w:rsidRPr="009377B4" w:rsidRDefault="00070801" w:rsidP="0028260D">
      <w:pPr>
        <w:pStyle w:val="NoSpacing"/>
        <w:ind w:left="720" w:hanging="720"/>
        <w:rPr>
          <w:rFonts w:cstheme="minorHAnsi"/>
        </w:rPr>
      </w:pPr>
      <w:r w:rsidRPr="009377B4">
        <w:rPr>
          <w:rFonts w:cstheme="minorHAnsi"/>
        </w:rPr>
        <w:t>Barret et al., 2010a</w:t>
      </w:r>
    </w:p>
    <w:p w14:paraId="1A1B1F05" w14:textId="77777777" w:rsidR="00070801" w:rsidRPr="009377B4" w:rsidRDefault="00070801" w:rsidP="0028260D">
      <w:pPr>
        <w:pStyle w:val="NoSpacing"/>
        <w:ind w:left="720" w:hanging="720"/>
        <w:rPr>
          <w:rFonts w:cstheme="minorHAnsi"/>
        </w:rPr>
      </w:pPr>
      <w:r w:rsidRPr="009377B4">
        <w:rPr>
          <w:rFonts w:cstheme="minorHAnsi"/>
        </w:rPr>
        <w:t>M. Barret, G.C. Barcia, A. Guillon, H. Carrere, D. Patureau</w:t>
      </w:r>
      <w:r w:rsidRPr="009377B4">
        <w:rPr>
          <w:rFonts w:cstheme="minorHAnsi"/>
          <w:b/>
          <w:bCs/>
        </w:rPr>
        <w:t>Influence of feed characteristics on the removal of micropollutants during the anaerobic digestion of contaminated sludge</w:t>
      </w:r>
    </w:p>
    <w:p w14:paraId="1D81D46A" w14:textId="77777777" w:rsidR="00070801" w:rsidRPr="009377B4" w:rsidRDefault="00070801" w:rsidP="0028260D">
      <w:pPr>
        <w:pStyle w:val="NoSpacing"/>
        <w:ind w:left="720" w:hanging="720"/>
        <w:rPr>
          <w:rFonts w:cstheme="minorHAnsi"/>
        </w:rPr>
      </w:pPr>
      <w:r w:rsidRPr="009377B4">
        <w:rPr>
          <w:rFonts w:cstheme="minorHAnsi"/>
          <w:i/>
          <w:iCs/>
        </w:rPr>
        <w:t>Journal of Hazardous Materials</w:t>
      </w:r>
      <w:r w:rsidRPr="009377B4">
        <w:rPr>
          <w:rFonts w:cstheme="minorHAnsi"/>
        </w:rPr>
        <w:t>, 181 (2010), pp. 241-247</w:t>
      </w:r>
    </w:p>
    <w:p w14:paraId="67C954CE" w14:textId="02448C36" w:rsidR="00070801" w:rsidRPr="009377B4" w:rsidRDefault="00070801" w:rsidP="0028260D">
      <w:pPr>
        <w:pStyle w:val="NoSpacing"/>
        <w:ind w:left="720" w:hanging="720"/>
        <w:rPr>
          <w:rFonts w:cstheme="minorHAnsi"/>
        </w:rPr>
      </w:pPr>
      <w:r w:rsidRPr="009377B4">
        <w:rPr>
          <w:rFonts w:cstheme="minorHAnsi"/>
        </w:rPr>
        <w:t>Barret et al., 2010b</w:t>
      </w:r>
    </w:p>
    <w:p w14:paraId="31C75494" w14:textId="77777777" w:rsidR="00070801" w:rsidRPr="009377B4" w:rsidRDefault="00070801" w:rsidP="0028260D">
      <w:pPr>
        <w:pStyle w:val="NoSpacing"/>
        <w:ind w:left="720" w:hanging="720"/>
        <w:rPr>
          <w:rFonts w:cstheme="minorHAnsi"/>
        </w:rPr>
      </w:pPr>
      <w:r w:rsidRPr="009377B4">
        <w:rPr>
          <w:rFonts w:cstheme="minorHAnsi"/>
        </w:rPr>
        <w:t>M. Barret, H. Carrere, E. Latrille, C. Wisnieqski, D. Patureau</w:t>
      </w:r>
      <w:r w:rsidRPr="009377B4">
        <w:rPr>
          <w:rFonts w:cstheme="minorHAnsi"/>
          <w:b/>
          <w:bCs/>
        </w:rPr>
        <w:t>Micropollutant and sludge characterization for modeling sorption equilibria</w:t>
      </w:r>
    </w:p>
    <w:p w14:paraId="47048144"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44 (3) (2010), pp. 1100-1106</w:t>
      </w:r>
    </w:p>
    <w:p w14:paraId="312783AA" w14:textId="61BAAAEB" w:rsidR="00070801" w:rsidRPr="009377B4" w:rsidRDefault="00070801" w:rsidP="0028260D">
      <w:pPr>
        <w:pStyle w:val="NoSpacing"/>
        <w:ind w:left="720" w:hanging="720"/>
        <w:rPr>
          <w:rFonts w:cstheme="minorHAnsi"/>
        </w:rPr>
      </w:pPr>
      <w:r w:rsidRPr="009377B4">
        <w:rPr>
          <w:rFonts w:cstheme="minorHAnsi"/>
        </w:rPr>
        <w:t>Barret et al., 2010c</w:t>
      </w:r>
    </w:p>
    <w:p w14:paraId="53F2D1A5" w14:textId="77777777" w:rsidR="00070801" w:rsidRPr="009377B4" w:rsidRDefault="00070801" w:rsidP="0028260D">
      <w:pPr>
        <w:pStyle w:val="NoSpacing"/>
        <w:ind w:left="720" w:hanging="720"/>
        <w:rPr>
          <w:rFonts w:cstheme="minorHAnsi"/>
        </w:rPr>
      </w:pPr>
      <w:r w:rsidRPr="009377B4">
        <w:rPr>
          <w:rFonts w:cstheme="minorHAnsi"/>
        </w:rPr>
        <w:t>M. Barret, H. Carrere, L. Delgadillo, D. </w:t>
      </w:r>
      <w:proofErr w:type="spellStart"/>
      <w:r w:rsidRPr="009377B4">
        <w:rPr>
          <w:rFonts w:cstheme="minorHAnsi"/>
        </w:rPr>
        <w:t>Patureau</w:t>
      </w:r>
      <w:r w:rsidRPr="009377B4">
        <w:rPr>
          <w:rFonts w:cstheme="minorHAnsi"/>
          <w:b/>
          <w:bCs/>
        </w:rPr>
        <w:t>PAH</w:t>
      </w:r>
      <w:proofErr w:type="spellEnd"/>
      <w:r w:rsidRPr="009377B4">
        <w:rPr>
          <w:rFonts w:cstheme="minorHAnsi"/>
          <w:b/>
          <w:bCs/>
        </w:rPr>
        <w:t xml:space="preserve"> fate during anaerobic digestion of contaminated sludge: do bioavailability and/or </w:t>
      </w:r>
      <w:proofErr w:type="spellStart"/>
      <w:r w:rsidRPr="009377B4">
        <w:rPr>
          <w:rFonts w:cstheme="minorHAnsi"/>
          <w:b/>
          <w:bCs/>
        </w:rPr>
        <w:t>cometabolism</w:t>
      </w:r>
      <w:proofErr w:type="spellEnd"/>
      <w:r w:rsidRPr="009377B4">
        <w:rPr>
          <w:rFonts w:cstheme="minorHAnsi"/>
          <w:b/>
          <w:bCs/>
        </w:rPr>
        <w:t xml:space="preserve"> limit their biodegradation?</w:t>
      </w:r>
    </w:p>
    <w:p w14:paraId="25618C52"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44 (13) (2010), pp. 3797-3806</w:t>
      </w:r>
    </w:p>
    <w:p w14:paraId="7F0A0510" w14:textId="365A29A6" w:rsidR="00070801" w:rsidRPr="009377B4" w:rsidRDefault="00070801" w:rsidP="0028260D">
      <w:pPr>
        <w:pStyle w:val="NoSpacing"/>
        <w:ind w:left="720" w:hanging="720"/>
        <w:rPr>
          <w:rFonts w:cstheme="minorHAnsi"/>
        </w:rPr>
      </w:pPr>
      <w:r w:rsidRPr="009377B4">
        <w:rPr>
          <w:rFonts w:cstheme="minorHAnsi"/>
        </w:rPr>
        <w:t>Brunner et al., 1988</w:t>
      </w:r>
    </w:p>
    <w:p w14:paraId="3E713EBC" w14:textId="77777777" w:rsidR="00070801" w:rsidRPr="009377B4" w:rsidRDefault="00070801" w:rsidP="0028260D">
      <w:pPr>
        <w:pStyle w:val="NoSpacing"/>
        <w:ind w:left="720" w:hanging="720"/>
        <w:rPr>
          <w:rFonts w:cstheme="minorHAnsi"/>
        </w:rPr>
      </w:pPr>
      <w:r w:rsidRPr="009377B4">
        <w:rPr>
          <w:rFonts w:cstheme="minorHAnsi"/>
        </w:rPr>
        <w:t>P.H. Brunner, S. Capri, A. </w:t>
      </w:r>
      <w:proofErr w:type="spellStart"/>
      <w:r w:rsidRPr="009377B4">
        <w:rPr>
          <w:rFonts w:cstheme="minorHAnsi"/>
        </w:rPr>
        <w:t>Marcomini</w:t>
      </w:r>
      <w:proofErr w:type="spellEnd"/>
      <w:r w:rsidRPr="009377B4">
        <w:rPr>
          <w:rFonts w:cstheme="minorHAnsi"/>
        </w:rPr>
        <w:t>, W. </w:t>
      </w:r>
      <w:proofErr w:type="spellStart"/>
      <w:r w:rsidRPr="009377B4">
        <w:rPr>
          <w:rFonts w:cstheme="minorHAnsi"/>
        </w:rPr>
        <w:t>Giger</w:t>
      </w:r>
      <w:r w:rsidRPr="009377B4">
        <w:rPr>
          <w:rFonts w:cstheme="minorHAnsi"/>
          <w:b/>
          <w:bCs/>
        </w:rPr>
        <w:t>Occurrence</w:t>
      </w:r>
      <w:proofErr w:type="spellEnd"/>
      <w:r w:rsidRPr="009377B4">
        <w:rPr>
          <w:rFonts w:cstheme="minorHAnsi"/>
          <w:b/>
          <w:bCs/>
        </w:rPr>
        <w:t xml:space="preserve"> and </w:t>
      </w:r>
      <w:proofErr w:type="spellStart"/>
      <w:r w:rsidRPr="009377B4">
        <w:rPr>
          <w:rFonts w:cstheme="minorHAnsi"/>
          <w:b/>
          <w:bCs/>
        </w:rPr>
        <w:t>behaviour</w:t>
      </w:r>
      <w:proofErr w:type="spellEnd"/>
      <w:r w:rsidRPr="009377B4">
        <w:rPr>
          <w:rFonts w:cstheme="minorHAnsi"/>
          <w:b/>
          <w:bCs/>
        </w:rPr>
        <w:t xml:space="preserve"> of linear </w:t>
      </w:r>
      <w:proofErr w:type="spellStart"/>
      <w:r w:rsidRPr="009377B4">
        <w:rPr>
          <w:rFonts w:cstheme="minorHAnsi"/>
          <w:b/>
          <w:bCs/>
        </w:rPr>
        <w:t>alkylbenzenesulphonates</w:t>
      </w:r>
      <w:proofErr w:type="spellEnd"/>
      <w:r w:rsidRPr="009377B4">
        <w:rPr>
          <w:rFonts w:cstheme="minorHAnsi"/>
          <w:b/>
          <w:bCs/>
        </w:rPr>
        <w:t xml:space="preserve">, nonylphenol, nonylphenol mono- and nonylphenol </w:t>
      </w:r>
      <w:proofErr w:type="spellStart"/>
      <w:r w:rsidRPr="009377B4">
        <w:rPr>
          <w:rFonts w:cstheme="minorHAnsi"/>
          <w:b/>
          <w:bCs/>
        </w:rPr>
        <w:t>diethoxylates</w:t>
      </w:r>
      <w:proofErr w:type="spellEnd"/>
      <w:r w:rsidRPr="009377B4">
        <w:rPr>
          <w:rFonts w:cstheme="minorHAnsi"/>
          <w:b/>
          <w:bCs/>
        </w:rPr>
        <w:t xml:space="preserve"> in sewage and sewage sludge treatment</w:t>
      </w:r>
    </w:p>
    <w:p w14:paraId="198078F5"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22 (12) (1988), pp. 1465-1472</w:t>
      </w:r>
    </w:p>
    <w:p w14:paraId="39EB8758" w14:textId="5D58604C" w:rsidR="00070801" w:rsidRPr="009377B4" w:rsidRDefault="00070801" w:rsidP="0028260D">
      <w:pPr>
        <w:pStyle w:val="NoSpacing"/>
        <w:ind w:left="720" w:hanging="720"/>
        <w:rPr>
          <w:rFonts w:cstheme="minorHAnsi"/>
        </w:rPr>
      </w:pPr>
      <w:proofErr w:type="spellStart"/>
      <w:r w:rsidRPr="009377B4">
        <w:rPr>
          <w:rFonts w:cstheme="minorHAnsi"/>
        </w:rPr>
        <w:t>Carballa</w:t>
      </w:r>
      <w:proofErr w:type="spellEnd"/>
      <w:r w:rsidRPr="009377B4">
        <w:rPr>
          <w:rFonts w:cstheme="minorHAnsi"/>
        </w:rPr>
        <w:t xml:space="preserve"> et al., 2006</w:t>
      </w:r>
    </w:p>
    <w:p w14:paraId="1BB41C74" w14:textId="77777777" w:rsidR="00070801" w:rsidRPr="009377B4" w:rsidRDefault="00070801" w:rsidP="0028260D">
      <w:pPr>
        <w:pStyle w:val="NoSpacing"/>
        <w:ind w:left="720" w:hanging="720"/>
        <w:rPr>
          <w:rFonts w:cstheme="minorHAnsi"/>
        </w:rPr>
      </w:pPr>
      <w:r w:rsidRPr="009377B4">
        <w:rPr>
          <w:rFonts w:cstheme="minorHAnsi"/>
        </w:rPr>
        <w:t>M. </w:t>
      </w:r>
      <w:proofErr w:type="spellStart"/>
      <w:r w:rsidRPr="009377B4">
        <w:rPr>
          <w:rFonts w:cstheme="minorHAnsi"/>
        </w:rPr>
        <w:t>Carballa</w:t>
      </w:r>
      <w:proofErr w:type="spellEnd"/>
      <w:r w:rsidRPr="009377B4">
        <w:rPr>
          <w:rFonts w:cstheme="minorHAnsi"/>
        </w:rPr>
        <w:t>, F. </w:t>
      </w:r>
      <w:proofErr w:type="spellStart"/>
      <w:r w:rsidRPr="009377B4">
        <w:rPr>
          <w:rFonts w:cstheme="minorHAnsi"/>
        </w:rPr>
        <w:t>Omil</w:t>
      </w:r>
      <w:proofErr w:type="spellEnd"/>
      <w:r w:rsidRPr="009377B4">
        <w:rPr>
          <w:rFonts w:cstheme="minorHAnsi"/>
        </w:rPr>
        <w:t>, A.C. Alder, J.M. </w:t>
      </w:r>
      <w:proofErr w:type="spellStart"/>
      <w:r w:rsidRPr="009377B4">
        <w:rPr>
          <w:rFonts w:cstheme="minorHAnsi"/>
        </w:rPr>
        <w:t>Lema</w:t>
      </w:r>
      <w:r w:rsidRPr="009377B4">
        <w:rPr>
          <w:rFonts w:cstheme="minorHAnsi"/>
          <w:b/>
          <w:bCs/>
        </w:rPr>
        <w:t>Comparison</w:t>
      </w:r>
      <w:proofErr w:type="spellEnd"/>
      <w:r w:rsidRPr="009377B4">
        <w:rPr>
          <w:rFonts w:cstheme="minorHAnsi"/>
          <w:b/>
          <w:bCs/>
        </w:rPr>
        <w:t xml:space="preserve"> between the conventional anaerobic digestion of sewage sludge and its combination with a chemical or thermal pre-treatment concerning the removal of pharmaceuticals and personal care </w:t>
      </w:r>
      <w:proofErr w:type="gramStart"/>
      <w:r w:rsidRPr="009377B4">
        <w:rPr>
          <w:rFonts w:cstheme="minorHAnsi"/>
          <w:b/>
          <w:bCs/>
        </w:rPr>
        <w:t>products</w:t>
      </w:r>
      <w:proofErr w:type="gramEnd"/>
    </w:p>
    <w:p w14:paraId="67B44DAD"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53 (8) (2006), pp. 109-117</w:t>
      </w:r>
    </w:p>
    <w:p w14:paraId="3BF85053" w14:textId="6DA0F77D" w:rsidR="00070801" w:rsidRPr="009377B4" w:rsidRDefault="00070801" w:rsidP="0028260D">
      <w:pPr>
        <w:pStyle w:val="NoSpacing"/>
        <w:ind w:left="720" w:hanging="720"/>
        <w:rPr>
          <w:rFonts w:cstheme="minorHAnsi"/>
        </w:rPr>
      </w:pPr>
      <w:r w:rsidRPr="009377B4">
        <w:rPr>
          <w:rFonts w:cstheme="minorHAnsi"/>
        </w:rPr>
        <w:t>Cespedes et al., 2004</w:t>
      </w:r>
    </w:p>
    <w:p w14:paraId="402E6455" w14:textId="77777777" w:rsidR="00070801" w:rsidRPr="009377B4" w:rsidRDefault="00070801" w:rsidP="0028260D">
      <w:pPr>
        <w:pStyle w:val="NoSpacing"/>
        <w:ind w:left="720" w:hanging="720"/>
        <w:rPr>
          <w:rFonts w:cstheme="minorHAnsi"/>
        </w:rPr>
      </w:pPr>
      <w:r w:rsidRPr="009377B4">
        <w:rPr>
          <w:rFonts w:cstheme="minorHAnsi"/>
        </w:rPr>
        <w:t>R. Cespedes, M. Petrovic, D. Raldua, U. Saura, B. Pina, S. Lacorte, V. Paula, D. Barcelo</w:t>
      </w:r>
      <w:r w:rsidRPr="009377B4">
        <w:rPr>
          <w:rFonts w:cstheme="minorHAnsi"/>
          <w:b/>
          <w:bCs/>
        </w:rPr>
        <w:t>Integrated procedure for determination of endocrine-disrupting activity in surface waters and sediments by use of the biological technique recombinant yeast assay and chemical analysis by LC–ESI–MS</w:t>
      </w:r>
    </w:p>
    <w:p w14:paraId="4ECBE519" w14:textId="77777777" w:rsidR="00070801" w:rsidRPr="009377B4" w:rsidRDefault="00070801" w:rsidP="0028260D">
      <w:pPr>
        <w:pStyle w:val="NoSpacing"/>
        <w:ind w:left="720" w:hanging="720"/>
        <w:rPr>
          <w:rFonts w:cstheme="minorHAnsi"/>
        </w:rPr>
      </w:pPr>
      <w:r w:rsidRPr="009377B4">
        <w:rPr>
          <w:rFonts w:cstheme="minorHAnsi"/>
          <w:i/>
          <w:iCs/>
        </w:rPr>
        <w:t>Analytical and Bioanalytical Chemistry</w:t>
      </w:r>
      <w:r w:rsidRPr="009377B4">
        <w:rPr>
          <w:rFonts w:cstheme="minorHAnsi"/>
        </w:rPr>
        <w:t>, 378 (2004), pp. 697-708</w:t>
      </w:r>
    </w:p>
    <w:p w14:paraId="28E0A98B" w14:textId="27D75C8E" w:rsidR="00070801" w:rsidRPr="009377B4" w:rsidRDefault="00070801" w:rsidP="0028260D">
      <w:pPr>
        <w:pStyle w:val="NoSpacing"/>
        <w:ind w:left="720" w:hanging="720"/>
        <w:rPr>
          <w:rFonts w:cstheme="minorHAnsi"/>
        </w:rPr>
      </w:pPr>
      <w:r w:rsidRPr="009377B4">
        <w:rPr>
          <w:rFonts w:cstheme="minorHAnsi"/>
        </w:rPr>
        <w:t>Chang et al., 2005</w:t>
      </w:r>
    </w:p>
    <w:p w14:paraId="4DD51223" w14:textId="77777777" w:rsidR="00070801" w:rsidRPr="009377B4" w:rsidRDefault="00070801" w:rsidP="0028260D">
      <w:pPr>
        <w:pStyle w:val="NoSpacing"/>
        <w:ind w:left="720" w:hanging="720"/>
        <w:rPr>
          <w:rFonts w:cstheme="minorHAnsi"/>
        </w:rPr>
      </w:pPr>
      <w:r w:rsidRPr="009377B4">
        <w:rPr>
          <w:rFonts w:cstheme="minorHAnsi"/>
        </w:rPr>
        <w:t>B.V. Chang, F. Chiang, S.Y. </w:t>
      </w:r>
      <w:proofErr w:type="spellStart"/>
      <w:r w:rsidRPr="009377B4">
        <w:rPr>
          <w:rFonts w:cstheme="minorHAnsi"/>
        </w:rPr>
        <w:t>Yuan</w:t>
      </w:r>
      <w:r w:rsidRPr="009377B4">
        <w:rPr>
          <w:rFonts w:cstheme="minorHAnsi"/>
          <w:b/>
          <w:bCs/>
        </w:rPr>
        <w:t>Anaerobic</w:t>
      </w:r>
      <w:proofErr w:type="spellEnd"/>
      <w:r w:rsidRPr="009377B4">
        <w:rPr>
          <w:rFonts w:cstheme="minorHAnsi"/>
          <w:b/>
          <w:bCs/>
        </w:rPr>
        <w:t xml:space="preserve"> biodegradation of nonylphenol in sludge</w:t>
      </w:r>
    </w:p>
    <w:p w14:paraId="02259DFD" w14:textId="77777777" w:rsidR="00070801" w:rsidRPr="009377B4" w:rsidRDefault="00070801" w:rsidP="0028260D">
      <w:pPr>
        <w:pStyle w:val="NoSpacing"/>
        <w:ind w:left="720" w:hanging="720"/>
        <w:rPr>
          <w:rFonts w:cstheme="minorHAnsi"/>
        </w:rPr>
      </w:pPr>
      <w:r w:rsidRPr="009377B4">
        <w:rPr>
          <w:rFonts w:cstheme="minorHAnsi"/>
          <w:i/>
          <w:iCs/>
        </w:rPr>
        <w:t>Chemosphere</w:t>
      </w:r>
      <w:r w:rsidRPr="009377B4">
        <w:rPr>
          <w:rFonts w:cstheme="minorHAnsi"/>
        </w:rPr>
        <w:t>, 59 (2005), pp. 1415-1420</w:t>
      </w:r>
    </w:p>
    <w:p w14:paraId="158EC90A" w14:textId="4AAE439D" w:rsidR="00070801" w:rsidRPr="009377B4" w:rsidRDefault="00070801" w:rsidP="0028260D">
      <w:pPr>
        <w:pStyle w:val="NoSpacing"/>
        <w:ind w:left="720" w:hanging="720"/>
        <w:rPr>
          <w:rFonts w:cstheme="minorHAnsi"/>
        </w:rPr>
      </w:pPr>
      <w:r w:rsidRPr="009377B4">
        <w:rPr>
          <w:rFonts w:cstheme="minorHAnsi"/>
        </w:rPr>
        <w:t>Chang et al., 2008</w:t>
      </w:r>
    </w:p>
    <w:p w14:paraId="21C35316" w14:textId="77777777" w:rsidR="00070801" w:rsidRPr="009377B4" w:rsidRDefault="00070801" w:rsidP="0028260D">
      <w:pPr>
        <w:pStyle w:val="NoSpacing"/>
        <w:ind w:left="720" w:hanging="720"/>
        <w:rPr>
          <w:rFonts w:cstheme="minorHAnsi"/>
        </w:rPr>
      </w:pPr>
      <w:r w:rsidRPr="009377B4">
        <w:rPr>
          <w:rFonts w:cstheme="minorHAnsi"/>
        </w:rPr>
        <w:t>B.V. Chang, C.L. Liu, S.Y. Yuan, C.Y. Cheng, W.H. Ding</w:t>
      </w:r>
      <w:r w:rsidRPr="009377B4">
        <w:rPr>
          <w:rFonts w:cstheme="minorHAnsi"/>
          <w:b/>
          <w:bCs/>
        </w:rPr>
        <w:t>Biodegradation of nonylphenol in mangrove sediment</w:t>
      </w:r>
    </w:p>
    <w:p w14:paraId="5D572D49" w14:textId="77777777" w:rsidR="00070801" w:rsidRPr="009377B4" w:rsidRDefault="00070801" w:rsidP="0028260D">
      <w:pPr>
        <w:pStyle w:val="NoSpacing"/>
        <w:ind w:left="720" w:hanging="720"/>
        <w:rPr>
          <w:rFonts w:cstheme="minorHAnsi"/>
        </w:rPr>
      </w:pPr>
      <w:r w:rsidRPr="009377B4">
        <w:rPr>
          <w:rFonts w:cstheme="minorHAnsi"/>
          <w:i/>
          <w:iCs/>
        </w:rPr>
        <w:t>International Biodeterioration and Biodegradation</w:t>
      </w:r>
      <w:r w:rsidRPr="009377B4">
        <w:rPr>
          <w:rFonts w:cstheme="minorHAnsi"/>
        </w:rPr>
        <w:t>, 61 (2008), pp. 325-330</w:t>
      </w:r>
    </w:p>
    <w:p w14:paraId="3537FD25" w14:textId="567D61B7" w:rsidR="00070801" w:rsidRPr="009377B4" w:rsidRDefault="00070801" w:rsidP="0028260D">
      <w:pPr>
        <w:pStyle w:val="NoSpacing"/>
        <w:ind w:left="720" w:hanging="720"/>
        <w:rPr>
          <w:rFonts w:cstheme="minorHAnsi"/>
        </w:rPr>
      </w:pPr>
      <w:proofErr w:type="spellStart"/>
      <w:r w:rsidRPr="009377B4">
        <w:rPr>
          <w:rFonts w:cstheme="minorHAnsi"/>
        </w:rPr>
        <w:t>Citulski</w:t>
      </w:r>
      <w:proofErr w:type="spellEnd"/>
      <w:r w:rsidRPr="009377B4">
        <w:rPr>
          <w:rFonts w:cstheme="minorHAnsi"/>
        </w:rPr>
        <w:t xml:space="preserve"> and </w:t>
      </w:r>
      <w:proofErr w:type="spellStart"/>
      <w:r w:rsidRPr="009377B4">
        <w:rPr>
          <w:rFonts w:cstheme="minorHAnsi"/>
        </w:rPr>
        <w:t>Farahbakhsh</w:t>
      </w:r>
      <w:proofErr w:type="spellEnd"/>
      <w:r w:rsidRPr="009377B4">
        <w:rPr>
          <w:rFonts w:cstheme="minorHAnsi"/>
        </w:rPr>
        <w:t>, 2010</w:t>
      </w:r>
    </w:p>
    <w:p w14:paraId="3FF73E65" w14:textId="77777777" w:rsidR="00070801" w:rsidRPr="009377B4" w:rsidRDefault="00070801" w:rsidP="0028260D">
      <w:pPr>
        <w:pStyle w:val="NoSpacing"/>
        <w:ind w:left="720" w:hanging="720"/>
        <w:rPr>
          <w:rFonts w:cstheme="minorHAnsi"/>
        </w:rPr>
      </w:pPr>
      <w:r w:rsidRPr="009377B4">
        <w:rPr>
          <w:rFonts w:cstheme="minorHAnsi"/>
        </w:rPr>
        <w:t>J.A. </w:t>
      </w:r>
      <w:proofErr w:type="spellStart"/>
      <w:r w:rsidRPr="009377B4">
        <w:rPr>
          <w:rFonts w:cstheme="minorHAnsi"/>
        </w:rPr>
        <w:t>Citulski</w:t>
      </w:r>
      <w:proofErr w:type="spellEnd"/>
      <w:r w:rsidRPr="009377B4">
        <w:rPr>
          <w:rFonts w:cstheme="minorHAnsi"/>
        </w:rPr>
        <w:t>, K. </w:t>
      </w:r>
      <w:proofErr w:type="spellStart"/>
      <w:r w:rsidRPr="009377B4">
        <w:rPr>
          <w:rFonts w:cstheme="minorHAnsi"/>
        </w:rPr>
        <w:t>Farahbakhsh</w:t>
      </w:r>
      <w:r w:rsidRPr="009377B4">
        <w:rPr>
          <w:rFonts w:cstheme="minorHAnsi"/>
          <w:b/>
          <w:bCs/>
        </w:rPr>
        <w:t>Fate</w:t>
      </w:r>
      <w:proofErr w:type="spellEnd"/>
      <w:r w:rsidRPr="009377B4">
        <w:rPr>
          <w:rFonts w:cstheme="minorHAnsi"/>
          <w:b/>
          <w:bCs/>
        </w:rPr>
        <w:t xml:space="preserve"> of endocrine-active compounds during municipal biosolids treatment: a review</w:t>
      </w:r>
    </w:p>
    <w:p w14:paraId="0B218D40"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44 (2010), pp. 8367-8376</w:t>
      </w:r>
    </w:p>
    <w:p w14:paraId="754F9804" w14:textId="460323E3" w:rsidR="00070801" w:rsidRPr="009377B4" w:rsidRDefault="00070801" w:rsidP="0028260D">
      <w:pPr>
        <w:pStyle w:val="NoSpacing"/>
        <w:ind w:left="720" w:hanging="720"/>
        <w:rPr>
          <w:rFonts w:cstheme="minorHAnsi"/>
        </w:rPr>
      </w:pPr>
      <w:r w:rsidRPr="009377B4">
        <w:rPr>
          <w:rFonts w:cstheme="minorHAnsi"/>
        </w:rPr>
        <w:t>Commission of European Communities, 2003</w:t>
      </w:r>
    </w:p>
    <w:p w14:paraId="0987D541" w14:textId="77777777" w:rsidR="00070801" w:rsidRPr="009377B4" w:rsidRDefault="00070801" w:rsidP="0028260D">
      <w:pPr>
        <w:pStyle w:val="NoSpacing"/>
        <w:ind w:left="720" w:hanging="720"/>
        <w:rPr>
          <w:rFonts w:cstheme="minorHAnsi"/>
        </w:rPr>
      </w:pPr>
      <w:r w:rsidRPr="009377B4">
        <w:rPr>
          <w:rFonts w:cstheme="minorHAnsi"/>
        </w:rPr>
        <w:t>Commission of European Communities, 2003. Proposal for a Directive of the European Parliament and the Council on Spreading of Sludge on Land. Brussels.</w:t>
      </w:r>
    </w:p>
    <w:p w14:paraId="78CFEC66" w14:textId="5CB4519F" w:rsidR="00070801" w:rsidRPr="009377B4" w:rsidRDefault="00070801" w:rsidP="0028260D">
      <w:pPr>
        <w:pStyle w:val="NoSpacing"/>
        <w:ind w:left="720" w:hanging="720"/>
        <w:rPr>
          <w:rFonts w:cstheme="minorHAnsi"/>
        </w:rPr>
      </w:pPr>
      <w:r w:rsidRPr="009377B4">
        <w:rPr>
          <w:rFonts w:cstheme="minorHAnsi"/>
        </w:rPr>
        <w:t>European Commission, 2008</w:t>
      </w:r>
    </w:p>
    <w:p w14:paraId="5BAD0781" w14:textId="77777777" w:rsidR="00070801" w:rsidRPr="009377B4" w:rsidRDefault="00070801" w:rsidP="0028260D">
      <w:pPr>
        <w:pStyle w:val="NoSpacing"/>
        <w:ind w:left="720" w:hanging="720"/>
        <w:rPr>
          <w:rFonts w:cstheme="minorHAnsi"/>
        </w:rPr>
      </w:pPr>
      <w:r w:rsidRPr="009377B4">
        <w:rPr>
          <w:rFonts w:cstheme="minorHAnsi"/>
        </w:rPr>
        <w:lastRenderedPageBreak/>
        <w:t>European Commission, 2008. Environmental, Economic, and Social Impacts of the Use of Sewage Sludge on Land. Final Report Part 1: Overview Report (2008).</w:t>
      </w:r>
    </w:p>
    <w:p w14:paraId="3010B049" w14:textId="5D5DC19C" w:rsidR="00070801" w:rsidRPr="009377B4" w:rsidRDefault="00070801" w:rsidP="0028260D">
      <w:pPr>
        <w:pStyle w:val="NoSpacing"/>
        <w:ind w:left="720" w:hanging="720"/>
        <w:rPr>
          <w:rFonts w:cstheme="minorHAnsi"/>
        </w:rPr>
      </w:pPr>
      <w:r w:rsidRPr="009377B4">
        <w:rPr>
          <w:rFonts w:cstheme="minorHAnsi"/>
        </w:rPr>
        <w:t>European Union, 2003</w:t>
      </w:r>
    </w:p>
    <w:p w14:paraId="0B47B5DE" w14:textId="77777777" w:rsidR="00070801" w:rsidRPr="009377B4" w:rsidRDefault="00070801" w:rsidP="0028260D">
      <w:pPr>
        <w:pStyle w:val="NoSpacing"/>
        <w:ind w:left="720" w:hanging="720"/>
        <w:rPr>
          <w:rFonts w:cstheme="minorHAnsi"/>
        </w:rPr>
      </w:pPr>
      <w:r w:rsidRPr="009377B4">
        <w:rPr>
          <w:rFonts w:cstheme="minorHAnsi"/>
        </w:rPr>
        <w:t>European Union, 2003. Directive 2003/53/EC of the European Parliament and of the Council of 18 June 2003.</w:t>
      </w:r>
    </w:p>
    <w:p w14:paraId="23DEF9AC" w14:textId="55B98570" w:rsidR="00070801" w:rsidRPr="009377B4" w:rsidRDefault="00070801" w:rsidP="0028260D">
      <w:pPr>
        <w:pStyle w:val="NoSpacing"/>
        <w:ind w:left="720" w:hanging="720"/>
        <w:rPr>
          <w:rFonts w:cstheme="minorHAnsi"/>
        </w:rPr>
      </w:pPr>
      <w:r w:rsidRPr="009377B4">
        <w:rPr>
          <w:rFonts w:cstheme="minorHAnsi"/>
        </w:rPr>
        <w:t xml:space="preserve">Ferguson and </w:t>
      </w:r>
      <w:proofErr w:type="spellStart"/>
      <w:r w:rsidRPr="009377B4">
        <w:rPr>
          <w:rFonts w:cstheme="minorHAnsi"/>
        </w:rPr>
        <w:t>Brownawell</w:t>
      </w:r>
      <w:proofErr w:type="spellEnd"/>
      <w:r w:rsidRPr="009377B4">
        <w:rPr>
          <w:rFonts w:cstheme="minorHAnsi"/>
        </w:rPr>
        <w:t>, 2003</w:t>
      </w:r>
    </w:p>
    <w:p w14:paraId="3C1CF33B" w14:textId="77777777" w:rsidR="00070801" w:rsidRPr="009377B4" w:rsidRDefault="00070801" w:rsidP="0028260D">
      <w:pPr>
        <w:pStyle w:val="NoSpacing"/>
        <w:ind w:left="720" w:hanging="720"/>
        <w:rPr>
          <w:rFonts w:cstheme="minorHAnsi"/>
        </w:rPr>
      </w:pPr>
      <w:r w:rsidRPr="009377B4">
        <w:rPr>
          <w:rFonts w:cstheme="minorHAnsi"/>
        </w:rPr>
        <w:t>P.L. Ferguson, B.J. </w:t>
      </w:r>
      <w:proofErr w:type="spellStart"/>
      <w:r w:rsidRPr="009377B4">
        <w:rPr>
          <w:rFonts w:cstheme="minorHAnsi"/>
        </w:rPr>
        <w:t>Brownawell</w:t>
      </w:r>
      <w:r w:rsidRPr="009377B4">
        <w:rPr>
          <w:rFonts w:cstheme="minorHAnsi"/>
          <w:b/>
          <w:bCs/>
        </w:rPr>
        <w:t>Degradation</w:t>
      </w:r>
      <w:proofErr w:type="spellEnd"/>
      <w:r w:rsidRPr="009377B4">
        <w:rPr>
          <w:rFonts w:cstheme="minorHAnsi"/>
          <w:b/>
          <w:bCs/>
        </w:rPr>
        <w:t xml:space="preserve"> of nonylphenol ethoxylates in estuarine sediment under aerobic and anaerobic conditions</w:t>
      </w:r>
    </w:p>
    <w:p w14:paraId="3DABFDAB" w14:textId="77777777" w:rsidR="00070801" w:rsidRPr="009377B4" w:rsidRDefault="00070801" w:rsidP="0028260D">
      <w:pPr>
        <w:pStyle w:val="NoSpacing"/>
        <w:ind w:left="720" w:hanging="720"/>
        <w:rPr>
          <w:rFonts w:cstheme="minorHAnsi"/>
        </w:rPr>
      </w:pPr>
      <w:r w:rsidRPr="009377B4">
        <w:rPr>
          <w:rFonts w:cstheme="minorHAnsi"/>
          <w:i/>
          <w:iCs/>
        </w:rPr>
        <w:t>Environmental Toxicology and Chemistry</w:t>
      </w:r>
      <w:r w:rsidRPr="009377B4">
        <w:rPr>
          <w:rFonts w:cstheme="minorHAnsi"/>
        </w:rPr>
        <w:t>, 22 (6) (2003), pp. 1189-1199</w:t>
      </w:r>
    </w:p>
    <w:p w14:paraId="562DF1F6" w14:textId="51B63F4F" w:rsidR="00070801" w:rsidRPr="009377B4" w:rsidRDefault="00070801" w:rsidP="0028260D">
      <w:pPr>
        <w:pStyle w:val="NoSpacing"/>
        <w:ind w:left="720" w:hanging="720"/>
        <w:rPr>
          <w:rFonts w:cstheme="minorHAnsi"/>
        </w:rPr>
      </w:pPr>
      <w:r w:rsidRPr="009377B4">
        <w:rPr>
          <w:rFonts w:cstheme="minorHAnsi"/>
        </w:rPr>
        <w:t>Gabriel et al., 2008</w:t>
      </w:r>
    </w:p>
    <w:p w14:paraId="3BA85391" w14:textId="77777777" w:rsidR="00070801" w:rsidRPr="009377B4" w:rsidRDefault="00070801" w:rsidP="0028260D">
      <w:pPr>
        <w:pStyle w:val="NoSpacing"/>
        <w:ind w:left="720" w:hanging="720"/>
        <w:rPr>
          <w:rFonts w:cstheme="minorHAnsi"/>
        </w:rPr>
      </w:pPr>
      <w:r w:rsidRPr="009377B4">
        <w:rPr>
          <w:rFonts w:cstheme="minorHAnsi"/>
        </w:rPr>
        <w:t>F.L.P. Gabriel, D.J. ledge, A. Heidlberger, D. Rentsch, K. Guenther, W. Giger, J.P. Sumpter, H.E. Kohler</w:t>
      </w:r>
      <w:r w:rsidRPr="009377B4">
        <w:rPr>
          <w:rFonts w:cstheme="minorHAnsi"/>
          <w:b/>
          <w:bCs/>
        </w:rPr>
        <w:t xml:space="preserve">Isomer-specific </w:t>
      </w:r>
      <w:proofErr w:type="gramStart"/>
      <w:r w:rsidRPr="009377B4">
        <w:rPr>
          <w:rFonts w:cstheme="minorHAnsi"/>
          <w:b/>
          <w:bCs/>
        </w:rPr>
        <w:t>degradation</w:t>
      </w:r>
      <w:proofErr w:type="gramEnd"/>
      <w:r w:rsidRPr="009377B4">
        <w:rPr>
          <w:rFonts w:cstheme="minorHAnsi"/>
          <w:b/>
          <w:bCs/>
        </w:rPr>
        <w:t xml:space="preserve"> and endocrine activity of nonylphenols</w:t>
      </w:r>
    </w:p>
    <w:p w14:paraId="439ABC6A"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42 (2008), pp. 6399-6408</w:t>
      </w:r>
    </w:p>
    <w:p w14:paraId="4D8B3234" w14:textId="5F0CE236" w:rsidR="00070801" w:rsidRPr="009377B4" w:rsidRDefault="00070801" w:rsidP="0028260D">
      <w:pPr>
        <w:pStyle w:val="NoSpacing"/>
        <w:ind w:left="720" w:hanging="720"/>
        <w:rPr>
          <w:rFonts w:cstheme="minorHAnsi"/>
        </w:rPr>
      </w:pPr>
      <w:r w:rsidRPr="009377B4">
        <w:rPr>
          <w:rFonts w:cstheme="minorHAnsi"/>
        </w:rPr>
        <w:t>Giger et al., 1984</w:t>
      </w:r>
    </w:p>
    <w:p w14:paraId="7011C79C" w14:textId="77777777" w:rsidR="00070801" w:rsidRPr="009377B4" w:rsidRDefault="00070801" w:rsidP="0028260D">
      <w:pPr>
        <w:pStyle w:val="NoSpacing"/>
        <w:ind w:left="720" w:hanging="720"/>
        <w:rPr>
          <w:rFonts w:cstheme="minorHAnsi"/>
        </w:rPr>
      </w:pPr>
      <w:r w:rsidRPr="009377B4">
        <w:rPr>
          <w:rFonts w:cstheme="minorHAnsi"/>
        </w:rPr>
        <w:t>W. Giger, P.H. Brunner, C. Schaffner</w:t>
      </w:r>
      <w:r w:rsidRPr="009377B4">
        <w:rPr>
          <w:rFonts w:cstheme="minorHAnsi"/>
          <w:b/>
          <w:bCs/>
        </w:rPr>
        <w:t>4-Nonylphenol in sewage-sludge – accumulation of toxic metabolites from nonionic surfactants</w:t>
      </w:r>
    </w:p>
    <w:p w14:paraId="752399E3" w14:textId="77777777" w:rsidR="00070801" w:rsidRPr="009377B4" w:rsidRDefault="00070801" w:rsidP="0028260D">
      <w:pPr>
        <w:pStyle w:val="NoSpacing"/>
        <w:ind w:left="720" w:hanging="720"/>
        <w:rPr>
          <w:rFonts w:cstheme="minorHAnsi"/>
        </w:rPr>
      </w:pPr>
      <w:r w:rsidRPr="009377B4">
        <w:rPr>
          <w:rFonts w:cstheme="minorHAnsi"/>
          <w:i/>
          <w:iCs/>
        </w:rPr>
        <w:t>Science</w:t>
      </w:r>
      <w:r w:rsidRPr="009377B4">
        <w:rPr>
          <w:rFonts w:cstheme="minorHAnsi"/>
        </w:rPr>
        <w:t>, 225 (4662) (1984), pp. 623-625</w:t>
      </w:r>
    </w:p>
    <w:p w14:paraId="5EDA79EF" w14:textId="2114C89C" w:rsidR="00070801" w:rsidRPr="009377B4" w:rsidRDefault="00070801" w:rsidP="0028260D">
      <w:pPr>
        <w:pStyle w:val="NoSpacing"/>
        <w:ind w:left="720" w:hanging="720"/>
        <w:rPr>
          <w:rFonts w:cstheme="minorHAnsi"/>
        </w:rPr>
      </w:pPr>
      <w:r w:rsidRPr="009377B4">
        <w:rPr>
          <w:rFonts w:cstheme="minorHAnsi"/>
        </w:rPr>
        <w:t>Gomez-Rico et al., 2008</w:t>
      </w:r>
    </w:p>
    <w:p w14:paraId="7E84B025" w14:textId="77777777" w:rsidR="00070801" w:rsidRPr="009377B4" w:rsidRDefault="00070801" w:rsidP="0028260D">
      <w:pPr>
        <w:pStyle w:val="NoSpacing"/>
        <w:ind w:left="720" w:hanging="720"/>
        <w:rPr>
          <w:rFonts w:cstheme="minorHAnsi"/>
        </w:rPr>
      </w:pPr>
      <w:r w:rsidRPr="009377B4">
        <w:rPr>
          <w:rFonts w:cstheme="minorHAnsi"/>
        </w:rPr>
        <w:t>M.F. Gomez-Rico, R. Font, J. Vera, D. Fuentes, K. Disante, J. Cortina</w:t>
      </w:r>
      <w:r w:rsidRPr="009377B4">
        <w:rPr>
          <w:rFonts w:cstheme="minorHAnsi"/>
          <w:b/>
          <w:bCs/>
        </w:rPr>
        <w:t xml:space="preserve">Degradation of organic pollutants in Mediterranean forest soils amended with sewage </w:t>
      </w:r>
      <w:proofErr w:type="gramStart"/>
      <w:r w:rsidRPr="009377B4">
        <w:rPr>
          <w:rFonts w:cstheme="minorHAnsi"/>
          <w:b/>
          <w:bCs/>
        </w:rPr>
        <w:t>sludge</w:t>
      </w:r>
      <w:proofErr w:type="gramEnd"/>
    </w:p>
    <w:p w14:paraId="436671FA" w14:textId="77777777" w:rsidR="00070801" w:rsidRPr="009377B4" w:rsidRDefault="00070801" w:rsidP="0028260D">
      <w:pPr>
        <w:pStyle w:val="NoSpacing"/>
        <w:ind w:left="720" w:hanging="720"/>
        <w:rPr>
          <w:rFonts w:cstheme="minorHAnsi"/>
        </w:rPr>
      </w:pPr>
      <w:r w:rsidRPr="009377B4">
        <w:rPr>
          <w:rFonts w:cstheme="minorHAnsi"/>
          <w:i/>
          <w:iCs/>
        </w:rPr>
        <w:t>Chemosphere</w:t>
      </w:r>
      <w:r w:rsidRPr="009377B4">
        <w:rPr>
          <w:rFonts w:cstheme="minorHAnsi"/>
        </w:rPr>
        <w:t>, 71 (2008), pp. 2129-2138</w:t>
      </w:r>
    </w:p>
    <w:p w14:paraId="5239D645" w14:textId="52CCADA0" w:rsidR="00070801" w:rsidRPr="009377B4" w:rsidRDefault="00070801" w:rsidP="0028260D">
      <w:pPr>
        <w:pStyle w:val="NoSpacing"/>
        <w:ind w:left="720" w:hanging="720"/>
        <w:rPr>
          <w:rFonts w:cstheme="minorHAnsi"/>
        </w:rPr>
      </w:pPr>
      <w:proofErr w:type="spellStart"/>
      <w:r w:rsidRPr="009377B4">
        <w:rPr>
          <w:rFonts w:cstheme="minorHAnsi"/>
        </w:rPr>
        <w:t>Gonzáles</w:t>
      </w:r>
      <w:proofErr w:type="spellEnd"/>
      <w:r w:rsidRPr="009377B4">
        <w:rPr>
          <w:rFonts w:cstheme="minorHAnsi"/>
        </w:rPr>
        <w:t xml:space="preserve"> et al., 2010</w:t>
      </w:r>
    </w:p>
    <w:p w14:paraId="0FDDF773" w14:textId="77777777" w:rsidR="00070801" w:rsidRPr="009377B4" w:rsidRDefault="00070801" w:rsidP="0028260D">
      <w:pPr>
        <w:pStyle w:val="NoSpacing"/>
        <w:ind w:left="720" w:hanging="720"/>
        <w:rPr>
          <w:rFonts w:cstheme="minorHAnsi"/>
        </w:rPr>
      </w:pPr>
      <w:r w:rsidRPr="009377B4">
        <w:rPr>
          <w:rFonts w:cstheme="minorHAnsi"/>
        </w:rPr>
        <w:t>M.M. Gonzáles, J. Martin, J.L. Santos, I. Aparicio, E. Alonso</w:t>
      </w:r>
      <w:r w:rsidRPr="009377B4">
        <w:rPr>
          <w:rFonts w:cstheme="minorHAnsi"/>
          <w:b/>
          <w:bCs/>
        </w:rPr>
        <w:t>Occurrence and risk assessment of nonylphenol and nonylphenol ethoxylates in sewage sludge from different conventional treatment processes</w:t>
      </w:r>
    </w:p>
    <w:p w14:paraId="516ABD36" w14:textId="77777777" w:rsidR="00070801" w:rsidRPr="009377B4" w:rsidRDefault="00070801" w:rsidP="0028260D">
      <w:pPr>
        <w:pStyle w:val="NoSpacing"/>
        <w:ind w:left="720" w:hanging="720"/>
        <w:rPr>
          <w:rFonts w:cstheme="minorHAnsi"/>
        </w:rPr>
      </w:pPr>
      <w:r w:rsidRPr="009377B4">
        <w:rPr>
          <w:rFonts w:cstheme="minorHAnsi"/>
          <w:i/>
          <w:iCs/>
        </w:rPr>
        <w:t>Science of the Total Environment</w:t>
      </w:r>
      <w:r w:rsidRPr="009377B4">
        <w:rPr>
          <w:rFonts w:cstheme="minorHAnsi"/>
        </w:rPr>
        <w:t>, 408 (2010), pp. 563-570</w:t>
      </w:r>
    </w:p>
    <w:p w14:paraId="495BDD3F" w14:textId="094D2749" w:rsidR="00070801" w:rsidRPr="009377B4" w:rsidRDefault="00070801" w:rsidP="0028260D">
      <w:pPr>
        <w:pStyle w:val="NoSpacing"/>
        <w:ind w:left="720" w:hanging="720"/>
        <w:rPr>
          <w:rFonts w:cstheme="minorHAnsi"/>
        </w:rPr>
      </w:pPr>
      <w:proofErr w:type="spellStart"/>
      <w:r w:rsidRPr="009377B4">
        <w:rPr>
          <w:rFonts w:cstheme="minorHAnsi"/>
        </w:rPr>
        <w:t>Hesselsoe</w:t>
      </w:r>
      <w:proofErr w:type="spellEnd"/>
      <w:r w:rsidRPr="009377B4">
        <w:rPr>
          <w:rFonts w:cstheme="minorHAnsi"/>
        </w:rPr>
        <w:t xml:space="preserve"> et al., 2001</w:t>
      </w:r>
    </w:p>
    <w:p w14:paraId="64439A2B" w14:textId="77777777" w:rsidR="00070801" w:rsidRPr="009377B4" w:rsidRDefault="00070801" w:rsidP="0028260D">
      <w:pPr>
        <w:pStyle w:val="NoSpacing"/>
        <w:ind w:left="720" w:hanging="720"/>
        <w:rPr>
          <w:rFonts w:cstheme="minorHAnsi"/>
        </w:rPr>
      </w:pPr>
      <w:r w:rsidRPr="009377B4">
        <w:rPr>
          <w:rFonts w:cstheme="minorHAnsi"/>
        </w:rPr>
        <w:t>M. Hesselsoe, D. Jensen, K. Skals, T. Olesen, P. Moldrup, P. Roslev, G.K. Mortensen, K. Henriksen</w:t>
      </w:r>
      <w:r w:rsidRPr="009377B4">
        <w:rPr>
          <w:rFonts w:cstheme="minorHAnsi"/>
          <w:b/>
          <w:bCs/>
        </w:rPr>
        <w:t>Degradation of 4-nonylphenol in homogeneous and nonhomogeneous mixtures of soil and sewage sludge</w:t>
      </w:r>
    </w:p>
    <w:p w14:paraId="107E4D20"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35 (18) (2001), pp. 3695-3700</w:t>
      </w:r>
    </w:p>
    <w:p w14:paraId="2CD95FAC" w14:textId="1759CA54" w:rsidR="00070801" w:rsidRPr="009377B4" w:rsidRDefault="00070801" w:rsidP="0028260D">
      <w:pPr>
        <w:pStyle w:val="NoSpacing"/>
        <w:ind w:left="720" w:hanging="720"/>
        <w:rPr>
          <w:rFonts w:cstheme="minorHAnsi"/>
        </w:rPr>
      </w:pPr>
      <w:r w:rsidRPr="009377B4">
        <w:rPr>
          <w:rFonts w:cstheme="minorHAnsi"/>
        </w:rPr>
        <w:t>Holbrook et al., 2002</w:t>
      </w:r>
    </w:p>
    <w:p w14:paraId="2A381949" w14:textId="77777777" w:rsidR="00070801" w:rsidRPr="009377B4" w:rsidRDefault="00070801" w:rsidP="0028260D">
      <w:pPr>
        <w:pStyle w:val="NoSpacing"/>
        <w:ind w:left="720" w:hanging="720"/>
        <w:rPr>
          <w:rFonts w:cstheme="minorHAnsi"/>
        </w:rPr>
      </w:pPr>
      <w:r w:rsidRPr="009377B4">
        <w:rPr>
          <w:rFonts w:cstheme="minorHAnsi"/>
        </w:rPr>
        <w:t>R.D. Holbrook, J.T. Novak, T.J. Grizzard, N.G. </w:t>
      </w:r>
      <w:proofErr w:type="spellStart"/>
      <w:r w:rsidRPr="009377B4">
        <w:rPr>
          <w:rFonts w:cstheme="minorHAnsi"/>
        </w:rPr>
        <w:t>Love</w:t>
      </w:r>
      <w:r w:rsidRPr="009377B4">
        <w:rPr>
          <w:rFonts w:cstheme="minorHAnsi"/>
          <w:b/>
          <w:bCs/>
        </w:rPr>
        <w:t>Estrogen</w:t>
      </w:r>
      <w:proofErr w:type="spellEnd"/>
      <w:r w:rsidRPr="009377B4">
        <w:rPr>
          <w:rFonts w:cstheme="minorHAnsi"/>
          <w:b/>
          <w:bCs/>
        </w:rPr>
        <w:t xml:space="preserve"> receptor agonist fate during wastewater and biosolids treatment processes: a mass balance</w:t>
      </w:r>
    </w:p>
    <w:p w14:paraId="452ECA27"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36 (21) (2002), pp. 4533-4539</w:t>
      </w:r>
    </w:p>
    <w:p w14:paraId="4C55C90D" w14:textId="0886A251" w:rsidR="00070801" w:rsidRPr="009377B4" w:rsidRDefault="00070801" w:rsidP="0028260D">
      <w:pPr>
        <w:pStyle w:val="NoSpacing"/>
        <w:ind w:left="720" w:hanging="720"/>
        <w:rPr>
          <w:rFonts w:cstheme="minorHAnsi"/>
        </w:rPr>
      </w:pPr>
      <w:proofErr w:type="spellStart"/>
      <w:r w:rsidRPr="009377B4">
        <w:rPr>
          <w:rFonts w:cstheme="minorHAnsi"/>
        </w:rPr>
        <w:t>Janex</w:t>
      </w:r>
      <w:proofErr w:type="spellEnd"/>
      <w:r w:rsidRPr="009377B4">
        <w:rPr>
          <w:rFonts w:cstheme="minorHAnsi"/>
        </w:rPr>
        <w:t>-Habibi et al., 2009</w:t>
      </w:r>
    </w:p>
    <w:p w14:paraId="120ECF04" w14:textId="77777777" w:rsidR="00070801" w:rsidRPr="009377B4" w:rsidRDefault="00070801" w:rsidP="0028260D">
      <w:pPr>
        <w:pStyle w:val="NoSpacing"/>
        <w:ind w:left="720" w:hanging="720"/>
        <w:rPr>
          <w:rFonts w:cstheme="minorHAnsi"/>
        </w:rPr>
      </w:pPr>
      <w:r w:rsidRPr="009377B4">
        <w:rPr>
          <w:rFonts w:cstheme="minorHAnsi"/>
        </w:rPr>
        <w:t>M. </w:t>
      </w:r>
      <w:proofErr w:type="spellStart"/>
      <w:r w:rsidRPr="009377B4">
        <w:rPr>
          <w:rFonts w:cstheme="minorHAnsi"/>
        </w:rPr>
        <w:t>Janex</w:t>
      </w:r>
      <w:proofErr w:type="spellEnd"/>
      <w:r w:rsidRPr="009377B4">
        <w:rPr>
          <w:rFonts w:cstheme="minorHAnsi"/>
        </w:rPr>
        <w:t>-Habibi, A. </w:t>
      </w:r>
      <w:proofErr w:type="spellStart"/>
      <w:r w:rsidRPr="009377B4">
        <w:rPr>
          <w:rFonts w:cstheme="minorHAnsi"/>
        </w:rPr>
        <w:t>Huyard</w:t>
      </w:r>
      <w:proofErr w:type="spellEnd"/>
      <w:r w:rsidRPr="009377B4">
        <w:rPr>
          <w:rFonts w:cstheme="minorHAnsi"/>
        </w:rPr>
        <w:t>, M. </w:t>
      </w:r>
      <w:proofErr w:type="spellStart"/>
      <w:r w:rsidRPr="009377B4">
        <w:rPr>
          <w:rFonts w:cstheme="minorHAnsi"/>
        </w:rPr>
        <w:t>Experanza</w:t>
      </w:r>
      <w:proofErr w:type="spellEnd"/>
      <w:r w:rsidRPr="009377B4">
        <w:rPr>
          <w:rFonts w:cstheme="minorHAnsi"/>
        </w:rPr>
        <w:t>, A. </w:t>
      </w:r>
      <w:proofErr w:type="spellStart"/>
      <w:r w:rsidRPr="009377B4">
        <w:rPr>
          <w:rFonts w:cstheme="minorHAnsi"/>
        </w:rPr>
        <w:t>Bruchet</w:t>
      </w:r>
      <w:r w:rsidRPr="009377B4">
        <w:rPr>
          <w:rFonts w:cstheme="minorHAnsi"/>
          <w:b/>
          <w:bCs/>
        </w:rPr>
        <w:t>Reduction</w:t>
      </w:r>
      <w:proofErr w:type="spellEnd"/>
      <w:r w:rsidRPr="009377B4">
        <w:rPr>
          <w:rFonts w:cstheme="minorHAnsi"/>
          <w:b/>
          <w:bCs/>
        </w:rPr>
        <w:t xml:space="preserve"> of endocrine disruptor emissions in the environment: the benefit of wastewater treatment</w:t>
      </w:r>
    </w:p>
    <w:p w14:paraId="5D289761"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43 (2009), pp. 1565-1576</w:t>
      </w:r>
    </w:p>
    <w:p w14:paraId="4DBD2C85" w14:textId="3B4F2B31" w:rsidR="00070801" w:rsidRPr="009377B4" w:rsidRDefault="00070801" w:rsidP="0028260D">
      <w:pPr>
        <w:pStyle w:val="NoSpacing"/>
        <w:ind w:left="720" w:hanging="720"/>
        <w:rPr>
          <w:rFonts w:cstheme="minorHAnsi"/>
        </w:rPr>
      </w:pPr>
      <w:r w:rsidRPr="009377B4">
        <w:rPr>
          <w:rFonts w:cstheme="minorHAnsi"/>
        </w:rPr>
        <w:t>Jobling and Sumpter, 1993</w:t>
      </w:r>
    </w:p>
    <w:p w14:paraId="6D61BADD" w14:textId="77777777" w:rsidR="00070801" w:rsidRPr="009377B4" w:rsidRDefault="00070801" w:rsidP="0028260D">
      <w:pPr>
        <w:pStyle w:val="NoSpacing"/>
        <w:ind w:left="720" w:hanging="720"/>
        <w:rPr>
          <w:rFonts w:cstheme="minorHAnsi"/>
        </w:rPr>
      </w:pPr>
      <w:r w:rsidRPr="009377B4">
        <w:rPr>
          <w:rFonts w:cstheme="minorHAnsi"/>
        </w:rPr>
        <w:t>S. Jobling, J. </w:t>
      </w:r>
      <w:proofErr w:type="spellStart"/>
      <w:r w:rsidRPr="009377B4">
        <w:rPr>
          <w:rFonts w:cstheme="minorHAnsi"/>
        </w:rPr>
        <w:t>Sumpter</w:t>
      </w:r>
      <w:r w:rsidRPr="009377B4">
        <w:rPr>
          <w:rFonts w:cstheme="minorHAnsi"/>
          <w:b/>
          <w:bCs/>
        </w:rPr>
        <w:t>Detergent</w:t>
      </w:r>
      <w:proofErr w:type="spellEnd"/>
      <w:r w:rsidRPr="009377B4">
        <w:rPr>
          <w:rFonts w:cstheme="minorHAnsi"/>
          <w:b/>
          <w:bCs/>
        </w:rPr>
        <w:t xml:space="preserve"> components in sewage effluent are weakly </w:t>
      </w:r>
      <w:proofErr w:type="spellStart"/>
      <w:r w:rsidRPr="009377B4">
        <w:rPr>
          <w:rFonts w:cstheme="minorHAnsi"/>
          <w:b/>
          <w:bCs/>
        </w:rPr>
        <w:t>oestrogenic</w:t>
      </w:r>
      <w:proofErr w:type="spellEnd"/>
      <w:r w:rsidRPr="009377B4">
        <w:rPr>
          <w:rFonts w:cstheme="minorHAnsi"/>
          <w:b/>
          <w:bCs/>
        </w:rPr>
        <w:t xml:space="preserve"> to fish: an in vitro study using rainbow trout (</w:t>
      </w:r>
      <w:r w:rsidRPr="009377B4">
        <w:rPr>
          <w:rFonts w:cstheme="minorHAnsi"/>
          <w:b/>
          <w:bCs/>
          <w:i/>
          <w:iCs/>
        </w:rPr>
        <w:t>Oncorhynchus mykiss</w:t>
      </w:r>
      <w:r w:rsidRPr="009377B4">
        <w:rPr>
          <w:rFonts w:cstheme="minorHAnsi"/>
          <w:b/>
          <w:bCs/>
        </w:rPr>
        <w:t xml:space="preserve">) </w:t>
      </w:r>
      <w:proofErr w:type="gramStart"/>
      <w:r w:rsidRPr="009377B4">
        <w:rPr>
          <w:rFonts w:cstheme="minorHAnsi"/>
          <w:b/>
          <w:bCs/>
        </w:rPr>
        <w:t>hepatocytes</w:t>
      </w:r>
      <w:proofErr w:type="gramEnd"/>
    </w:p>
    <w:p w14:paraId="594A943D" w14:textId="77777777" w:rsidR="00070801" w:rsidRPr="009377B4" w:rsidRDefault="00070801" w:rsidP="0028260D">
      <w:pPr>
        <w:pStyle w:val="NoSpacing"/>
        <w:ind w:left="720" w:hanging="720"/>
        <w:rPr>
          <w:rFonts w:cstheme="minorHAnsi"/>
        </w:rPr>
      </w:pPr>
      <w:r w:rsidRPr="009377B4">
        <w:rPr>
          <w:rFonts w:cstheme="minorHAnsi"/>
          <w:i/>
          <w:iCs/>
        </w:rPr>
        <w:t>Aquatic Toxicology</w:t>
      </w:r>
      <w:r w:rsidRPr="009377B4">
        <w:rPr>
          <w:rFonts w:cstheme="minorHAnsi"/>
        </w:rPr>
        <w:t>, 27 (1993), pp. 361-372</w:t>
      </w:r>
    </w:p>
    <w:p w14:paraId="4E5C36FB" w14:textId="3121573A" w:rsidR="00070801" w:rsidRPr="009377B4" w:rsidRDefault="00070801" w:rsidP="0028260D">
      <w:pPr>
        <w:pStyle w:val="NoSpacing"/>
        <w:ind w:left="720" w:hanging="720"/>
        <w:rPr>
          <w:rFonts w:cstheme="minorHAnsi"/>
        </w:rPr>
      </w:pPr>
      <w:r w:rsidRPr="009377B4">
        <w:rPr>
          <w:rFonts w:cstheme="minorHAnsi"/>
        </w:rPr>
        <w:t>Jones and Westmoreland, 1998</w:t>
      </w:r>
    </w:p>
    <w:p w14:paraId="42B60D61" w14:textId="77777777" w:rsidR="00070801" w:rsidRPr="009377B4" w:rsidRDefault="00070801" w:rsidP="0028260D">
      <w:pPr>
        <w:pStyle w:val="NoSpacing"/>
        <w:ind w:left="720" w:hanging="720"/>
        <w:rPr>
          <w:rFonts w:cstheme="minorHAnsi"/>
        </w:rPr>
      </w:pPr>
      <w:r w:rsidRPr="009377B4">
        <w:rPr>
          <w:rFonts w:cstheme="minorHAnsi"/>
        </w:rPr>
        <w:t>F.W. Jones, D.J. </w:t>
      </w:r>
      <w:proofErr w:type="spellStart"/>
      <w:r w:rsidRPr="009377B4">
        <w:rPr>
          <w:rFonts w:cstheme="minorHAnsi"/>
        </w:rPr>
        <w:t>Westmoreland</w:t>
      </w:r>
      <w:r w:rsidRPr="009377B4">
        <w:rPr>
          <w:rFonts w:cstheme="minorHAnsi"/>
          <w:b/>
          <w:bCs/>
        </w:rPr>
        <w:t>Degradation</w:t>
      </w:r>
      <w:proofErr w:type="spellEnd"/>
      <w:r w:rsidRPr="009377B4">
        <w:rPr>
          <w:rFonts w:cstheme="minorHAnsi"/>
          <w:b/>
          <w:bCs/>
        </w:rPr>
        <w:t xml:space="preserve"> of nonylphenol ethoxylates during the composting of sludges from wool scour effluents</w:t>
      </w:r>
    </w:p>
    <w:p w14:paraId="5D2C260B"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32 (1998), pp. 2623-2627</w:t>
      </w:r>
    </w:p>
    <w:p w14:paraId="2FB26009" w14:textId="376C9D70" w:rsidR="00070801" w:rsidRPr="009377B4" w:rsidRDefault="00070801" w:rsidP="0028260D">
      <w:pPr>
        <w:pStyle w:val="NoSpacing"/>
        <w:ind w:left="720" w:hanging="720"/>
        <w:rPr>
          <w:rFonts w:cstheme="minorHAnsi"/>
        </w:rPr>
      </w:pPr>
      <w:proofErr w:type="spellStart"/>
      <w:r w:rsidRPr="009377B4">
        <w:rPr>
          <w:rFonts w:cstheme="minorHAnsi"/>
        </w:rPr>
        <w:t>Kepp</w:t>
      </w:r>
      <w:proofErr w:type="spellEnd"/>
      <w:r w:rsidRPr="009377B4">
        <w:rPr>
          <w:rFonts w:cstheme="minorHAnsi"/>
        </w:rPr>
        <w:t xml:space="preserve"> et al., 2000</w:t>
      </w:r>
    </w:p>
    <w:p w14:paraId="691B12F5" w14:textId="77777777" w:rsidR="00070801" w:rsidRPr="009377B4" w:rsidRDefault="00070801" w:rsidP="0028260D">
      <w:pPr>
        <w:pStyle w:val="NoSpacing"/>
        <w:ind w:left="720" w:hanging="720"/>
        <w:rPr>
          <w:rFonts w:cstheme="minorHAnsi"/>
        </w:rPr>
      </w:pPr>
      <w:r w:rsidRPr="009377B4">
        <w:rPr>
          <w:rFonts w:cstheme="minorHAnsi"/>
        </w:rPr>
        <w:t>U. </w:t>
      </w:r>
      <w:proofErr w:type="spellStart"/>
      <w:r w:rsidRPr="009377B4">
        <w:rPr>
          <w:rFonts w:cstheme="minorHAnsi"/>
        </w:rPr>
        <w:t>Kepp</w:t>
      </w:r>
      <w:proofErr w:type="spellEnd"/>
      <w:r w:rsidRPr="009377B4">
        <w:rPr>
          <w:rFonts w:cstheme="minorHAnsi"/>
        </w:rPr>
        <w:t>, I. </w:t>
      </w:r>
      <w:proofErr w:type="spellStart"/>
      <w:r w:rsidRPr="009377B4">
        <w:rPr>
          <w:rFonts w:cstheme="minorHAnsi"/>
        </w:rPr>
        <w:t>Machenbach</w:t>
      </w:r>
      <w:proofErr w:type="spellEnd"/>
      <w:r w:rsidRPr="009377B4">
        <w:rPr>
          <w:rFonts w:cstheme="minorHAnsi"/>
        </w:rPr>
        <w:t>, N. Weisz, O.E. </w:t>
      </w:r>
      <w:proofErr w:type="spellStart"/>
      <w:r w:rsidRPr="009377B4">
        <w:rPr>
          <w:rFonts w:cstheme="minorHAnsi"/>
        </w:rPr>
        <w:t>Solheim</w:t>
      </w:r>
      <w:r w:rsidRPr="009377B4">
        <w:rPr>
          <w:rFonts w:cstheme="minorHAnsi"/>
          <w:b/>
          <w:bCs/>
        </w:rPr>
        <w:t>Enhanced</w:t>
      </w:r>
      <w:proofErr w:type="spellEnd"/>
      <w:r w:rsidRPr="009377B4">
        <w:rPr>
          <w:rFonts w:cstheme="minorHAnsi"/>
          <w:b/>
          <w:bCs/>
        </w:rPr>
        <w:t xml:space="preserve"> </w:t>
      </w:r>
      <w:proofErr w:type="spellStart"/>
      <w:r w:rsidRPr="009377B4">
        <w:rPr>
          <w:rFonts w:cstheme="minorHAnsi"/>
          <w:b/>
          <w:bCs/>
        </w:rPr>
        <w:t>stabilisation</w:t>
      </w:r>
      <w:proofErr w:type="spellEnd"/>
      <w:r w:rsidRPr="009377B4">
        <w:rPr>
          <w:rFonts w:cstheme="minorHAnsi"/>
          <w:b/>
          <w:bCs/>
        </w:rPr>
        <w:t xml:space="preserve"> of sewage sludge through thermal hydrolysis – three years of experience with full scale plant</w:t>
      </w:r>
    </w:p>
    <w:p w14:paraId="4EB3421B"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42 (9) (2000), pp. 89-96</w:t>
      </w:r>
    </w:p>
    <w:p w14:paraId="528ED72D" w14:textId="721B2AAD" w:rsidR="00070801" w:rsidRPr="009377B4" w:rsidRDefault="00070801" w:rsidP="0028260D">
      <w:pPr>
        <w:pStyle w:val="NoSpacing"/>
        <w:ind w:left="720" w:hanging="720"/>
        <w:rPr>
          <w:rFonts w:cstheme="minorHAnsi"/>
        </w:rPr>
      </w:pPr>
      <w:r w:rsidRPr="009377B4">
        <w:rPr>
          <w:rFonts w:cstheme="minorHAnsi"/>
        </w:rPr>
        <w:t>Kinney et al., 2006</w:t>
      </w:r>
    </w:p>
    <w:p w14:paraId="4CE1AC11" w14:textId="77777777" w:rsidR="00070801" w:rsidRPr="009377B4" w:rsidRDefault="00070801" w:rsidP="0028260D">
      <w:pPr>
        <w:pStyle w:val="NoSpacing"/>
        <w:ind w:left="720" w:hanging="720"/>
        <w:rPr>
          <w:rFonts w:cstheme="minorHAnsi"/>
        </w:rPr>
      </w:pPr>
      <w:r w:rsidRPr="009377B4">
        <w:rPr>
          <w:rFonts w:cstheme="minorHAnsi"/>
        </w:rPr>
        <w:lastRenderedPageBreak/>
        <w:t>C.A. Kinney, E.T. Furlong, S.D. Zaugg, M.R. Burkhardt, S.L. Werner, J.D. Cahill, G.R. Jorgensen</w:t>
      </w:r>
      <w:r w:rsidRPr="009377B4">
        <w:rPr>
          <w:rFonts w:cstheme="minorHAnsi"/>
          <w:b/>
          <w:bCs/>
        </w:rPr>
        <w:t xml:space="preserve">Survey of organic wastewater contaminants in biosolids destined for land </w:t>
      </w:r>
      <w:proofErr w:type="gramStart"/>
      <w:r w:rsidRPr="009377B4">
        <w:rPr>
          <w:rFonts w:cstheme="minorHAnsi"/>
          <w:b/>
          <w:bCs/>
        </w:rPr>
        <w:t>application</w:t>
      </w:r>
      <w:proofErr w:type="gramEnd"/>
    </w:p>
    <w:p w14:paraId="0892F666"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40 (23) (2006), pp. 7207-7215</w:t>
      </w:r>
    </w:p>
    <w:p w14:paraId="61D17846" w14:textId="7A1C3CA0" w:rsidR="00070801" w:rsidRPr="009377B4" w:rsidRDefault="00070801" w:rsidP="0028260D">
      <w:pPr>
        <w:pStyle w:val="NoSpacing"/>
        <w:ind w:left="720" w:hanging="720"/>
        <w:rPr>
          <w:rFonts w:cstheme="minorHAnsi"/>
        </w:rPr>
      </w:pPr>
      <w:r w:rsidRPr="009377B4">
        <w:rPr>
          <w:rFonts w:cstheme="minorHAnsi"/>
        </w:rPr>
        <w:t>Kinney et al., 2008</w:t>
      </w:r>
    </w:p>
    <w:p w14:paraId="3BFFFCD5" w14:textId="77777777" w:rsidR="00070801" w:rsidRPr="009377B4" w:rsidRDefault="00070801" w:rsidP="0028260D">
      <w:pPr>
        <w:pStyle w:val="NoSpacing"/>
        <w:ind w:left="720" w:hanging="720"/>
        <w:rPr>
          <w:rFonts w:cstheme="minorHAnsi"/>
        </w:rPr>
      </w:pPr>
      <w:r w:rsidRPr="009377B4">
        <w:rPr>
          <w:rFonts w:cstheme="minorHAnsi"/>
        </w:rPr>
        <w:t>C.A. Kinney, E.T. Furlong, D.W. Kolpin, M.R. Burkhardt, S.D. Zaugg, S.L. Werner, J.P. Bossio, M.J. Benotti</w:t>
      </w:r>
      <w:r w:rsidRPr="009377B4">
        <w:rPr>
          <w:rFonts w:cstheme="minorHAnsi"/>
          <w:b/>
          <w:bCs/>
        </w:rPr>
        <w:t xml:space="preserve">Bioaccumulation of pharmaceuticals and other anthropogenic waste indicators in earthworms from agricultural soil amended with biosolid or swine </w:t>
      </w:r>
      <w:proofErr w:type="gramStart"/>
      <w:r w:rsidRPr="009377B4">
        <w:rPr>
          <w:rFonts w:cstheme="minorHAnsi"/>
          <w:b/>
          <w:bCs/>
        </w:rPr>
        <w:t>manure</w:t>
      </w:r>
      <w:proofErr w:type="gramEnd"/>
    </w:p>
    <w:p w14:paraId="66934454"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42 (6) (2008), pp. 1863-1870</w:t>
      </w:r>
    </w:p>
    <w:p w14:paraId="3BEE84A6" w14:textId="5B64D2EA" w:rsidR="00070801" w:rsidRPr="009377B4" w:rsidRDefault="00070801" w:rsidP="0028260D">
      <w:pPr>
        <w:pStyle w:val="NoSpacing"/>
        <w:ind w:left="720" w:hanging="720"/>
        <w:rPr>
          <w:rFonts w:cstheme="minorHAnsi"/>
        </w:rPr>
      </w:pPr>
      <w:r w:rsidRPr="009377B4">
        <w:rPr>
          <w:rFonts w:cstheme="minorHAnsi"/>
        </w:rPr>
        <w:t>Knudsen et al., 2000</w:t>
      </w:r>
    </w:p>
    <w:p w14:paraId="4863AED1" w14:textId="77777777" w:rsidR="00070801" w:rsidRPr="009377B4" w:rsidRDefault="00070801" w:rsidP="0028260D">
      <w:pPr>
        <w:pStyle w:val="NoSpacing"/>
        <w:ind w:left="720" w:hanging="720"/>
        <w:rPr>
          <w:rFonts w:cstheme="minorHAnsi"/>
        </w:rPr>
      </w:pPr>
      <w:r w:rsidRPr="009377B4">
        <w:rPr>
          <w:rFonts w:cstheme="minorHAnsi"/>
        </w:rPr>
        <w:t>L. Knudsen, G.H. Kristensen, P.E. Jorgensen, S.E. Jepsen</w:t>
      </w:r>
      <w:r w:rsidRPr="009377B4">
        <w:rPr>
          <w:rFonts w:cstheme="minorHAnsi"/>
          <w:b/>
          <w:bCs/>
        </w:rPr>
        <w:t>Reduction of the content of organic micropollutants in digested sludge by a post-aeration process – a full-scale demonstration</w:t>
      </w:r>
    </w:p>
    <w:p w14:paraId="333671F3"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42 (9) (2000), pp. 111-118</w:t>
      </w:r>
    </w:p>
    <w:p w14:paraId="025A5C27" w14:textId="4AE19F01" w:rsidR="00070801" w:rsidRPr="009377B4" w:rsidRDefault="00070801" w:rsidP="0028260D">
      <w:pPr>
        <w:pStyle w:val="NoSpacing"/>
        <w:ind w:left="720" w:hanging="720"/>
        <w:rPr>
          <w:rFonts w:cstheme="minorHAnsi"/>
        </w:rPr>
      </w:pPr>
      <w:r w:rsidRPr="009377B4">
        <w:rPr>
          <w:rFonts w:cstheme="minorHAnsi"/>
        </w:rPr>
        <w:t>Lu et al., 2008</w:t>
      </w:r>
    </w:p>
    <w:p w14:paraId="5F8DF039" w14:textId="77777777" w:rsidR="00070801" w:rsidRPr="009377B4" w:rsidRDefault="00070801" w:rsidP="0028260D">
      <w:pPr>
        <w:pStyle w:val="NoSpacing"/>
        <w:ind w:left="720" w:hanging="720"/>
        <w:rPr>
          <w:rFonts w:cstheme="minorHAnsi"/>
        </w:rPr>
      </w:pPr>
      <w:r w:rsidRPr="009377B4">
        <w:rPr>
          <w:rFonts w:cstheme="minorHAnsi"/>
        </w:rPr>
        <w:t>J. Lu, Q. </w:t>
      </w:r>
      <w:proofErr w:type="spellStart"/>
      <w:r w:rsidRPr="009377B4">
        <w:rPr>
          <w:rFonts w:cstheme="minorHAnsi"/>
        </w:rPr>
        <w:t>Jin</w:t>
      </w:r>
      <w:proofErr w:type="spellEnd"/>
      <w:r w:rsidRPr="009377B4">
        <w:rPr>
          <w:rFonts w:cstheme="minorHAnsi"/>
        </w:rPr>
        <w:t>, Y. He, J. Wu, W. Zhang, J. </w:t>
      </w:r>
      <w:proofErr w:type="spellStart"/>
      <w:r w:rsidRPr="009377B4">
        <w:rPr>
          <w:rFonts w:cstheme="minorHAnsi"/>
        </w:rPr>
        <w:t>Zhao</w:t>
      </w:r>
      <w:r w:rsidRPr="009377B4">
        <w:rPr>
          <w:rFonts w:cstheme="minorHAnsi"/>
          <w:b/>
          <w:bCs/>
        </w:rPr>
        <w:t>Anaerobic</w:t>
      </w:r>
      <w:proofErr w:type="spellEnd"/>
      <w:r w:rsidRPr="009377B4">
        <w:rPr>
          <w:rFonts w:cstheme="minorHAnsi"/>
          <w:b/>
          <w:bCs/>
        </w:rPr>
        <w:t xml:space="preserve"> degradation behavior of nonylphenol </w:t>
      </w:r>
      <w:proofErr w:type="spellStart"/>
      <w:r w:rsidRPr="009377B4">
        <w:rPr>
          <w:rFonts w:cstheme="minorHAnsi"/>
          <w:b/>
          <w:bCs/>
        </w:rPr>
        <w:t>polyethoxylates</w:t>
      </w:r>
      <w:proofErr w:type="spellEnd"/>
      <w:r w:rsidRPr="009377B4">
        <w:rPr>
          <w:rFonts w:cstheme="minorHAnsi"/>
          <w:b/>
          <w:bCs/>
        </w:rPr>
        <w:t xml:space="preserve"> in sludge</w:t>
      </w:r>
    </w:p>
    <w:p w14:paraId="6345B36B" w14:textId="77777777" w:rsidR="00070801" w:rsidRPr="009377B4" w:rsidRDefault="00070801" w:rsidP="0028260D">
      <w:pPr>
        <w:pStyle w:val="NoSpacing"/>
        <w:ind w:left="720" w:hanging="720"/>
        <w:rPr>
          <w:rFonts w:cstheme="minorHAnsi"/>
        </w:rPr>
      </w:pPr>
      <w:r w:rsidRPr="009377B4">
        <w:rPr>
          <w:rFonts w:cstheme="minorHAnsi"/>
          <w:i/>
          <w:iCs/>
        </w:rPr>
        <w:t>Chemosphere</w:t>
      </w:r>
      <w:r w:rsidRPr="009377B4">
        <w:rPr>
          <w:rFonts w:cstheme="minorHAnsi"/>
        </w:rPr>
        <w:t>, 71 (2008), pp. 345-351</w:t>
      </w:r>
    </w:p>
    <w:p w14:paraId="335A6E0C" w14:textId="1C76677F" w:rsidR="00070801" w:rsidRPr="009377B4" w:rsidRDefault="00070801" w:rsidP="0028260D">
      <w:pPr>
        <w:pStyle w:val="NoSpacing"/>
        <w:ind w:left="720" w:hanging="720"/>
        <w:rPr>
          <w:rFonts w:cstheme="minorHAnsi"/>
        </w:rPr>
      </w:pPr>
      <w:proofErr w:type="spellStart"/>
      <w:r w:rsidRPr="009377B4">
        <w:rPr>
          <w:rFonts w:cstheme="minorHAnsi"/>
        </w:rPr>
        <w:t>Masuyama</w:t>
      </w:r>
      <w:proofErr w:type="spellEnd"/>
      <w:r w:rsidRPr="009377B4">
        <w:rPr>
          <w:rFonts w:cstheme="minorHAnsi"/>
        </w:rPr>
        <w:t xml:space="preserve"> et al., 2000</w:t>
      </w:r>
    </w:p>
    <w:p w14:paraId="2F3C924F" w14:textId="77777777" w:rsidR="00070801" w:rsidRPr="009377B4" w:rsidRDefault="00070801" w:rsidP="0028260D">
      <w:pPr>
        <w:pStyle w:val="NoSpacing"/>
        <w:ind w:left="720" w:hanging="720"/>
        <w:rPr>
          <w:rFonts w:cstheme="minorHAnsi"/>
        </w:rPr>
      </w:pPr>
      <w:r w:rsidRPr="009377B4">
        <w:rPr>
          <w:rFonts w:cstheme="minorHAnsi"/>
        </w:rPr>
        <w:t>H. Masuyama, Y. Hiramatsu, M. Kunitomi, T. Kudo, P. MacDonald</w:t>
      </w:r>
      <w:r w:rsidRPr="009377B4">
        <w:rPr>
          <w:rFonts w:cstheme="minorHAnsi"/>
          <w:b/>
          <w:bCs/>
        </w:rPr>
        <w:t xml:space="preserve">Endocrine disrupting chemicals, phthalic acid, and nonylphenol, activate </w:t>
      </w:r>
      <w:proofErr w:type="spellStart"/>
      <w:r w:rsidRPr="009377B4">
        <w:rPr>
          <w:rFonts w:cstheme="minorHAnsi"/>
          <w:b/>
          <w:bCs/>
        </w:rPr>
        <w:t>pregnane</w:t>
      </w:r>
      <w:proofErr w:type="spellEnd"/>
      <w:r w:rsidRPr="009377B4">
        <w:rPr>
          <w:rFonts w:cstheme="minorHAnsi"/>
          <w:b/>
          <w:bCs/>
        </w:rPr>
        <w:t xml:space="preserve"> X receptor-mediated </w:t>
      </w:r>
      <w:proofErr w:type="gramStart"/>
      <w:r w:rsidRPr="009377B4">
        <w:rPr>
          <w:rFonts w:cstheme="minorHAnsi"/>
          <w:b/>
          <w:bCs/>
        </w:rPr>
        <w:t>transcription</w:t>
      </w:r>
      <w:proofErr w:type="gramEnd"/>
    </w:p>
    <w:p w14:paraId="41C5B345" w14:textId="77777777" w:rsidR="00070801" w:rsidRPr="009377B4" w:rsidRDefault="00070801" w:rsidP="0028260D">
      <w:pPr>
        <w:pStyle w:val="NoSpacing"/>
        <w:ind w:left="720" w:hanging="720"/>
        <w:rPr>
          <w:rFonts w:cstheme="minorHAnsi"/>
        </w:rPr>
      </w:pPr>
      <w:r w:rsidRPr="009377B4">
        <w:rPr>
          <w:rFonts w:cstheme="minorHAnsi"/>
          <w:i/>
          <w:iCs/>
        </w:rPr>
        <w:t>Molecular Endocrinology</w:t>
      </w:r>
      <w:r w:rsidRPr="009377B4">
        <w:rPr>
          <w:rFonts w:cstheme="minorHAnsi"/>
        </w:rPr>
        <w:t>, 14 (3) (2000), pp. 421-428</w:t>
      </w:r>
    </w:p>
    <w:p w14:paraId="0B13C5D6" w14:textId="21BF4810" w:rsidR="00070801" w:rsidRPr="009377B4" w:rsidRDefault="00070801" w:rsidP="0028260D">
      <w:pPr>
        <w:pStyle w:val="NoSpacing"/>
        <w:ind w:left="720" w:hanging="720"/>
        <w:rPr>
          <w:rFonts w:cstheme="minorHAnsi"/>
        </w:rPr>
      </w:pPr>
      <w:r w:rsidRPr="009377B4">
        <w:rPr>
          <w:rFonts w:cstheme="minorHAnsi"/>
        </w:rPr>
        <w:t>Matsui et al., 2000</w:t>
      </w:r>
    </w:p>
    <w:p w14:paraId="10994CA1" w14:textId="77777777" w:rsidR="00070801" w:rsidRPr="009377B4" w:rsidRDefault="00070801" w:rsidP="0028260D">
      <w:pPr>
        <w:pStyle w:val="NoSpacing"/>
        <w:ind w:left="720" w:hanging="720"/>
        <w:rPr>
          <w:rFonts w:cstheme="minorHAnsi"/>
        </w:rPr>
      </w:pPr>
      <w:r w:rsidRPr="009377B4">
        <w:rPr>
          <w:rFonts w:cstheme="minorHAnsi"/>
        </w:rPr>
        <w:t>S. Matsui, H. Takigami, T. Matsuda, N. Taniguchi, J. Adachi, H. Kawami, Y. Shimizu</w:t>
      </w:r>
      <w:r w:rsidRPr="009377B4">
        <w:rPr>
          <w:rFonts w:cstheme="minorHAnsi"/>
          <w:b/>
          <w:bCs/>
        </w:rPr>
        <w:t>Estrogen and estrogen mimics contamination in water and the role of sewage treatment</w:t>
      </w:r>
    </w:p>
    <w:p w14:paraId="641D8491"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42 (12) (2000), pp. 173-179</w:t>
      </w:r>
    </w:p>
    <w:p w14:paraId="7E8790BC" w14:textId="28B929E0" w:rsidR="00070801" w:rsidRPr="009377B4" w:rsidRDefault="00070801" w:rsidP="0028260D">
      <w:pPr>
        <w:pStyle w:val="NoSpacing"/>
        <w:ind w:left="720" w:hanging="720"/>
        <w:rPr>
          <w:rFonts w:cstheme="minorHAnsi"/>
        </w:rPr>
      </w:pPr>
      <w:r w:rsidRPr="009377B4">
        <w:rPr>
          <w:rFonts w:cstheme="minorHAnsi"/>
        </w:rPr>
        <w:t>McClellan and Halden, 2010</w:t>
      </w:r>
    </w:p>
    <w:p w14:paraId="31C88B30" w14:textId="77777777" w:rsidR="00070801" w:rsidRPr="009377B4" w:rsidRDefault="00070801" w:rsidP="0028260D">
      <w:pPr>
        <w:pStyle w:val="NoSpacing"/>
        <w:ind w:left="720" w:hanging="720"/>
        <w:rPr>
          <w:rFonts w:cstheme="minorHAnsi"/>
        </w:rPr>
      </w:pPr>
      <w:r w:rsidRPr="009377B4">
        <w:rPr>
          <w:rFonts w:cstheme="minorHAnsi"/>
        </w:rPr>
        <w:t>K. McClellan, R.U. </w:t>
      </w:r>
      <w:proofErr w:type="spellStart"/>
      <w:r w:rsidRPr="009377B4">
        <w:rPr>
          <w:rFonts w:cstheme="minorHAnsi"/>
        </w:rPr>
        <w:t>Halden</w:t>
      </w:r>
      <w:r w:rsidRPr="009377B4">
        <w:rPr>
          <w:rFonts w:cstheme="minorHAnsi"/>
          <w:b/>
          <w:bCs/>
        </w:rPr>
        <w:t>Pharmaceuticals</w:t>
      </w:r>
      <w:proofErr w:type="spellEnd"/>
      <w:r w:rsidRPr="009377B4">
        <w:rPr>
          <w:rFonts w:cstheme="minorHAnsi"/>
          <w:b/>
          <w:bCs/>
        </w:rPr>
        <w:t xml:space="preserve"> and personal care products in archived U.S. biosolids from the 2001 EPA national sewage sludge survey</w:t>
      </w:r>
    </w:p>
    <w:p w14:paraId="759072E5"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44 (2010), pp. 658-668</w:t>
      </w:r>
    </w:p>
    <w:p w14:paraId="028F7BE3" w14:textId="73C9F090" w:rsidR="00070801" w:rsidRPr="009377B4" w:rsidRDefault="00070801" w:rsidP="0028260D">
      <w:pPr>
        <w:pStyle w:val="NoSpacing"/>
        <w:ind w:left="720" w:hanging="720"/>
        <w:rPr>
          <w:rFonts w:cstheme="minorHAnsi"/>
        </w:rPr>
      </w:pPr>
      <w:r w:rsidRPr="009377B4">
        <w:rPr>
          <w:rFonts w:cstheme="minorHAnsi"/>
        </w:rPr>
        <w:t>Novak et al., 2011</w:t>
      </w:r>
    </w:p>
    <w:p w14:paraId="55906777" w14:textId="77777777" w:rsidR="00070801" w:rsidRPr="009377B4" w:rsidRDefault="00070801" w:rsidP="0028260D">
      <w:pPr>
        <w:pStyle w:val="NoSpacing"/>
        <w:ind w:left="720" w:hanging="720"/>
        <w:rPr>
          <w:rFonts w:cstheme="minorHAnsi"/>
        </w:rPr>
      </w:pPr>
      <w:r w:rsidRPr="009377B4">
        <w:rPr>
          <w:rFonts w:cstheme="minorHAnsi"/>
        </w:rPr>
        <w:t>J.T. Novak, S. </w:t>
      </w:r>
      <w:proofErr w:type="spellStart"/>
      <w:r w:rsidRPr="009377B4">
        <w:rPr>
          <w:rFonts w:cstheme="minorHAnsi"/>
        </w:rPr>
        <w:t>Banjade</w:t>
      </w:r>
      <w:proofErr w:type="spellEnd"/>
      <w:r w:rsidRPr="009377B4">
        <w:rPr>
          <w:rFonts w:cstheme="minorHAnsi"/>
        </w:rPr>
        <w:t>, S.N. </w:t>
      </w:r>
      <w:proofErr w:type="spellStart"/>
      <w:r w:rsidRPr="009377B4">
        <w:rPr>
          <w:rFonts w:cstheme="minorHAnsi"/>
        </w:rPr>
        <w:t>Murthy</w:t>
      </w:r>
      <w:r w:rsidRPr="009377B4">
        <w:rPr>
          <w:rFonts w:cstheme="minorHAnsi"/>
          <w:b/>
          <w:bCs/>
        </w:rPr>
        <w:t>Combined</w:t>
      </w:r>
      <w:proofErr w:type="spellEnd"/>
      <w:r w:rsidRPr="009377B4">
        <w:rPr>
          <w:rFonts w:cstheme="minorHAnsi"/>
          <w:b/>
          <w:bCs/>
        </w:rPr>
        <w:t xml:space="preserve"> anaerobic and aerobic digestion for increased solids reduction and nitrogen removal</w:t>
      </w:r>
    </w:p>
    <w:p w14:paraId="1FDE1C52"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45 (2011), pp. 618-624</w:t>
      </w:r>
    </w:p>
    <w:p w14:paraId="11973007" w14:textId="7C4106B4" w:rsidR="00070801" w:rsidRPr="009377B4" w:rsidRDefault="00070801" w:rsidP="0028260D">
      <w:pPr>
        <w:pStyle w:val="NoSpacing"/>
        <w:ind w:left="720" w:hanging="720"/>
        <w:rPr>
          <w:rFonts w:cstheme="minorHAnsi"/>
        </w:rPr>
      </w:pPr>
      <w:proofErr w:type="spellStart"/>
      <w:r w:rsidRPr="009377B4">
        <w:rPr>
          <w:rFonts w:cstheme="minorHAnsi"/>
        </w:rPr>
        <w:t>Patureau</w:t>
      </w:r>
      <w:proofErr w:type="spellEnd"/>
      <w:r w:rsidRPr="009377B4">
        <w:rPr>
          <w:rFonts w:cstheme="minorHAnsi"/>
        </w:rPr>
        <w:t xml:space="preserve"> et al., 2008</w:t>
      </w:r>
    </w:p>
    <w:p w14:paraId="701A3077" w14:textId="77777777" w:rsidR="00070801" w:rsidRPr="009377B4" w:rsidRDefault="00070801" w:rsidP="0028260D">
      <w:pPr>
        <w:pStyle w:val="NoSpacing"/>
        <w:ind w:left="720" w:hanging="720"/>
        <w:rPr>
          <w:rFonts w:cstheme="minorHAnsi"/>
        </w:rPr>
      </w:pPr>
      <w:r w:rsidRPr="009377B4">
        <w:rPr>
          <w:rFonts w:cstheme="minorHAnsi"/>
        </w:rPr>
        <w:t>D. </w:t>
      </w:r>
      <w:proofErr w:type="spellStart"/>
      <w:r w:rsidRPr="009377B4">
        <w:rPr>
          <w:rFonts w:cstheme="minorHAnsi"/>
        </w:rPr>
        <w:t>Patureau</w:t>
      </w:r>
      <w:proofErr w:type="spellEnd"/>
      <w:r w:rsidRPr="009377B4">
        <w:rPr>
          <w:rFonts w:cstheme="minorHAnsi"/>
        </w:rPr>
        <w:t>, N. </w:t>
      </w:r>
      <w:proofErr w:type="spellStart"/>
      <w:r w:rsidRPr="009377B4">
        <w:rPr>
          <w:rFonts w:cstheme="minorHAnsi"/>
        </w:rPr>
        <w:t>Delgenes</w:t>
      </w:r>
      <w:proofErr w:type="spellEnd"/>
      <w:r w:rsidRPr="009377B4">
        <w:rPr>
          <w:rFonts w:cstheme="minorHAnsi"/>
        </w:rPr>
        <w:t>, J.-P. </w:t>
      </w:r>
      <w:proofErr w:type="spellStart"/>
      <w:r w:rsidRPr="009377B4">
        <w:rPr>
          <w:rFonts w:cstheme="minorHAnsi"/>
        </w:rPr>
        <w:t>Delgenes</w:t>
      </w:r>
      <w:r w:rsidRPr="009377B4">
        <w:rPr>
          <w:rFonts w:cstheme="minorHAnsi"/>
          <w:b/>
          <w:bCs/>
        </w:rPr>
        <w:t>Impact</w:t>
      </w:r>
      <w:proofErr w:type="spellEnd"/>
      <w:r w:rsidRPr="009377B4">
        <w:rPr>
          <w:rFonts w:cstheme="minorHAnsi"/>
          <w:b/>
          <w:bCs/>
        </w:rPr>
        <w:t xml:space="preserve"> of sewage sludge treatment processes on the removal of the endocrine disrupters nonylphenol ethoxylates</w:t>
      </w:r>
    </w:p>
    <w:p w14:paraId="37C240B7" w14:textId="77777777" w:rsidR="00070801" w:rsidRPr="009377B4" w:rsidRDefault="00070801" w:rsidP="0028260D">
      <w:pPr>
        <w:pStyle w:val="NoSpacing"/>
        <w:ind w:left="720" w:hanging="720"/>
        <w:rPr>
          <w:rFonts w:cstheme="minorHAnsi"/>
        </w:rPr>
      </w:pPr>
      <w:r w:rsidRPr="009377B4">
        <w:rPr>
          <w:rFonts w:cstheme="minorHAnsi"/>
          <w:i/>
          <w:iCs/>
        </w:rPr>
        <w:t>Chemosphere</w:t>
      </w:r>
      <w:r w:rsidRPr="009377B4">
        <w:rPr>
          <w:rFonts w:cstheme="minorHAnsi"/>
        </w:rPr>
        <w:t>, 72 (2008), pp. 586-591</w:t>
      </w:r>
    </w:p>
    <w:p w14:paraId="601CF4EA" w14:textId="6F45FD25" w:rsidR="00070801" w:rsidRPr="009377B4" w:rsidRDefault="00070801" w:rsidP="0028260D">
      <w:pPr>
        <w:pStyle w:val="NoSpacing"/>
        <w:ind w:left="720" w:hanging="720"/>
        <w:rPr>
          <w:rFonts w:cstheme="minorHAnsi"/>
        </w:rPr>
      </w:pPr>
      <w:r w:rsidRPr="009377B4">
        <w:rPr>
          <w:rFonts w:cstheme="minorHAnsi"/>
        </w:rPr>
        <w:t>Peters and Rowley, 2009</w:t>
      </w:r>
    </w:p>
    <w:p w14:paraId="51EC91FE" w14:textId="77777777" w:rsidR="00070801" w:rsidRPr="009377B4" w:rsidRDefault="00070801" w:rsidP="0028260D">
      <w:pPr>
        <w:pStyle w:val="NoSpacing"/>
        <w:ind w:left="720" w:hanging="720"/>
        <w:rPr>
          <w:rFonts w:cstheme="minorHAnsi"/>
        </w:rPr>
      </w:pPr>
      <w:r w:rsidRPr="009377B4">
        <w:rPr>
          <w:rFonts w:cstheme="minorHAnsi"/>
        </w:rPr>
        <w:t>G.M. Peters, H.V. </w:t>
      </w:r>
      <w:proofErr w:type="spellStart"/>
      <w:r w:rsidRPr="009377B4">
        <w:rPr>
          <w:rFonts w:cstheme="minorHAnsi"/>
        </w:rPr>
        <w:t>Rowley</w:t>
      </w:r>
      <w:r w:rsidRPr="009377B4">
        <w:rPr>
          <w:rFonts w:cstheme="minorHAnsi"/>
          <w:b/>
          <w:bCs/>
        </w:rPr>
        <w:t>Environmental</w:t>
      </w:r>
      <w:proofErr w:type="spellEnd"/>
      <w:r w:rsidRPr="009377B4">
        <w:rPr>
          <w:rFonts w:cstheme="minorHAnsi"/>
          <w:b/>
          <w:bCs/>
        </w:rPr>
        <w:t xml:space="preserve"> comparison of biosolids management systems using life cycle </w:t>
      </w:r>
      <w:proofErr w:type="gramStart"/>
      <w:r w:rsidRPr="009377B4">
        <w:rPr>
          <w:rFonts w:cstheme="minorHAnsi"/>
          <w:b/>
          <w:bCs/>
        </w:rPr>
        <w:t>assessment</w:t>
      </w:r>
      <w:proofErr w:type="gramEnd"/>
    </w:p>
    <w:p w14:paraId="7BA9A712"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43 (8) (2009), pp. 2674-2679</w:t>
      </w:r>
    </w:p>
    <w:p w14:paraId="32C5B66E" w14:textId="3A48E377" w:rsidR="00070801" w:rsidRPr="009377B4" w:rsidRDefault="00070801" w:rsidP="0028260D">
      <w:pPr>
        <w:pStyle w:val="NoSpacing"/>
        <w:ind w:left="720" w:hanging="720"/>
        <w:rPr>
          <w:rFonts w:cstheme="minorHAnsi"/>
        </w:rPr>
      </w:pPr>
      <w:proofErr w:type="spellStart"/>
      <w:r w:rsidRPr="009377B4">
        <w:rPr>
          <w:rFonts w:cstheme="minorHAnsi"/>
        </w:rPr>
        <w:t>Pickworth</w:t>
      </w:r>
      <w:proofErr w:type="spellEnd"/>
      <w:r w:rsidRPr="009377B4">
        <w:rPr>
          <w:rFonts w:cstheme="minorHAnsi"/>
        </w:rPr>
        <w:t xml:space="preserve"> et al., 2006</w:t>
      </w:r>
    </w:p>
    <w:p w14:paraId="65F47239" w14:textId="77777777" w:rsidR="00070801" w:rsidRPr="009377B4" w:rsidRDefault="00070801" w:rsidP="0028260D">
      <w:pPr>
        <w:pStyle w:val="NoSpacing"/>
        <w:ind w:left="720" w:hanging="720"/>
        <w:rPr>
          <w:rFonts w:cstheme="minorHAnsi"/>
        </w:rPr>
      </w:pPr>
      <w:r w:rsidRPr="009377B4">
        <w:rPr>
          <w:rFonts w:cstheme="minorHAnsi"/>
        </w:rPr>
        <w:t>B. </w:t>
      </w:r>
      <w:proofErr w:type="spellStart"/>
      <w:r w:rsidRPr="009377B4">
        <w:rPr>
          <w:rFonts w:cstheme="minorHAnsi"/>
        </w:rPr>
        <w:t>Pickworth</w:t>
      </w:r>
      <w:proofErr w:type="spellEnd"/>
      <w:r w:rsidRPr="009377B4">
        <w:rPr>
          <w:rFonts w:cstheme="minorHAnsi"/>
        </w:rPr>
        <w:t>, J. Adams, K. </w:t>
      </w:r>
      <w:proofErr w:type="spellStart"/>
      <w:r w:rsidRPr="009377B4">
        <w:rPr>
          <w:rFonts w:cstheme="minorHAnsi"/>
        </w:rPr>
        <w:t>Panter</w:t>
      </w:r>
      <w:proofErr w:type="spellEnd"/>
      <w:r w:rsidRPr="009377B4">
        <w:rPr>
          <w:rFonts w:cstheme="minorHAnsi"/>
        </w:rPr>
        <w:t>, O.E. </w:t>
      </w:r>
      <w:proofErr w:type="spellStart"/>
      <w:r w:rsidRPr="009377B4">
        <w:rPr>
          <w:rFonts w:cstheme="minorHAnsi"/>
        </w:rPr>
        <w:t>Solheim</w:t>
      </w:r>
      <w:r w:rsidRPr="009377B4">
        <w:rPr>
          <w:rFonts w:cstheme="minorHAnsi"/>
          <w:b/>
          <w:bCs/>
        </w:rPr>
        <w:t>Maximizing</w:t>
      </w:r>
      <w:proofErr w:type="spellEnd"/>
      <w:r w:rsidRPr="009377B4">
        <w:rPr>
          <w:rFonts w:cstheme="minorHAnsi"/>
          <w:b/>
          <w:bCs/>
        </w:rPr>
        <w:t xml:space="preserve"> biogas in anaerobic digestion by using engine waste heat for thermal hydrolysis pre-treatment of </w:t>
      </w:r>
      <w:proofErr w:type="gramStart"/>
      <w:r w:rsidRPr="009377B4">
        <w:rPr>
          <w:rFonts w:cstheme="minorHAnsi"/>
          <w:b/>
          <w:bCs/>
        </w:rPr>
        <w:t>sludge</w:t>
      </w:r>
      <w:proofErr w:type="gramEnd"/>
    </w:p>
    <w:p w14:paraId="6DCEF3DC"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54 (5) (2006), pp. 101-108</w:t>
      </w:r>
    </w:p>
    <w:p w14:paraId="17201259" w14:textId="0A5152A0" w:rsidR="00070801" w:rsidRPr="009377B4" w:rsidRDefault="00070801" w:rsidP="0028260D">
      <w:pPr>
        <w:pStyle w:val="NoSpacing"/>
        <w:ind w:left="720" w:hanging="720"/>
        <w:rPr>
          <w:rFonts w:cstheme="minorHAnsi"/>
        </w:rPr>
      </w:pPr>
      <w:r w:rsidRPr="009377B4">
        <w:rPr>
          <w:rFonts w:cstheme="minorHAnsi"/>
        </w:rPr>
        <w:t>Routledge and Sumpter, 1996</w:t>
      </w:r>
    </w:p>
    <w:p w14:paraId="446CA950" w14:textId="77777777" w:rsidR="00070801" w:rsidRPr="009377B4" w:rsidRDefault="00070801" w:rsidP="0028260D">
      <w:pPr>
        <w:pStyle w:val="NoSpacing"/>
        <w:ind w:left="720" w:hanging="720"/>
        <w:rPr>
          <w:rFonts w:cstheme="minorHAnsi"/>
        </w:rPr>
      </w:pPr>
      <w:r w:rsidRPr="009377B4">
        <w:rPr>
          <w:rFonts w:cstheme="minorHAnsi"/>
        </w:rPr>
        <w:t>E. Routledge, J. </w:t>
      </w:r>
      <w:proofErr w:type="spellStart"/>
      <w:r w:rsidRPr="009377B4">
        <w:rPr>
          <w:rFonts w:cstheme="minorHAnsi"/>
        </w:rPr>
        <w:t>Sumpter</w:t>
      </w:r>
      <w:r w:rsidRPr="009377B4">
        <w:rPr>
          <w:rFonts w:cstheme="minorHAnsi"/>
          <w:b/>
          <w:bCs/>
        </w:rPr>
        <w:t>Estrogenic</w:t>
      </w:r>
      <w:proofErr w:type="spellEnd"/>
      <w:r w:rsidRPr="009377B4">
        <w:rPr>
          <w:rFonts w:cstheme="minorHAnsi"/>
          <w:b/>
          <w:bCs/>
        </w:rPr>
        <w:t xml:space="preserve"> activity of surfactants and some of their degradation products assessed using a recombinant yeast </w:t>
      </w:r>
      <w:proofErr w:type="gramStart"/>
      <w:r w:rsidRPr="009377B4">
        <w:rPr>
          <w:rFonts w:cstheme="minorHAnsi"/>
          <w:b/>
          <w:bCs/>
        </w:rPr>
        <w:t>screen</w:t>
      </w:r>
      <w:proofErr w:type="gramEnd"/>
    </w:p>
    <w:p w14:paraId="17A838C2" w14:textId="77777777" w:rsidR="00070801" w:rsidRPr="009377B4" w:rsidRDefault="00070801" w:rsidP="0028260D">
      <w:pPr>
        <w:pStyle w:val="NoSpacing"/>
        <w:ind w:left="720" w:hanging="720"/>
        <w:rPr>
          <w:rFonts w:cstheme="minorHAnsi"/>
        </w:rPr>
      </w:pPr>
      <w:r w:rsidRPr="009377B4">
        <w:rPr>
          <w:rFonts w:cstheme="minorHAnsi"/>
          <w:i/>
          <w:iCs/>
        </w:rPr>
        <w:t>Environmental Toxicology and Chemistry</w:t>
      </w:r>
      <w:r w:rsidRPr="009377B4">
        <w:rPr>
          <w:rFonts w:cstheme="minorHAnsi"/>
        </w:rPr>
        <w:t>, 15 (3) (1996), pp. 241-248</w:t>
      </w:r>
    </w:p>
    <w:p w14:paraId="39F0C0D6" w14:textId="0F6409B5" w:rsidR="00070801" w:rsidRPr="009377B4" w:rsidRDefault="00070801" w:rsidP="0028260D">
      <w:pPr>
        <w:pStyle w:val="NoSpacing"/>
        <w:ind w:left="720" w:hanging="720"/>
        <w:rPr>
          <w:rFonts w:cstheme="minorHAnsi"/>
        </w:rPr>
      </w:pPr>
      <w:r w:rsidRPr="009377B4">
        <w:rPr>
          <w:rFonts w:cstheme="minorHAnsi"/>
        </w:rPr>
        <w:t>Russell, 1992</w:t>
      </w:r>
    </w:p>
    <w:p w14:paraId="6422B698" w14:textId="77777777" w:rsidR="00070801" w:rsidRPr="009377B4" w:rsidRDefault="00070801" w:rsidP="0028260D">
      <w:pPr>
        <w:pStyle w:val="NoSpacing"/>
        <w:ind w:left="720" w:hanging="720"/>
        <w:rPr>
          <w:rFonts w:cstheme="minorHAnsi"/>
        </w:rPr>
      </w:pPr>
      <w:r w:rsidRPr="009377B4">
        <w:rPr>
          <w:rFonts w:cstheme="minorHAnsi"/>
        </w:rPr>
        <w:lastRenderedPageBreak/>
        <w:t>J.B. </w:t>
      </w:r>
      <w:proofErr w:type="spellStart"/>
      <w:r w:rsidRPr="009377B4">
        <w:rPr>
          <w:rFonts w:cstheme="minorHAnsi"/>
        </w:rPr>
        <w:t>Russell</w:t>
      </w:r>
      <w:r w:rsidRPr="009377B4">
        <w:rPr>
          <w:rFonts w:cstheme="minorHAnsi"/>
          <w:b/>
          <w:bCs/>
        </w:rPr>
        <w:t>Another</w:t>
      </w:r>
      <w:proofErr w:type="spellEnd"/>
      <w:r w:rsidRPr="009377B4">
        <w:rPr>
          <w:rFonts w:cstheme="minorHAnsi"/>
          <w:b/>
          <w:bCs/>
        </w:rPr>
        <w:t xml:space="preserve"> explanation for the toxicity of fermentation acids at low pH: anion accumulation versus uncoupling</w:t>
      </w:r>
    </w:p>
    <w:p w14:paraId="22C3D1CB" w14:textId="77777777" w:rsidR="00070801" w:rsidRPr="009377B4" w:rsidRDefault="00070801" w:rsidP="0028260D">
      <w:pPr>
        <w:pStyle w:val="NoSpacing"/>
        <w:ind w:left="720" w:hanging="720"/>
        <w:rPr>
          <w:rFonts w:cstheme="minorHAnsi"/>
        </w:rPr>
      </w:pPr>
      <w:r w:rsidRPr="009377B4">
        <w:rPr>
          <w:rFonts w:cstheme="minorHAnsi"/>
          <w:i/>
          <w:iCs/>
        </w:rPr>
        <w:t>Journal of Applied Bacteriology</w:t>
      </w:r>
      <w:r w:rsidRPr="009377B4">
        <w:rPr>
          <w:rFonts w:cstheme="minorHAnsi"/>
        </w:rPr>
        <w:t>, 73 (1992), pp. 363-370</w:t>
      </w:r>
    </w:p>
    <w:p w14:paraId="2D880B52" w14:textId="6541FA84" w:rsidR="00070801" w:rsidRPr="009377B4" w:rsidRDefault="00070801" w:rsidP="0028260D">
      <w:pPr>
        <w:pStyle w:val="NoSpacing"/>
        <w:ind w:left="720" w:hanging="720"/>
        <w:rPr>
          <w:rFonts w:cstheme="minorHAnsi"/>
        </w:rPr>
      </w:pPr>
      <w:proofErr w:type="spellStart"/>
      <w:r w:rsidRPr="009377B4">
        <w:rPr>
          <w:rFonts w:cstheme="minorHAnsi"/>
        </w:rPr>
        <w:t>Rutishauser</w:t>
      </w:r>
      <w:proofErr w:type="spellEnd"/>
      <w:r w:rsidRPr="009377B4">
        <w:rPr>
          <w:rFonts w:cstheme="minorHAnsi"/>
        </w:rPr>
        <w:t xml:space="preserve"> et al., 2004</w:t>
      </w:r>
    </w:p>
    <w:p w14:paraId="57270195" w14:textId="77777777" w:rsidR="00070801" w:rsidRPr="009377B4" w:rsidRDefault="00070801" w:rsidP="0028260D">
      <w:pPr>
        <w:pStyle w:val="NoSpacing"/>
        <w:ind w:left="720" w:hanging="720"/>
        <w:rPr>
          <w:rFonts w:cstheme="minorHAnsi"/>
        </w:rPr>
      </w:pPr>
      <w:r w:rsidRPr="009377B4">
        <w:rPr>
          <w:rFonts w:cstheme="minorHAnsi"/>
        </w:rPr>
        <w:t>B.V. Rutishauser, M. Pesonen, B.I. Escher, G.E. Ackermann, H. Aerni, M.J. Suter, R.I.L. Eggen</w:t>
      </w:r>
      <w:r w:rsidRPr="009377B4">
        <w:rPr>
          <w:rFonts w:cstheme="minorHAnsi"/>
          <w:b/>
          <w:bCs/>
        </w:rPr>
        <w:t xml:space="preserve">Comparative analysis of estrogenic activity in sewage treatment plant effluents involving three in vitro assays and chemical analysis of </w:t>
      </w:r>
      <w:proofErr w:type="gramStart"/>
      <w:r w:rsidRPr="009377B4">
        <w:rPr>
          <w:rFonts w:cstheme="minorHAnsi"/>
          <w:b/>
          <w:bCs/>
        </w:rPr>
        <w:t>steroids</w:t>
      </w:r>
      <w:proofErr w:type="gramEnd"/>
    </w:p>
    <w:p w14:paraId="0E74A532" w14:textId="77777777" w:rsidR="00070801" w:rsidRPr="009377B4" w:rsidRDefault="00070801" w:rsidP="0028260D">
      <w:pPr>
        <w:pStyle w:val="NoSpacing"/>
        <w:ind w:left="720" w:hanging="720"/>
        <w:rPr>
          <w:rFonts w:cstheme="minorHAnsi"/>
        </w:rPr>
      </w:pPr>
      <w:r w:rsidRPr="009377B4">
        <w:rPr>
          <w:rFonts w:cstheme="minorHAnsi"/>
          <w:i/>
          <w:iCs/>
        </w:rPr>
        <w:t>Environmental Toxicology and Chemistry</w:t>
      </w:r>
      <w:r w:rsidRPr="009377B4">
        <w:rPr>
          <w:rFonts w:cstheme="minorHAnsi"/>
        </w:rPr>
        <w:t>, 23 (4) (2004), pp. 857-864</w:t>
      </w:r>
    </w:p>
    <w:p w14:paraId="053B8754" w14:textId="4F4788CA" w:rsidR="00070801" w:rsidRPr="009377B4" w:rsidRDefault="00070801" w:rsidP="0028260D">
      <w:pPr>
        <w:pStyle w:val="NoSpacing"/>
        <w:ind w:left="720" w:hanging="720"/>
        <w:rPr>
          <w:rFonts w:cstheme="minorHAnsi"/>
        </w:rPr>
      </w:pPr>
      <w:r w:rsidRPr="009377B4">
        <w:rPr>
          <w:rFonts w:cstheme="minorHAnsi"/>
        </w:rPr>
        <w:t>Salado et al., 2010</w:t>
      </w:r>
    </w:p>
    <w:p w14:paraId="57C35969" w14:textId="77777777" w:rsidR="00070801" w:rsidRPr="009377B4" w:rsidRDefault="00070801" w:rsidP="0028260D">
      <w:pPr>
        <w:pStyle w:val="NoSpacing"/>
        <w:ind w:left="720" w:hanging="720"/>
        <w:rPr>
          <w:rFonts w:cstheme="minorHAnsi"/>
        </w:rPr>
      </w:pPr>
      <w:r w:rsidRPr="009377B4">
        <w:rPr>
          <w:rFonts w:cstheme="minorHAnsi"/>
        </w:rPr>
        <w:t>R. Salado, D. Vencovsky, E. Daly, T. Zamparutti, R. Palfrey</w:t>
      </w:r>
      <w:r w:rsidRPr="009377B4">
        <w:rPr>
          <w:rFonts w:cstheme="minorHAnsi"/>
          <w:b/>
          <w:bCs/>
        </w:rPr>
        <w:t>Environmental, Economic, and Social Impacts of the Use of Sewage Sludge on Land</w:t>
      </w:r>
    </w:p>
    <w:p w14:paraId="7C49FE50" w14:textId="77777777" w:rsidR="00070801" w:rsidRPr="009377B4" w:rsidRDefault="00070801" w:rsidP="0028260D">
      <w:pPr>
        <w:pStyle w:val="NoSpacing"/>
        <w:ind w:left="720" w:hanging="720"/>
        <w:rPr>
          <w:rFonts w:cstheme="minorHAnsi"/>
        </w:rPr>
      </w:pPr>
      <w:r w:rsidRPr="009377B4">
        <w:rPr>
          <w:rFonts w:cstheme="minorHAnsi"/>
        </w:rPr>
        <w:t>Final Repot; Part II: Report on Options and Impacts. Service Contract No 070307/2008/517358/ETU/G4. RPA</w:t>
      </w:r>
    </w:p>
    <w:p w14:paraId="3DAE35DA" w14:textId="77777777" w:rsidR="00070801" w:rsidRPr="009377B4" w:rsidRDefault="00070801" w:rsidP="0028260D">
      <w:pPr>
        <w:pStyle w:val="NoSpacing"/>
        <w:ind w:left="720" w:hanging="720"/>
        <w:rPr>
          <w:rFonts w:cstheme="minorHAnsi"/>
        </w:rPr>
      </w:pPr>
      <w:r w:rsidRPr="009377B4">
        <w:rPr>
          <w:rFonts w:cstheme="minorHAnsi"/>
        </w:rPr>
        <w:t xml:space="preserve">Milieu Ltd, and </w:t>
      </w:r>
      <w:proofErr w:type="spellStart"/>
      <w:r w:rsidRPr="009377B4">
        <w:rPr>
          <w:rFonts w:cstheme="minorHAnsi"/>
        </w:rPr>
        <w:t>WRc</w:t>
      </w:r>
      <w:proofErr w:type="spellEnd"/>
      <w:r w:rsidRPr="009377B4">
        <w:rPr>
          <w:rFonts w:cstheme="minorHAnsi"/>
        </w:rPr>
        <w:t>, Brussels, Belgium (2010)</w:t>
      </w:r>
    </w:p>
    <w:p w14:paraId="53D086D6" w14:textId="0E11A7D6" w:rsidR="00070801" w:rsidRPr="009377B4" w:rsidRDefault="00070801" w:rsidP="0028260D">
      <w:pPr>
        <w:pStyle w:val="NoSpacing"/>
        <w:ind w:left="720" w:hanging="720"/>
        <w:rPr>
          <w:rFonts w:cstheme="minorHAnsi"/>
        </w:rPr>
      </w:pPr>
      <w:r w:rsidRPr="009377B4">
        <w:rPr>
          <w:rFonts w:cstheme="minorHAnsi"/>
        </w:rPr>
        <w:t>Santos et al., 2007</w:t>
      </w:r>
    </w:p>
    <w:p w14:paraId="01D197A3" w14:textId="77777777" w:rsidR="00070801" w:rsidRPr="009377B4" w:rsidRDefault="00070801" w:rsidP="0028260D">
      <w:pPr>
        <w:pStyle w:val="NoSpacing"/>
        <w:ind w:left="720" w:hanging="720"/>
        <w:rPr>
          <w:rFonts w:cstheme="minorHAnsi"/>
        </w:rPr>
      </w:pPr>
      <w:r w:rsidRPr="009377B4">
        <w:rPr>
          <w:rFonts w:cstheme="minorHAnsi"/>
        </w:rPr>
        <w:t>J.L. Santos, M.D.M. González, I. Aparicio, E. </w:t>
      </w:r>
      <w:proofErr w:type="spellStart"/>
      <w:r w:rsidRPr="009377B4">
        <w:rPr>
          <w:rFonts w:cstheme="minorHAnsi"/>
        </w:rPr>
        <w:t>Alonso</w:t>
      </w:r>
      <w:r w:rsidRPr="009377B4">
        <w:rPr>
          <w:rFonts w:cstheme="minorHAnsi"/>
          <w:b/>
          <w:bCs/>
        </w:rPr>
        <w:t>Monitoring</w:t>
      </w:r>
      <w:proofErr w:type="spellEnd"/>
      <w:r w:rsidRPr="009377B4">
        <w:rPr>
          <w:rFonts w:cstheme="minorHAnsi"/>
          <w:b/>
          <w:bCs/>
        </w:rPr>
        <w:t xml:space="preserve"> of di-(2-</w:t>
      </w:r>
      <w:proofErr w:type="gramStart"/>
      <w:r w:rsidRPr="009377B4">
        <w:rPr>
          <w:rFonts w:cstheme="minorHAnsi"/>
          <w:b/>
          <w:bCs/>
        </w:rPr>
        <w:t>ethylhexyl)phthalate</w:t>
      </w:r>
      <w:proofErr w:type="gramEnd"/>
      <w:r w:rsidRPr="009377B4">
        <w:rPr>
          <w:rFonts w:cstheme="minorHAnsi"/>
          <w:b/>
          <w:bCs/>
        </w:rPr>
        <w:t>, nonylphenol, nonylphenol ethoxylates, and polychlorinated biphenyls in anaerobic and aerobic sewage sludge by gas chromatography–mass spectrometry</w:t>
      </w:r>
    </w:p>
    <w:p w14:paraId="60B2FE29" w14:textId="77777777" w:rsidR="00070801" w:rsidRPr="009377B4" w:rsidRDefault="00070801" w:rsidP="0028260D">
      <w:pPr>
        <w:pStyle w:val="NoSpacing"/>
        <w:ind w:left="720" w:hanging="720"/>
        <w:rPr>
          <w:rFonts w:cstheme="minorHAnsi"/>
        </w:rPr>
      </w:pPr>
      <w:r w:rsidRPr="009377B4">
        <w:rPr>
          <w:rFonts w:cstheme="minorHAnsi"/>
          <w:i/>
          <w:iCs/>
        </w:rPr>
        <w:t>International Journal of Environmental Analytical Chemistry</w:t>
      </w:r>
      <w:r w:rsidRPr="009377B4">
        <w:rPr>
          <w:rFonts w:cstheme="minorHAnsi"/>
        </w:rPr>
        <w:t>, 87 (13–15) (2007), pp. 1033-1042</w:t>
      </w:r>
    </w:p>
    <w:p w14:paraId="5B50953D" w14:textId="65C722C4" w:rsidR="00070801" w:rsidRPr="009377B4" w:rsidRDefault="00070801" w:rsidP="0028260D">
      <w:pPr>
        <w:pStyle w:val="NoSpacing"/>
        <w:ind w:left="720" w:hanging="720"/>
        <w:rPr>
          <w:rFonts w:cstheme="minorHAnsi"/>
        </w:rPr>
      </w:pPr>
      <w:r w:rsidRPr="009377B4">
        <w:rPr>
          <w:rFonts w:cstheme="minorHAnsi"/>
        </w:rPr>
        <w:t>Soares et al., 2008</w:t>
      </w:r>
    </w:p>
    <w:p w14:paraId="3D7A3D0C" w14:textId="77777777" w:rsidR="00070801" w:rsidRPr="009377B4" w:rsidRDefault="00070801" w:rsidP="0028260D">
      <w:pPr>
        <w:pStyle w:val="NoSpacing"/>
        <w:ind w:left="720" w:hanging="720"/>
        <w:rPr>
          <w:rFonts w:cstheme="minorHAnsi"/>
        </w:rPr>
      </w:pPr>
      <w:r w:rsidRPr="009377B4">
        <w:rPr>
          <w:rFonts w:cstheme="minorHAnsi"/>
        </w:rPr>
        <w:t>A. Soares, B. Guieysse, B. Jefferson, B. Cartmell, J.N. Lester</w:t>
      </w:r>
      <w:r w:rsidRPr="009377B4">
        <w:rPr>
          <w:rFonts w:cstheme="minorHAnsi"/>
          <w:b/>
          <w:bCs/>
        </w:rPr>
        <w:t xml:space="preserve">Nonylphenol in the environment: a critical review on occurrence, fate, </w:t>
      </w:r>
      <w:proofErr w:type="gramStart"/>
      <w:r w:rsidRPr="009377B4">
        <w:rPr>
          <w:rFonts w:cstheme="minorHAnsi"/>
          <w:b/>
          <w:bCs/>
        </w:rPr>
        <w:t>toxicity</w:t>
      </w:r>
      <w:proofErr w:type="gramEnd"/>
      <w:r w:rsidRPr="009377B4">
        <w:rPr>
          <w:rFonts w:cstheme="minorHAnsi"/>
          <w:b/>
          <w:bCs/>
        </w:rPr>
        <w:t xml:space="preserve"> and treatment in wastewaters</w:t>
      </w:r>
    </w:p>
    <w:p w14:paraId="1584C0D1" w14:textId="77777777" w:rsidR="00070801" w:rsidRPr="009377B4" w:rsidRDefault="00070801" w:rsidP="0028260D">
      <w:pPr>
        <w:pStyle w:val="NoSpacing"/>
        <w:ind w:left="720" w:hanging="720"/>
        <w:rPr>
          <w:rFonts w:cstheme="minorHAnsi"/>
        </w:rPr>
      </w:pPr>
      <w:r w:rsidRPr="009377B4">
        <w:rPr>
          <w:rFonts w:cstheme="minorHAnsi"/>
          <w:i/>
          <w:iCs/>
        </w:rPr>
        <w:t>Environment International</w:t>
      </w:r>
      <w:r w:rsidRPr="009377B4">
        <w:rPr>
          <w:rFonts w:cstheme="minorHAnsi"/>
        </w:rPr>
        <w:t>, 34 (2008), pp. 1033-1049</w:t>
      </w:r>
    </w:p>
    <w:p w14:paraId="295177E9" w14:textId="4A27FB2F" w:rsidR="00070801" w:rsidRPr="009377B4" w:rsidRDefault="00070801" w:rsidP="0028260D">
      <w:pPr>
        <w:pStyle w:val="NoSpacing"/>
        <w:ind w:left="720" w:hanging="720"/>
        <w:rPr>
          <w:rFonts w:cstheme="minorHAnsi"/>
        </w:rPr>
      </w:pPr>
      <w:r w:rsidRPr="009377B4">
        <w:rPr>
          <w:rFonts w:cstheme="minorHAnsi"/>
        </w:rPr>
        <w:t>Stanford and Weinberg, 2010</w:t>
      </w:r>
    </w:p>
    <w:p w14:paraId="3571F8AB" w14:textId="77777777" w:rsidR="00070801" w:rsidRPr="009377B4" w:rsidRDefault="00070801" w:rsidP="0028260D">
      <w:pPr>
        <w:pStyle w:val="NoSpacing"/>
        <w:ind w:left="720" w:hanging="720"/>
        <w:rPr>
          <w:rFonts w:cstheme="minorHAnsi"/>
        </w:rPr>
      </w:pPr>
      <w:r w:rsidRPr="009377B4">
        <w:rPr>
          <w:rFonts w:cstheme="minorHAnsi"/>
        </w:rPr>
        <w:t>B. Stanford, H.S. </w:t>
      </w:r>
      <w:proofErr w:type="spellStart"/>
      <w:r w:rsidRPr="009377B4">
        <w:rPr>
          <w:rFonts w:cstheme="minorHAnsi"/>
        </w:rPr>
        <w:t>Weinberg</w:t>
      </w:r>
      <w:r w:rsidRPr="009377B4">
        <w:rPr>
          <w:rFonts w:cstheme="minorHAnsi"/>
          <w:b/>
          <w:bCs/>
        </w:rPr>
        <w:t>Evaluation</w:t>
      </w:r>
      <w:proofErr w:type="spellEnd"/>
      <w:r w:rsidRPr="009377B4">
        <w:rPr>
          <w:rFonts w:cstheme="minorHAnsi"/>
          <w:b/>
          <w:bCs/>
        </w:rPr>
        <w:t xml:space="preserve"> of on-site wastewater treatment technology to remove estrogens, nonylphenols, and estrogenic activity from </w:t>
      </w:r>
      <w:proofErr w:type="gramStart"/>
      <w:r w:rsidRPr="009377B4">
        <w:rPr>
          <w:rFonts w:cstheme="minorHAnsi"/>
          <w:b/>
          <w:bCs/>
        </w:rPr>
        <w:t>wastewater</w:t>
      </w:r>
      <w:proofErr w:type="gramEnd"/>
    </w:p>
    <w:p w14:paraId="705D757C"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44 (8) (2010), pp. 2994-3001</w:t>
      </w:r>
    </w:p>
    <w:p w14:paraId="281396B9" w14:textId="4AFB6A53" w:rsidR="00070801" w:rsidRPr="009377B4" w:rsidRDefault="00070801" w:rsidP="0028260D">
      <w:pPr>
        <w:pStyle w:val="NoSpacing"/>
        <w:ind w:left="720" w:hanging="720"/>
        <w:rPr>
          <w:rFonts w:cstheme="minorHAnsi"/>
        </w:rPr>
      </w:pPr>
      <w:r w:rsidRPr="009377B4">
        <w:rPr>
          <w:rFonts w:cstheme="minorHAnsi"/>
        </w:rPr>
        <w:t>Staples et al., 2010</w:t>
      </w:r>
    </w:p>
    <w:p w14:paraId="1289F819" w14:textId="77777777" w:rsidR="00070801" w:rsidRPr="009377B4" w:rsidRDefault="00070801" w:rsidP="0028260D">
      <w:pPr>
        <w:pStyle w:val="NoSpacing"/>
        <w:ind w:left="720" w:hanging="720"/>
        <w:rPr>
          <w:rFonts w:cstheme="minorHAnsi"/>
        </w:rPr>
      </w:pPr>
      <w:r w:rsidRPr="009377B4">
        <w:rPr>
          <w:rFonts w:cstheme="minorHAnsi"/>
        </w:rPr>
        <w:t>C. Staples, U. Friedrich, T. Hall, G. Klecka, E. Mihaich, L. Ortego, N. Caspers, S. Hentges</w:t>
      </w:r>
      <w:r w:rsidRPr="009377B4">
        <w:rPr>
          <w:rFonts w:cstheme="minorHAnsi"/>
          <w:b/>
          <w:bCs/>
        </w:rPr>
        <w:t xml:space="preserve">Estimating potential risks to terrestrial invertebrates and plants exposed to bisphenol a in soil amended with activated sludge </w:t>
      </w:r>
      <w:proofErr w:type="gramStart"/>
      <w:r w:rsidRPr="009377B4">
        <w:rPr>
          <w:rFonts w:cstheme="minorHAnsi"/>
          <w:b/>
          <w:bCs/>
        </w:rPr>
        <w:t>biosolids</w:t>
      </w:r>
      <w:proofErr w:type="gramEnd"/>
    </w:p>
    <w:p w14:paraId="51FF9619" w14:textId="77777777" w:rsidR="00070801" w:rsidRPr="009377B4" w:rsidRDefault="00070801" w:rsidP="0028260D">
      <w:pPr>
        <w:pStyle w:val="NoSpacing"/>
        <w:ind w:left="720" w:hanging="720"/>
        <w:rPr>
          <w:rFonts w:cstheme="minorHAnsi"/>
        </w:rPr>
      </w:pPr>
      <w:r w:rsidRPr="009377B4">
        <w:rPr>
          <w:rFonts w:cstheme="minorHAnsi"/>
          <w:i/>
          <w:iCs/>
        </w:rPr>
        <w:t>Environmental Toxicology and Chemistry</w:t>
      </w:r>
      <w:r w:rsidRPr="009377B4">
        <w:rPr>
          <w:rFonts w:cstheme="minorHAnsi"/>
        </w:rPr>
        <w:t>, 29 (2) (2010), pp. 467-475</w:t>
      </w:r>
    </w:p>
    <w:p w14:paraId="62D09D50" w14:textId="2C06B0CF" w:rsidR="00070801" w:rsidRPr="009377B4" w:rsidRDefault="00070801" w:rsidP="0028260D">
      <w:pPr>
        <w:pStyle w:val="NoSpacing"/>
        <w:ind w:left="720" w:hanging="720"/>
        <w:rPr>
          <w:rFonts w:cstheme="minorHAnsi"/>
        </w:rPr>
      </w:pPr>
      <w:proofErr w:type="spellStart"/>
      <w:r w:rsidRPr="009377B4">
        <w:rPr>
          <w:rFonts w:cstheme="minorHAnsi"/>
        </w:rPr>
        <w:t>Tanneru</w:t>
      </w:r>
      <w:proofErr w:type="spellEnd"/>
      <w:r w:rsidRPr="009377B4">
        <w:rPr>
          <w:rFonts w:cstheme="minorHAnsi"/>
        </w:rPr>
        <w:t>, 2009</w:t>
      </w:r>
    </w:p>
    <w:p w14:paraId="782FE79E" w14:textId="77777777" w:rsidR="00070801" w:rsidRPr="009377B4" w:rsidRDefault="00070801" w:rsidP="0028260D">
      <w:pPr>
        <w:pStyle w:val="NoSpacing"/>
        <w:ind w:left="720" w:hanging="720"/>
        <w:rPr>
          <w:rFonts w:cstheme="minorHAnsi"/>
        </w:rPr>
      </w:pPr>
      <w:proofErr w:type="spellStart"/>
      <w:r w:rsidRPr="009377B4">
        <w:rPr>
          <w:rFonts w:cstheme="minorHAnsi"/>
        </w:rPr>
        <w:t>Tanneru</w:t>
      </w:r>
      <w:proofErr w:type="spellEnd"/>
      <w:r w:rsidRPr="009377B4">
        <w:rPr>
          <w:rFonts w:cstheme="minorHAnsi"/>
        </w:rPr>
        <w:t xml:space="preserve">, C.T., 2009. </w:t>
      </w:r>
      <w:r w:rsidRPr="009377B4">
        <w:rPr>
          <w:rFonts w:cstheme="minorHAnsi"/>
          <w:i/>
          <w:iCs/>
        </w:rPr>
        <w:t>Anaerobic and combined anaerobic/aerobic digestion of thermally hydrolyzed sludge</w:t>
      </w:r>
      <w:r w:rsidRPr="009377B4">
        <w:rPr>
          <w:rFonts w:cstheme="minorHAnsi"/>
        </w:rPr>
        <w:t>. M.S. Thesis, Virginia Tech University</w:t>
      </w:r>
    </w:p>
    <w:p w14:paraId="7A667F0E" w14:textId="280B80C4" w:rsidR="00070801" w:rsidRPr="009377B4" w:rsidRDefault="00070801" w:rsidP="0028260D">
      <w:pPr>
        <w:pStyle w:val="NoSpacing"/>
        <w:ind w:left="720" w:hanging="720"/>
        <w:rPr>
          <w:rFonts w:cstheme="minorHAnsi"/>
        </w:rPr>
      </w:pPr>
      <w:r w:rsidRPr="009377B4">
        <w:rPr>
          <w:rFonts w:cstheme="minorHAnsi"/>
        </w:rPr>
        <w:t>U.S. Environmental Protection Agency, 2002</w:t>
      </w:r>
    </w:p>
    <w:p w14:paraId="492537DE" w14:textId="77777777" w:rsidR="00070801" w:rsidRPr="009377B4" w:rsidRDefault="00070801" w:rsidP="0028260D">
      <w:pPr>
        <w:pStyle w:val="NoSpacing"/>
        <w:ind w:left="720" w:hanging="720"/>
        <w:rPr>
          <w:rFonts w:cstheme="minorHAnsi"/>
        </w:rPr>
      </w:pPr>
      <w:r w:rsidRPr="009377B4">
        <w:rPr>
          <w:rFonts w:cstheme="minorHAnsi"/>
        </w:rPr>
        <w:t xml:space="preserve">U.S. Environmental Protection </w:t>
      </w:r>
      <w:proofErr w:type="spellStart"/>
      <w:r w:rsidRPr="009377B4">
        <w:rPr>
          <w:rFonts w:cstheme="minorHAnsi"/>
        </w:rPr>
        <w:t>Agency</w:t>
      </w:r>
      <w:r w:rsidRPr="009377B4">
        <w:rPr>
          <w:rFonts w:cstheme="minorHAnsi"/>
          <w:b/>
          <w:bCs/>
        </w:rPr>
        <w:t>Biosolids</w:t>
      </w:r>
      <w:proofErr w:type="spellEnd"/>
      <w:r w:rsidRPr="009377B4">
        <w:rPr>
          <w:rFonts w:cstheme="minorHAnsi"/>
          <w:b/>
          <w:bCs/>
        </w:rPr>
        <w:t xml:space="preserve"> Applied to Land: Advancing Standards and Practices</w:t>
      </w:r>
    </w:p>
    <w:p w14:paraId="33DD1C30" w14:textId="77777777" w:rsidR="00070801" w:rsidRPr="009377B4" w:rsidRDefault="00070801" w:rsidP="0028260D">
      <w:pPr>
        <w:pStyle w:val="NoSpacing"/>
        <w:ind w:left="720" w:hanging="720"/>
        <w:rPr>
          <w:rFonts w:cstheme="minorHAnsi"/>
        </w:rPr>
      </w:pPr>
      <w:r w:rsidRPr="009377B4">
        <w:rPr>
          <w:rFonts w:cstheme="minorHAnsi"/>
        </w:rPr>
        <w:t>USEPA, Washington D.C. (2002)</w:t>
      </w:r>
    </w:p>
    <w:p w14:paraId="448F1D6D" w14:textId="77777777" w:rsidR="00070801" w:rsidRPr="009377B4" w:rsidRDefault="00070801" w:rsidP="0028260D">
      <w:pPr>
        <w:pStyle w:val="NoSpacing"/>
        <w:ind w:left="720" w:hanging="720"/>
        <w:rPr>
          <w:rFonts w:cstheme="minorHAnsi"/>
        </w:rPr>
      </w:pPr>
      <w:r w:rsidRPr="009377B4">
        <w:rPr>
          <w:rFonts w:cstheme="minorHAnsi"/>
        </w:rPr>
        <w:t>EPA-832R02005</w:t>
      </w:r>
    </w:p>
    <w:p w14:paraId="6A2AAA57" w14:textId="3DCC6E93" w:rsidR="00070801" w:rsidRPr="009377B4" w:rsidRDefault="00070801" w:rsidP="0028260D">
      <w:pPr>
        <w:pStyle w:val="NoSpacing"/>
        <w:ind w:left="720" w:hanging="720"/>
        <w:rPr>
          <w:rFonts w:cstheme="minorHAnsi"/>
        </w:rPr>
      </w:pPr>
      <w:r w:rsidRPr="009377B4">
        <w:rPr>
          <w:rFonts w:cstheme="minorHAnsi"/>
        </w:rPr>
        <w:t>Van den Belt et al., 2004</w:t>
      </w:r>
    </w:p>
    <w:p w14:paraId="01D5B209" w14:textId="77777777" w:rsidR="00070801" w:rsidRPr="009377B4" w:rsidRDefault="00070801" w:rsidP="0028260D">
      <w:pPr>
        <w:pStyle w:val="NoSpacing"/>
        <w:ind w:left="720" w:hanging="720"/>
        <w:rPr>
          <w:rFonts w:cstheme="minorHAnsi"/>
        </w:rPr>
      </w:pPr>
      <w:r w:rsidRPr="009377B4">
        <w:rPr>
          <w:rFonts w:cstheme="minorHAnsi"/>
        </w:rPr>
        <w:t>K. Van den Belt, P. Berckmans, C. Vangenechten, R. Verheyen, H. Witters</w:t>
      </w:r>
      <w:r w:rsidRPr="009377B4">
        <w:rPr>
          <w:rFonts w:cstheme="minorHAnsi"/>
          <w:b/>
          <w:bCs/>
        </w:rPr>
        <w:t>Comparative study on the in vitro/in vivo estrogenic potencies of 17beta-estradiol, estrone, 17alpha-ethynylestradiol and nonylphenol</w:t>
      </w:r>
    </w:p>
    <w:p w14:paraId="7E1BC25B" w14:textId="77777777" w:rsidR="00070801" w:rsidRPr="009377B4" w:rsidRDefault="00070801" w:rsidP="0028260D">
      <w:pPr>
        <w:pStyle w:val="NoSpacing"/>
        <w:ind w:left="720" w:hanging="720"/>
        <w:rPr>
          <w:rFonts w:cstheme="minorHAnsi"/>
        </w:rPr>
      </w:pPr>
      <w:r w:rsidRPr="009377B4">
        <w:rPr>
          <w:rFonts w:cstheme="minorHAnsi"/>
          <w:i/>
          <w:iCs/>
        </w:rPr>
        <w:t>Aquatic Toxicology</w:t>
      </w:r>
      <w:r w:rsidRPr="009377B4">
        <w:rPr>
          <w:rFonts w:cstheme="minorHAnsi"/>
        </w:rPr>
        <w:t>, 66 (2004), pp. 183-195</w:t>
      </w:r>
    </w:p>
    <w:p w14:paraId="27A53FE5" w14:textId="5884E68D" w:rsidR="00070801" w:rsidRPr="009377B4" w:rsidRDefault="00070801" w:rsidP="0028260D">
      <w:pPr>
        <w:pStyle w:val="NoSpacing"/>
        <w:ind w:left="720" w:hanging="720"/>
        <w:rPr>
          <w:rFonts w:cstheme="minorHAnsi"/>
        </w:rPr>
      </w:pPr>
      <w:r w:rsidRPr="009377B4">
        <w:rPr>
          <w:rFonts w:cstheme="minorHAnsi"/>
        </w:rPr>
        <w:t>Van Lier et al., 2001</w:t>
      </w:r>
    </w:p>
    <w:p w14:paraId="09910D0F" w14:textId="77777777" w:rsidR="00070801" w:rsidRPr="009377B4" w:rsidRDefault="00070801" w:rsidP="0028260D">
      <w:pPr>
        <w:pStyle w:val="NoSpacing"/>
        <w:ind w:left="720" w:hanging="720"/>
        <w:rPr>
          <w:rFonts w:cstheme="minorHAnsi"/>
        </w:rPr>
      </w:pPr>
      <w:r w:rsidRPr="009377B4">
        <w:rPr>
          <w:rFonts w:cstheme="minorHAnsi"/>
        </w:rPr>
        <w:t>J.B. Van Lier, A. Tilche, B.K. Ahring, H. Macarie, R. Moletta, M. Dohanyos, L.W. Hulshoff Pol, P. Lens, W. </w:t>
      </w:r>
      <w:proofErr w:type="spellStart"/>
      <w:r w:rsidRPr="009377B4">
        <w:rPr>
          <w:rFonts w:cstheme="minorHAnsi"/>
        </w:rPr>
        <w:t>Verstraete</w:t>
      </w:r>
      <w:r w:rsidRPr="009377B4">
        <w:rPr>
          <w:rFonts w:cstheme="minorHAnsi"/>
          <w:b/>
          <w:bCs/>
        </w:rPr>
        <w:t>New</w:t>
      </w:r>
      <w:proofErr w:type="spellEnd"/>
      <w:r w:rsidRPr="009377B4">
        <w:rPr>
          <w:rFonts w:cstheme="minorHAnsi"/>
          <w:b/>
          <w:bCs/>
        </w:rPr>
        <w:t xml:space="preserve"> perspectives in anaerobic digestion</w:t>
      </w:r>
    </w:p>
    <w:p w14:paraId="1CAEBC43" w14:textId="77777777" w:rsidR="00070801" w:rsidRPr="009377B4" w:rsidRDefault="00070801" w:rsidP="0028260D">
      <w:pPr>
        <w:pStyle w:val="NoSpacing"/>
        <w:ind w:left="720" w:hanging="720"/>
        <w:rPr>
          <w:rFonts w:cstheme="minorHAnsi"/>
        </w:rPr>
      </w:pPr>
      <w:r w:rsidRPr="009377B4">
        <w:rPr>
          <w:rFonts w:cstheme="minorHAnsi"/>
          <w:i/>
          <w:iCs/>
        </w:rPr>
        <w:t>Water Science &amp; Technology</w:t>
      </w:r>
      <w:r w:rsidRPr="009377B4">
        <w:rPr>
          <w:rFonts w:cstheme="minorHAnsi"/>
        </w:rPr>
        <w:t>, 43 (1) (2001), pp. 1-18</w:t>
      </w:r>
    </w:p>
    <w:p w14:paraId="1EB0AF1F" w14:textId="04EBB052" w:rsidR="00070801" w:rsidRPr="009377B4" w:rsidRDefault="00070801" w:rsidP="0028260D">
      <w:pPr>
        <w:pStyle w:val="NoSpacing"/>
        <w:ind w:left="720" w:hanging="720"/>
        <w:rPr>
          <w:rFonts w:cstheme="minorHAnsi"/>
        </w:rPr>
      </w:pPr>
      <w:proofErr w:type="spellStart"/>
      <w:r w:rsidRPr="009377B4">
        <w:rPr>
          <w:rFonts w:cstheme="minorHAnsi"/>
        </w:rPr>
        <w:t>Weikard</w:t>
      </w:r>
      <w:proofErr w:type="spellEnd"/>
      <w:r w:rsidRPr="009377B4">
        <w:rPr>
          <w:rFonts w:cstheme="minorHAnsi"/>
        </w:rPr>
        <w:t xml:space="preserve"> and </w:t>
      </w:r>
      <w:proofErr w:type="spellStart"/>
      <w:r w:rsidRPr="009377B4">
        <w:rPr>
          <w:rFonts w:cstheme="minorHAnsi"/>
        </w:rPr>
        <w:t>Seyhan</w:t>
      </w:r>
      <w:proofErr w:type="spellEnd"/>
      <w:r w:rsidRPr="009377B4">
        <w:rPr>
          <w:rFonts w:cstheme="minorHAnsi"/>
        </w:rPr>
        <w:t>, 2009</w:t>
      </w:r>
    </w:p>
    <w:p w14:paraId="7B3B0B81" w14:textId="77777777" w:rsidR="00070801" w:rsidRPr="009377B4" w:rsidRDefault="00070801" w:rsidP="0028260D">
      <w:pPr>
        <w:pStyle w:val="NoSpacing"/>
        <w:ind w:left="720" w:hanging="720"/>
        <w:rPr>
          <w:rFonts w:cstheme="minorHAnsi"/>
        </w:rPr>
      </w:pPr>
      <w:r w:rsidRPr="009377B4">
        <w:rPr>
          <w:rFonts w:cstheme="minorHAnsi"/>
        </w:rPr>
        <w:t>H. </w:t>
      </w:r>
      <w:proofErr w:type="spellStart"/>
      <w:r w:rsidRPr="009377B4">
        <w:rPr>
          <w:rFonts w:cstheme="minorHAnsi"/>
        </w:rPr>
        <w:t>Weikard</w:t>
      </w:r>
      <w:proofErr w:type="spellEnd"/>
      <w:r w:rsidRPr="009377B4">
        <w:rPr>
          <w:rFonts w:cstheme="minorHAnsi"/>
        </w:rPr>
        <w:t>, D. </w:t>
      </w:r>
      <w:proofErr w:type="spellStart"/>
      <w:r w:rsidRPr="009377B4">
        <w:rPr>
          <w:rFonts w:cstheme="minorHAnsi"/>
        </w:rPr>
        <w:t>Seyhan</w:t>
      </w:r>
      <w:r w:rsidRPr="009377B4">
        <w:rPr>
          <w:rFonts w:cstheme="minorHAnsi"/>
          <w:b/>
          <w:bCs/>
        </w:rPr>
        <w:t>Distribution</w:t>
      </w:r>
      <w:proofErr w:type="spellEnd"/>
      <w:r w:rsidRPr="009377B4">
        <w:rPr>
          <w:rFonts w:cstheme="minorHAnsi"/>
          <w:b/>
          <w:bCs/>
        </w:rPr>
        <w:t xml:space="preserve"> of phosphorus resources between rich and poor countries: the effect of recycling</w:t>
      </w:r>
    </w:p>
    <w:p w14:paraId="23354C80" w14:textId="77777777" w:rsidR="00070801" w:rsidRPr="009377B4" w:rsidRDefault="00070801" w:rsidP="0028260D">
      <w:pPr>
        <w:pStyle w:val="NoSpacing"/>
        <w:ind w:left="720" w:hanging="720"/>
        <w:rPr>
          <w:rFonts w:cstheme="minorHAnsi"/>
        </w:rPr>
      </w:pPr>
      <w:r w:rsidRPr="009377B4">
        <w:rPr>
          <w:rFonts w:cstheme="minorHAnsi"/>
          <w:i/>
          <w:iCs/>
        </w:rPr>
        <w:lastRenderedPageBreak/>
        <w:t>Ecological Economics</w:t>
      </w:r>
      <w:r w:rsidRPr="009377B4">
        <w:rPr>
          <w:rFonts w:cstheme="minorHAnsi"/>
        </w:rPr>
        <w:t>, 68 (6) (2009), pp. 1749-1755</w:t>
      </w:r>
    </w:p>
    <w:p w14:paraId="65B11401" w14:textId="21F88A5C" w:rsidR="00070801" w:rsidRPr="009377B4" w:rsidRDefault="00070801" w:rsidP="0028260D">
      <w:pPr>
        <w:pStyle w:val="NoSpacing"/>
        <w:ind w:left="720" w:hanging="720"/>
        <w:rPr>
          <w:rFonts w:cstheme="minorHAnsi"/>
        </w:rPr>
      </w:pPr>
      <w:r w:rsidRPr="009377B4">
        <w:rPr>
          <w:rFonts w:cstheme="minorHAnsi"/>
        </w:rPr>
        <w:t>Wilson and Novak, 2009</w:t>
      </w:r>
    </w:p>
    <w:p w14:paraId="5559573C" w14:textId="77777777" w:rsidR="00070801" w:rsidRPr="009377B4" w:rsidRDefault="00070801" w:rsidP="0028260D">
      <w:pPr>
        <w:pStyle w:val="NoSpacing"/>
        <w:ind w:left="720" w:hanging="720"/>
        <w:rPr>
          <w:rFonts w:cstheme="minorHAnsi"/>
        </w:rPr>
      </w:pPr>
      <w:r w:rsidRPr="009377B4">
        <w:rPr>
          <w:rFonts w:cstheme="minorHAnsi"/>
        </w:rPr>
        <w:t>C.A. Wilson, J.T. </w:t>
      </w:r>
      <w:proofErr w:type="spellStart"/>
      <w:r w:rsidRPr="009377B4">
        <w:rPr>
          <w:rFonts w:cstheme="minorHAnsi"/>
        </w:rPr>
        <w:t>Novak</w:t>
      </w:r>
      <w:r w:rsidRPr="009377B4">
        <w:rPr>
          <w:rFonts w:cstheme="minorHAnsi"/>
          <w:b/>
          <w:bCs/>
        </w:rPr>
        <w:t>Hydrolysis</w:t>
      </w:r>
      <w:proofErr w:type="spellEnd"/>
      <w:r w:rsidRPr="009377B4">
        <w:rPr>
          <w:rFonts w:cstheme="minorHAnsi"/>
          <w:b/>
          <w:bCs/>
        </w:rPr>
        <w:t xml:space="preserve"> of macromolecular components of primary and secondary wastewater sludge by thermal hydrolytic pretreatment</w:t>
      </w:r>
    </w:p>
    <w:p w14:paraId="5F746FB6" w14:textId="77777777" w:rsidR="00070801" w:rsidRPr="009377B4" w:rsidRDefault="00070801" w:rsidP="0028260D">
      <w:pPr>
        <w:pStyle w:val="NoSpacing"/>
        <w:ind w:left="720" w:hanging="720"/>
        <w:rPr>
          <w:rFonts w:cstheme="minorHAnsi"/>
        </w:rPr>
      </w:pPr>
      <w:r w:rsidRPr="009377B4">
        <w:rPr>
          <w:rFonts w:cstheme="minorHAnsi"/>
          <w:i/>
          <w:iCs/>
        </w:rPr>
        <w:t>Water Research</w:t>
      </w:r>
      <w:r w:rsidRPr="009377B4">
        <w:rPr>
          <w:rFonts w:cstheme="minorHAnsi"/>
        </w:rPr>
        <w:t>, 43 (2009), pp. 4489-4498</w:t>
      </w:r>
    </w:p>
    <w:p w14:paraId="2AC7C41F" w14:textId="0F65EB1D" w:rsidR="00070801" w:rsidRPr="009377B4" w:rsidRDefault="00070801" w:rsidP="0028260D">
      <w:pPr>
        <w:pStyle w:val="NoSpacing"/>
        <w:ind w:left="720" w:hanging="720"/>
        <w:rPr>
          <w:rFonts w:cstheme="minorHAnsi"/>
        </w:rPr>
      </w:pPr>
      <w:r w:rsidRPr="009377B4">
        <w:rPr>
          <w:rFonts w:cstheme="minorHAnsi"/>
        </w:rPr>
        <w:t>Wilson et al., 2011</w:t>
      </w:r>
    </w:p>
    <w:p w14:paraId="4CBB98E0" w14:textId="77777777" w:rsidR="00070801" w:rsidRPr="009377B4" w:rsidRDefault="00070801" w:rsidP="0028260D">
      <w:pPr>
        <w:pStyle w:val="NoSpacing"/>
        <w:ind w:left="720" w:hanging="720"/>
        <w:rPr>
          <w:rFonts w:cstheme="minorHAnsi"/>
        </w:rPr>
      </w:pPr>
      <w:r w:rsidRPr="009377B4">
        <w:rPr>
          <w:rFonts w:cstheme="minorHAnsi"/>
        </w:rPr>
        <w:t>C.A. Wilson, C.T. Tanneru, S. Banjade, S. Murthy, J.T. Novak</w:t>
      </w:r>
      <w:r w:rsidRPr="009377B4">
        <w:rPr>
          <w:rFonts w:cstheme="minorHAnsi"/>
          <w:b/>
          <w:bCs/>
        </w:rPr>
        <w:t>Anaerobic digestion of raw and thermally hydrolyzed wastewater solids under various operational conditions</w:t>
      </w:r>
    </w:p>
    <w:p w14:paraId="53E4AB61" w14:textId="77777777" w:rsidR="00070801" w:rsidRPr="009377B4" w:rsidRDefault="00070801" w:rsidP="0028260D">
      <w:pPr>
        <w:pStyle w:val="NoSpacing"/>
        <w:ind w:left="720" w:hanging="720"/>
        <w:rPr>
          <w:rFonts w:cstheme="minorHAnsi"/>
        </w:rPr>
      </w:pPr>
      <w:r w:rsidRPr="009377B4">
        <w:rPr>
          <w:rFonts w:cstheme="minorHAnsi"/>
          <w:i/>
          <w:iCs/>
        </w:rPr>
        <w:t>Water Environment Research</w:t>
      </w:r>
      <w:r w:rsidRPr="009377B4">
        <w:rPr>
          <w:rFonts w:cstheme="minorHAnsi"/>
        </w:rPr>
        <w:t>, 83 (9) (2011), pp. 815-825</w:t>
      </w:r>
    </w:p>
    <w:p w14:paraId="4DDC6424" w14:textId="571E5264" w:rsidR="00070801" w:rsidRPr="009377B4" w:rsidRDefault="00070801" w:rsidP="0028260D">
      <w:pPr>
        <w:pStyle w:val="NoSpacing"/>
        <w:ind w:left="720" w:hanging="720"/>
        <w:rPr>
          <w:rFonts w:cstheme="minorHAnsi"/>
        </w:rPr>
      </w:pPr>
      <w:r w:rsidRPr="009377B4">
        <w:rPr>
          <w:rFonts w:cstheme="minorHAnsi"/>
        </w:rPr>
        <w:t>Xia et al., 2010</w:t>
      </w:r>
    </w:p>
    <w:p w14:paraId="1AFA89C7" w14:textId="77777777" w:rsidR="00070801" w:rsidRPr="009377B4" w:rsidRDefault="00070801" w:rsidP="0028260D">
      <w:pPr>
        <w:pStyle w:val="NoSpacing"/>
        <w:ind w:left="720" w:hanging="720"/>
        <w:rPr>
          <w:rFonts w:cstheme="minorHAnsi"/>
        </w:rPr>
      </w:pPr>
      <w:r w:rsidRPr="009377B4">
        <w:rPr>
          <w:rFonts w:cstheme="minorHAnsi"/>
        </w:rPr>
        <w:t>K. Xia, L. Hundal, K. Kumar, K. Armbrust, A.E. Cox, T.C. Granato</w:t>
      </w:r>
      <w:r w:rsidRPr="009377B4">
        <w:rPr>
          <w:rFonts w:cstheme="minorHAnsi"/>
          <w:b/>
          <w:bCs/>
        </w:rPr>
        <w:t xml:space="preserve">Triclocarban, triclosan, polybrominated diphenyl ethers, and 4-nonylphenol in biosolids and in soil receiving 33-year biosolids </w:t>
      </w:r>
      <w:proofErr w:type="gramStart"/>
      <w:r w:rsidRPr="009377B4">
        <w:rPr>
          <w:rFonts w:cstheme="minorHAnsi"/>
          <w:b/>
          <w:bCs/>
        </w:rPr>
        <w:t>application</w:t>
      </w:r>
      <w:proofErr w:type="gramEnd"/>
    </w:p>
    <w:p w14:paraId="188462D3" w14:textId="77777777" w:rsidR="00070801" w:rsidRPr="009377B4" w:rsidRDefault="00070801" w:rsidP="0028260D">
      <w:pPr>
        <w:pStyle w:val="NoSpacing"/>
        <w:ind w:left="720" w:hanging="720"/>
        <w:rPr>
          <w:rFonts w:cstheme="minorHAnsi"/>
        </w:rPr>
      </w:pPr>
      <w:r w:rsidRPr="009377B4">
        <w:rPr>
          <w:rFonts w:cstheme="minorHAnsi"/>
          <w:i/>
          <w:iCs/>
        </w:rPr>
        <w:t>Environmental Toxicology and Chemistry</w:t>
      </w:r>
      <w:r w:rsidRPr="009377B4">
        <w:rPr>
          <w:rFonts w:cstheme="minorHAnsi"/>
        </w:rPr>
        <w:t>, 29 (3) (2010), pp. 597-605</w:t>
      </w:r>
    </w:p>
    <w:p w14:paraId="292C7974" w14:textId="5E5B0758" w:rsidR="00070801" w:rsidRPr="009377B4" w:rsidRDefault="00070801" w:rsidP="0028260D">
      <w:pPr>
        <w:pStyle w:val="NoSpacing"/>
        <w:ind w:left="720" w:hanging="720"/>
        <w:rPr>
          <w:rFonts w:cstheme="minorHAnsi"/>
        </w:rPr>
      </w:pPr>
      <w:proofErr w:type="spellStart"/>
      <w:r w:rsidRPr="009377B4">
        <w:rPr>
          <w:rFonts w:cstheme="minorHAnsi"/>
        </w:rPr>
        <w:t>Zaks</w:t>
      </w:r>
      <w:proofErr w:type="spellEnd"/>
      <w:r w:rsidRPr="009377B4">
        <w:rPr>
          <w:rFonts w:cstheme="minorHAnsi"/>
        </w:rPr>
        <w:t xml:space="preserve"> et al., 2011</w:t>
      </w:r>
    </w:p>
    <w:p w14:paraId="2A3C2A8A" w14:textId="77777777" w:rsidR="00070801" w:rsidRPr="009377B4" w:rsidRDefault="00070801" w:rsidP="0028260D">
      <w:pPr>
        <w:pStyle w:val="NoSpacing"/>
        <w:ind w:left="720" w:hanging="720"/>
        <w:rPr>
          <w:rFonts w:cstheme="minorHAnsi"/>
        </w:rPr>
      </w:pPr>
      <w:r w:rsidRPr="009377B4">
        <w:rPr>
          <w:rFonts w:cstheme="minorHAnsi"/>
        </w:rPr>
        <w:t>D.P.M. Zaks, N. Winchester, C.J. Kucharik, C.C. Barford, S. Paltsev, J. Reilly</w:t>
      </w:r>
      <w:r w:rsidRPr="009377B4">
        <w:rPr>
          <w:rFonts w:cstheme="minorHAnsi"/>
          <w:b/>
          <w:bCs/>
        </w:rPr>
        <w:t>The contribution of anaerobic digesters to emissions mitigation and electricity generation under U.S. climate policy</w:t>
      </w:r>
    </w:p>
    <w:p w14:paraId="6138A9FA" w14:textId="77777777" w:rsidR="00070801" w:rsidRPr="009377B4" w:rsidRDefault="00070801" w:rsidP="0028260D">
      <w:pPr>
        <w:pStyle w:val="NoSpacing"/>
        <w:ind w:left="720" w:hanging="720"/>
        <w:rPr>
          <w:rFonts w:cstheme="minorHAnsi"/>
        </w:rPr>
      </w:pPr>
      <w:r w:rsidRPr="009377B4">
        <w:rPr>
          <w:rFonts w:cstheme="minorHAnsi"/>
          <w:i/>
          <w:iCs/>
        </w:rPr>
        <w:t>Environmental Science &amp; Technology</w:t>
      </w:r>
      <w:r w:rsidRPr="009377B4">
        <w:rPr>
          <w:rFonts w:cstheme="minorHAnsi"/>
        </w:rPr>
        <w:t>, 45 (16) (2011), pp. 6735-6742</w:t>
      </w:r>
    </w:p>
    <w:p w14:paraId="36DC5711" w14:textId="4EA51EDE" w:rsidR="00070801" w:rsidRPr="009377B4" w:rsidRDefault="00070801" w:rsidP="0028260D">
      <w:pPr>
        <w:pStyle w:val="NoSpacing"/>
        <w:ind w:left="720" w:hanging="720"/>
        <w:rPr>
          <w:rFonts w:cstheme="minorHAnsi"/>
        </w:rPr>
      </w:pPr>
      <w:r w:rsidRPr="009377B4">
        <w:rPr>
          <w:rFonts w:cstheme="minorHAnsi"/>
        </w:rPr>
        <w:t>Zhang et al., 2011</w:t>
      </w:r>
    </w:p>
    <w:p w14:paraId="3E04EEE2" w14:textId="77777777" w:rsidR="00070801" w:rsidRPr="009377B4" w:rsidRDefault="00070801" w:rsidP="0028260D">
      <w:pPr>
        <w:pStyle w:val="NoSpacing"/>
        <w:ind w:left="720" w:hanging="720"/>
        <w:rPr>
          <w:rFonts w:cstheme="minorHAnsi"/>
        </w:rPr>
      </w:pPr>
      <w:r w:rsidRPr="009377B4">
        <w:rPr>
          <w:rFonts w:cstheme="minorHAnsi"/>
        </w:rPr>
        <w:t>Z. Zhang, Y. Feng, P. Gao, Ce Wang, N. </w:t>
      </w:r>
      <w:proofErr w:type="spellStart"/>
      <w:r w:rsidRPr="009377B4">
        <w:rPr>
          <w:rFonts w:cstheme="minorHAnsi"/>
        </w:rPr>
        <w:t>Ren</w:t>
      </w:r>
      <w:r w:rsidRPr="009377B4">
        <w:rPr>
          <w:rFonts w:cstheme="minorHAnsi"/>
          <w:b/>
          <w:bCs/>
        </w:rPr>
        <w:t>Occurrence</w:t>
      </w:r>
      <w:proofErr w:type="spellEnd"/>
      <w:r w:rsidRPr="009377B4">
        <w:rPr>
          <w:rFonts w:cstheme="minorHAnsi"/>
          <w:b/>
          <w:bCs/>
        </w:rPr>
        <w:t xml:space="preserve"> and removal efficiencies of eight EDCs and </w:t>
      </w:r>
      <w:proofErr w:type="spellStart"/>
      <w:r w:rsidRPr="009377B4">
        <w:rPr>
          <w:rFonts w:cstheme="minorHAnsi"/>
          <w:b/>
          <w:bCs/>
        </w:rPr>
        <w:t>estrogenicity</w:t>
      </w:r>
      <w:proofErr w:type="spellEnd"/>
      <w:r w:rsidRPr="009377B4">
        <w:rPr>
          <w:rFonts w:cstheme="minorHAnsi"/>
          <w:b/>
          <w:bCs/>
        </w:rPr>
        <w:t xml:space="preserve"> in a STP</w:t>
      </w:r>
    </w:p>
    <w:p w14:paraId="5E4D276C" w14:textId="77777777" w:rsidR="00070801" w:rsidRPr="009377B4" w:rsidRDefault="00070801" w:rsidP="0028260D">
      <w:pPr>
        <w:pStyle w:val="NoSpacing"/>
        <w:ind w:left="720" w:hanging="720"/>
        <w:rPr>
          <w:rFonts w:cstheme="minorHAnsi"/>
        </w:rPr>
      </w:pPr>
      <w:r w:rsidRPr="009377B4">
        <w:rPr>
          <w:rFonts w:cstheme="minorHAnsi"/>
          <w:i/>
          <w:iCs/>
        </w:rPr>
        <w:t>Journal of Environmental Monitoring</w:t>
      </w:r>
      <w:r w:rsidRPr="009377B4">
        <w:rPr>
          <w:rFonts w:cstheme="minorHAnsi"/>
        </w:rPr>
        <w:t>, 13 (2011), pp. 1366-1373</w:t>
      </w:r>
    </w:p>
    <w:p w14:paraId="55CFF3F3" w14:textId="77777777" w:rsidR="00946CDE" w:rsidRPr="009377B4" w:rsidRDefault="00946CDE" w:rsidP="000A7622">
      <w:pPr>
        <w:rPr>
          <w:rFonts w:cstheme="minorHAnsi"/>
        </w:rPr>
      </w:pPr>
    </w:p>
    <w:sectPr w:rsidR="00946CDE" w:rsidRPr="009377B4" w:rsidSect="0002421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54FF5"/>
    <w:multiLevelType w:val="multilevel"/>
    <w:tmpl w:val="56E2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384A82"/>
    <w:multiLevelType w:val="hybridMultilevel"/>
    <w:tmpl w:val="D71E54CE"/>
    <w:lvl w:ilvl="0" w:tplc="6DAE44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A6387B"/>
    <w:multiLevelType w:val="multilevel"/>
    <w:tmpl w:val="045A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AB5314"/>
    <w:multiLevelType w:val="multilevel"/>
    <w:tmpl w:val="F4EEF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34444"/>
    <w:multiLevelType w:val="multilevel"/>
    <w:tmpl w:val="559EE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3635BC"/>
    <w:multiLevelType w:val="multilevel"/>
    <w:tmpl w:val="59B00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D059EF"/>
    <w:multiLevelType w:val="multilevel"/>
    <w:tmpl w:val="FC0C0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9372AD"/>
    <w:multiLevelType w:val="hybridMultilevel"/>
    <w:tmpl w:val="4CE66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5"/>
  </w:num>
  <w:num w:numId="4">
    <w:abstractNumId w:val="11"/>
  </w:num>
  <w:num w:numId="5">
    <w:abstractNumId w:val="13"/>
  </w:num>
  <w:num w:numId="6">
    <w:abstractNumId w:val="3"/>
  </w:num>
  <w:num w:numId="7">
    <w:abstractNumId w:val="10"/>
  </w:num>
  <w:num w:numId="8">
    <w:abstractNumId w:val="0"/>
  </w:num>
  <w:num w:numId="9">
    <w:abstractNumId w:val="6"/>
  </w:num>
  <w:num w:numId="10">
    <w:abstractNumId w:val="9"/>
  </w:num>
  <w:num w:numId="11">
    <w:abstractNumId w:val="8"/>
  </w:num>
  <w:num w:numId="12">
    <w:abstractNumId w:val="4"/>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WRrCffTun0KuK1t0q2m/FHjFJZNSZJjhVw2MyXB+wWCYTxgtz8OmyaSdbNvdGkAkO+XF5sXunuMYtEO5nW0LRA==" w:salt="mM62ACMxG8sRgm4UGQ7U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233C1"/>
    <w:rsid w:val="00024048"/>
    <w:rsid w:val="0002421A"/>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4068"/>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522"/>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1A32"/>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260D"/>
    <w:rsid w:val="002843BC"/>
    <w:rsid w:val="00284A84"/>
    <w:rsid w:val="00285819"/>
    <w:rsid w:val="0029129F"/>
    <w:rsid w:val="00291BE5"/>
    <w:rsid w:val="00296B90"/>
    <w:rsid w:val="00297296"/>
    <w:rsid w:val="002A0668"/>
    <w:rsid w:val="002A0751"/>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60A0"/>
    <w:rsid w:val="0040709D"/>
    <w:rsid w:val="004122F9"/>
    <w:rsid w:val="004124D3"/>
    <w:rsid w:val="004139BA"/>
    <w:rsid w:val="00417A23"/>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3DE"/>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56CF"/>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7B4"/>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0A9C"/>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25E5E"/>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DE6"/>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D782F"/>
    <w:rsid w:val="00BE0AE3"/>
    <w:rsid w:val="00BE2644"/>
    <w:rsid w:val="00BE42F3"/>
    <w:rsid w:val="00BE551C"/>
    <w:rsid w:val="00BF06BA"/>
    <w:rsid w:val="00BF1FFB"/>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2A5B"/>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0708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070801"/>
  </w:style>
  <w:style w:type="character" w:customStyle="1" w:styleId="sr-only">
    <w:name w:val="sr-only"/>
    <w:basedOn w:val="DefaultParagraphFont"/>
    <w:rsid w:val="00070801"/>
  </w:style>
  <w:style w:type="character" w:styleId="FollowedHyperlink">
    <w:name w:val="FollowedHyperlink"/>
    <w:basedOn w:val="DefaultParagraphFont"/>
    <w:uiPriority w:val="99"/>
    <w:semiHidden/>
    <w:unhideWhenUsed/>
    <w:rsid w:val="00070801"/>
    <w:rPr>
      <w:color w:val="800080"/>
      <w:u w:val="single"/>
    </w:rPr>
  </w:style>
  <w:style w:type="character" w:customStyle="1" w:styleId="content">
    <w:name w:val="content"/>
    <w:basedOn w:val="DefaultParagraphFont"/>
    <w:rsid w:val="00070801"/>
  </w:style>
  <w:style w:type="character" w:customStyle="1" w:styleId="text">
    <w:name w:val="text"/>
    <w:basedOn w:val="DefaultParagraphFont"/>
    <w:rsid w:val="00070801"/>
  </w:style>
  <w:style w:type="character" w:customStyle="1" w:styleId="author-ref">
    <w:name w:val="author-ref"/>
    <w:basedOn w:val="DefaultParagraphFont"/>
    <w:rsid w:val="00070801"/>
  </w:style>
  <w:style w:type="paragraph" w:styleId="NormalWeb">
    <w:name w:val="Normal (Web)"/>
    <w:basedOn w:val="Normal"/>
    <w:uiPriority w:val="99"/>
    <w:semiHidden/>
    <w:unhideWhenUsed/>
    <w:rsid w:val="000708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070801"/>
  </w:style>
  <w:style w:type="character" w:customStyle="1" w:styleId="display">
    <w:name w:val="display"/>
    <w:basedOn w:val="DefaultParagraphFont"/>
    <w:rsid w:val="00070801"/>
  </w:style>
  <w:style w:type="character" w:customStyle="1" w:styleId="anchor-text">
    <w:name w:val="anchor-text"/>
    <w:basedOn w:val="DefaultParagraphFont"/>
    <w:rsid w:val="00070801"/>
  </w:style>
  <w:style w:type="character" w:customStyle="1" w:styleId="download-link-title">
    <w:name w:val="download-link-title"/>
    <w:basedOn w:val="DefaultParagraphFont"/>
    <w:rsid w:val="00070801"/>
  </w:style>
  <w:style w:type="paragraph" w:customStyle="1" w:styleId="previous">
    <w:name w:val="previous"/>
    <w:basedOn w:val="Normal"/>
    <w:rsid w:val="000708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070801"/>
  </w:style>
  <w:style w:type="character" w:customStyle="1" w:styleId="extra-detail-1">
    <w:name w:val="extra-detail-1"/>
    <w:basedOn w:val="DefaultParagraphFont"/>
    <w:rsid w:val="00070801"/>
  </w:style>
  <w:style w:type="character" w:customStyle="1" w:styleId="extra-detail-2">
    <w:name w:val="extra-detail-2"/>
    <w:basedOn w:val="DefaultParagraphFont"/>
    <w:rsid w:val="00070801"/>
  </w:style>
  <w:style w:type="paragraph" w:customStyle="1" w:styleId="next">
    <w:name w:val="next"/>
    <w:basedOn w:val="Normal"/>
    <w:rsid w:val="000708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070801"/>
  </w:style>
  <w:style w:type="character" w:customStyle="1" w:styleId="label">
    <w:name w:val="label"/>
    <w:basedOn w:val="DefaultParagraphFont"/>
    <w:rsid w:val="00070801"/>
  </w:style>
  <w:style w:type="character" w:customStyle="1" w:styleId="formula">
    <w:name w:val="formula"/>
    <w:basedOn w:val="DefaultParagraphFont"/>
    <w:rsid w:val="00070801"/>
  </w:style>
  <w:style w:type="character" w:customStyle="1" w:styleId="math">
    <w:name w:val="math"/>
    <w:basedOn w:val="DefaultParagraphFont"/>
    <w:rsid w:val="00070801"/>
  </w:style>
  <w:style w:type="character" w:customStyle="1" w:styleId="mathjaxpreview">
    <w:name w:val="mathjax_preview"/>
    <w:basedOn w:val="DefaultParagraphFont"/>
    <w:rsid w:val="00070801"/>
  </w:style>
  <w:style w:type="character" w:customStyle="1" w:styleId="mathjaxsvg">
    <w:name w:val="mathjax_svg"/>
    <w:basedOn w:val="DefaultParagraphFont"/>
    <w:rsid w:val="00070801"/>
  </w:style>
  <w:style w:type="character" w:customStyle="1" w:styleId="mjxassistivemathml">
    <w:name w:val="mjx_assistive_mathml"/>
    <w:basedOn w:val="DefaultParagraphFont"/>
    <w:rsid w:val="00070801"/>
  </w:style>
  <w:style w:type="character" w:customStyle="1" w:styleId="download-all-supplemental-data">
    <w:name w:val="download-all-supplemental-data"/>
    <w:basedOn w:val="DefaultParagraphFont"/>
    <w:rsid w:val="00070801"/>
  </w:style>
  <w:style w:type="character" w:customStyle="1" w:styleId="article-attachment">
    <w:name w:val="article-attachment"/>
    <w:basedOn w:val="DefaultParagraphFont"/>
    <w:rsid w:val="00070801"/>
  </w:style>
  <w:style w:type="paragraph" w:styleId="z-TopofForm">
    <w:name w:val="HTML Top of Form"/>
    <w:basedOn w:val="Normal"/>
    <w:next w:val="Normal"/>
    <w:link w:val="z-TopofFormChar"/>
    <w:hidden/>
    <w:uiPriority w:val="99"/>
    <w:semiHidden/>
    <w:unhideWhenUsed/>
    <w:rsid w:val="0007080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0801"/>
    <w:rPr>
      <w:rFonts w:ascii="Arial" w:eastAsia="Times New Roman" w:hAnsi="Arial" w:cs="Arial"/>
      <w:vanish/>
      <w:sz w:val="16"/>
      <w:szCs w:val="16"/>
    </w:rPr>
  </w:style>
  <w:style w:type="character" w:customStyle="1" w:styleId="button-link-text">
    <w:name w:val="button-link-text"/>
    <w:basedOn w:val="DefaultParagraphFont"/>
    <w:rsid w:val="00070801"/>
  </w:style>
  <w:style w:type="character" w:customStyle="1" w:styleId="download-all-title">
    <w:name w:val="download-all-title"/>
    <w:basedOn w:val="DefaultParagraphFont"/>
    <w:rsid w:val="00070801"/>
  </w:style>
  <w:style w:type="character" w:customStyle="1" w:styleId="desktop-text">
    <w:name w:val="desktop-text"/>
    <w:basedOn w:val="DefaultParagraphFont"/>
    <w:rsid w:val="00070801"/>
  </w:style>
  <w:style w:type="paragraph" w:styleId="z-BottomofForm">
    <w:name w:val="HTML Bottom of Form"/>
    <w:basedOn w:val="Normal"/>
    <w:next w:val="Normal"/>
    <w:link w:val="z-BottomofFormChar"/>
    <w:hidden/>
    <w:uiPriority w:val="99"/>
    <w:semiHidden/>
    <w:unhideWhenUsed/>
    <w:rsid w:val="0007080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0801"/>
    <w:rPr>
      <w:rFonts w:ascii="Arial" w:eastAsia="Times New Roman" w:hAnsi="Arial" w:cs="Arial"/>
      <w:vanish/>
      <w:sz w:val="16"/>
      <w:szCs w:val="16"/>
    </w:rPr>
  </w:style>
  <w:style w:type="character" w:customStyle="1" w:styleId="e-component">
    <w:name w:val="e-component"/>
    <w:basedOn w:val="DefaultParagraphFont"/>
    <w:rsid w:val="00070801"/>
  </w:style>
  <w:style w:type="character" w:customStyle="1" w:styleId="copyright-line">
    <w:name w:val="copyright-line"/>
    <w:basedOn w:val="DefaultParagraphFont"/>
    <w:rsid w:val="00070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watres.2012.03.015" TargetMode="External"/><Relationship Id="rId13" Type="http://schemas.openxmlformats.org/officeDocument/2006/relationships/image" Target="media/image4.jpeg"/><Relationship Id="rId18" Type="http://schemas.openxmlformats.org/officeDocument/2006/relationships/hyperlink" Target="https://ars.els-cdn.com/content/image/1-s2.0-S0043135412001789-mmc4.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ars.els-cdn.com/content/image/1-s2.0-S0043135412001789-mmc3.pdf" TargetMode="External"/><Relationship Id="rId2" Type="http://schemas.openxmlformats.org/officeDocument/2006/relationships/customXml" Target="../customXml/item2.xml"/><Relationship Id="rId16" Type="http://schemas.openxmlformats.org/officeDocument/2006/relationships/hyperlink" Target="https://ars.els-cdn.com/content/image/1-s2.0-S0043135412001789-mmc2.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ars.els-cdn.com/content/image/1-s2.0-S0043135412001789-mmc1.pdf" TargetMode="External"/><Relationship Id="rId10" Type="http://schemas.openxmlformats.org/officeDocument/2006/relationships/image" Target="media/image1.jpeg"/><Relationship Id="rId19" Type="http://schemas.openxmlformats.org/officeDocument/2006/relationships/hyperlink" Target="https://ars.els-cdn.com/content/image/1-s2.0-S0043135412001789-mmc5.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openxmlformats.org/package/2006/metadata/core-properties"/>
    <ds:schemaRef ds:uri="http://purl.org/dc/elements/1.1/"/>
    <ds:schemaRef ds:uri="http://purl.org/dc/dcmitype/"/>
    <ds:schemaRef ds:uri="http://purl.org/dc/terms/"/>
    <ds:schemaRef ds:uri="http://www.w3.org/XML/1998/namespace"/>
    <ds:schemaRef ds:uri="http://schemas.microsoft.com/office/2006/documentManagement/types"/>
    <ds:schemaRef ds:uri="455b151d-75b8-4438-a72d-e06b314124a1"/>
    <ds:schemaRef ds:uri="1dc5a16d-a9e1-4107-81af-b56e13c8526c"/>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8B6F1A8A-72E9-408E-BEAA-76FEC9AF9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19</Pages>
  <Words>8302</Words>
  <Characters>47323</Characters>
  <Application>Microsoft Office Word</Application>
  <DocSecurity>8</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2020-10-08T18:31:00Z</dcterms:created>
  <dcterms:modified xsi:type="dcterms:W3CDTF">2021-02-01T14:40:00Z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