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39E99CC" w:rsidR="000A7622" w:rsidRPr="00C04F25" w:rsidRDefault="007B4175"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D7D05D7" w:rsidR="000A7622" w:rsidRPr="00C04F25" w:rsidRDefault="008F58DA" w:rsidP="00D14423">
      <w:pPr>
        <w:rPr>
          <w:rFonts w:cstheme="minorHAnsi"/>
          <w:sz w:val="24"/>
          <w:szCs w:val="24"/>
        </w:rPr>
      </w:pPr>
      <w:r>
        <w:rPr>
          <w:rFonts w:cstheme="minorHAnsi"/>
          <w:i/>
          <w:sz w:val="24"/>
          <w:szCs w:val="24"/>
          <w:lang w:val="fr-FR"/>
        </w:rPr>
        <w:t>Foot &amp; Ankle International</w:t>
      </w:r>
      <w:r w:rsidR="000A7622" w:rsidRPr="00C04F25">
        <w:rPr>
          <w:rFonts w:cstheme="minorHAnsi"/>
          <w:sz w:val="24"/>
          <w:szCs w:val="24"/>
          <w:lang w:val="fr-FR"/>
        </w:rPr>
        <w:t xml:space="preserve">, Vol. </w:t>
      </w:r>
      <w:r w:rsidR="00D82403">
        <w:rPr>
          <w:rFonts w:cstheme="minorHAnsi"/>
          <w:sz w:val="24"/>
          <w:szCs w:val="24"/>
          <w:lang w:val="fr-FR"/>
        </w:rPr>
        <w:t>33</w:t>
      </w:r>
      <w:r w:rsidR="000A7622" w:rsidRPr="00C04F25">
        <w:rPr>
          <w:rFonts w:cstheme="minorHAnsi"/>
          <w:sz w:val="24"/>
          <w:szCs w:val="24"/>
          <w:lang w:val="fr-FR"/>
        </w:rPr>
        <w:t xml:space="preserve">, No. </w:t>
      </w:r>
      <w:r w:rsidR="00D82403">
        <w:rPr>
          <w:rFonts w:cstheme="minorHAnsi"/>
          <w:sz w:val="24"/>
          <w:szCs w:val="24"/>
          <w:lang w:val="fr-FR"/>
        </w:rPr>
        <w:t>2</w:t>
      </w:r>
      <w:r w:rsidR="000A7622" w:rsidRPr="00C04F25">
        <w:rPr>
          <w:rFonts w:cstheme="minorHAnsi"/>
          <w:sz w:val="24"/>
          <w:szCs w:val="24"/>
          <w:lang w:val="fr-FR"/>
        </w:rPr>
        <w:t xml:space="preserve"> (</w:t>
      </w:r>
      <w:r w:rsidR="00D82403">
        <w:rPr>
          <w:rFonts w:cstheme="minorHAnsi"/>
          <w:sz w:val="24"/>
          <w:szCs w:val="24"/>
          <w:lang w:val="fr-FR"/>
        </w:rPr>
        <w:t>February 2012</w:t>
      </w:r>
      <w:r w:rsidR="000A7622" w:rsidRPr="00C04F25">
        <w:rPr>
          <w:rFonts w:cstheme="minorHAnsi"/>
          <w:sz w:val="24"/>
          <w:szCs w:val="24"/>
          <w:lang w:val="fr-FR"/>
        </w:rPr>
        <w:t xml:space="preserve">): </w:t>
      </w:r>
      <w:r w:rsidR="00D82403">
        <w:rPr>
          <w:rFonts w:cstheme="minorHAnsi"/>
          <w:sz w:val="24"/>
          <w:szCs w:val="24"/>
          <w:lang w:val="fr-FR"/>
        </w:rPr>
        <w:t>141</w:t>
      </w:r>
      <w:r w:rsidR="000A7622" w:rsidRPr="00C04F25">
        <w:rPr>
          <w:rFonts w:cstheme="minorHAnsi"/>
          <w:sz w:val="24"/>
          <w:szCs w:val="24"/>
          <w:lang w:val="fr-FR"/>
        </w:rPr>
        <w:t>-</w:t>
      </w:r>
      <w:r w:rsidR="00D82403">
        <w:rPr>
          <w:rFonts w:cstheme="minorHAnsi"/>
          <w:sz w:val="24"/>
          <w:szCs w:val="24"/>
          <w:lang w:val="fr-FR"/>
        </w:rPr>
        <w:t>147</w:t>
      </w:r>
      <w:r w:rsidR="000A7622" w:rsidRPr="00C04F25">
        <w:rPr>
          <w:rFonts w:cstheme="minorHAnsi"/>
          <w:sz w:val="24"/>
          <w:szCs w:val="24"/>
          <w:lang w:val="fr-FR"/>
        </w:rPr>
        <w:t xml:space="preserve">. </w:t>
      </w:r>
      <w:hyperlink r:id="rId8" w:history="1">
        <w:r w:rsidR="009E3631" w:rsidRPr="008269CE">
          <w:rPr>
            <w:rStyle w:val="Hyperlink"/>
            <w:rFonts w:cstheme="minorHAnsi"/>
            <w:sz w:val="24"/>
            <w:szCs w:val="24"/>
            <w:lang w:val="fr-FR"/>
          </w:rPr>
          <w:t>DOI</w:t>
        </w:r>
      </w:hyperlink>
      <w:r w:rsidR="009E3631">
        <w:rPr>
          <w:rFonts w:cstheme="minorHAnsi"/>
          <w:sz w:val="24"/>
          <w:szCs w:val="24"/>
          <w:lang w:val="fr-FR"/>
        </w:rPr>
        <w:t xml:space="preserve">. </w:t>
      </w:r>
      <w:r w:rsidR="000A7622" w:rsidRPr="00C04F25">
        <w:rPr>
          <w:rFonts w:cstheme="minorHAnsi"/>
          <w:sz w:val="24"/>
          <w:szCs w:val="24"/>
        </w:rPr>
        <w:t xml:space="preserve">This article is © </w:t>
      </w:r>
      <w:r w:rsidR="006F432B">
        <w:rPr>
          <w:rFonts w:cstheme="minorHAnsi"/>
          <w:sz w:val="24"/>
          <w:szCs w:val="24"/>
        </w:rPr>
        <w:t xml:space="preserve">SAGE Publications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F432B" w:rsidRPr="006F432B">
        <w:rPr>
          <w:rFonts w:cstheme="minorHAnsi"/>
          <w:sz w:val="24"/>
          <w:szCs w:val="24"/>
        </w:rPr>
        <w:t xml:space="preserve">SAGE Publications </w:t>
      </w:r>
      <w:r w:rsidR="000A7622" w:rsidRPr="00C04F25">
        <w:rPr>
          <w:rFonts w:cstheme="minorHAnsi"/>
          <w:sz w:val="24"/>
          <w:szCs w:val="24"/>
        </w:rPr>
        <w:t xml:space="preserve">does not grant permission for this article to be further copied/distributed or hosted elsewhere without the express permission from </w:t>
      </w:r>
      <w:r w:rsidR="006F432B" w:rsidRPr="006F432B">
        <w:rPr>
          <w:rFonts w:cstheme="minorHAnsi"/>
          <w:sz w:val="24"/>
          <w:szCs w:val="24"/>
        </w:rPr>
        <w:t>SAGE Publications</w:t>
      </w:r>
      <w:r w:rsidR="006F432B">
        <w:rPr>
          <w:rFonts w:cstheme="minorHAnsi"/>
          <w:sz w:val="24"/>
          <w:szCs w:val="24"/>
        </w:rPr>
        <w:t>.</w:t>
      </w:r>
    </w:p>
    <w:bookmarkEnd w:id="1"/>
    <w:p w14:paraId="5BC0075B" w14:textId="3E066754" w:rsidR="000A7622" w:rsidRDefault="000A7622" w:rsidP="000A7622">
      <w:pPr>
        <w:rPr>
          <w:rFonts w:cstheme="minorHAnsi"/>
        </w:rPr>
      </w:pPr>
    </w:p>
    <w:p w14:paraId="17CDF350" w14:textId="77777777" w:rsidR="00950E7A" w:rsidRDefault="00950E7A" w:rsidP="007B4175">
      <w:pPr>
        <w:pStyle w:val="Title"/>
      </w:pPr>
      <w:r w:rsidRPr="00950E7A">
        <w:t xml:space="preserve">Multisegmental Foot and Ankle Motion Analysis After Hallux Valgus Surgery </w:t>
      </w:r>
    </w:p>
    <w:p w14:paraId="03D63B02" w14:textId="77777777" w:rsidR="002A0388" w:rsidRPr="002A0388" w:rsidRDefault="002A0388" w:rsidP="002A0388"/>
    <w:p w14:paraId="0F5041B9" w14:textId="77777777" w:rsidR="004C4A4F" w:rsidRDefault="00950E7A" w:rsidP="00B02600">
      <w:pPr>
        <w:spacing w:after="0"/>
        <w:rPr>
          <w:rFonts w:cstheme="minorHAnsi"/>
          <w:sz w:val="28"/>
          <w:szCs w:val="28"/>
        </w:rPr>
      </w:pPr>
      <w:r w:rsidRPr="00B249DB">
        <w:rPr>
          <w:rFonts w:cstheme="minorHAnsi"/>
          <w:sz w:val="28"/>
          <w:szCs w:val="28"/>
        </w:rPr>
        <w:t>Karl Canseco</w:t>
      </w:r>
    </w:p>
    <w:p w14:paraId="2FAEEE46" w14:textId="5124E41E" w:rsidR="002A0388" w:rsidRDefault="002A0388" w:rsidP="00B02600">
      <w:pPr>
        <w:spacing w:after="0"/>
        <w:rPr>
          <w:rFonts w:cstheme="minorHAnsi"/>
        </w:rPr>
      </w:pPr>
      <w:r w:rsidRPr="00950E7A">
        <w:rPr>
          <w:rFonts w:cstheme="minorHAnsi"/>
        </w:rPr>
        <w:t>Milwaukee, WI</w:t>
      </w:r>
    </w:p>
    <w:p w14:paraId="41829E02" w14:textId="77777777" w:rsidR="004C4A4F" w:rsidRDefault="00950E7A" w:rsidP="00B02600">
      <w:pPr>
        <w:spacing w:after="0"/>
        <w:rPr>
          <w:rFonts w:cstheme="minorHAnsi"/>
          <w:sz w:val="28"/>
          <w:szCs w:val="28"/>
        </w:rPr>
      </w:pPr>
      <w:r w:rsidRPr="00B249DB">
        <w:rPr>
          <w:rFonts w:cstheme="minorHAnsi"/>
          <w:sz w:val="28"/>
          <w:szCs w:val="28"/>
        </w:rPr>
        <w:t>Jason Long</w:t>
      </w:r>
    </w:p>
    <w:p w14:paraId="0F431BFF" w14:textId="4F531612" w:rsidR="002A0388" w:rsidRDefault="002A0388" w:rsidP="00B02600">
      <w:pPr>
        <w:spacing w:after="0"/>
        <w:rPr>
          <w:rFonts w:cstheme="minorHAnsi"/>
        </w:rPr>
      </w:pPr>
      <w:r w:rsidRPr="00950E7A">
        <w:rPr>
          <w:rFonts w:cstheme="minorHAnsi"/>
        </w:rPr>
        <w:t>Milwaukee, WI</w:t>
      </w:r>
    </w:p>
    <w:p w14:paraId="0FB1D276" w14:textId="77777777" w:rsidR="004C4A4F" w:rsidRDefault="00950E7A" w:rsidP="00B02600">
      <w:pPr>
        <w:spacing w:after="0"/>
        <w:rPr>
          <w:rFonts w:cstheme="minorHAnsi"/>
          <w:sz w:val="28"/>
          <w:szCs w:val="28"/>
        </w:rPr>
      </w:pPr>
      <w:r w:rsidRPr="00B249DB">
        <w:rPr>
          <w:rFonts w:cstheme="minorHAnsi"/>
          <w:sz w:val="28"/>
          <w:szCs w:val="28"/>
        </w:rPr>
        <w:t xml:space="preserve">Thomas </w:t>
      </w:r>
      <w:proofErr w:type="spellStart"/>
      <w:r w:rsidRPr="00B249DB">
        <w:rPr>
          <w:rFonts w:cstheme="minorHAnsi"/>
          <w:sz w:val="28"/>
          <w:szCs w:val="28"/>
        </w:rPr>
        <w:t>Smedberg</w:t>
      </w:r>
      <w:proofErr w:type="spellEnd"/>
    </w:p>
    <w:p w14:paraId="35BD8CCA" w14:textId="0DE47038" w:rsidR="002A0388" w:rsidRDefault="002A0388" w:rsidP="00B02600">
      <w:pPr>
        <w:spacing w:after="0"/>
        <w:rPr>
          <w:rFonts w:cstheme="minorHAnsi"/>
        </w:rPr>
      </w:pPr>
      <w:r w:rsidRPr="00950E7A">
        <w:rPr>
          <w:rFonts w:cstheme="minorHAnsi"/>
        </w:rPr>
        <w:t>Milwaukee, WI</w:t>
      </w:r>
    </w:p>
    <w:p w14:paraId="000301BA" w14:textId="77777777" w:rsidR="004C4A4F" w:rsidRDefault="00950E7A" w:rsidP="00B02600">
      <w:pPr>
        <w:spacing w:after="0"/>
        <w:rPr>
          <w:rFonts w:cstheme="minorHAnsi"/>
          <w:sz w:val="28"/>
          <w:szCs w:val="28"/>
        </w:rPr>
      </w:pPr>
      <w:r w:rsidRPr="00950E7A">
        <w:rPr>
          <w:rFonts w:cstheme="minorHAnsi"/>
        </w:rPr>
        <w:t xml:space="preserve"> </w:t>
      </w:r>
      <w:r w:rsidRPr="00B249DB">
        <w:rPr>
          <w:rFonts w:cstheme="minorHAnsi"/>
          <w:sz w:val="28"/>
          <w:szCs w:val="28"/>
        </w:rPr>
        <w:t xml:space="preserve">Sergey </w:t>
      </w:r>
      <w:proofErr w:type="spellStart"/>
      <w:r w:rsidRPr="00B249DB">
        <w:rPr>
          <w:rFonts w:cstheme="minorHAnsi"/>
          <w:sz w:val="28"/>
          <w:szCs w:val="28"/>
        </w:rPr>
        <w:t>Tarima</w:t>
      </w:r>
      <w:proofErr w:type="spellEnd"/>
    </w:p>
    <w:p w14:paraId="72529BE0" w14:textId="36FC16CA" w:rsidR="002A0388" w:rsidRDefault="002A0388" w:rsidP="00B02600">
      <w:pPr>
        <w:spacing w:after="0"/>
        <w:rPr>
          <w:rFonts w:cstheme="minorHAnsi"/>
        </w:rPr>
      </w:pPr>
      <w:r w:rsidRPr="00950E7A">
        <w:rPr>
          <w:rFonts w:cstheme="minorHAnsi"/>
        </w:rPr>
        <w:t>Milwaukee, WI</w:t>
      </w:r>
    </w:p>
    <w:p w14:paraId="6608AD8A" w14:textId="77777777" w:rsidR="004C4A4F" w:rsidRDefault="00950E7A" w:rsidP="00B02600">
      <w:pPr>
        <w:spacing w:after="0"/>
        <w:rPr>
          <w:rFonts w:cstheme="minorHAnsi"/>
          <w:sz w:val="28"/>
          <w:szCs w:val="28"/>
        </w:rPr>
      </w:pPr>
      <w:r w:rsidRPr="00B249DB">
        <w:rPr>
          <w:rFonts w:cstheme="minorHAnsi"/>
          <w:sz w:val="28"/>
          <w:szCs w:val="28"/>
        </w:rPr>
        <w:t>Richard M. Marks</w:t>
      </w:r>
    </w:p>
    <w:p w14:paraId="44AE2FD3" w14:textId="7ACEAE7B" w:rsidR="002A0388" w:rsidRDefault="002A0388" w:rsidP="00B02600">
      <w:pPr>
        <w:spacing w:after="0"/>
        <w:rPr>
          <w:rFonts w:cstheme="minorHAnsi"/>
        </w:rPr>
      </w:pPr>
      <w:r w:rsidRPr="00950E7A">
        <w:rPr>
          <w:rFonts w:cstheme="minorHAnsi"/>
        </w:rPr>
        <w:t>Milwaukee, WI</w:t>
      </w:r>
    </w:p>
    <w:p w14:paraId="10084285" w14:textId="4F9F0CE1" w:rsidR="004C4A4F" w:rsidRDefault="00950E7A" w:rsidP="00B02600">
      <w:pPr>
        <w:spacing w:after="0"/>
        <w:rPr>
          <w:rFonts w:cstheme="minorHAnsi"/>
          <w:sz w:val="28"/>
          <w:szCs w:val="28"/>
        </w:rPr>
      </w:pPr>
      <w:r w:rsidRPr="00B249DB">
        <w:rPr>
          <w:rFonts w:cstheme="minorHAnsi"/>
          <w:sz w:val="28"/>
          <w:szCs w:val="28"/>
        </w:rPr>
        <w:t>Gerald F. Harris</w:t>
      </w:r>
    </w:p>
    <w:p w14:paraId="68C11FB7" w14:textId="107FC07D" w:rsidR="00950E7A" w:rsidRDefault="002A0388" w:rsidP="00B02600">
      <w:pPr>
        <w:spacing w:after="0"/>
        <w:rPr>
          <w:rFonts w:cstheme="minorHAnsi"/>
        </w:rPr>
      </w:pPr>
      <w:r w:rsidRPr="00950E7A">
        <w:rPr>
          <w:rFonts w:cstheme="minorHAnsi"/>
        </w:rPr>
        <w:t>Milwaukee, WI</w:t>
      </w:r>
    </w:p>
    <w:p w14:paraId="7A664BEC" w14:textId="77777777" w:rsidR="00B02600" w:rsidRPr="00950E7A" w:rsidRDefault="00B02600" w:rsidP="00950E7A">
      <w:pPr>
        <w:rPr>
          <w:rFonts w:cstheme="minorHAnsi"/>
        </w:rPr>
      </w:pPr>
    </w:p>
    <w:p w14:paraId="323008D7" w14:textId="77777777" w:rsidR="00950E7A" w:rsidRPr="0051681B" w:rsidRDefault="00950E7A" w:rsidP="0051681B">
      <w:pPr>
        <w:pStyle w:val="Heading1"/>
      </w:pPr>
      <w:bookmarkStart w:id="2" w:name="abstract"/>
      <w:bookmarkEnd w:id="2"/>
      <w:r w:rsidRPr="0051681B">
        <w:t>Abstract</w:t>
      </w:r>
    </w:p>
    <w:p w14:paraId="77CFE783" w14:textId="77777777" w:rsidR="00950E7A" w:rsidRPr="00950E7A" w:rsidRDefault="00950E7A" w:rsidP="00950E7A">
      <w:pPr>
        <w:rPr>
          <w:rFonts w:cstheme="minorHAnsi"/>
        </w:rPr>
      </w:pPr>
      <w:r w:rsidRPr="00950E7A">
        <w:rPr>
          <w:rFonts w:cstheme="minorHAnsi"/>
          <w:i/>
          <w:iCs/>
        </w:rPr>
        <w:t>Background:</w:t>
      </w:r>
      <w:r w:rsidRPr="00950E7A">
        <w:rPr>
          <w:rFonts w:cstheme="minorHAnsi"/>
        </w:rPr>
        <w:t xml:space="preserve"> Gait changes in patients with hallux valgus, including altered kinematic and temporal-spatial parameters, have been documented in the literature. Although operative treatment can yield favorable clinical and radiographic results, restoration of normal gait in this population remains unclear. Segmental kinematic changes within the foot and ankle during ambulation after operative correction of hallux valgus have not been reported. The aim of this study was to analyze changes in multisegmental foot and ankle kinematics in patients </w:t>
      </w:r>
      <w:r w:rsidRPr="00950E7A">
        <w:rPr>
          <w:rFonts w:cstheme="minorHAnsi"/>
        </w:rPr>
        <w:lastRenderedPageBreak/>
        <w:t xml:space="preserve">who underwent operative correction of hallux valgus. </w:t>
      </w:r>
      <w:r w:rsidRPr="00950E7A">
        <w:rPr>
          <w:rFonts w:cstheme="minorHAnsi"/>
          <w:i/>
          <w:iCs/>
        </w:rPr>
        <w:t>Methods:</w:t>
      </w:r>
      <w:r w:rsidRPr="00950E7A">
        <w:rPr>
          <w:rFonts w:cstheme="minorHAnsi"/>
        </w:rPr>
        <w:t xml:space="preserve"> A 15-camera Vicon Motion Analysis System was used to evaluate 24 feet in 19 patients with hallux valgus preoperatively and postoperatively. The Milwaukee Foot Model was used to characterize segmental kinematics and temporal-spatial parameters (TSPs). Preoperative and postoperative kinematics and TSPs were compared using paired nonparametric methods; comparisons with normative data were performed using unpaired nonparametric methods. Outcomes were evaluated using the SF-36 assessment tool. </w:t>
      </w:r>
      <w:r w:rsidRPr="00950E7A">
        <w:rPr>
          <w:rFonts w:cstheme="minorHAnsi"/>
          <w:i/>
          <w:iCs/>
        </w:rPr>
        <w:t>Results:</w:t>
      </w:r>
      <w:r w:rsidRPr="00950E7A">
        <w:rPr>
          <w:rFonts w:cstheme="minorHAnsi"/>
        </w:rPr>
        <w:t xml:space="preserve"> Preoperatively, patients with hallux valgus showed significantly altered temporal-spatial and kinematic parameters. Postoperatively, kinematic analysis demonstrated restoration of hallux position to normal. Hallux valgus angles and intermetatarsal angles were significantly improved, and outcomes showed a significant increase in performance of physical activities. Temporal-spatial parameters and kinematics in the more proximal segments were not significantly changed postoperatively. </w:t>
      </w:r>
      <w:r w:rsidRPr="00950E7A">
        <w:rPr>
          <w:rFonts w:cstheme="minorHAnsi"/>
          <w:i/>
          <w:iCs/>
        </w:rPr>
        <w:t>Conclusion:</w:t>
      </w:r>
      <w:r w:rsidRPr="00950E7A">
        <w:rPr>
          <w:rFonts w:cstheme="minorHAnsi"/>
        </w:rPr>
        <w:t xml:space="preserve"> Postoperative results demonstrated significant improvement in foot geometry and hallux kinematics in the coronal and transverse planes. However, the analysis did not identify restoration of proximal kinematics. </w:t>
      </w:r>
      <w:r w:rsidRPr="00950E7A">
        <w:rPr>
          <w:rFonts w:cstheme="minorHAnsi"/>
          <w:i/>
          <w:iCs/>
        </w:rPr>
        <w:t>Clinical Relevance</w:t>
      </w:r>
      <w:r w:rsidRPr="00950E7A">
        <w:rPr>
          <w:rFonts w:cstheme="minorHAnsi"/>
        </w:rPr>
        <w:t>: Further investigation is necessary to explore possible causes/clinical relevance and appropriate treatment interventions for the persistently altered kinematics.</w:t>
      </w:r>
    </w:p>
    <w:p w14:paraId="7DF18166" w14:textId="77777777" w:rsidR="00950E7A" w:rsidRPr="00950E7A" w:rsidRDefault="00950E7A" w:rsidP="00B02600">
      <w:pPr>
        <w:pStyle w:val="Heading1"/>
      </w:pPr>
      <w:r w:rsidRPr="00950E7A">
        <w:t xml:space="preserve">Keywords </w:t>
      </w:r>
    </w:p>
    <w:p w14:paraId="34FE2D27" w14:textId="43861C39" w:rsidR="00950E7A" w:rsidRPr="00950E7A" w:rsidRDefault="00950E7A" w:rsidP="00950E7A">
      <w:pPr>
        <w:rPr>
          <w:rFonts w:cstheme="minorHAnsi"/>
        </w:rPr>
      </w:pPr>
      <w:r w:rsidRPr="0051681B">
        <w:rPr>
          <w:rFonts w:cstheme="minorHAnsi"/>
        </w:rPr>
        <w:t>Motion Analysis</w:t>
      </w:r>
      <w:r w:rsidRPr="00950E7A">
        <w:rPr>
          <w:rFonts w:cstheme="minorHAnsi"/>
        </w:rPr>
        <w:t xml:space="preserve">, </w:t>
      </w:r>
      <w:r w:rsidRPr="0051681B">
        <w:rPr>
          <w:rFonts w:cstheme="minorHAnsi"/>
        </w:rPr>
        <w:t>Kinematics</w:t>
      </w:r>
      <w:r w:rsidRPr="00950E7A">
        <w:rPr>
          <w:rFonts w:cstheme="minorHAnsi"/>
        </w:rPr>
        <w:t xml:space="preserve">, </w:t>
      </w:r>
      <w:r w:rsidRPr="0051681B">
        <w:rPr>
          <w:rFonts w:cstheme="minorHAnsi"/>
        </w:rPr>
        <w:t>Gait</w:t>
      </w:r>
      <w:r w:rsidRPr="00950E7A">
        <w:rPr>
          <w:rFonts w:cstheme="minorHAnsi"/>
        </w:rPr>
        <w:t xml:space="preserve">, </w:t>
      </w:r>
      <w:r w:rsidRPr="0051681B">
        <w:rPr>
          <w:rFonts w:cstheme="minorHAnsi"/>
        </w:rPr>
        <w:t>Hallux Valgus</w:t>
      </w:r>
      <w:r w:rsidRPr="00950E7A">
        <w:rPr>
          <w:rFonts w:cstheme="minorHAnsi"/>
        </w:rPr>
        <w:t xml:space="preserve">, </w:t>
      </w:r>
      <w:r w:rsidRPr="0051681B">
        <w:rPr>
          <w:rFonts w:cstheme="minorHAnsi"/>
        </w:rPr>
        <w:t>Multisegmental Foot Model</w:t>
      </w:r>
      <w:r w:rsidRPr="00950E7A">
        <w:rPr>
          <w:rFonts w:cstheme="minorHAnsi"/>
        </w:rPr>
        <w:t xml:space="preserve">, </w:t>
      </w:r>
      <w:proofErr w:type="gramStart"/>
      <w:r w:rsidRPr="0051681B">
        <w:rPr>
          <w:rFonts w:cstheme="minorHAnsi"/>
        </w:rPr>
        <w:t>Foot</w:t>
      </w:r>
      <w:proofErr w:type="gramEnd"/>
      <w:r w:rsidRPr="0051681B">
        <w:rPr>
          <w:rFonts w:cstheme="minorHAnsi"/>
        </w:rPr>
        <w:t xml:space="preserve"> and Ankle</w:t>
      </w:r>
    </w:p>
    <w:p w14:paraId="1616F7D4" w14:textId="77777777" w:rsidR="00950E7A" w:rsidRPr="0051681B" w:rsidRDefault="00950E7A" w:rsidP="0051681B">
      <w:pPr>
        <w:pStyle w:val="Heading1"/>
      </w:pPr>
      <w:bookmarkStart w:id="3" w:name="_i1"/>
      <w:bookmarkEnd w:id="3"/>
      <w:r w:rsidRPr="0051681B">
        <w:t>INTRODUCTION</w:t>
      </w:r>
    </w:p>
    <w:p w14:paraId="0A2E3E82" w14:textId="4DAE56EA" w:rsidR="00950E7A" w:rsidRPr="00950E7A" w:rsidRDefault="00950E7A" w:rsidP="00950E7A">
      <w:pPr>
        <w:rPr>
          <w:rFonts w:cstheme="minorHAnsi"/>
        </w:rPr>
      </w:pPr>
      <w:r w:rsidRPr="00950E7A">
        <w:rPr>
          <w:rFonts w:cstheme="minorHAnsi"/>
        </w:rPr>
        <w:t>Hallux valgus (HV) is the most common pathology involving the first metatarsophalangeal joint. Changes in gait in patients with hallux valgus have been documented in the literature.</w:t>
      </w:r>
      <w:r w:rsidRPr="00B02600">
        <w:rPr>
          <w:rFonts w:cstheme="minorHAnsi"/>
          <w:vertAlign w:val="superscript"/>
        </w:rPr>
        <w:t>1</w:t>
      </w:r>
      <w:r w:rsidRPr="00950E7A">
        <w:rPr>
          <w:rFonts w:cstheme="minorHAnsi"/>
          <w:vertAlign w:val="superscript"/>
        </w:rPr>
        <w:t>,</w:t>
      </w:r>
      <w:r w:rsidRPr="00B02600">
        <w:rPr>
          <w:rFonts w:cstheme="minorHAnsi"/>
          <w:vertAlign w:val="superscript"/>
        </w:rPr>
        <w:t>3</w:t>
      </w:r>
      <w:r w:rsidRPr="00950E7A">
        <w:rPr>
          <w:rFonts w:cstheme="minorHAnsi"/>
          <w:vertAlign w:val="superscript"/>
        </w:rPr>
        <w:t>,</w:t>
      </w:r>
      <w:r w:rsidRPr="00B02600">
        <w:rPr>
          <w:rFonts w:cstheme="minorHAnsi"/>
          <w:vertAlign w:val="superscript"/>
        </w:rPr>
        <w:t>15</w:t>
      </w:r>
      <w:r w:rsidRPr="00950E7A">
        <w:rPr>
          <w:rFonts w:cstheme="minorHAnsi"/>
          <w:vertAlign w:val="superscript"/>
        </w:rPr>
        <w:t>,</w:t>
      </w:r>
      <w:r w:rsidRPr="00B02600">
        <w:rPr>
          <w:rFonts w:cstheme="minorHAnsi"/>
          <w:vertAlign w:val="superscript"/>
        </w:rPr>
        <w:t>26</w:t>
      </w:r>
      <w:r w:rsidRPr="00950E7A">
        <w:rPr>
          <w:rFonts w:cstheme="minorHAnsi"/>
        </w:rPr>
        <w:t xml:space="preserve"> Patients have been noted to have slower walking speeds, shorter stride lengths, and prolonged stance phases.</w:t>
      </w:r>
      <w:r w:rsidRPr="00B02600">
        <w:rPr>
          <w:rFonts w:cstheme="minorHAnsi"/>
          <w:vertAlign w:val="superscript"/>
        </w:rPr>
        <w:t>5</w:t>
      </w:r>
      <w:r w:rsidRPr="00950E7A">
        <w:rPr>
          <w:rFonts w:cstheme="minorHAnsi"/>
          <w:vertAlign w:val="superscript"/>
        </w:rPr>
        <w:t>,</w:t>
      </w:r>
      <w:r w:rsidRPr="00B02600">
        <w:rPr>
          <w:rFonts w:cstheme="minorHAnsi"/>
          <w:vertAlign w:val="superscript"/>
        </w:rPr>
        <w:t>16</w:t>
      </w:r>
      <w:r w:rsidRPr="00950E7A">
        <w:rPr>
          <w:rFonts w:cstheme="minorHAnsi"/>
          <w:vertAlign w:val="superscript"/>
        </w:rPr>
        <w:t>,</w:t>
      </w:r>
      <w:r w:rsidRPr="00B02600">
        <w:rPr>
          <w:rFonts w:cstheme="minorHAnsi"/>
          <w:vertAlign w:val="superscript"/>
        </w:rPr>
        <w:t>25</w:t>
      </w:r>
      <w:r w:rsidRPr="00950E7A">
        <w:rPr>
          <w:rFonts w:cstheme="minorHAnsi"/>
        </w:rPr>
        <w:t xml:space="preserve"> Recent studies have detailed multisegmental kinematic changes in the foot with hallux valgus during ambulation.</w:t>
      </w:r>
      <w:r w:rsidRPr="00B02600">
        <w:rPr>
          <w:rFonts w:cstheme="minorHAnsi"/>
          <w:vertAlign w:val="superscript"/>
        </w:rPr>
        <w:t>5</w:t>
      </w:r>
      <w:r w:rsidRPr="00950E7A">
        <w:rPr>
          <w:rFonts w:cstheme="minorHAnsi"/>
          <w:vertAlign w:val="superscript"/>
        </w:rPr>
        <w:t>,</w:t>
      </w:r>
      <w:r w:rsidRPr="00B02600">
        <w:rPr>
          <w:rFonts w:cstheme="minorHAnsi"/>
          <w:vertAlign w:val="superscript"/>
        </w:rPr>
        <w:t>11</w:t>
      </w:r>
      <w:r w:rsidRPr="00950E7A">
        <w:rPr>
          <w:rFonts w:cstheme="minorHAnsi"/>
        </w:rPr>
        <w:t xml:space="preserve"> The hallux showed a valgus position throughout the gait cycle and pronation peaking at push off. A more dorsiflexed forefoot and a more plantarflexed hindfoot suggest flattening of the longitudinal arch. Forefoot valgus from terminal stance through initial swing, hindfoot inversion and tibial internal rotation are findings consistent with lateral plantar loading.</w:t>
      </w:r>
    </w:p>
    <w:p w14:paraId="2B20C770" w14:textId="58FFB6D0" w:rsidR="00950E7A" w:rsidRPr="00950E7A" w:rsidRDefault="00950E7A" w:rsidP="00950E7A">
      <w:pPr>
        <w:rPr>
          <w:rFonts w:cstheme="minorHAnsi"/>
        </w:rPr>
      </w:pPr>
      <w:r w:rsidRPr="00950E7A">
        <w:rPr>
          <w:rFonts w:cstheme="minorHAnsi"/>
        </w:rPr>
        <w:t>Over 100 different operative treatments have been proposed for hallux valgus,</w:t>
      </w:r>
      <w:r w:rsidRPr="00B02600">
        <w:rPr>
          <w:rFonts w:cstheme="minorHAnsi"/>
          <w:vertAlign w:val="superscript"/>
        </w:rPr>
        <w:t>7</w:t>
      </w:r>
      <w:r w:rsidRPr="00950E7A">
        <w:rPr>
          <w:rFonts w:cstheme="minorHAnsi"/>
        </w:rPr>
        <w:t xml:space="preserve"> each aiming to restore alignment and biomechanical function.</w:t>
      </w:r>
      <w:r w:rsidRPr="00B02600">
        <w:rPr>
          <w:rFonts w:cstheme="minorHAnsi"/>
          <w:vertAlign w:val="superscript"/>
        </w:rPr>
        <w:t>19</w:t>
      </w:r>
      <w:r w:rsidRPr="00950E7A">
        <w:rPr>
          <w:rFonts w:cstheme="minorHAnsi"/>
        </w:rPr>
        <w:t xml:space="preserve"> Operative treatment of hallux valgus has demonstrated very good results.</w:t>
      </w:r>
      <w:r w:rsidRPr="00B02600">
        <w:rPr>
          <w:rFonts w:cstheme="minorHAnsi"/>
          <w:vertAlign w:val="superscript"/>
        </w:rPr>
        <w:t>9</w:t>
      </w:r>
      <w:r w:rsidRPr="00950E7A">
        <w:rPr>
          <w:rFonts w:cstheme="minorHAnsi"/>
          <w:vertAlign w:val="superscript"/>
        </w:rPr>
        <w:t>,</w:t>
      </w:r>
      <w:r w:rsidRPr="00B02600">
        <w:rPr>
          <w:rFonts w:cstheme="minorHAnsi"/>
          <w:vertAlign w:val="superscript"/>
        </w:rPr>
        <w:t>23</w:t>
      </w:r>
      <w:r w:rsidRPr="00950E7A">
        <w:rPr>
          <w:rFonts w:cstheme="minorHAnsi"/>
          <w:vertAlign w:val="superscript"/>
        </w:rPr>
        <w:t>,</w:t>
      </w:r>
      <w:r w:rsidRPr="00B02600">
        <w:rPr>
          <w:rFonts w:cstheme="minorHAnsi"/>
          <w:vertAlign w:val="superscript"/>
        </w:rPr>
        <w:t>24</w:t>
      </w:r>
      <w:r w:rsidRPr="00950E7A">
        <w:rPr>
          <w:rFonts w:cstheme="minorHAnsi"/>
        </w:rPr>
        <w:t xml:space="preserve"> Patients who underwent surgery were more satisfied, had higher functional scores and less pain, and required less help from a specialist for their footwear as compared to patients who were treated nonsurgically with orthoses. However, recent findings from plantar pressure analysis have suggested that physiologic gait patterns are not restored after hallux valgus surgery, despite favorable clinical and radiographic results.</w:t>
      </w:r>
      <w:r w:rsidRPr="00B02600">
        <w:rPr>
          <w:rFonts w:cstheme="minorHAnsi"/>
          <w:vertAlign w:val="superscript"/>
        </w:rPr>
        <w:t>19</w:t>
      </w:r>
      <w:r w:rsidRPr="00950E7A">
        <w:rPr>
          <w:rFonts w:cstheme="minorHAnsi"/>
          <w:vertAlign w:val="superscript"/>
        </w:rPr>
        <w:t>,</w:t>
      </w:r>
      <w:r w:rsidRPr="00B02600">
        <w:rPr>
          <w:rFonts w:cstheme="minorHAnsi"/>
          <w:vertAlign w:val="superscript"/>
        </w:rPr>
        <w:t>20</w:t>
      </w:r>
    </w:p>
    <w:p w14:paraId="238FCEBC" w14:textId="1A0C960B" w:rsidR="00950E7A" w:rsidRPr="00950E7A" w:rsidRDefault="00950E7A" w:rsidP="00950E7A">
      <w:pPr>
        <w:rPr>
          <w:rFonts w:cstheme="minorHAnsi"/>
        </w:rPr>
      </w:pPr>
      <w:r w:rsidRPr="00950E7A">
        <w:rPr>
          <w:rFonts w:cstheme="minorHAnsi"/>
        </w:rPr>
        <w:t>We have conducted a study characterizing gait in patients with hallux valgus which included preliminary postoperative findings.</w:t>
      </w:r>
      <w:r w:rsidRPr="00B02600">
        <w:rPr>
          <w:rFonts w:cstheme="minorHAnsi"/>
          <w:vertAlign w:val="superscript"/>
        </w:rPr>
        <w:t>5</w:t>
      </w:r>
      <w:r w:rsidRPr="00950E7A">
        <w:rPr>
          <w:rFonts w:cstheme="minorHAnsi"/>
        </w:rPr>
        <w:t xml:space="preserve"> These initial findings showed significantly improved postoperative hallux position in all three planes, but temporal-spatial parameters and range of motion did not exhibit similar improvements. This study also demonstrated significantly lower SF-36 scores (Physical Functioning and Bodily Pain subscales) preoperatively when compared to age-matched normative values,</w:t>
      </w:r>
      <w:r w:rsidRPr="00B02600">
        <w:rPr>
          <w:rFonts w:cstheme="minorHAnsi"/>
          <w:vertAlign w:val="superscript"/>
        </w:rPr>
        <w:t>2</w:t>
      </w:r>
      <w:r w:rsidRPr="00950E7A">
        <w:rPr>
          <w:rFonts w:cstheme="minorHAnsi"/>
        </w:rPr>
        <w:t xml:space="preserve"> denoting some functional impairment. Based on these initial findings, we hypothesized that surgery for hallux valgus would restore alignment and patient-reported function but that proximal kinematics and temporal-spatial parameters would not show significant postoperative changes. The aim of this study was to analyze changes in multisegmental foot and ankle kinematics in patients who underwent hallux valgus surgery.</w:t>
      </w:r>
    </w:p>
    <w:p w14:paraId="5EFABADE" w14:textId="77777777" w:rsidR="00950E7A" w:rsidRPr="004A6BF2" w:rsidRDefault="00950E7A" w:rsidP="004A6BF2">
      <w:pPr>
        <w:pStyle w:val="Heading1"/>
      </w:pPr>
      <w:bookmarkStart w:id="4" w:name="_i2"/>
      <w:bookmarkEnd w:id="4"/>
      <w:r w:rsidRPr="004A6BF2">
        <w:t>MATERIALS AND METHODS</w:t>
      </w:r>
    </w:p>
    <w:p w14:paraId="53DFB5CE" w14:textId="7D1AF8FF" w:rsidR="00950E7A" w:rsidRPr="00950E7A" w:rsidRDefault="00950E7A" w:rsidP="00950E7A">
      <w:pPr>
        <w:rPr>
          <w:rFonts w:cstheme="minorHAnsi"/>
        </w:rPr>
      </w:pPr>
      <w:r w:rsidRPr="00950E7A">
        <w:rPr>
          <w:rFonts w:cstheme="minorHAnsi"/>
        </w:rPr>
        <w:t>This prospective study, involving patients with hallux valgus from the Medical College of Wisconsin/Froedtert Hospital Foot and Ankle Clinics, was approved by the Institutional Review Board. All recruited subjects gave informed consent prior to participating in the study. Twenty-four feet (15 lefts and nine rights) in 19 subjects (17 females and two males) were tested at the Orthopaedic and Rehabilitation Engineering Center (OREC) Motion Analysis Laboratory. The mean age at the time of preoperative testing was 52.5 (24 to 72) years. All subjects demonstrated mild to severe hallux valgus, which was defined by the hallux valgus angle or HVA (HVA ≥ 15 degrees) and the intermetatarsal angle or IMA (IMA ≥ 9 degrees).</w:t>
      </w:r>
      <w:r w:rsidRPr="00B02600">
        <w:rPr>
          <w:rFonts w:cstheme="minorHAnsi"/>
          <w:vertAlign w:val="superscript"/>
        </w:rPr>
        <w:t>6</w:t>
      </w:r>
      <w:r w:rsidRPr="00950E7A">
        <w:rPr>
          <w:rFonts w:cstheme="minorHAnsi"/>
        </w:rPr>
        <w:t xml:space="preserve"> Clinical assessment and operative treatment were performed by a single orthopaedic surgeon (R.M.M.) Preoperative gait evaluation was done at an average of 45 days prior to surgery. Postoperative testing was conducted only after complete return to a stable ambulatory pattern. Followup visits were conducted between 7 to 60 months with a mean of 16 months. Data from these subjects pre- and postoperatively are referenced as HVpre and HVpost, respectively.</w:t>
      </w:r>
    </w:p>
    <w:p w14:paraId="484E93E6" w14:textId="77777777" w:rsidR="00950E7A" w:rsidRPr="00950E7A" w:rsidRDefault="00950E7A" w:rsidP="004A6BF2">
      <w:pPr>
        <w:pStyle w:val="Heading2"/>
      </w:pPr>
      <w:r w:rsidRPr="00950E7A">
        <w:t>Radiographic and outcomes assessment</w:t>
      </w:r>
    </w:p>
    <w:p w14:paraId="098CC642" w14:textId="77777777" w:rsidR="00950E7A" w:rsidRPr="00950E7A" w:rsidRDefault="00950E7A" w:rsidP="00950E7A">
      <w:pPr>
        <w:rPr>
          <w:rFonts w:cstheme="minorHAnsi"/>
        </w:rPr>
      </w:pPr>
      <w:r w:rsidRPr="00950E7A">
        <w:rPr>
          <w:rFonts w:cstheme="minorHAnsi"/>
        </w:rPr>
        <w:t>Changes in static deformity were evaluated based on measurements of the HVA and IMA on weightbearing AP plain radiographs.</w:t>
      </w:r>
    </w:p>
    <w:p w14:paraId="789E946F" w14:textId="77777777" w:rsidR="00950E7A" w:rsidRPr="00950E7A" w:rsidRDefault="00950E7A" w:rsidP="00950E7A">
      <w:pPr>
        <w:rPr>
          <w:rFonts w:cstheme="minorHAnsi"/>
        </w:rPr>
      </w:pPr>
      <w:r w:rsidRPr="00950E7A">
        <w:rPr>
          <w:rFonts w:cstheme="minorHAnsi"/>
        </w:rPr>
        <w:t>The SF-36 Health Survey was administered at both pre- and postoperative visits to objectively evaluate functional levels before and after surgery. Specific subscale scores of interest included four areas: Physical Functioning (extent to which health interferes with physical activities), Role Functioning-Physical (extent to which physical health interferes with work and daily activities), Bodily Pain (intensity and effect of pain on work), and General Health (personal evaluation of health).</w:t>
      </w:r>
    </w:p>
    <w:p w14:paraId="76B16AF2" w14:textId="77777777" w:rsidR="00950E7A" w:rsidRPr="00950E7A" w:rsidRDefault="00950E7A" w:rsidP="004A6BF2">
      <w:pPr>
        <w:pStyle w:val="Heading2"/>
      </w:pPr>
      <w:r w:rsidRPr="00950E7A">
        <w:t>Motion analysis</w:t>
      </w:r>
    </w:p>
    <w:p w14:paraId="0F60B33D" w14:textId="688C4BB3" w:rsidR="00950E7A" w:rsidRPr="00950E7A" w:rsidRDefault="00950E7A" w:rsidP="00950E7A">
      <w:pPr>
        <w:rPr>
          <w:rFonts w:cstheme="minorHAnsi"/>
        </w:rPr>
      </w:pPr>
      <w:r w:rsidRPr="00950E7A">
        <w:rPr>
          <w:rFonts w:cstheme="minorHAnsi"/>
        </w:rPr>
        <w:t>Foot and ankle motion analyses were performed using a video-based Vicon 524 Motion Analysis System (Vicon Motion Systems, Inc.; Lake Forest, CA) with 15 cameras operating at 120 Hz. Data were collected as subjects walked at self-selected speed along a 6-m walkway. At least three walking trials were completed. Temporal-spatial parameters (walking speed, stride length, cadence, and stance/swing ratio) as well as foot and ankle kinematics (position and range of motion) were measured using the Milwaukee Foot Model (MFM). The MFM is a four-segment kinematic model which has been validated for adult and pediatric populations.</w:t>
      </w:r>
      <w:r w:rsidRPr="00B02600">
        <w:rPr>
          <w:rFonts w:cstheme="minorHAnsi"/>
          <w:vertAlign w:val="superscript"/>
        </w:rPr>
        <w:t>13</w:t>
      </w:r>
      <w:r w:rsidRPr="00950E7A">
        <w:rPr>
          <w:rFonts w:cstheme="minorHAnsi"/>
          <w:vertAlign w:val="superscript"/>
        </w:rPr>
        <w:t>,</w:t>
      </w:r>
      <w:r w:rsidRPr="00B02600">
        <w:rPr>
          <w:rFonts w:cstheme="minorHAnsi"/>
          <w:vertAlign w:val="superscript"/>
        </w:rPr>
        <w:t>17</w:t>
      </w:r>
    </w:p>
    <w:p w14:paraId="0BC8DF3D" w14:textId="3FB4C94C" w:rsidR="00950E7A" w:rsidRPr="00950E7A" w:rsidRDefault="00950E7A" w:rsidP="00950E7A">
      <w:pPr>
        <w:rPr>
          <w:rFonts w:cstheme="minorHAnsi"/>
        </w:rPr>
      </w:pPr>
      <w:r w:rsidRPr="00950E7A">
        <w:rPr>
          <w:rFonts w:cstheme="minorHAnsi"/>
        </w:rPr>
        <w:t>Using the MFM, the foot and ankle were divided into tibia, hindfoot, forefoot, and hallux, and measures of motion for each segment were calculated in three planes (sagittal, coronal, and transverse). Measurements from weightbearing radiographs were used to index surface marker motion to the underlying bony anatomy and create local bone-based axes for each segment. The reference coordinate system for the tibia was the laboratory (global) coordinate system. The reference coordinate system for all other segments was the body coordinate system for the next most proximal segment (</w:t>
      </w:r>
      <w:proofErr w:type="gramStart"/>
      <w:r w:rsidRPr="00950E7A">
        <w:rPr>
          <w:rFonts w:cstheme="minorHAnsi"/>
        </w:rPr>
        <w:t>i.e.</w:t>
      </w:r>
      <w:proofErr w:type="gramEnd"/>
      <w:r w:rsidRPr="00950E7A">
        <w:rPr>
          <w:rFonts w:cstheme="minorHAnsi"/>
        </w:rPr>
        <w:t xml:space="preserve"> hindfoot with respect to tibia, forefoot with respect to hindfoot, and hallux with respect to forefoot).</w:t>
      </w:r>
      <w:r w:rsidRPr="00B02600">
        <w:rPr>
          <w:rFonts w:cstheme="minorHAnsi"/>
          <w:vertAlign w:val="superscript"/>
        </w:rPr>
        <w:t>12</w:t>
      </w:r>
    </w:p>
    <w:p w14:paraId="3428E3DA" w14:textId="1052DBF7" w:rsidR="00950E7A" w:rsidRPr="00950E7A" w:rsidRDefault="00950E7A" w:rsidP="00950E7A">
      <w:pPr>
        <w:rPr>
          <w:rFonts w:cstheme="minorHAnsi"/>
        </w:rPr>
      </w:pPr>
      <w:r w:rsidRPr="00950E7A">
        <w:rPr>
          <w:rFonts w:cstheme="minorHAnsi"/>
        </w:rPr>
        <w:t>Segment positions and ranges of motion (ROM) as captured during marker-based motion analysis testing were compared pre- and postoperatively during each of the seven phases of gait as described by Perry.</w:t>
      </w:r>
      <w:r w:rsidRPr="00B02600">
        <w:rPr>
          <w:rFonts w:cstheme="minorHAnsi"/>
          <w:vertAlign w:val="superscript"/>
        </w:rPr>
        <w:t>18</w:t>
      </w:r>
      <w:r w:rsidRPr="00950E7A">
        <w:rPr>
          <w:rFonts w:cstheme="minorHAnsi"/>
        </w:rPr>
        <w:t xml:space="preserve"> The two groups were thus compared in each of the seven phases of gait, namely load response (0% to 10% of the gait cycle), midstance (10% to 30%), terminal stance (30% to 50%), preswing (50% to 60%), initial swing (60% to 73%), midswing (73% to 87%), and terminal swing (87% to 100%). ROM was defined as maximum position minus minimum position within a particular gait phase. Timing and position information associated with heelstrike and toe-off events were used to determine temporal-spatial parameters (walking speed, stride length, cadence, and stance-swing ratio).</w:t>
      </w:r>
    </w:p>
    <w:p w14:paraId="1FBA00FB" w14:textId="77777777" w:rsidR="00950E7A" w:rsidRPr="00950E7A" w:rsidRDefault="00950E7A" w:rsidP="004A6BF2">
      <w:pPr>
        <w:pStyle w:val="Heading2"/>
      </w:pPr>
      <w:r w:rsidRPr="00950E7A">
        <w:t>Statistical analysis</w:t>
      </w:r>
    </w:p>
    <w:p w14:paraId="3DC46E68" w14:textId="78E5F94D" w:rsidR="00950E7A" w:rsidRPr="00950E7A" w:rsidRDefault="00950E7A" w:rsidP="00950E7A">
      <w:pPr>
        <w:rPr>
          <w:rFonts w:cstheme="minorHAnsi"/>
        </w:rPr>
      </w:pPr>
      <w:r w:rsidRPr="00950E7A">
        <w:rPr>
          <w:rFonts w:cstheme="minorHAnsi"/>
        </w:rPr>
        <w:t>Preoperative and postoperative values for radiographic measurements and the SF-36 were compared using the Wilcoxon signed rank test (</w:t>
      </w:r>
      <w:r w:rsidRPr="00950E7A">
        <w:rPr>
          <w:rFonts w:cstheme="minorHAnsi"/>
          <w:i/>
          <w:iCs/>
        </w:rPr>
        <w:t>p</w:t>
      </w:r>
      <w:r w:rsidRPr="00950E7A">
        <w:rPr>
          <w:rFonts w:cstheme="minorHAnsi"/>
        </w:rPr>
        <w:t xml:space="preserve"> ≤ 0.05). Preoperative and postoperative temporal-spatial and kinematic data comparisons were also analyzed using the Wilcoxon signed rank test, a version of the Friedman's test (a nonparametric alternative to repeated measures ANOVA). Comparisons to a previously tested population of 25 healthy ambulators (13 males and 12 females) with no known foot pathology or surgeries were also made using unpaired nonparametric methods.</w:t>
      </w:r>
      <w:r w:rsidRPr="00B02600">
        <w:rPr>
          <w:rFonts w:cstheme="minorHAnsi"/>
          <w:vertAlign w:val="superscript"/>
        </w:rPr>
        <w:t>5</w:t>
      </w:r>
      <w:r w:rsidRPr="00950E7A">
        <w:rPr>
          <w:rFonts w:cstheme="minorHAnsi"/>
        </w:rPr>
        <w:t xml:space="preserve"> Normative data were obtained following the protocol described for the HV population. A Bonferroni correction was used to achieve a family-wise 5% overall error rate in adjusting for multiple tests over the set of seven test points in the gait cycle. This made </w:t>
      </w:r>
      <w:r w:rsidRPr="00950E7A">
        <w:rPr>
          <w:rFonts w:cstheme="minorHAnsi"/>
          <w:i/>
          <w:iCs/>
        </w:rPr>
        <w:t>p</w:t>
      </w:r>
      <w:r w:rsidRPr="00950E7A">
        <w:rPr>
          <w:rFonts w:cstheme="minorHAnsi"/>
        </w:rPr>
        <w:t xml:space="preserve"> &lt; 0.002 the level of significance for all joint kinematic comparisons.</w:t>
      </w:r>
    </w:p>
    <w:p w14:paraId="33CC61BA" w14:textId="77777777" w:rsidR="00950E7A" w:rsidRPr="00950E7A" w:rsidRDefault="00950E7A" w:rsidP="00950E7A">
      <w:pPr>
        <w:rPr>
          <w:rFonts w:cstheme="minorHAnsi"/>
        </w:rPr>
      </w:pPr>
      <w:r w:rsidRPr="00950E7A">
        <w:rPr>
          <w:rFonts w:cstheme="minorHAnsi"/>
        </w:rPr>
        <w:t>The relationship between followup time and postoperative change was analyzed using the Pearson correlation coefficient. For each kinematic and temporal-spatial variable N, we analyzed the relationship between Npost-Npre and followup time in days.</w:t>
      </w:r>
    </w:p>
    <w:p w14:paraId="42CDDD29" w14:textId="77777777" w:rsidR="00950E7A" w:rsidRPr="00950E7A" w:rsidRDefault="00950E7A" w:rsidP="004A6BF2">
      <w:pPr>
        <w:pStyle w:val="Heading1"/>
      </w:pPr>
      <w:bookmarkStart w:id="5" w:name="_i6"/>
      <w:bookmarkEnd w:id="5"/>
      <w:r w:rsidRPr="00950E7A">
        <w:t>RESULTS</w:t>
      </w:r>
    </w:p>
    <w:p w14:paraId="6EAA3766" w14:textId="77777777" w:rsidR="00950E7A" w:rsidRPr="00950E7A" w:rsidRDefault="00950E7A" w:rsidP="004B158A">
      <w:pPr>
        <w:pStyle w:val="Heading2"/>
      </w:pPr>
      <w:r w:rsidRPr="00950E7A">
        <w:t>Radiographic and outcomes assessment</w:t>
      </w:r>
    </w:p>
    <w:p w14:paraId="131C252A" w14:textId="51C1B0A2" w:rsidR="00950E7A" w:rsidRPr="00950E7A" w:rsidRDefault="00950E7A" w:rsidP="004B158A">
      <w:r w:rsidRPr="00950E7A">
        <w:t>Mean HVA decreased from 30 (HVpre; range, 17 to 50) degrees to 13 (HVpost; range, −5 to 28) degrees (</w:t>
      </w:r>
      <w:r w:rsidRPr="00950E7A">
        <w:rPr>
          <w:i/>
          <w:iCs/>
        </w:rPr>
        <w:t>p</w:t>
      </w:r>
      <w:r w:rsidRPr="00950E7A">
        <w:t xml:space="preserve"> &lt; 0.0001), and mean IMA decreased from 15 (HVpre; range, 10 to 21) degrees to 10 (HVpost; range, 3 to 19) degrees (</w:t>
      </w:r>
      <w:r w:rsidRPr="00950E7A">
        <w:rPr>
          <w:i/>
          <w:iCs/>
        </w:rPr>
        <w:t>p</w:t>
      </w:r>
      <w:r w:rsidRPr="00950E7A">
        <w:t xml:space="preserve"> = 0.0029). Average metatarsal length was also found to be shorter postoperatively (</w:t>
      </w:r>
      <w:r w:rsidRPr="00950E7A">
        <w:rPr>
          <w:i/>
          <w:iCs/>
        </w:rPr>
        <w:t>p</w:t>
      </w:r>
      <w:r w:rsidRPr="00950E7A">
        <w:t xml:space="preserve"> = 0.004) with mean lengths of 65.3 (range, 57 to 73) mm and 63.7 (range, 54 to 73) mm for HVpre and HVpost, respectively. SF-36 subscale results are reported in </w:t>
      </w:r>
      <w:r w:rsidRPr="00B02600">
        <w:rPr>
          <w:rFonts w:cstheme="minorHAnsi"/>
        </w:rPr>
        <w:t>Table 1</w:t>
      </w:r>
      <w:r w:rsidRPr="00950E7A">
        <w:t>. Of these subscale scores, statistically significant improvement was seen in Physical Functioning (</w:t>
      </w:r>
      <w:r w:rsidRPr="00950E7A">
        <w:rPr>
          <w:i/>
          <w:iCs/>
        </w:rPr>
        <w:t>p</w:t>
      </w:r>
      <w:r w:rsidRPr="00950E7A">
        <w:t xml:space="preserve"> = 0.0059).</w:t>
      </w:r>
    </w:p>
    <w:p w14:paraId="57DB0D34" w14:textId="77777777" w:rsidR="00F42F5E" w:rsidRPr="00F42F5E" w:rsidRDefault="00F42F5E" w:rsidP="00B02600">
      <w:pPr>
        <w:spacing w:after="0"/>
        <w:rPr>
          <w:rFonts w:cstheme="minorHAnsi"/>
        </w:rPr>
      </w:pPr>
      <w:r w:rsidRPr="00F42F5E">
        <w:rPr>
          <w:rFonts w:cstheme="minorHAnsi"/>
          <w:b/>
          <w:bCs/>
        </w:rPr>
        <w:t>Table 1</w:t>
      </w:r>
      <w:r w:rsidRPr="00F42F5E">
        <w:rPr>
          <w:rFonts w:cstheme="minorHAnsi"/>
        </w:rPr>
        <w:t>: SF-36 Results</w:t>
      </w:r>
    </w:p>
    <w:tbl>
      <w:tblPr>
        <w:tblStyle w:val="TableGrid"/>
        <w:tblW w:w="0" w:type="auto"/>
        <w:tblLook w:val="04A0" w:firstRow="1" w:lastRow="0" w:firstColumn="1" w:lastColumn="0" w:noHBand="0" w:noVBand="1"/>
      </w:tblPr>
      <w:tblGrid>
        <w:gridCol w:w="2691"/>
        <w:gridCol w:w="2953"/>
        <w:gridCol w:w="1206"/>
        <w:gridCol w:w="607"/>
      </w:tblGrid>
      <w:tr w:rsidR="00F42F5E" w:rsidRPr="00F42F5E" w14:paraId="443D397F" w14:textId="77777777" w:rsidTr="00B02600">
        <w:tc>
          <w:tcPr>
            <w:tcW w:w="0" w:type="auto"/>
            <w:hideMark/>
          </w:tcPr>
          <w:p w14:paraId="0996635A" w14:textId="77777777" w:rsidR="00F42F5E" w:rsidRPr="00F42F5E" w:rsidRDefault="00F42F5E" w:rsidP="00B02600">
            <w:pPr>
              <w:spacing w:line="259" w:lineRule="auto"/>
              <w:rPr>
                <w:rFonts w:cstheme="minorHAnsi"/>
              </w:rPr>
            </w:pPr>
            <w:r w:rsidRPr="00F42F5E">
              <w:rPr>
                <w:rFonts w:cstheme="minorHAnsi"/>
              </w:rPr>
              <w:t> </w:t>
            </w:r>
          </w:p>
        </w:tc>
        <w:tc>
          <w:tcPr>
            <w:tcW w:w="0" w:type="auto"/>
            <w:hideMark/>
          </w:tcPr>
          <w:p w14:paraId="372030D6" w14:textId="77777777" w:rsidR="00F42F5E" w:rsidRPr="00F42F5E" w:rsidRDefault="00F42F5E" w:rsidP="00B02600">
            <w:pPr>
              <w:rPr>
                <w:rFonts w:cstheme="minorHAnsi"/>
                <w:b/>
                <w:bCs/>
              </w:rPr>
            </w:pPr>
            <w:r w:rsidRPr="00F42F5E">
              <w:rPr>
                <w:rFonts w:cstheme="minorHAnsi"/>
                <w:b/>
                <w:bCs/>
              </w:rPr>
              <w:t>Mean and Standard Deviation</w:t>
            </w:r>
          </w:p>
        </w:tc>
        <w:tc>
          <w:tcPr>
            <w:tcW w:w="0" w:type="auto"/>
          </w:tcPr>
          <w:p w14:paraId="68FE53F0" w14:textId="77777777" w:rsidR="00F42F5E" w:rsidRPr="00F42F5E" w:rsidRDefault="00F42F5E" w:rsidP="00B02600">
            <w:pPr>
              <w:rPr>
                <w:rFonts w:cstheme="minorHAnsi"/>
                <w:b/>
                <w:bCs/>
              </w:rPr>
            </w:pPr>
          </w:p>
        </w:tc>
        <w:tc>
          <w:tcPr>
            <w:tcW w:w="0" w:type="auto"/>
          </w:tcPr>
          <w:p w14:paraId="696E36E7" w14:textId="29E0FB94" w:rsidR="00F42F5E" w:rsidRPr="00F42F5E" w:rsidRDefault="00F42F5E" w:rsidP="00B02600">
            <w:pPr>
              <w:spacing w:line="259" w:lineRule="auto"/>
              <w:rPr>
                <w:rFonts w:cstheme="minorHAnsi"/>
                <w:b/>
                <w:bCs/>
              </w:rPr>
            </w:pPr>
          </w:p>
        </w:tc>
      </w:tr>
      <w:tr w:rsidR="00F42F5E" w:rsidRPr="00F42F5E" w14:paraId="34D726C4" w14:textId="77777777" w:rsidTr="00B02600">
        <w:tc>
          <w:tcPr>
            <w:tcW w:w="0" w:type="auto"/>
            <w:hideMark/>
          </w:tcPr>
          <w:p w14:paraId="7BD3A775" w14:textId="77777777" w:rsidR="00F42F5E" w:rsidRPr="00F42F5E" w:rsidRDefault="00F42F5E" w:rsidP="00B02600">
            <w:pPr>
              <w:spacing w:line="259" w:lineRule="auto"/>
              <w:rPr>
                <w:rFonts w:cstheme="minorHAnsi"/>
              </w:rPr>
            </w:pPr>
          </w:p>
        </w:tc>
        <w:tc>
          <w:tcPr>
            <w:tcW w:w="0" w:type="auto"/>
            <w:hideMark/>
          </w:tcPr>
          <w:p w14:paraId="01CC2A0B" w14:textId="77777777" w:rsidR="00F42F5E" w:rsidRPr="00F42F5E" w:rsidRDefault="00F42F5E" w:rsidP="00B02600">
            <w:pPr>
              <w:spacing w:line="259" w:lineRule="auto"/>
              <w:rPr>
                <w:rFonts w:cstheme="minorHAnsi"/>
                <w:b/>
                <w:bCs/>
              </w:rPr>
            </w:pPr>
            <w:r w:rsidRPr="00F42F5E">
              <w:rPr>
                <w:rFonts w:cstheme="minorHAnsi"/>
                <w:b/>
                <w:bCs/>
              </w:rPr>
              <w:t>Preop</w:t>
            </w:r>
          </w:p>
        </w:tc>
        <w:tc>
          <w:tcPr>
            <w:tcW w:w="0" w:type="auto"/>
            <w:hideMark/>
          </w:tcPr>
          <w:p w14:paraId="1075A943" w14:textId="77777777" w:rsidR="00F42F5E" w:rsidRPr="00F42F5E" w:rsidRDefault="00F42F5E" w:rsidP="00B02600">
            <w:pPr>
              <w:spacing w:line="259" w:lineRule="auto"/>
              <w:rPr>
                <w:rFonts w:cstheme="minorHAnsi"/>
                <w:b/>
                <w:bCs/>
              </w:rPr>
            </w:pPr>
            <w:r w:rsidRPr="00F42F5E">
              <w:rPr>
                <w:rFonts w:cstheme="minorHAnsi"/>
                <w:b/>
                <w:bCs/>
              </w:rPr>
              <w:t>Postop</w:t>
            </w:r>
          </w:p>
        </w:tc>
        <w:tc>
          <w:tcPr>
            <w:tcW w:w="0" w:type="auto"/>
            <w:hideMark/>
          </w:tcPr>
          <w:p w14:paraId="0CEB2AD7" w14:textId="77777777" w:rsidR="00F42F5E" w:rsidRPr="00F42F5E" w:rsidRDefault="00F42F5E" w:rsidP="00B02600">
            <w:pPr>
              <w:spacing w:line="259" w:lineRule="auto"/>
              <w:rPr>
                <w:rFonts w:cstheme="minorHAnsi"/>
                <w:b/>
                <w:bCs/>
              </w:rPr>
            </w:pPr>
            <w:r w:rsidRPr="00F42F5E">
              <w:rPr>
                <w:rFonts w:cstheme="minorHAnsi"/>
                <w:b/>
                <w:bCs/>
                <w:i/>
                <w:iCs/>
              </w:rPr>
              <w:t>p</w:t>
            </w:r>
          </w:p>
        </w:tc>
      </w:tr>
      <w:tr w:rsidR="00F42F5E" w:rsidRPr="00F42F5E" w14:paraId="61F6CB75" w14:textId="77777777" w:rsidTr="00B02600">
        <w:tc>
          <w:tcPr>
            <w:tcW w:w="0" w:type="auto"/>
            <w:hideMark/>
          </w:tcPr>
          <w:p w14:paraId="3CF6EA92" w14:textId="77777777" w:rsidR="00F42F5E" w:rsidRPr="00F42F5E" w:rsidRDefault="00F42F5E" w:rsidP="00B02600">
            <w:pPr>
              <w:spacing w:line="259" w:lineRule="auto"/>
              <w:rPr>
                <w:rFonts w:cstheme="minorHAnsi"/>
              </w:rPr>
            </w:pPr>
            <w:r w:rsidRPr="00F42F5E">
              <w:rPr>
                <w:rFonts w:cstheme="minorHAnsi"/>
              </w:rPr>
              <w:t>Physical Functioning</w:t>
            </w:r>
          </w:p>
        </w:tc>
        <w:tc>
          <w:tcPr>
            <w:tcW w:w="0" w:type="auto"/>
            <w:hideMark/>
          </w:tcPr>
          <w:p w14:paraId="6791B3CF" w14:textId="77777777" w:rsidR="00F42F5E" w:rsidRPr="00F42F5E" w:rsidRDefault="00F42F5E" w:rsidP="00B02600">
            <w:pPr>
              <w:spacing w:line="259" w:lineRule="auto"/>
              <w:rPr>
                <w:rFonts w:cstheme="minorHAnsi"/>
              </w:rPr>
            </w:pPr>
            <w:r w:rsidRPr="00F42F5E">
              <w:rPr>
                <w:rFonts w:cstheme="minorHAnsi"/>
              </w:rPr>
              <w:t>77.8 ± 16.9</w:t>
            </w:r>
          </w:p>
        </w:tc>
        <w:tc>
          <w:tcPr>
            <w:tcW w:w="0" w:type="auto"/>
            <w:hideMark/>
          </w:tcPr>
          <w:p w14:paraId="5BAC050F" w14:textId="77777777" w:rsidR="00F42F5E" w:rsidRPr="00F42F5E" w:rsidRDefault="00F42F5E" w:rsidP="00B02600">
            <w:pPr>
              <w:spacing w:line="259" w:lineRule="auto"/>
              <w:rPr>
                <w:rFonts w:cstheme="minorHAnsi"/>
              </w:rPr>
            </w:pPr>
            <w:r w:rsidRPr="00F42F5E">
              <w:rPr>
                <w:rFonts w:cstheme="minorHAnsi"/>
              </w:rPr>
              <w:t>93.5 ± 9.1</w:t>
            </w:r>
          </w:p>
        </w:tc>
        <w:tc>
          <w:tcPr>
            <w:tcW w:w="0" w:type="auto"/>
            <w:hideMark/>
          </w:tcPr>
          <w:p w14:paraId="714AE9C3" w14:textId="77777777" w:rsidR="00F42F5E" w:rsidRPr="00F42F5E" w:rsidRDefault="00F42F5E" w:rsidP="00B02600">
            <w:pPr>
              <w:spacing w:line="259" w:lineRule="auto"/>
              <w:rPr>
                <w:rFonts w:cstheme="minorHAnsi"/>
              </w:rPr>
            </w:pPr>
            <w:r w:rsidRPr="00F42F5E">
              <w:rPr>
                <w:rFonts w:cstheme="minorHAnsi"/>
              </w:rPr>
              <w:t>0.01</w:t>
            </w:r>
          </w:p>
        </w:tc>
      </w:tr>
      <w:tr w:rsidR="00F42F5E" w:rsidRPr="00F42F5E" w14:paraId="74019FC2" w14:textId="77777777" w:rsidTr="00B02600">
        <w:tc>
          <w:tcPr>
            <w:tcW w:w="0" w:type="auto"/>
            <w:hideMark/>
          </w:tcPr>
          <w:p w14:paraId="53E83DD1" w14:textId="77777777" w:rsidR="00F42F5E" w:rsidRPr="00F42F5E" w:rsidRDefault="00F42F5E" w:rsidP="00B02600">
            <w:pPr>
              <w:spacing w:line="259" w:lineRule="auto"/>
              <w:rPr>
                <w:rFonts w:cstheme="minorHAnsi"/>
              </w:rPr>
            </w:pPr>
            <w:r w:rsidRPr="00F42F5E">
              <w:rPr>
                <w:rFonts w:cstheme="minorHAnsi"/>
              </w:rPr>
              <w:t>Role Functioning-Physical</w:t>
            </w:r>
          </w:p>
        </w:tc>
        <w:tc>
          <w:tcPr>
            <w:tcW w:w="0" w:type="auto"/>
            <w:hideMark/>
          </w:tcPr>
          <w:p w14:paraId="0F984D80" w14:textId="77777777" w:rsidR="00F42F5E" w:rsidRPr="00F42F5E" w:rsidRDefault="00F42F5E" w:rsidP="00B02600">
            <w:pPr>
              <w:spacing w:line="259" w:lineRule="auto"/>
              <w:rPr>
                <w:rFonts w:cstheme="minorHAnsi"/>
              </w:rPr>
            </w:pPr>
            <w:r w:rsidRPr="00F42F5E">
              <w:rPr>
                <w:rFonts w:cstheme="minorHAnsi"/>
              </w:rPr>
              <w:t>84.4 ± 30.1</w:t>
            </w:r>
          </w:p>
        </w:tc>
        <w:tc>
          <w:tcPr>
            <w:tcW w:w="0" w:type="auto"/>
            <w:hideMark/>
          </w:tcPr>
          <w:p w14:paraId="60E1E16B" w14:textId="77777777" w:rsidR="00F42F5E" w:rsidRPr="00F42F5E" w:rsidRDefault="00F42F5E" w:rsidP="00B02600">
            <w:pPr>
              <w:spacing w:line="259" w:lineRule="auto"/>
              <w:rPr>
                <w:rFonts w:cstheme="minorHAnsi"/>
              </w:rPr>
            </w:pPr>
            <w:r w:rsidRPr="00F42F5E">
              <w:rPr>
                <w:rFonts w:cstheme="minorHAnsi"/>
              </w:rPr>
              <w:t>87.0 ± 29.1</w:t>
            </w:r>
          </w:p>
        </w:tc>
        <w:tc>
          <w:tcPr>
            <w:tcW w:w="0" w:type="auto"/>
            <w:hideMark/>
          </w:tcPr>
          <w:p w14:paraId="5491AF5F" w14:textId="77777777" w:rsidR="00F42F5E" w:rsidRPr="00F42F5E" w:rsidRDefault="00F42F5E" w:rsidP="00B02600">
            <w:pPr>
              <w:spacing w:line="259" w:lineRule="auto"/>
              <w:rPr>
                <w:rFonts w:cstheme="minorHAnsi"/>
              </w:rPr>
            </w:pPr>
            <w:r w:rsidRPr="00F42F5E">
              <w:rPr>
                <w:rFonts w:cstheme="minorHAnsi"/>
              </w:rPr>
              <w:t>0.63</w:t>
            </w:r>
          </w:p>
        </w:tc>
      </w:tr>
      <w:tr w:rsidR="00F42F5E" w:rsidRPr="00F42F5E" w14:paraId="322D6B99" w14:textId="77777777" w:rsidTr="00B02600">
        <w:tc>
          <w:tcPr>
            <w:tcW w:w="0" w:type="auto"/>
            <w:hideMark/>
          </w:tcPr>
          <w:p w14:paraId="7D5AC3EB" w14:textId="77777777" w:rsidR="00F42F5E" w:rsidRPr="00F42F5E" w:rsidRDefault="00F42F5E" w:rsidP="00B02600">
            <w:pPr>
              <w:spacing w:line="259" w:lineRule="auto"/>
              <w:rPr>
                <w:rFonts w:cstheme="minorHAnsi"/>
              </w:rPr>
            </w:pPr>
            <w:r w:rsidRPr="00F42F5E">
              <w:rPr>
                <w:rFonts w:cstheme="minorHAnsi"/>
              </w:rPr>
              <w:t>Bodily Pain</w:t>
            </w:r>
          </w:p>
        </w:tc>
        <w:tc>
          <w:tcPr>
            <w:tcW w:w="0" w:type="auto"/>
            <w:hideMark/>
          </w:tcPr>
          <w:p w14:paraId="1E1B04AF" w14:textId="77777777" w:rsidR="00F42F5E" w:rsidRPr="00F42F5E" w:rsidRDefault="00F42F5E" w:rsidP="00B02600">
            <w:pPr>
              <w:spacing w:line="259" w:lineRule="auto"/>
              <w:rPr>
                <w:rFonts w:cstheme="minorHAnsi"/>
              </w:rPr>
            </w:pPr>
            <w:r w:rsidRPr="00F42F5E">
              <w:rPr>
                <w:rFonts w:cstheme="minorHAnsi"/>
              </w:rPr>
              <w:t>62.2 ± 20.4</w:t>
            </w:r>
          </w:p>
        </w:tc>
        <w:tc>
          <w:tcPr>
            <w:tcW w:w="0" w:type="auto"/>
            <w:hideMark/>
          </w:tcPr>
          <w:p w14:paraId="0D8F8039" w14:textId="77777777" w:rsidR="00F42F5E" w:rsidRPr="00F42F5E" w:rsidRDefault="00F42F5E" w:rsidP="00B02600">
            <w:pPr>
              <w:spacing w:line="259" w:lineRule="auto"/>
              <w:rPr>
                <w:rFonts w:cstheme="minorHAnsi"/>
              </w:rPr>
            </w:pPr>
            <w:r w:rsidRPr="00F42F5E">
              <w:rPr>
                <w:rFonts w:cstheme="minorHAnsi"/>
              </w:rPr>
              <w:t>78.3 ± 24.7</w:t>
            </w:r>
          </w:p>
        </w:tc>
        <w:tc>
          <w:tcPr>
            <w:tcW w:w="0" w:type="auto"/>
            <w:hideMark/>
          </w:tcPr>
          <w:p w14:paraId="5536CB98" w14:textId="77777777" w:rsidR="00F42F5E" w:rsidRPr="00F42F5E" w:rsidRDefault="00F42F5E" w:rsidP="00B02600">
            <w:pPr>
              <w:spacing w:line="259" w:lineRule="auto"/>
              <w:rPr>
                <w:rFonts w:cstheme="minorHAnsi"/>
              </w:rPr>
            </w:pPr>
            <w:r w:rsidRPr="00F42F5E">
              <w:rPr>
                <w:rFonts w:cstheme="minorHAnsi"/>
              </w:rPr>
              <w:t>0.15</w:t>
            </w:r>
          </w:p>
        </w:tc>
      </w:tr>
      <w:tr w:rsidR="00F42F5E" w:rsidRPr="00F42F5E" w14:paraId="4A9F267C" w14:textId="77777777" w:rsidTr="00B02600">
        <w:tc>
          <w:tcPr>
            <w:tcW w:w="0" w:type="auto"/>
            <w:hideMark/>
          </w:tcPr>
          <w:p w14:paraId="13859D35" w14:textId="77777777" w:rsidR="00F42F5E" w:rsidRPr="00F42F5E" w:rsidRDefault="00F42F5E" w:rsidP="00B02600">
            <w:pPr>
              <w:spacing w:line="259" w:lineRule="auto"/>
              <w:rPr>
                <w:rFonts w:cstheme="minorHAnsi"/>
              </w:rPr>
            </w:pPr>
            <w:r w:rsidRPr="00F42F5E">
              <w:rPr>
                <w:rFonts w:cstheme="minorHAnsi"/>
              </w:rPr>
              <w:t>General Health</w:t>
            </w:r>
          </w:p>
        </w:tc>
        <w:tc>
          <w:tcPr>
            <w:tcW w:w="0" w:type="auto"/>
            <w:hideMark/>
          </w:tcPr>
          <w:p w14:paraId="07ECBED1" w14:textId="77777777" w:rsidR="00F42F5E" w:rsidRPr="00F42F5E" w:rsidRDefault="00F42F5E" w:rsidP="00B02600">
            <w:pPr>
              <w:spacing w:line="259" w:lineRule="auto"/>
              <w:rPr>
                <w:rFonts w:cstheme="minorHAnsi"/>
              </w:rPr>
            </w:pPr>
            <w:r w:rsidRPr="00F42F5E">
              <w:rPr>
                <w:rFonts w:cstheme="minorHAnsi"/>
              </w:rPr>
              <w:t>79.9 ± 13.8</w:t>
            </w:r>
          </w:p>
        </w:tc>
        <w:tc>
          <w:tcPr>
            <w:tcW w:w="0" w:type="auto"/>
            <w:hideMark/>
          </w:tcPr>
          <w:p w14:paraId="2061131F" w14:textId="77777777" w:rsidR="00F42F5E" w:rsidRPr="00F42F5E" w:rsidRDefault="00F42F5E" w:rsidP="00B02600">
            <w:pPr>
              <w:spacing w:line="259" w:lineRule="auto"/>
              <w:rPr>
                <w:rFonts w:cstheme="minorHAnsi"/>
              </w:rPr>
            </w:pPr>
            <w:r w:rsidRPr="00F42F5E">
              <w:rPr>
                <w:rFonts w:cstheme="minorHAnsi"/>
              </w:rPr>
              <w:t>83.3 ± 12.4</w:t>
            </w:r>
          </w:p>
        </w:tc>
        <w:tc>
          <w:tcPr>
            <w:tcW w:w="0" w:type="auto"/>
            <w:hideMark/>
          </w:tcPr>
          <w:p w14:paraId="472752C5" w14:textId="77777777" w:rsidR="00F42F5E" w:rsidRPr="00F42F5E" w:rsidRDefault="00F42F5E" w:rsidP="00B02600">
            <w:pPr>
              <w:spacing w:line="259" w:lineRule="auto"/>
              <w:rPr>
                <w:rFonts w:cstheme="minorHAnsi"/>
              </w:rPr>
            </w:pPr>
            <w:r w:rsidRPr="00F42F5E">
              <w:rPr>
                <w:rFonts w:cstheme="minorHAnsi"/>
              </w:rPr>
              <w:t>0.64</w:t>
            </w:r>
          </w:p>
        </w:tc>
      </w:tr>
      <w:tr w:rsidR="00F42F5E" w:rsidRPr="00F42F5E" w14:paraId="5A3978EF" w14:textId="77777777" w:rsidTr="00B02600">
        <w:tc>
          <w:tcPr>
            <w:tcW w:w="0" w:type="auto"/>
            <w:hideMark/>
          </w:tcPr>
          <w:p w14:paraId="5694317F" w14:textId="77777777" w:rsidR="00F42F5E" w:rsidRPr="00F42F5E" w:rsidRDefault="00F42F5E" w:rsidP="00B02600">
            <w:pPr>
              <w:spacing w:line="259" w:lineRule="auto"/>
              <w:rPr>
                <w:rFonts w:cstheme="minorHAnsi"/>
              </w:rPr>
            </w:pPr>
            <w:r w:rsidRPr="00F42F5E">
              <w:rPr>
                <w:rFonts w:cstheme="minorHAnsi"/>
              </w:rPr>
              <w:t>Vitality</w:t>
            </w:r>
          </w:p>
        </w:tc>
        <w:tc>
          <w:tcPr>
            <w:tcW w:w="0" w:type="auto"/>
            <w:hideMark/>
          </w:tcPr>
          <w:p w14:paraId="0E3BB5CC" w14:textId="77777777" w:rsidR="00F42F5E" w:rsidRPr="00F42F5E" w:rsidRDefault="00F42F5E" w:rsidP="00B02600">
            <w:pPr>
              <w:spacing w:line="259" w:lineRule="auto"/>
              <w:rPr>
                <w:rFonts w:cstheme="minorHAnsi"/>
              </w:rPr>
            </w:pPr>
            <w:r w:rsidRPr="00F42F5E">
              <w:rPr>
                <w:rFonts w:cstheme="minorHAnsi"/>
              </w:rPr>
              <w:t>67.8 ± 21.4</w:t>
            </w:r>
          </w:p>
        </w:tc>
        <w:tc>
          <w:tcPr>
            <w:tcW w:w="0" w:type="auto"/>
            <w:hideMark/>
          </w:tcPr>
          <w:p w14:paraId="23BA12BA" w14:textId="77777777" w:rsidR="00F42F5E" w:rsidRPr="00F42F5E" w:rsidRDefault="00F42F5E" w:rsidP="00B02600">
            <w:pPr>
              <w:spacing w:line="259" w:lineRule="auto"/>
              <w:rPr>
                <w:rFonts w:cstheme="minorHAnsi"/>
              </w:rPr>
            </w:pPr>
            <w:r w:rsidRPr="00F42F5E">
              <w:rPr>
                <w:rFonts w:cstheme="minorHAnsi"/>
              </w:rPr>
              <w:t>67.8 ± 18.2</w:t>
            </w:r>
          </w:p>
        </w:tc>
        <w:tc>
          <w:tcPr>
            <w:tcW w:w="0" w:type="auto"/>
            <w:hideMark/>
          </w:tcPr>
          <w:p w14:paraId="346D2537" w14:textId="77777777" w:rsidR="00F42F5E" w:rsidRPr="00F42F5E" w:rsidRDefault="00F42F5E" w:rsidP="00B02600">
            <w:pPr>
              <w:spacing w:line="259" w:lineRule="auto"/>
              <w:rPr>
                <w:rFonts w:cstheme="minorHAnsi"/>
              </w:rPr>
            </w:pPr>
            <w:r w:rsidRPr="00F42F5E">
              <w:rPr>
                <w:rFonts w:cstheme="minorHAnsi"/>
              </w:rPr>
              <w:t>0.43</w:t>
            </w:r>
          </w:p>
        </w:tc>
      </w:tr>
      <w:tr w:rsidR="00F42F5E" w:rsidRPr="00F42F5E" w14:paraId="01266F55" w14:textId="77777777" w:rsidTr="00B02600">
        <w:tc>
          <w:tcPr>
            <w:tcW w:w="0" w:type="auto"/>
            <w:hideMark/>
          </w:tcPr>
          <w:p w14:paraId="69E14D60" w14:textId="77777777" w:rsidR="00F42F5E" w:rsidRPr="00F42F5E" w:rsidRDefault="00F42F5E" w:rsidP="00B02600">
            <w:pPr>
              <w:spacing w:line="259" w:lineRule="auto"/>
              <w:rPr>
                <w:rFonts w:cstheme="minorHAnsi"/>
              </w:rPr>
            </w:pPr>
            <w:r w:rsidRPr="00F42F5E">
              <w:rPr>
                <w:rFonts w:cstheme="minorHAnsi"/>
              </w:rPr>
              <w:t>Social Functioning</w:t>
            </w:r>
          </w:p>
        </w:tc>
        <w:tc>
          <w:tcPr>
            <w:tcW w:w="0" w:type="auto"/>
            <w:hideMark/>
          </w:tcPr>
          <w:p w14:paraId="036252F1" w14:textId="77777777" w:rsidR="00F42F5E" w:rsidRPr="00F42F5E" w:rsidRDefault="00F42F5E" w:rsidP="00B02600">
            <w:pPr>
              <w:spacing w:line="259" w:lineRule="auto"/>
              <w:rPr>
                <w:rFonts w:cstheme="minorHAnsi"/>
              </w:rPr>
            </w:pPr>
            <w:r w:rsidRPr="00F42F5E">
              <w:rPr>
                <w:rFonts w:cstheme="minorHAnsi"/>
              </w:rPr>
              <w:t>88.3 ± 21.6</w:t>
            </w:r>
          </w:p>
        </w:tc>
        <w:tc>
          <w:tcPr>
            <w:tcW w:w="0" w:type="auto"/>
            <w:hideMark/>
          </w:tcPr>
          <w:p w14:paraId="6E148CB6" w14:textId="77777777" w:rsidR="00F42F5E" w:rsidRPr="00F42F5E" w:rsidRDefault="00F42F5E" w:rsidP="00B02600">
            <w:pPr>
              <w:spacing w:line="259" w:lineRule="auto"/>
              <w:rPr>
                <w:rFonts w:cstheme="minorHAnsi"/>
              </w:rPr>
            </w:pPr>
            <w:r w:rsidRPr="00F42F5E">
              <w:rPr>
                <w:rFonts w:cstheme="minorHAnsi"/>
              </w:rPr>
              <w:t>90.2 ± 18.8</w:t>
            </w:r>
          </w:p>
        </w:tc>
        <w:tc>
          <w:tcPr>
            <w:tcW w:w="0" w:type="auto"/>
            <w:hideMark/>
          </w:tcPr>
          <w:p w14:paraId="256725EB" w14:textId="77777777" w:rsidR="00F42F5E" w:rsidRPr="00F42F5E" w:rsidRDefault="00F42F5E" w:rsidP="00B02600">
            <w:pPr>
              <w:spacing w:line="259" w:lineRule="auto"/>
              <w:rPr>
                <w:rFonts w:cstheme="minorHAnsi"/>
              </w:rPr>
            </w:pPr>
            <w:r w:rsidRPr="00F42F5E">
              <w:rPr>
                <w:rFonts w:cstheme="minorHAnsi"/>
              </w:rPr>
              <w:t>0.61</w:t>
            </w:r>
          </w:p>
        </w:tc>
      </w:tr>
      <w:tr w:rsidR="00F42F5E" w:rsidRPr="00F42F5E" w14:paraId="0FC195D9" w14:textId="77777777" w:rsidTr="00B02600">
        <w:tc>
          <w:tcPr>
            <w:tcW w:w="0" w:type="auto"/>
            <w:hideMark/>
          </w:tcPr>
          <w:p w14:paraId="3A89C3E1" w14:textId="77777777" w:rsidR="00F42F5E" w:rsidRPr="00F42F5E" w:rsidRDefault="00F42F5E" w:rsidP="00B02600">
            <w:pPr>
              <w:spacing w:line="259" w:lineRule="auto"/>
              <w:rPr>
                <w:rFonts w:cstheme="minorHAnsi"/>
              </w:rPr>
            </w:pPr>
            <w:r w:rsidRPr="00F42F5E">
              <w:rPr>
                <w:rFonts w:cstheme="minorHAnsi"/>
              </w:rPr>
              <w:t>Role Functioning-Emotional</w:t>
            </w:r>
          </w:p>
        </w:tc>
        <w:tc>
          <w:tcPr>
            <w:tcW w:w="0" w:type="auto"/>
            <w:hideMark/>
          </w:tcPr>
          <w:p w14:paraId="522C6AD3" w14:textId="77777777" w:rsidR="00F42F5E" w:rsidRPr="00F42F5E" w:rsidRDefault="00F42F5E" w:rsidP="00B02600">
            <w:pPr>
              <w:spacing w:line="259" w:lineRule="auto"/>
              <w:rPr>
                <w:rFonts w:cstheme="minorHAnsi"/>
              </w:rPr>
            </w:pPr>
            <w:r w:rsidRPr="00F42F5E">
              <w:rPr>
                <w:rFonts w:cstheme="minorHAnsi"/>
              </w:rPr>
              <w:t>85.4 ± 34.4</w:t>
            </w:r>
          </w:p>
        </w:tc>
        <w:tc>
          <w:tcPr>
            <w:tcW w:w="0" w:type="auto"/>
            <w:hideMark/>
          </w:tcPr>
          <w:p w14:paraId="0D0B0F06" w14:textId="77777777" w:rsidR="00F42F5E" w:rsidRPr="00F42F5E" w:rsidRDefault="00F42F5E" w:rsidP="00B02600">
            <w:pPr>
              <w:spacing w:line="259" w:lineRule="auto"/>
              <w:rPr>
                <w:rFonts w:cstheme="minorHAnsi"/>
              </w:rPr>
            </w:pPr>
            <w:r w:rsidRPr="00F42F5E">
              <w:rPr>
                <w:rFonts w:cstheme="minorHAnsi"/>
              </w:rPr>
              <w:t>87.0 ± 28.0</w:t>
            </w:r>
          </w:p>
        </w:tc>
        <w:tc>
          <w:tcPr>
            <w:tcW w:w="0" w:type="auto"/>
            <w:hideMark/>
          </w:tcPr>
          <w:p w14:paraId="7C4C2202" w14:textId="77777777" w:rsidR="00F42F5E" w:rsidRPr="00F42F5E" w:rsidRDefault="00F42F5E" w:rsidP="00B02600">
            <w:pPr>
              <w:spacing w:line="259" w:lineRule="auto"/>
              <w:rPr>
                <w:rFonts w:cstheme="minorHAnsi"/>
              </w:rPr>
            </w:pPr>
            <w:r w:rsidRPr="00F42F5E">
              <w:rPr>
                <w:rFonts w:cstheme="minorHAnsi"/>
              </w:rPr>
              <w:t>0.94</w:t>
            </w:r>
          </w:p>
        </w:tc>
      </w:tr>
      <w:tr w:rsidR="00F42F5E" w:rsidRPr="00F42F5E" w14:paraId="198B880B" w14:textId="77777777" w:rsidTr="00B02600">
        <w:tc>
          <w:tcPr>
            <w:tcW w:w="0" w:type="auto"/>
            <w:hideMark/>
          </w:tcPr>
          <w:p w14:paraId="109E67B2" w14:textId="77777777" w:rsidR="00F42F5E" w:rsidRPr="00F42F5E" w:rsidRDefault="00F42F5E" w:rsidP="00B02600">
            <w:pPr>
              <w:spacing w:line="259" w:lineRule="auto"/>
              <w:rPr>
                <w:rFonts w:cstheme="minorHAnsi"/>
              </w:rPr>
            </w:pPr>
            <w:r w:rsidRPr="00F42F5E">
              <w:rPr>
                <w:rFonts w:cstheme="minorHAnsi"/>
              </w:rPr>
              <w:t>Mental Health</w:t>
            </w:r>
          </w:p>
        </w:tc>
        <w:tc>
          <w:tcPr>
            <w:tcW w:w="0" w:type="auto"/>
            <w:hideMark/>
          </w:tcPr>
          <w:p w14:paraId="27FCE48B" w14:textId="77777777" w:rsidR="00F42F5E" w:rsidRPr="00F42F5E" w:rsidRDefault="00F42F5E" w:rsidP="00B02600">
            <w:pPr>
              <w:spacing w:line="259" w:lineRule="auto"/>
              <w:rPr>
                <w:rFonts w:cstheme="minorHAnsi"/>
              </w:rPr>
            </w:pPr>
            <w:r w:rsidRPr="00F42F5E">
              <w:rPr>
                <w:rFonts w:cstheme="minorHAnsi"/>
              </w:rPr>
              <w:t>75.3 ± 22.4</w:t>
            </w:r>
          </w:p>
        </w:tc>
        <w:tc>
          <w:tcPr>
            <w:tcW w:w="0" w:type="auto"/>
            <w:hideMark/>
          </w:tcPr>
          <w:p w14:paraId="2BD869E9" w14:textId="77777777" w:rsidR="00F42F5E" w:rsidRPr="00F42F5E" w:rsidRDefault="00F42F5E" w:rsidP="00B02600">
            <w:pPr>
              <w:spacing w:line="259" w:lineRule="auto"/>
              <w:rPr>
                <w:rFonts w:cstheme="minorHAnsi"/>
              </w:rPr>
            </w:pPr>
            <w:r w:rsidRPr="00F42F5E">
              <w:rPr>
                <w:rFonts w:cstheme="minorHAnsi"/>
              </w:rPr>
              <w:t>77.6 ± 16.1</w:t>
            </w:r>
          </w:p>
        </w:tc>
        <w:tc>
          <w:tcPr>
            <w:tcW w:w="0" w:type="auto"/>
            <w:hideMark/>
          </w:tcPr>
          <w:p w14:paraId="2863D913" w14:textId="77777777" w:rsidR="00F42F5E" w:rsidRPr="00F42F5E" w:rsidRDefault="00F42F5E" w:rsidP="00B02600">
            <w:pPr>
              <w:spacing w:line="259" w:lineRule="auto"/>
              <w:rPr>
                <w:rFonts w:cstheme="minorHAnsi"/>
              </w:rPr>
            </w:pPr>
            <w:r w:rsidRPr="00F42F5E">
              <w:rPr>
                <w:rFonts w:cstheme="minorHAnsi"/>
              </w:rPr>
              <w:t>0.91</w:t>
            </w:r>
          </w:p>
        </w:tc>
      </w:tr>
    </w:tbl>
    <w:p w14:paraId="18EED52E" w14:textId="77777777" w:rsidR="00F42F5E" w:rsidRPr="00F42F5E" w:rsidRDefault="00F42F5E" w:rsidP="00F42F5E">
      <w:pPr>
        <w:rPr>
          <w:rFonts w:cstheme="minorHAnsi"/>
        </w:rPr>
      </w:pPr>
      <w:r w:rsidRPr="00F42F5E">
        <w:rPr>
          <w:rFonts w:cstheme="minorHAnsi"/>
        </w:rPr>
        <w:t>Values are scaled to a 100-point scale.</w:t>
      </w:r>
    </w:p>
    <w:p w14:paraId="5872EE95" w14:textId="77777777" w:rsidR="00F42F5E" w:rsidRPr="00950E7A" w:rsidRDefault="00F42F5E" w:rsidP="00950E7A">
      <w:pPr>
        <w:rPr>
          <w:rFonts w:cstheme="minorHAnsi"/>
        </w:rPr>
      </w:pPr>
    </w:p>
    <w:p w14:paraId="28E8D1BC" w14:textId="7C6DFF0F" w:rsidR="00950E7A" w:rsidRPr="00950E7A" w:rsidRDefault="00950E7A" w:rsidP="00950E7A">
      <w:pPr>
        <w:rPr>
          <w:rFonts w:cstheme="minorHAnsi"/>
        </w:rPr>
      </w:pPr>
    </w:p>
    <w:p w14:paraId="7C785F9B" w14:textId="77777777" w:rsidR="00950E7A" w:rsidRPr="00950E7A" w:rsidRDefault="00950E7A" w:rsidP="000877DA">
      <w:pPr>
        <w:pStyle w:val="Heading2"/>
      </w:pPr>
      <w:r w:rsidRPr="00950E7A">
        <w:t>Temporal-spatial parameters</w:t>
      </w:r>
    </w:p>
    <w:p w14:paraId="30F8A65C" w14:textId="0787CBEF" w:rsidR="00950E7A" w:rsidRPr="00950E7A" w:rsidRDefault="00950E7A" w:rsidP="00950E7A">
      <w:pPr>
        <w:rPr>
          <w:rFonts w:cstheme="minorHAnsi"/>
        </w:rPr>
      </w:pPr>
      <w:r w:rsidRPr="00950E7A">
        <w:rPr>
          <w:rFonts w:cstheme="minorHAnsi"/>
        </w:rPr>
        <w:t>Preoperatively, persons with hallux valgus demonstrated significantly slower walking speed (</w:t>
      </w:r>
      <w:r w:rsidRPr="00950E7A">
        <w:rPr>
          <w:rFonts w:cstheme="minorHAnsi"/>
          <w:i/>
          <w:iCs/>
        </w:rPr>
        <w:t>p</w:t>
      </w:r>
      <w:r w:rsidRPr="00950E7A">
        <w:rPr>
          <w:rFonts w:cstheme="minorHAnsi"/>
        </w:rPr>
        <w:t xml:space="preserve"> = 0.0004) and shorter stride length (</w:t>
      </w:r>
      <w:r w:rsidRPr="00950E7A">
        <w:rPr>
          <w:rFonts w:cstheme="minorHAnsi"/>
          <w:i/>
          <w:iCs/>
        </w:rPr>
        <w:t>p</w:t>
      </w:r>
      <w:r w:rsidRPr="00950E7A">
        <w:rPr>
          <w:rFonts w:cstheme="minorHAnsi"/>
        </w:rPr>
        <w:t xml:space="preserve"> &lt; 0.0001), with significantly prolonged stance (</w:t>
      </w:r>
      <w:r w:rsidRPr="00950E7A">
        <w:rPr>
          <w:rFonts w:cstheme="minorHAnsi"/>
          <w:i/>
          <w:iCs/>
        </w:rPr>
        <w:t>p</w:t>
      </w:r>
      <w:r w:rsidRPr="00950E7A">
        <w:rPr>
          <w:rFonts w:cstheme="minorHAnsi"/>
        </w:rPr>
        <w:t xml:space="preserve"> = 0.0154) when compared to the normal population (</w:t>
      </w:r>
      <w:r w:rsidRPr="00B02600">
        <w:rPr>
          <w:rFonts w:cstheme="minorHAnsi"/>
        </w:rPr>
        <w:t>Table 2</w:t>
      </w:r>
      <w:r w:rsidRPr="00950E7A">
        <w:rPr>
          <w:rFonts w:cstheme="minorHAnsi"/>
        </w:rPr>
        <w:t>). After surgery, no statistical differences compared to the preoperative data were evident in temporal-spatial parameters. Correlation analysis with the Pearson coefficient did not demonstrate any significant relationship between followup time and postoperative change from the baseline condition. No correlations were greater than 0.515 and none achieved significance at the 1% level. Postoperative comparisons to the normal population showed that walking speed (</w:t>
      </w:r>
      <w:r w:rsidRPr="00950E7A">
        <w:rPr>
          <w:rFonts w:cstheme="minorHAnsi"/>
          <w:i/>
          <w:iCs/>
        </w:rPr>
        <w:t>p</w:t>
      </w:r>
      <w:r w:rsidRPr="00950E7A">
        <w:rPr>
          <w:rFonts w:cstheme="minorHAnsi"/>
        </w:rPr>
        <w:t xml:space="preserve"> = 0.0046) and stride length (</w:t>
      </w:r>
      <w:r w:rsidRPr="00950E7A">
        <w:rPr>
          <w:rFonts w:cstheme="minorHAnsi"/>
          <w:i/>
          <w:iCs/>
        </w:rPr>
        <w:t>p</w:t>
      </w:r>
      <w:r w:rsidRPr="00950E7A">
        <w:rPr>
          <w:rFonts w:cstheme="minorHAnsi"/>
        </w:rPr>
        <w:t xml:space="preserve"> &lt; 0.0001) were smaller. Stance duration, however, was not significantly different (</w:t>
      </w:r>
      <w:r w:rsidRPr="00950E7A">
        <w:rPr>
          <w:rFonts w:cstheme="minorHAnsi"/>
          <w:i/>
          <w:iCs/>
        </w:rPr>
        <w:t>p</w:t>
      </w:r>
      <w:r w:rsidRPr="00950E7A">
        <w:rPr>
          <w:rFonts w:cstheme="minorHAnsi"/>
        </w:rPr>
        <w:t xml:space="preserve"> = 0.0745).</w:t>
      </w:r>
    </w:p>
    <w:p w14:paraId="3993CD18" w14:textId="77777777" w:rsidR="00950E7A" w:rsidRPr="0025027E" w:rsidRDefault="00950E7A" w:rsidP="0025027E">
      <w:pPr>
        <w:pStyle w:val="Heading2"/>
      </w:pPr>
      <w:r w:rsidRPr="0025027E">
        <w:t>Hallux kinematics</w:t>
      </w:r>
    </w:p>
    <w:p w14:paraId="762FE004" w14:textId="57D2B0AC" w:rsidR="00950E7A" w:rsidRPr="00950E7A" w:rsidRDefault="00950E7A" w:rsidP="00950E7A">
      <w:pPr>
        <w:rPr>
          <w:rFonts w:cstheme="minorHAnsi"/>
        </w:rPr>
      </w:pPr>
      <w:r w:rsidRPr="00950E7A">
        <w:rPr>
          <w:rFonts w:cstheme="minorHAnsi"/>
        </w:rPr>
        <w:t>Hallux kinematics were calculated relative to the forefoot. Preoperatively, compared to the normative data, hallux position was in valgus (</w:t>
      </w:r>
      <w:r w:rsidRPr="00950E7A">
        <w:rPr>
          <w:rFonts w:cstheme="minorHAnsi"/>
          <w:i/>
          <w:iCs/>
        </w:rPr>
        <w:t>p</w:t>
      </w:r>
      <w:r w:rsidRPr="00950E7A">
        <w:rPr>
          <w:rFonts w:cstheme="minorHAnsi"/>
        </w:rPr>
        <w:t xml:space="preserve"> &lt; 0.0001) throughout the gait cycle (</w:t>
      </w:r>
      <w:r w:rsidRPr="00B02600">
        <w:rPr>
          <w:rFonts w:cstheme="minorHAnsi"/>
        </w:rPr>
        <w:t>Figure 1</w:t>
      </w:r>
      <w:r w:rsidRPr="00950E7A">
        <w:rPr>
          <w:rFonts w:cstheme="minorHAnsi"/>
        </w:rPr>
        <w:t>). Transverse ROM was significantly smaller from midswing through terminal stance (</w:t>
      </w:r>
      <w:r w:rsidRPr="00950E7A">
        <w:rPr>
          <w:rFonts w:cstheme="minorHAnsi"/>
          <w:i/>
          <w:iCs/>
        </w:rPr>
        <w:t>p</w:t>
      </w:r>
      <w:r w:rsidRPr="00950E7A">
        <w:rPr>
          <w:rFonts w:cstheme="minorHAnsi"/>
        </w:rPr>
        <w:t xml:space="preserve"> ≤ 0.0008). Sagittal range was also significantly smaller from terminal swing through midstance (</w:t>
      </w:r>
      <w:r w:rsidRPr="00950E7A">
        <w:rPr>
          <w:rFonts w:cstheme="minorHAnsi"/>
          <w:i/>
          <w:iCs/>
        </w:rPr>
        <w:t>p</w:t>
      </w:r>
      <w:r w:rsidRPr="00950E7A">
        <w:rPr>
          <w:rFonts w:cstheme="minorHAnsi"/>
        </w:rPr>
        <w:t xml:space="preserve"> ≤ 0.0011). In the coronal plane, maximum hallux pronation during preswing was significantly greater (</w:t>
      </w:r>
      <w:r w:rsidRPr="00950E7A">
        <w:rPr>
          <w:rFonts w:cstheme="minorHAnsi"/>
          <w:i/>
          <w:iCs/>
        </w:rPr>
        <w:t>p</w:t>
      </w:r>
      <w:r w:rsidRPr="00950E7A">
        <w:rPr>
          <w:rFonts w:cstheme="minorHAnsi"/>
        </w:rPr>
        <w:t xml:space="preserve"> ≤ 0.0007). Hallux position at terminal swing was significantly more supinated (</w:t>
      </w:r>
      <w:r w:rsidRPr="00950E7A">
        <w:rPr>
          <w:rFonts w:cstheme="minorHAnsi"/>
          <w:i/>
          <w:iCs/>
        </w:rPr>
        <w:t>p</w:t>
      </w:r>
      <w:r w:rsidRPr="00950E7A">
        <w:rPr>
          <w:rFonts w:cstheme="minorHAnsi"/>
        </w:rPr>
        <w:t xml:space="preserve"> &lt; 0.0001). Coronal ROM was significantly increased from preswing to midswing (</w:t>
      </w:r>
      <w:r w:rsidRPr="00950E7A">
        <w:rPr>
          <w:rFonts w:cstheme="minorHAnsi"/>
          <w:i/>
          <w:iCs/>
        </w:rPr>
        <w:t>p</w:t>
      </w:r>
      <w:r w:rsidRPr="00950E7A">
        <w:rPr>
          <w:rFonts w:cstheme="minorHAnsi"/>
        </w:rPr>
        <w:t xml:space="preserve"> ≤ 0.0003). Postoperatively, compared to preoperative values, hallux valgus position significantly shifted toward normal (</w:t>
      </w:r>
      <w:r w:rsidRPr="00950E7A">
        <w:rPr>
          <w:rFonts w:cstheme="minorHAnsi"/>
          <w:i/>
          <w:iCs/>
        </w:rPr>
        <w:t>p</w:t>
      </w:r>
      <w:r w:rsidRPr="00950E7A">
        <w:rPr>
          <w:rFonts w:cstheme="minorHAnsi"/>
        </w:rPr>
        <w:t xml:space="preserve"> ≤ 0.0001). Excessive hallux pronation and supination in the coronal plane also shifted toward normal values (</w:t>
      </w:r>
      <w:r w:rsidRPr="00950E7A">
        <w:rPr>
          <w:rFonts w:cstheme="minorHAnsi"/>
          <w:i/>
          <w:iCs/>
        </w:rPr>
        <w:t>p</w:t>
      </w:r>
      <w:r w:rsidRPr="00950E7A">
        <w:rPr>
          <w:rFonts w:cstheme="minorHAnsi"/>
        </w:rPr>
        <w:t>≤ 0.0011) as did coronal ROM (</w:t>
      </w:r>
      <w:r w:rsidRPr="00950E7A">
        <w:rPr>
          <w:rFonts w:cstheme="minorHAnsi"/>
          <w:i/>
          <w:iCs/>
        </w:rPr>
        <w:t>p</w:t>
      </w:r>
      <w:r w:rsidRPr="00950E7A">
        <w:rPr>
          <w:rFonts w:cstheme="minorHAnsi"/>
        </w:rPr>
        <w:t xml:space="preserve"> ≤ 0.0002). Compared to normative data, postoperative transverse (p ≤ 0.0011) and sagittal (</w:t>
      </w:r>
      <w:r w:rsidRPr="00950E7A">
        <w:rPr>
          <w:rFonts w:cstheme="minorHAnsi"/>
          <w:i/>
          <w:iCs/>
        </w:rPr>
        <w:t>p</w:t>
      </w:r>
      <w:r w:rsidRPr="00950E7A">
        <w:rPr>
          <w:rFonts w:cstheme="minorHAnsi"/>
        </w:rPr>
        <w:t xml:space="preserve"> ≤ 0.0003) ranges remained significantly smaller. Other postoperative measures were not significantly different from normal values.</w:t>
      </w:r>
    </w:p>
    <w:p w14:paraId="25B1F28A" w14:textId="3E332F33" w:rsidR="00950E7A" w:rsidRPr="00950E7A" w:rsidRDefault="00950E7A" w:rsidP="00B02600">
      <w:pPr>
        <w:pStyle w:val="NoSpacing"/>
      </w:pPr>
      <w:r w:rsidRPr="00950E7A">
        <w:rPr>
          <w:noProof/>
        </w:rPr>
        <w:drawing>
          <wp:inline distT="0" distB="0" distL="0" distR="0" wp14:anchorId="67FAF9C4" wp14:editId="28897B99">
            <wp:extent cx="2743200" cy="1865376"/>
            <wp:effectExtent l="0" t="0" r="0" b="1905"/>
            <wp:docPr id="4" name="Picture 4" descr="figure 1&#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36B25FFD" w14:textId="77777777" w:rsidR="00950E7A" w:rsidRDefault="00950E7A" w:rsidP="00B02600">
      <w:pPr>
        <w:pStyle w:val="NoSpacing"/>
      </w:pPr>
      <w:r w:rsidRPr="00950E7A">
        <w:t>Fig. 1: Upper: average hallux kinematics during complete gait cycle (HVpre versus HVpost versus Normals). Circles denote phases of gait cycle with significantly different minimum and maximum positions (HVpre versus HVpost). Lower: hallux ROM (average ± SD). Circles denote phases of gait cycle with significantly different ROMs (HVpre versus HVpost). Note: Hallux kinematics were calculated relative to forefoot.</w:t>
      </w:r>
    </w:p>
    <w:p w14:paraId="5C16E50E" w14:textId="77777777" w:rsidR="00B02600" w:rsidRPr="00950E7A" w:rsidRDefault="00B02600" w:rsidP="00950E7A">
      <w:pPr>
        <w:rPr>
          <w:rFonts w:cstheme="minorHAnsi"/>
        </w:rPr>
      </w:pPr>
    </w:p>
    <w:p w14:paraId="74194E2A" w14:textId="77777777" w:rsidR="00950E7A" w:rsidRPr="00950E7A" w:rsidRDefault="00950E7A" w:rsidP="0025027E">
      <w:pPr>
        <w:pStyle w:val="Heading2"/>
      </w:pPr>
      <w:r w:rsidRPr="00950E7A">
        <w:t>Forefoot kinematics</w:t>
      </w:r>
    </w:p>
    <w:p w14:paraId="09D8989F" w14:textId="1F0E8A56" w:rsidR="00950E7A" w:rsidRPr="00950E7A" w:rsidRDefault="00950E7A" w:rsidP="00950E7A">
      <w:pPr>
        <w:rPr>
          <w:rFonts w:cstheme="minorHAnsi"/>
        </w:rPr>
      </w:pPr>
      <w:r w:rsidRPr="00950E7A">
        <w:rPr>
          <w:rFonts w:cstheme="minorHAnsi"/>
        </w:rPr>
        <w:t>Forefoot kinematics were calculated relative to the hindfoot. Preoperatively, compared to normal data, significantly smaller forefoot varus was seen from terminal stance through initial swing (</w:t>
      </w:r>
      <w:r w:rsidRPr="00950E7A">
        <w:rPr>
          <w:rFonts w:cstheme="minorHAnsi"/>
          <w:i/>
          <w:iCs/>
        </w:rPr>
        <w:t>p</w:t>
      </w:r>
      <w:r w:rsidRPr="00950E7A">
        <w:rPr>
          <w:rFonts w:cstheme="minorHAnsi"/>
        </w:rPr>
        <w:t xml:space="preserve"> ≤ 0.0018) in the coronal plane (</w:t>
      </w:r>
      <w:r w:rsidRPr="00B02600">
        <w:rPr>
          <w:rFonts w:cstheme="minorHAnsi"/>
        </w:rPr>
        <w:t>Figure 2</w:t>
      </w:r>
      <w:r w:rsidRPr="00950E7A">
        <w:rPr>
          <w:rFonts w:cstheme="minorHAnsi"/>
        </w:rPr>
        <w:t>). Sagittal and transverse ROMs were significantly smaller from initial swing through midstance (</w:t>
      </w:r>
      <w:r w:rsidRPr="00950E7A">
        <w:rPr>
          <w:rFonts w:cstheme="minorHAnsi"/>
          <w:i/>
          <w:iCs/>
        </w:rPr>
        <w:t>p</w:t>
      </w:r>
      <w:r w:rsidRPr="00950E7A">
        <w:rPr>
          <w:rFonts w:cstheme="minorHAnsi"/>
        </w:rPr>
        <w:t xml:space="preserve"> ≤ 0.0004). Coronal range was smaller at midstance and midswing through terminal swing (</w:t>
      </w:r>
      <w:r w:rsidRPr="00950E7A">
        <w:rPr>
          <w:rFonts w:cstheme="minorHAnsi"/>
          <w:i/>
          <w:iCs/>
        </w:rPr>
        <w:t>p</w:t>
      </w:r>
      <w:r w:rsidRPr="00950E7A">
        <w:rPr>
          <w:rFonts w:cstheme="minorHAnsi"/>
        </w:rPr>
        <w:t xml:space="preserve"> = 0.0003). After surgery, there was no significant change in forefoot kinematics. Abnormalities in forefoot kinematics seen preoperatively remained postoperatively with respect to the normal population (</w:t>
      </w:r>
      <w:r w:rsidRPr="00950E7A">
        <w:rPr>
          <w:rFonts w:cstheme="minorHAnsi"/>
          <w:i/>
          <w:iCs/>
        </w:rPr>
        <w:t>p</w:t>
      </w:r>
      <w:r w:rsidRPr="00950E7A">
        <w:rPr>
          <w:rFonts w:cstheme="minorHAnsi"/>
        </w:rPr>
        <w:t xml:space="preserve"> &lt; 0.0019).</w:t>
      </w:r>
    </w:p>
    <w:p w14:paraId="5563CCE0" w14:textId="2115FC06" w:rsidR="00950E7A" w:rsidRPr="00950E7A" w:rsidRDefault="00950E7A" w:rsidP="00B02600">
      <w:pPr>
        <w:pStyle w:val="NoSpacing"/>
      </w:pPr>
      <w:r w:rsidRPr="00950E7A">
        <w:rPr>
          <w:noProof/>
        </w:rPr>
        <w:drawing>
          <wp:inline distT="0" distB="0" distL="0" distR="0" wp14:anchorId="224CB7A3" wp14:editId="65894317">
            <wp:extent cx="2743200" cy="1883664"/>
            <wp:effectExtent l="0" t="0" r="0" b="2540"/>
            <wp:docPr id="3" name="Picture 3" descr="figure 2">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2">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70B7814B" w14:textId="77777777" w:rsidR="00950E7A" w:rsidRDefault="00950E7A" w:rsidP="00B02600">
      <w:pPr>
        <w:pStyle w:val="NoSpacing"/>
      </w:pPr>
      <w:r w:rsidRPr="00950E7A">
        <w:t>Fig. 2: Upper: average forefoot kinematics during complete gait cycle (HVpre versus HVpost versus Normals). Circles denote phases of gait cycle with significantly different minimum and maximum positions (HVpre versus HVpost). Lower: forefoot ROM (average ± SD). Circles denote phases of gait cycle with significantly different ROMs (HVpre versus HVpost). Note: Forefoot kinematics were calculated relative to hindfoot.</w:t>
      </w:r>
    </w:p>
    <w:p w14:paraId="690E551E" w14:textId="77777777" w:rsidR="00B02600" w:rsidRPr="00950E7A" w:rsidRDefault="00B02600" w:rsidP="00950E7A">
      <w:pPr>
        <w:rPr>
          <w:rFonts w:cstheme="minorHAnsi"/>
        </w:rPr>
      </w:pPr>
    </w:p>
    <w:p w14:paraId="4AE804DE" w14:textId="77777777" w:rsidR="00950E7A" w:rsidRPr="00950E7A" w:rsidRDefault="00950E7A" w:rsidP="00FD7B7F">
      <w:pPr>
        <w:pStyle w:val="Heading2"/>
      </w:pPr>
      <w:r w:rsidRPr="00950E7A">
        <w:t>Hindfoot kinematics</w:t>
      </w:r>
    </w:p>
    <w:p w14:paraId="420FA4C5" w14:textId="530DA275" w:rsidR="00950E7A" w:rsidRPr="00950E7A" w:rsidRDefault="00950E7A" w:rsidP="00950E7A">
      <w:pPr>
        <w:rPr>
          <w:rFonts w:cstheme="minorHAnsi"/>
        </w:rPr>
      </w:pPr>
      <w:r w:rsidRPr="00950E7A">
        <w:rPr>
          <w:rFonts w:cstheme="minorHAnsi"/>
        </w:rPr>
        <w:t>Hindfoot kinematics were calculated relative to the tibia. Although not significantly different from the healthy ambulators, hindfoot position prior to surgery was inverted in 15 of 24 subjects (</w:t>
      </w:r>
      <w:r w:rsidRPr="00B02600">
        <w:rPr>
          <w:rFonts w:cstheme="minorHAnsi"/>
        </w:rPr>
        <w:t>Figure 3</w:t>
      </w:r>
      <w:r w:rsidRPr="00950E7A">
        <w:rPr>
          <w:rFonts w:cstheme="minorHAnsi"/>
        </w:rPr>
        <w:t>). After surgery, hindfoot position and ROM did not change significantly.</w:t>
      </w:r>
    </w:p>
    <w:p w14:paraId="6D30F786" w14:textId="1FFAEB89" w:rsidR="00950E7A" w:rsidRPr="00950E7A" w:rsidRDefault="00950E7A" w:rsidP="00B02600">
      <w:pPr>
        <w:pStyle w:val="NoSpacing"/>
      </w:pPr>
      <w:r w:rsidRPr="00950E7A">
        <w:rPr>
          <w:noProof/>
        </w:rPr>
        <w:drawing>
          <wp:inline distT="0" distB="0" distL="0" distR="0" wp14:anchorId="742D9D1D" wp14:editId="79E4EA11">
            <wp:extent cx="2743200" cy="1865376"/>
            <wp:effectExtent l="0" t="0" r="0" b="1905"/>
            <wp:docPr id="2" name="Picture 2" descr="figure 3">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3">
                      <a:hlinkClick r:id="rId10"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0A94C758" w14:textId="77777777" w:rsidR="00950E7A" w:rsidRDefault="00950E7A" w:rsidP="00B02600">
      <w:pPr>
        <w:pStyle w:val="NoSpacing"/>
      </w:pPr>
      <w:r w:rsidRPr="00950E7A">
        <w:t>Fig. 3: Upper: average hindfoot kinematics during complete gait cycle (HVpre versus HVpost versus Normals). Circles denote phases of gait cycle with significantly different minimum and maximum positions (HVpre versus HVpost). Lower: hindfoot ROM (average ± SD). Circles denote phases of gait cycle with significantly different ROMs (HVpre vs. HVpost). Note: Hindfoot kinematics were calculated relative to tibia.</w:t>
      </w:r>
    </w:p>
    <w:p w14:paraId="0A5778E8" w14:textId="77777777" w:rsidR="00B02600" w:rsidRPr="00950E7A" w:rsidRDefault="00B02600" w:rsidP="00950E7A">
      <w:pPr>
        <w:rPr>
          <w:rFonts w:cstheme="minorHAnsi"/>
        </w:rPr>
      </w:pPr>
    </w:p>
    <w:p w14:paraId="08B03198" w14:textId="77777777" w:rsidR="00950E7A" w:rsidRPr="00950E7A" w:rsidRDefault="00950E7A" w:rsidP="0038574F">
      <w:pPr>
        <w:pStyle w:val="Heading2"/>
      </w:pPr>
      <w:r w:rsidRPr="00950E7A">
        <w:t>Tibia Kinematics</w:t>
      </w:r>
    </w:p>
    <w:p w14:paraId="6A6B57A7" w14:textId="77777777" w:rsidR="00950E7A" w:rsidRPr="00950E7A" w:rsidRDefault="00950E7A" w:rsidP="00950E7A">
      <w:pPr>
        <w:rPr>
          <w:rFonts w:cstheme="minorHAnsi"/>
        </w:rPr>
      </w:pPr>
      <w:r w:rsidRPr="00950E7A">
        <w:rPr>
          <w:rFonts w:cstheme="minorHAnsi"/>
        </w:rPr>
        <w:t>Tibia kinematics were calculated relative to the laboratory global values. Preoperatively, there were significant ROM differences noted in various phases in three planes (</w:t>
      </w:r>
      <w:r w:rsidRPr="00950E7A">
        <w:rPr>
          <w:rFonts w:cstheme="minorHAnsi"/>
          <w:i/>
          <w:iCs/>
        </w:rPr>
        <w:t>p</w:t>
      </w:r>
      <w:r w:rsidRPr="00950E7A">
        <w:rPr>
          <w:rFonts w:cstheme="minorHAnsi"/>
        </w:rPr>
        <w:t xml:space="preserve"> ≤ 0.0014) with respect to the control group. No significant differences were observed in segment positions of the tibia.</w:t>
      </w:r>
    </w:p>
    <w:p w14:paraId="330E8DCA" w14:textId="1A73111B" w:rsidR="00950E7A" w:rsidRPr="00950E7A" w:rsidRDefault="00950E7A" w:rsidP="00950E7A">
      <w:pPr>
        <w:rPr>
          <w:rFonts w:cstheme="minorHAnsi"/>
        </w:rPr>
      </w:pPr>
      <w:r w:rsidRPr="00950E7A">
        <w:rPr>
          <w:rFonts w:cstheme="minorHAnsi"/>
        </w:rPr>
        <w:t>No significant changes were seen in tibia kinematics postoperatively (</w:t>
      </w:r>
      <w:r w:rsidRPr="00B02600">
        <w:rPr>
          <w:rFonts w:cstheme="minorHAnsi"/>
        </w:rPr>
        <w:t>Figure 4</w:t>
      </w:r>
      <w:r w:rsidRPr="00950E7A">
        <w:rPr>
          <w:rFonts w:cstheme="minorHAnsi"/>
        </w:rPr>
        <w:t>). Significant postoperative ROM differences were still noted with respect to the normal population (</w:t>
      </w:r>
      <w:r w:rsidRPr="00950E7A">
        <w:rPr>
          <w:rFonts w:cstheme="minorHAnsi"/>
          <w:i/>
          <w:iCs/>
        </w:rPr>
        <w:t>p</w:t>
      </w:r>
      <w:r w:rsidRPr="00950E7A">
        <w:rPr>
          <w:rFonts w:cstheme="minorHAnsi"/>
        </w:rPr>
        <w:t xml:space="preserve"> &lt; 0.0017).</w:t>
      </w:r>
    </w:p>
    <w:p w14:paraId="50625C58" w14:textId="052858CC" w:rsidR="00950E7A" w:rsidRPr="00950E7A" w:rsidRDefault="00950E7A" w:rsidP="00B02600">
      <w:pPr>
        <w:pStyle w:val="NoSpacing"/>
      </w:pPr>
      <w:r w:rsidRPr="00950E7A">
        <w:rPr>
          <w:noProof/>
        </w:rPr>
        <w:drawing>
          <wp:inline distT="0" distB="0" distL="0" distR="0" wp14:anchorId="14F14485" wp14:editId="07B1B0A7">
            <wp:extent cx="2743200" cy="1883664"/>
            <wp:effectExtent l="0" t="0" r="0" b="2540"/>
            <wp:docPr id="1" name="Picture 1" descr="figure 4&#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4&#10;                    ">
                      <a:hlinkClick r:id="rId10" tooltip="&quot;Open Figure Viewer&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687D6D44" w14:textId="77777777" w:rsidR="00950E7A" w:rsidRDefault="00950E7A" w:rsidP="00B02600">
      <w:pPr>
        <w:pStyle w:val="NoSpacing"/>
      </w:pPr>
      <w:r w:rsidRPr="00950E7A">
        <w:t>Fig. 4: Upper: average tibia kinematics during complete gait cycle (HVpre versus HVpost versus Normals). Circles denote phases of gait cycle with significantly different minimum and maximum positions (HVpre versus HVpost). Lower: tibia ROM (average ± SD). Circles denote phases of gait cycle with significantly different ROMs (HVpre versus HVpost). Note: Tibia kinematics were calculated relative to laboratory global.</w:t>
      </w:r>
    </w:p>
    <w:p w14:paraId="1CF8468B" w14:textId="77777777" w:rsidR="00B02600" w:rsidRPr="00950E7A" w:rsidRDefault="00B02600" w:rsidP="00950E7A">
      <w:pPr>
        <w:rPr>
          <w:rFonts w:cstheme="minorHAnsi"/>
        </w:rPr>
      </w:pPr>
    </w:p>
    <w:p w14:paraId="2ED5A69E" w14:textId="77777777" w:rsidR="00950E7A" w:rsidRPr="00950E7A" w:rsidRDefault="00950E7A" w:rsidP="0038574F">
      <w:pPr>
        <w:pStyle w:val="Heading1"/>
      </w:pPr>
      <w:bookmarkStart w:id="6" w:name="_i18"/>
      <w:bookmarkEnd w:id="6"/>
      <w:r w:rsidRPr="00950E7A">
        <w:t>DISCUSSION</w:t>
      </w:r>
    </w:p>
    <w:p w14:paraId="5565B7DD" w14:textId="342761C3" w:rsidR="00950E7A" w:rsidRPr="00950E7A" w:rsidRDefault="00950E7A" w:rsidP="00950E7A">
      <w:pPr>
        <w:rPr>
          <w:rFonts w:cstheme="minorHAnsi"/>
        </w:rPr>
      </w:pPr>
      <w:r w:rsidRPr="00950E7A">
        <w:rPr>
          <w:rFonts w:cstheme="minorHAnsi"/>
        </w:rPr>
        <w:t>Preoperative findings of our current study were consistent with biomechanical dysfunction and impairment as noted by Shereff.</w:t>
      </w:r>
      <w:r w:rsidRPr="00B02600">
        <w:rPr>
          <w:rFonts w:cstheme="minorHAnsi"/>
          <w:vertAlign w:val="superscript"/>
        </w:rPr>
        <w:t>21</w:t>
      </w:r>
      <w:r w:rsidRPr="00950E7A">
        <w:rPr>
          <w:rFonts w:cstheme="minorHAnsi"/>
        </w:rPr>
        <w:t xml:space="preserve"> Postoperative findings indicated better foot geometry and improved patient-reported function after surgery. Kinematics demonstrated that hallux position was restored to normal. Significant postoperative improvements were also seen in HVA and IMA. Outcomes analysis showed significant increase in performance of physical activities. These findings point to significant improvements in radiographic alignment, functional outcomes (SF-36), and hallux kinematics.</w:t>
      </w:r>
    </w:p>
    <w:p w14:paraId="3A4B8987" w14:textId="35E7C8D2" w:rsidR="00950E7A" w:rsidRPr="00950E7A" w:rsidRDefault="00950E7A" w:rsidP="00950E7A">
      <w:pPr>
        <w:rPr>
          <w:rFonts w:cstheme="minorHAnsi"/>
        </w:rPr>
      </w:pPr>
      <w:r w:rsidRPr="00950E7A">
        <w:rPr>
          <w:rFonts w:cstheme="minorHAnsi"/>
        </w:rPr>
        <w:t xml:space="preserve">Postoperative results from this study suggest that although operative correction of hallux valgus did result in a more anatomically normal foot, reduced hallux motion, and improved overall function, it did not appear to restore normal gait. The more proximal segments did not demonstrate significant improvements in either ROM or position. While this lack of significant change does not indicate statistical equivalence, it does provide useful insight and a potential area for future study. Alternatively, the existing data set was reviewed using a post-hoc power analysis to determine the sample sizes necessary to detect a 10% difference in parameter values while rejecting the hypothesis of no difference with 80% power and alpha = 0.05. Power calculations were based on the paired t-test with 5% inflation on the sample size for the use of its nonparametric alternative. Population sizes of </w:t>
      </w:r>
      <w:r w:rsidRPr="00950E7A">
        <w:rPr>
          <w:rFonts w:cstheme="minorHAnsi"/>
          <w:i/>
          <w:iCs/>
        </w:rPr>
        <w:t>n</w:t>
      </w:r>
      <w:r w:rsidRPr="00950E7A">
        <w:rPr>
          <w:rFonts w:cstheme="minorHAnsi"/>
        </w:rPr>
        <w:t xml:space="preserve"> = 76 to </w:t>
      </w:r>
      <w:r w:rsidRPr="00950E7A">
        <w:rPr>
          <w:rFonts w:cstheme="minorHAnsi"/>
          <w:i/>
          <w:iCs/>
        </w:rPr>
        <w:t>n</w:t>
      </w:r>
      <w:r w:rsidRPr="00950E7A">
        <w:rPr>
          <w:rFonts w:cstheme="minorHAnsi"/>
        </w:rPr>
        <w:t xml:space="preserve"> = 5480 would be required to reject the null hypothesis of no difference. The variation in population size ranges from a minimum of 76 for hindfoot, coronal plane, midstance ROM to a maximum of 5480 for forefoot coronal plane, preswing ROM. Other comparisons lie between these population sizes. In future studies, presence of other proximal anatomic or kinematic abnormalities, which may be involved in the pathogenesis of hallux valgus, must be investigated as well.</w:t>
      </w:r>
      <w:r w:rsidRPr="00B02600">
        <w:rPr>
          <w:rFonts w:cstheme="minorHAnsi"/>
          <w:vertAlign w:val="superscript"/>
        </w:rPr>
        <w:t>6</w:t>
      </w:r>
      <w:r w:rsidRPr="00950E7A">
        <w:rPr>
          <w:rFonts w:cstheme="minorHAnsi"/>
        </w:rPr>
        <w:t xml:space="preserve"> A combined lower extremity and foot model motion analysis would be useful to investigate such kinematic abnormalities. Investigation of such changes may provide insight to possible reasons why statistical changes in proximal kinematics were not identified.</w:t>
      </w:r>
    </w:p>
    <w:p w14:paraId="7EE7DDA0" w14:textId="7D6FB48A" w:rsidR="00950E7A" w:rsidRPr="00950E7A" w:rsidRDefault="00950E7A" w:rsidP="00950E7A">
      <w:pPr>
        <w:rPr>
          <w:rFonts w:cstheme="minorHAnsi"/>
        </w:rPr>
      </w:pPr>
      <w:r w:rsidRPr="00950E7A">
        <w:rPr>
          <w:rFonts w:cstheme="minorHAnsi"/>
        </w:rPr>
        <w:t>Patients who undergo corrective osteotomy for hallux valgus may exhibit some shortening of the first ray postoperatively. This is especially true for older patients who exhibit joint stiffness in which some shortening is required to improve range of motion. An osteotomy which produces shortening of the metatarsal or dorsiflexion translation (metatarsal elevation) while correcting these deformities will change the biomechanics of the forefoot and the function of the first ray.</w:t>
      </w:r>
      <w:r w:rsidRPr="00B02600">
        <w:rPr>
          <w:rFonts w:cstheme="minorHAnsi"/>
          <w:vertAlign w:val="superscript"/>
        </w:rPr>
        <w:t>22</w:t>
      </w:r>
      <w:r w:rsidRPr="00950E7A">
        <w:rPr>
          <w:rFonts w:cstheme="minorHAnsi"/>
        </w:rPr>
        <w:t xml:space="preserve"> In these cases, weight is not transferred to the first metatarsal head during ambulation because of its reduced length, and the stress of push-off is transferred to the longer second and lateral metatarsals during the third rocker of gait.</w:t>
      </w:r>
      <w:r w:rsidRPr="00B02600">
        <w:rPr>
          <w:rFonts w:cstheme="minorHAnsi"/>
          <w:vertAlign w:val="superscript"/>
        </w:rPr>
        <w:t>15</w:t>
      </w:r>
      <w:r w:rsidRPr="00950E7A">
        <w:rPr>
          <w:rFonts w:cstheme="minorHAnsi"/>
          <w:vertAlign w:val="superscript"/>
        </w:rPr>
        <w:t>,</w:t>
      </w:r>
      <w:r w:rsidRPr="00B02600">
        <w:rPr>
          <w:rFonts w:cstheme="minorHAnsi"/>
          <w:vertAlign w:val="superscript"/>
        </w:rPr>
        <w:t>16</w:t>
      </w:r>
      <w:r w:rsidRPr="00950E7A">
        <w:rPr>
          <w:rFonts w:cstheme="minorHAnsi"/>
        </w:rPr>
        <w:t xml:space="preserve"> Our postoperative findings of continued dorsiflexion and valgus shifting of the forefoot during plantar loading, as well as internal tibial rotation throughout the gait cycle, are consistent with lateral plantar loading. Hallux valgus surgery may also result in metatarsal elevation, which may exhibit the same gait alteration.</w:t>
      </w:r>
      <w:r w:rsidRPr="00B02600">
        <w:rPr>
          <w:rFonts w:cstheme="minorHAnsi"/>
          <w:vertAlign w:val="superscript"/>
        </w:rPr>
        <w:t>7</w:t>
      </w:r>
      <w:r w:rsidRPr="00950E7A">
        <w:rPr>
          <w:rFonts w:cstheme="minorHAnsi"/>
          <w:vertAlign w:val="superscript"/>
        </w:rPr>
        <w:t>,</w:t>
      </w:r>
      <w:r w:rsidRPr="00B02600">
        <w:rPr>
          <w:rFonts w:cstheme="minorHAnsi"/>
          <w:vertAlign w:val="superscript"/>
        </w:rPr>
        <w:t>22</w:t>
      </w:r>
      <w:r w:rsidRPr="00950E7A">
        <w:rPr>
          <w:rFonts w:cstheme="minorHAnsi"/>
        </w:rPr>
        <w:t xml:space="preserve"> In the current study, the measured change in metatarsal length was </w:t>
      </w:r>
      <w:proofErr w:type="gramStart"/>
      <w:r w:rsidRPr="00950E7A">
        <w:rPr>
          <w:rFonts w:cstheme="minorHAnsi"/>
        </w:rPr>
        <w:t>fairly small</w:t>
      </w:r>
      <w:proofErr w:type="gramEnd"/>
      <w:r w:rsidRPr="00950E7A">
        <w:rPr>
          <w:rFonts w:cstheme="minorHAnsi"/>
        </w:rPr>
        <w:t xml:space="preserve"> and the clinical significance of this change is unclear.</w:t>
      </w:r>
    </w:p>
    <w:p w14:paraId="202E3E4F" w14:textId="4C063836" w:rsidR="00950E7A" w:rsidRPr="00950E7A" w:rsidRDefault="00950E7A" w:rsidP="00950E7A">
      <w:pPr>
        <w:rPr>
          <w:rFonts w:cstheme="minorHAnsi"/>
        </w:rPr>
      </w:pPr>
      <w:r w:rsidRPr="00950E7A">
        <w:rPr>
          <w:rFonts w:cstheme="minorHAnsi"/>
        </w:rPr>
        <w:t>Over a long period of time, soft tissue imbalance also occurs across the first MTP joint in hallux valgus.</w:t>
      </w:r>
      <w:r w:rsidRPr="00B02600">
        <w:rPr>
          <w:rFonts w:cstheme="minorHAnsi"/>
          <w:vertAlign w:val="superscript"/>
        </w:rPr>
        <w:t>8</w:t>
      </w:r>
      <w:r w:rsidRPr="00950E7A">
        <w:rPr>
          <w:rFonts w:cstheme="minorHAnsi"/>
        </w:rPr>
        <w:t xml:space="preserve"> There are </w:t>
      </w:r>
      <w:proofErr w:type="gramStart"/>
      <w:r w:rsidRPr="00950E7A">
        <w:rPr>
          <w:rFonts w:cstheme="minorHAnsi"/>
        </w:rPr>
        <w:t>a number of</w:t>
      </w:r>
      <w:proofErr w:type="gramEnd"/>
      <w:r w:rsidRPr="00950E7A">
        <w:rPr>
          <w:rFonts w:cstheme="minorHAnsi"/>
        </w:rPr>
        <w:t xml:space="preserve"> musculotendinous units that function across the MTP joint, and the mechanics of their functional restoration following surgery have not been thoroughly described in the literature. Saltzman et al. investigated the major flexor moment arm of the first metatarsophalangeal joint in a cadaver model.</w:t>
      </w:r>
      <w:r w:rsidRPr="00B02600">
        <w:rPr>
          <w:rFonts w:cstheme="minorHAnsi"/>
          <w:vertAlign w:val="superscript"/>
        </w:rPr>
        <w:t>19</w:t>
      </w:r>
      <w:r w:rsidRPr="00950E7A">
        <w:rPr>
          <w:rFonts w:cstheme="minorHAnsi"/>
        </w:rPr>
        <w:t xml:space="preserve"> They demonstrated that neither translational osteotomies nor supinatory rotations of the first metatarsal had any appreciable effect on the altered flexor moment arms in hallux valgus. They also noted that although the standard distal metatarsal osteotomy procedures used in hallux valgus surgery may address foot deformity, they appear to have no beneficial effect in terms of restoring normal function to the flexor apparatus of the hallux.</w:t>
      </w:r>
    </w:p>
    <w:p w14:paraId="291927DB" w14:textId="1A5095B7" w:rsidR="00950E7A" w:rsidRPr="00950E7A" w:rsidRDefault="00950E7A" w:rsidP="00950E7A">
      <w:pPr>
        <w:rPr>
          <w:rFonts w:cstheme="minorHAnsi"/>
        </w:rPr>
      </w:pPr>
      <w:r w:rsidRPr="00950E7A">
        <w:rPr>
          <w:rFonts w:cstheme="minorHAnsi"/>
        </w:rPr>
        <w:t>Further understanding of the biomechanical deficiencies will require measures of internal joint forces and moments within the various joints of the foot.</w:t>
      </w:r>
      <w:r w:rsidRPr="00B02600">
        <w:rPr>
          <w:rFonts w:cstheme="minorHAnsi"/>
          <w:vertAlign w:val="superscript"/>
        </w:rPr>
        <w:t>4</w:t>
      </w:r>
      <w:r w:rsidRPr="00950E7A">
        <w:rPr>
          <w:rFonts w:cstheme="minorHAnsi"/>
          <w:vertAlign w:val="superscript"/>
        </w:rPr>
        <w:t>,</w:t>
      </w:r>
      <w:r w:rsidRPr="00B02600">
        <w:rPr>
          <w:rFonts w:cstheme="minorHAnsi"/>
          <w:vertAlign w:val="superscript"/>
        </w:rPr>
        <w:t>10</w:t>
      </w:r>
      <w:r w:rsidRPr="00950E7A">
        <w:rPr>
          <w:rFonts w:cstheme="minorHAnsi"/>
          <w:vertAlign w:val="superscript"/>
        </w:rPr>
        <w:t>,</w:t>
      </w:r>
      <w:r w:rsidRPr="00B02600">
        <w:rPr>
          <w:rFonts w:cstheme="minorHAnsi"/>
          <w:vertAlign w:val="superscript"/>
        </w:rPr>
        <w:t>14</w:t>
      </w:r>
      <w:r w:rsidRPr="00950E7A">
        <w:rPr>
          <w:rFonts w:cstheme="minorHAnsi"/>
        </w:rPr>
        <w:t xml:space="preserve"> At this time, standard gait models treat the foot as a single rigid segment, and the technological challenges limit the ability to accurately model multisegmental foot kinetics. To obtain these measures, the current segmental kinematic model must evolve to include multisegmental three-dimensional kinetic measurements. Clinical benefits of more rigorous modeling may include footwear prescription, surgical planning, postoperative management, and footwear/orthotics design.</w:t>
      </w:r>
    </w:p>
    <w:p w14:paraId="451AB727" w14:textId="77777777" w:rsidR="00950E7A" w:rsidRPr="00950E7A" w:rsidRDefault="00950E7A" w:rsidP="006C2069">
      <w:pPr>
        <w:pStyle w:val="Heading1"/>
      </w:pPr>
      <w:bookmarkStart w:id="7" w:name="_i19"/>
      <w:bookmarkEnd w:id="7"/>
      <w:r w:rsidRPr="00950E7A">
        <w:t>CONCLUSION</w:t>
      </w:r>
    </w:p>
    <w:p w14:paraId="2CF12EA8" w14:textId="77777777" w:rsidR="00950E7A" w:rsidRPr="00950E7A" w:rsidRDefault="00950E7A" w:rsidP="00950E7A">
      <w:pPr>
        <w:rPr>
          <w:rFonts w:cstheme="minorHAnsi"/>
        </w:rPr>
      </w:pPr>
      <w:r w:rsidRPr="00950E7A">
        <w:rPr>
          <w:rFonts w:cstheme="minorHAnsi"/>
        </w:rPr>
        <w:t>Hallux valgus correction improves radiographic alignment, functional outcomes, and hallux kinematics. However, it is not clear whether or not hallux valgus correction alters the kinematics of the forefoot, hindfoot and tibia. A markedly larger sample size may demonstrate a change, but we were unable to identify any statistically significant kinematic changes other than to the hallux. It is also not clear whether or not hallux valgus correction improves temporal-spatial parameters of gait. However, patients with hallux valgus do have temporal-spatial gait abnormalities.</w:t>
      </w:r>
    </w:p>
    <w:p w14:paraId="3B97B48E" w14:textId="77777777" w:rsidR="00950E7A" w:rsidRPr="00950E7A" w:rsidRDefault="00950E7A" w:rsidP="006C2069">
      <w:pPr>
        <w:pStyle w:val="Heading1"/>
      </w:pPr>
      <w:bookmarkStart w:id="8" w:name="_i20"/>
      <w:bookmarkEnd w:id="8"/>
      <w:r w:rsidRPr="00950E7A">
        <w:t>REFERENCES</w:t>
      </w:r>
    </w:p>
    <w:p w14:paraId="5009989F" w14:textId="23AAFE47" w:rsidR="008F58DA" w:rsidRPr="008F58DA" w:rsidRDefault="008F58DA" w:rsidP="00B02600">
      <w:pPr>
        <w:spacing w:after="0"/>
        <w:ind w:left="720" w:hanging="720"/>
        <w:rPr>
          <w:rFonts w:cstheme="minorHAnsi"/>
        </w:rPr>
      </w:pPr>
      <w:r w:rsidRPr="008F58DA">
        <w:rPr>
          <w:rFonts w:cstheme="minorHAnsi"/>
        </w:rPr>
        <w:t>1. Blomgren M, Turan I, Agadir M: Gait analysis in hallux valgus. </w:t>
      </w:r>
      <w:r w:rsidRPr="008F58DA">
        <w:rPr>
          <w:rFonts w:cstheme="minorHAnsi"/>
          <w:i/>
          <w:iCs/>
        </w:rPr>
        <w:t>J Foot Surg</w:t>
      </w:r>
      <w:r w:rsidRPr="008F58DA">
        <w:rPr>
          <w:rFonts w:cstheme="minorHAnsi"/>
        </w:rPr>
        <w:t> 30:70–1, 1991. </w:t>
      </w:r>
    </w:p>
    <w:p w14:paraId="1B30DC89" w14:textId="71E9B88A" w:rsidR="008F58DA" w:rsidRPr="008F58DA" w:rsidRDefault="008F58DA" w:rsidP="00B02600">
      <w:pPr>
        <w:spacing w:after="0"/>
        <w:ind w:left="720" w:hanging="720"/>
        <w:rPr>
          <w:rFonts w:cstheme="minorHAnsi"/>
        </w:rPr>
      </w:pPr>
      <w:r w:rsidRPr="008F58DA">
        <w:rPr>
          <w:rFonts w:cstheme="minorHAnsi"/>
        </w:rPr>
        <w:t>2. Bowling A, Bond M, Jenkinson C, Lamping DL: Short Form 36 (SF-36) Health Survey questionnaire: which normative data should be used? Comparisons between the norms provided by the Omnibus Survey in Britain, the Health Survey for England and the Oxford Healthy Life Survey. </w:t>
      </w:r>
      <w:r w:rsidRPr="008F58DA">
        <w:rPr>
          <w:rFonts w:cstheme="minorHAnsi"/>
          <w:i/>
          <w:iCs/>
        </w:rPr>
        <w:t>J. Public Health Med</w:t>
      </w:r>
      <w:r w:rsidRPr="008F58DA">
        <w:rPr>
          <w:rFonts w:cstheme="minorHAnsi"/>
        </w:rPr>
        <w:t>. 21:255–270, 1999. </w:t>
      </w:r>
    </w:p>
    <w:p w14:paraId="3C894644" w14:textId="2E5982AA" w:rsidR="008F58DA" w:rsidRPr="008F58DA" w:rsidRDefault="008F58DA" w:rsidP="00B02600">
      <w:pPr>
        <w:spacing w:after="0"/>
        <w:ind w:left="720" w:hanging="720"/>
        <w:rPr>
          <w:rFonts w:cstheme="minorHAnsi"/>
        </w:rPr>
      </w:pPr>
      <w:r w:rsidRPr="008F58DA">
        <w:rPr>
          <w:rFonts w:cstheme="minorHAnsi"/>
        </w:rPr>
        <w:t>3. Brodsky JW, Beischer AD, Robinson AHN, Westra S, Negrine JP, Shabat S: Surgery for hallux valgus with proximal crescentic osteotomy causes variable postoperative pressure patterns. </w:t>
      </w:r>
      <w:r w:rsidRPr="008F58DA">
        <w:rPr>
          <w:rFonts w:cstheme="minorHAnsi"/>
          <w:i/>
          <w:iCs/>
        </w:rPr>
        <w:t>Clin Orthop</w:t>
      </w:r>
      <w:r w:rsidRPr="008F58DA">
        <w:rPr>
          <w:rFonts w:cstheme="minorHAnsi"/>
        </w:rPr>
        <w:t> 443:280–6, 2006. </w:t>
      </w:r>
    </w:p>
    <w:p w14:paraId="79597804" w14:textId="3AF68967" w:rsidR="008F58DA" w:rsidRPr="008F58DA" w:rsidRDefault="008F58DA" w:rsidP="00B02600">
      <w:pPr>
        <w:spacing w:after="0"/>
        <w:ind w:left="720" w:hanging="720"/>
        <w:rPr>
          <w:rFonts w:cstheme="minorHAnsi"/>
        </w:rPr>
      </w:pPr>
      <w:r w:rsidRPr="008F58DA">
        <w:rPr>
          <w:rFonts w:cstheme="minorHAnsi"/>
        </w:rPr>
        <w:t>4. Buczek FL, Walker MR, Rainbow MJ, Cooney KM, Sanders JO: Impact of mediolateral segmentation on a multi-segment foot model. </w:t>
      </w:r>
      <w:r w:rsidRPr="008F58DA">
        <w:rPr>
          <w:rFonts w:cstheme="minorHAnsi"/>
          <w:i/>
          <w:iCs/>
        </w:rPr>
        <w:t>Gait Posture</w:t>
      </w:r>
      <w:r w:rsidRPr="008F58DA">
        <w:rPr>
          <w:rFonts w:cstheme="minorHAnsi"/>
        </w:rPr>
        <w:t> 23:519–522, 2006. </w:t>
      </w:r>
    </w:p>
    <w:p w14:paraId="785E1F12" w14:textId="2AB38521" w:rsidR="008F58DA" w:rsidRPr="008F58DA" w:rsidRDefault="008F58DA" w:rsidP="00B02600">
      <w:pPr>
        <w:spacing w:after="0"/>
        <w:ind w:left="720" w:hanging="720"/>
        <w:rPr>
          <w:rFonts w:cstheme="minorHAnsi"/>
        </w:rPr>
      </w:pPr>
      <w:r w:rsidRPr="008F58DA">
        <w:rPr>
          <w:rFonts w:cstheme="minorHAnsi"/>
        </w:rPr>
        <w:t>5. Canseco K, Rankine L, Long J, et al.: </w:t>
      </w:r>
      <w:r w:rsidRPr="008F58DA">
        <w:rPr>
          <w:rFonts w:cstheme="minorHAnsi"/>
          <w:i/>
          <w:iCs/>
        </w:rPr>
        <w:t>Motion of the multisegmental foot in hallux valgus</w:t>
      </w:r>
      <w:r w:rsidRPr="008F58DA">
        <w:rPr>
          <w:rFonts w:cstheme="minorHAnsi"/>
        </w:rPr>
        <w:t xml:space="preserve">. Foot Ankle Int. 31:146–152, 2010.  </w:t>
      </w:r>
    </w:p>
    <w:p w14:paraId="4DDAEBDA" w14:textId="4406FC3C" w:rsidR="008F58DA" w:rsidRPr="008F58DA" w:rsidRDefault="008F58DA" w:rsidP="00B02600">
      <w:pPr>
        <w:spacing w:after="0"/>
        <w:ind w:left="720" w:hanging="720"/>
        <w:rPr>
          <w:rFonts w:cstheme="minorHAnsi"/>
        </w:rPr>
      </w:pPr>
      <w:r w:rsidRPr="008F58DA">
        <w:rPr>
          <w:rFonts w:cstheme="minorHAnsi"/>
        </w:rPr>
        <w:t>6. Coughlin MJ: Hallux valgus. </w:t>
      </w:r>
      <w:r w:rsidRPr="008F58DA">
        <w:rPr>
          <w:rFonts w:cstheme="minorHAnsi"/>
          <w:i/>
          <w:iCs/>
        </w:rPr>
        <w:t>J Bone Joint Surg Am</w:t>
      </w:r>
      <w:r w:rsidRPr="008F58DA">
        <w:rPr>
          <w:rFonts w:cstheme="minorHAnsi"/>
        </w:rPr>
        <w:t> 78:932–66, 1996. </w:t>
      </w:r>
    </w:p>
    <w:p w14:paraId="6296DCD7" w14:textId="5B075AF1" w:rsidR="008F58DA" w:rsidRPr="008F58DA" w:rsidRDefault="008F58DA" w:rsidP="00B02600">
      <w:pPr>
        <w:spacing w:after="0"/>
        <w:ind w:left="720" w:hanging="720"/>
        <w:rPr>
          <w:rFonts w:cstheme="minorHAnsi"/>
        </w:rPr>
      </w:pPr>
      <w:r w:rsidRPr="008F58DA">
        <w:rPr>
          <w:rFonts w:cstheme="minorHAnsi"/>
        </w:rPr>
        <w:t>7. Easley ME, Trnka HJ: Current concepts review: hallux valgus part II: operative treatment. </w:t>
      </w:r>
      <w:r w:rsidRPr="008F58DA">
        <w:rPr>
          <w:rFonts w:cstheme="minorHAnsi"/>
          <w:i/>
          <w:iCs/>
        </w:rPr>
        <w:t>Foot Ankle Int</w:t>
      </w:r>
      <w:r w:rsidRPr="008F58DA">
        <w:rPr>
          <w:rFonts w:cstheme="minorHAnsi"/>
        </w:rPr>
        <w:t>. 28:748–758, 2007. </w:t>
      </w:r>
    </w:p>
    <w:p w14:paraId="50A30B5B" w14:textId="4438C4E3" w:rsidR="008F58DA" w:rsidRPr="008F58DA" w:rsidRDefault="008F58DA" w:rsidP="00B02600">
      <w:pPr>
        <w:spacing w:after="0"/>
        <w:ind w:left="720" w:hanging="720"/>
        <w:rPr>
          <w:rFonts w:cstheme="minorHAnsi"/>
        </w:rPr>
      </w:pPr>
      <w:r w:rsidRPr="008F58DA">
        <w:rPr>
          <w:rFonts w:cstheme="minorHAnsi"/>
        </w:rPr>
        <w:t>8. Eustace S, Williamson D, Wilson M, et al.: Tendon shift in hallux valgus: observations at MR imaging. </w:t>
      </w:r>
      <w:r w:rsidRPr="008F58DA">
        <w:rPr>
          <w:rFonts w:cstheme="minorHAnsi"/>
          <w:i/>
          <w:iCs/>
        </w:rPr>
        <w:t>Skeletal Radiol</w:t>
      </w:r>
      <w:r w:rsidRPr="008F58DA">
        <w:rPr>
          <w:rFonts w:cstheme="minorHAnsi"/>
        </w:rPr>
        <w:t>. 25:519–524, 1996. </w:t>
      </w:r>
    </w:p>
    <w:p w14:paraId="19F78770" w14:textId="77777777" w:rsidR="008F58DA" w:rsidRPr="008F58DA" w:rsidRDefault="008F58DA" w:rsidP="00B02600">
      <w:pPr>
        <w:spacing w:after="0"/>
        <w:ind w:left="720" w:hanging="720"/>
        <w:rPr>
          <w:rFonts w:cstheme="minorHAnsi"/>
        </w:rPr>
      </w:pPr>
      <w:r w:rsidRPr="008F58DA">
        <w:rPr>
          <w:rFonts w:cstheme="minorHAnsi"/>
        </w:rPr>
        <w:t>9. Ferrari J, Higgins JP, Prior TD: Interventions for treating hallux valgus (abductovalgus) and bunions. </w:t>
      </w:r>
      <w:r w:rsidRPr="008F58DA">
        <w:rPr>
          <w:rFonts w:cstheme="minorHAnsi"/>
          <w:i/>
          <w:iCs/>
        </w:rPr>
        <w:t>Cochrane Database Syst. Rev</w:t>
      </w:r>
      <w:r w:rsidRPr="008F58DA">
        <w:rPr>
          <w:rFonts w:cstheme="minorHAnsi"/>
        </w:rPr>
        <w:t>. (1):CD000964, 2004.</w:t>
      </w:r>
    </w:p>
    <w:p w14:paraId="4813A44F" w14:textId="77777777" w:rsidR="008F58DA" w:rsidRPr="008F58DA" w:rsidRDefault="008F58DA" w:rsidP="00B02600">
      <w:pPr>
        <w:spacing w:after="0"/>
        <w:ind w:left="720" w:hanging="720"/>
        <w:rPr>
          <w:rFonts w:cstheme="minorHAnsi"/>
        </w:rPr>
      </w:pPr>
      <w:r w:rsidRPr="008F58DA">
        <w:rPr>
          <w:rFonts w:cstheme="minorHAnsi"/>
        </w:rPr>
        <w:t>10. Harris GF, Smith PA, Marks RM: </w:t>
      </w:r>
      <w:r w:rsidRPr="008F58DA">
        <w:rPr>
          <w:rFonts w:cstheme="minorHAnsi"/>
          <w:i/>
          <w:iCs/>
        </w:rPr>
        <w:t>Foot and Ankle Motion Analysis: Clinical Treatment and Technology</w:t>
      </w:r>
      <w:r w:rsidRPr="008F58DA">
        <w:rPr>
          <w:rFonts w:cstheme="minorHAnsi"/>
        </w:rPr>
        <w:t>. 2008.</w:t>
      </w:r>
    </w:p>
    <w:p w14:paraId="3493559F" w14:textId="77777777" w:rsidR="008F58DA" w:rsidRPr="008F58DA" w:rsidRDefault="008F58DA" w:rsidP="00B02600">
      <w:pPr>
        <w:spacing w:after="0"/>
        <w:ind w:left="720" w:hanging="720"/>
        <w:rPr>
          <w:rFonts w:cstheme="minorHAnsi"/>
        </w:rPr>
      </w:pPr>
      <w:r w:rsidRPr="008F58DA">
        <w:rPr>
          <w:rFonts w:cstheme="minorHAnsi"/>
        </w:rPr>
        <w:t>11. Hwang SJ, Choi HS, Cha SD, Lee KT, Kim YH: </w:t>
      </w:r>
      <w:r w:rsidRPr="008F58DA">
        <w:rPr>
          <w:rFonts w:cstheme="minorHAnsi"/>
          <w:i/>
          <w:iCs/>
        </w:rPr>
        <w:t>Multi-Segment Foot Motion Analysis on Hallux Valgus Patients</w:t>
      </w:r>
      <w:r w:rsidRPr="008F58DA">
        <w:rPr>
          <w:rFonts w:cstheme="minorHAnsi"/>
        </w:rPr>
        <w:t>. 6875–6877, 2005.</w:t>
      </w:r>
    </w:p>
    <w:p w14:paraId="13489652" w14:textId="50E62389" w:rsidR="008F58DA" w:rsidRPr="008F58DA" w:rsidRDefault="008F58DA" w:rsidP="00B02600">
      <w:pPr>
        <w:spacing w:after="0"/>
        <w:ind w:left="720" w:hanging="720"/>
        <w:rPr>
          <w:rFonts w:cstheme="minorHAnsi"/>
        </w:rPr>
      </w:pPr>
      <w:r w:rsidRPr="008F58DA">
        <w:rPr>
          <w:rFonts w:cstheme="minorHAnsi"/>
        </w:rPr>
        <w:t>12. Johnson JE, Lamdan R, Granberry WF, Harris GF, Carrera GF: Hindfoot coronal alignment: a modified radiographic method. </w:t>
      </w:r>
      <w:r w:rsidRPr="008F58DA">
        <w:rPr>
          <w:rFonts w:cstheme="minorHAnsi"/>
          <w:i/>
          <w:iCs/>
        </w:rPr>
        <w:t>Foot Ankle Int</w:t>
      </w:r>
      <w:r w:rsidRPr="008F58DA">
        <w:rPr>
          <w:rFonts w:cstheme="minorHAnsi"/>
        </w:rPr>
        <w:t> 20:818–25, 1999. </w:t>
      </w:r>
    </w:p>
    <w:p w14:paraId="62BB8E4B" w14:textId="27EE2E44" w:rsidR="008F58DA" w:rsidRPr="008F58DA" w:rsidRDefault="008F58DA" w:rsidP="00B02600">
      <w:pPr>
        <w:spacing w:after="0"/>
        <w:ind w:left="720" w:hanging="720"/>
        <w:rPr>
          <w:rFonts w:cstheme="minorHAnsi"/>
        </w:rPr>
      </w:pPr>
      <w:r w:rsidRPr="008F58DA">
        <w:rPr>
          <w:rFonts w:cstheme="minorHAnsi"/>
        </w:rPr>
        <w:t>13. Kidder SM, S. AFJr, Harris GF, Johnson JE: A system for the analysis of foot and ankle kinematics during gait. </w:t>
      </w:r>
      <w:r w:rsidRPr="008F58DA">
        <w:rPr>
          <w:rFonts w:cstheme="minorHAnsi"/>
          <w:i/>
          <w:iCs/>
        </w:rPr>
        <w:t>IEEE Trans Rehabil Eng</w:t>
      </w:r>
      <w:r w:rsidRPr="008F58DA">
        <w:rPr>
          <w:rFonts w:cstheme="minorHAnsi"/>
        </w:rPr>
        <w:t> 4:25–32, 1996. </w:t>
      </w:r>
    </w:p>
    <w:p w14:paraId="504ED087" w14:textId="7771A4F7" w:rsidR="008F58DA" w:rsidRPr="008F58DA" w:rsidRDefault="008F58DA" w:rsidP="00B02600">
      <w:pPr>
        <w:spacing w:after="0"/>
        <w:ind w:left="720" w:hanging="720"/>
        <w:rPr>
          <w:rFonts w:cstheme="minorHAnsi"/>
        </w:rPr>
      </w:pPr>
      <w:r w:rsidRPr="008F58DA">
        <w:rPr>
          <w:rFonts w:cstheme="minorHAnsi"/>
        </w:rPr>
        <w:t>14. MacWilliams BA, Cowley M, Nicholson DE: Foot kinematics and kinetics during adolescent gait. </w:t>
      </w:r>
      <w:r w:rsidRPr="008F58DA">
        <w:rPr>
          <w:rFonts w:cstheme="minorHAnsi"/>
          <w:i/>
          <w:iCs/>
        </w:rPr>
        <w:t>Gait Posture</w:t>
      </w:r>
      <w:r w:rsidRPr="008F58DA">
        <w:rPr>
          <w:rFonts w:cstheme="minorHAnsi"/>
        </w:rPr>
        <w:t> 17:214–224, 2003. </w:t>
      </w:r>
    </w:p>
    <w:p w14:paraId="7AA2997D" w14:textId="5DD295C2" w:rsidR="008F58DA" w:rsidRPr="008F58DA" w:rsidRDefault="008F58DA" w:rsidP="00B02600">
      <w:pPr>
        <w:spacing w:after="0"/>
        <w:ind w:left="720" w:hanging="720"/>
        <w:rPr>
          <w:rFonts w:cstheme="minorHAnsi"/>
        </w:rPr>
      </w:pPr>
      <w:r w:rsidRPr="008F58DA">
        <w:rPr>
          <w:rFonts w:cstheme="minorHAnsi"/>
        </w:rPr>
        <w:t>15. Menz HB, Lord SR: Gait instability in older people with hallux valgus. </w:t>
      </w:r>
      <w:r w:rsidRPr="008F58DA">
        <w:rPr>
          <w:rFonts w:cstheme="minorHAnsi"/>
          <w:i/>
          <w:iCs/>
        </w:rPr>
        <w:t>Foot Ankle Int</w:t>
      </w:r>
      <w:r w:rsidRPr="008F58DA">
        <w:rPr>
          <w:rFonts w:cstheme="minorHAnsi"/>
        </w:rPr>
        <w:t> 26:483–9, 2005. </w:t>
      </w:r>
    </w:p>
    <w:p w14:paraId="4AE7576E" w14:textId="72C82165" w:rsidR="008F58DA" w:rsidRPr="008F58DA" w:rsidRDefault="008F58DA" w:rsidP="00B02600">
      <w:pPr>
        <w:spacing w:after="0"/>
        <w:ind w:left="720" w:hanging="720"/>
        <w:rPr>
          <w:rFonts w:cstheme="minorHAnsi"/>
        </w:rPr>
      </w:pPr>
      <w:r w:rsidRPr="008F58DA">
        <w:rPr>
          <w:rFonts w:cstheme="minorHAnsi"/>
        </w:rPr>
        <w:t>16. Merkel KD, Katoh Y, W. JEJr, Chao EY: Mitchell osteotomy for hallux valgus: long-term follow-up and gait analysis. </w:t>
      </w:r>
      <w:r w:rsidRPr="008F58DA">
        <w:rPr>
          <w:rFonts w:cstheme="minorHAnsi"/>
          <w:i/>
          <w:iCs/>
        </w:rPr>
        <w:t>Foot Ankle</w:t>
      </w:r>
      <w:r w:rsidRPr="008F58DA">
        <w:rPr>
          <w:rFonts w:cstheme="minorHAnsi"/>
        </w:rPr>
        <w:t> 3:189–96, 1983. </w:t>
      </w:r>
    </w:p>
    <w:p w14:paraId="2811FD17" w14:textId="02B60B71" w:rsidR="008F58DA" w:rsidRPr="008F58DA" w:rsidRDefault="008F58DA" w:rsidP="00B02600">
      <w:pPr>
        <w:spacing w:after="0"/>
        <w:ind w:left="720" w:hanging="720"/>
        <w:rPr>
          <w:rFonts w:cstheme="minorHAnsi"/>
        </w:rPr>
      </w:pPr>
      <w:r w:rsidRPr="008F58DA">
        <w:rPr>
          <w:rFonts w:cstheme="minorHAnsi"/>
        </w:rPr>
        <w:t>17. Myers KA, Wang M, Marks RM, Harris GF: Validation of a multisegment foot and ankle kinematic model for pediatric gait. </w:t>
      </w:r>
      <w:r w:rsidRPr="008F58DA">
        <w:rPr>
          <w:rFonts w:cstheme="minorHAnsi"/>
          <w:i/>
          <w:iCs/>
        </w:rPr>
        <w:t>IEEE Trans Neural Syst Rehabil Eng</w:t>
      </w:r>
      <w:r w:rsidRPr="008F58DA">
        <w:rPr>
          <w:rFonts w:cstheme="minorHAnsi"/>
        </w:rPr>
        <w:t> 12:122–30, 2004. </w:t>
      </w:r>
    </w:p>
    <w:p w14:paraId="552724EF" w14:textId="77777777" w:rsidR="008F58DA" w:rsidRPr="008F58DA" w:rsidRDefault="008F58DA" w:rsidP="00B02600">
      <w:pPr>
        <w:spacing w:after="0"/>
        <w:ind w:left="720" w:hanging="720"/>
        <w:rPr>
          <w:rFonts w:cstheme="minorHAnsi"/>
        </w:rPr>
      </w:pPr>
      <w:r w:rsidRPr="008F58DA">
        <w:rPr>
          <w:rFonts w:cstheme="minorHAnsi"/>
        </w:rPr>
        <w:t>18. Perry J: </w:t>
      </w:r>
      <w:r w:rsidRPr="008F58DA">
        <w:rPr>
          <w:rFonts w:cstheme="minorHAnsi"/>
          <w:i/>
          <w:iCs/>
        </w:rPr>
        <w:t>Gait Analysis</w:t>
      </w:r>
      <w:r w:rsidRPr="008F58DA">
        <w:rPr>
          <w:rFonts w:cstheme="minorHAnsi"/>
        </w:rPr>
        <w:t>, Thorofare, NJ, SLACK Incorporated, 1992.</w:t>
      </w:r>
    </w:p>
    <w:p w14:paraId="59C0CCE6" w14:textId="18297C45" w:rsidR="008F58DA" w:rsidRPr="008F58DA" w:rsidRDefault="008F58DA" w:rsidP="00B02600">
      <w:pPr>
        <w:spacing w:after="0"/>
        <w:ind w:left="720" w:hanging="720"/>
        <w:rPr>
          <w:rFonts w:cstheme="minorHAnsi"/>
        </w:rPr>
      </w:pPr>
      <w:r w:rsidRPr="008F58DA">
        <w:rPr>
          <w:rFonts w:cstheme="minorHAnsi"/>
        </w:rPr>
        <w:t>19. Saltzman CL, Aper RL, Brown TD: Anatomic determinants of first metatarsophalangeal flexion moments in hallux valgus. </w:t>
      </w:r>
      <w:r w:rsidRPr="008F58DA">
        <w:rPr>
          <w:rFonts w:cstheme="minorHAnsi"/>
          <w:i/>
          <w:iCs/>
        </w:rPr>
        <w:t>Clin. Orthop.</w:t>
      </w:r>
      <w:r w:rsidRPr="008F58DA">
        <w:rPr>
          <w:rFonts w:cstheme="minorHAnsi"/>
        </w:rPr>
        <w:t xml:space="preserve"> 261–269, 1997.  </w:t>
      </w:r>
    </w:p>
    <w:p w14:paraId="548178DB" w14:textId="0A912681" w:rsidR="008F58DA" w:rsidRPr="008F58DA" w:rsidRDefault="008F58DA" w:rsidP="00B02600">
      <w:pPr>
        <w:spacing w:after="0"/>
        <w:ind w:left="720" w:hanging="720"/>
        <w:rPr>
          <w:rFonts w:cstheme="minorHAnsi"/>
        </w:rPr>
      </w:pPr>
      <w:r w:rsidRPr="008F58DA">
        <w:rPr>
          <w:rFonts w:cstheme="minorHAnsi"/>
        </w:rPr>
        <w:t>20. Schuh R, Hofstaetter SG, Adams SBJr, et al.: Rehabilitation after hallux valgus surgery: importance of physical therapy to restore weight bearing of the first ray during the stance phase. </w:t>
      </w:r>
      <w:r w:rsidRPr="008F58DA">
        <w:rPr>
          <w:rFonts w:cstheme="minorHAnsi"/>
          <w:i/>
          <w:iCs/>
        </w:rPr>
        <w:t>Phys. Ther</w:t>
      </w:r>
      <w:r w:rsidRPr="008F58DA">
        <w:rPr>
          <w:rFonts w:cstheme="minorHAnsi"/>
        </w:rPr>
        <w:t>. 89:934–945, 2009. </w:t>
      </w:r>
    </w:p>
    <w:p w14:paraId="06065995" w14:textId="7D7EE89E" w:rsidR="008F58DA" w:rsidRPr="008F58DA" w:rsidRDefault="008F58DA" w:rsidP="00B02600">
      <w:pPr>
        <w:spacing w:after="0"/>
        <w:ind w:left="720" w:hanging="720"/>
        <w:rPr>
          <w:rFonts w:cstheme="minorHAnsi"/>
        </w:rPr>
      </w:pPr>
      <w:r w:rsidRPr="008F58DA">
        <w:rPr>
          <w:rFonts w:cstheme="minorHAnsi"/>
        </w:rPr>
        <w:t>21. Shereff MJ: Pathophysiology, anatomy, and biomechanics of hallux valgus. </w:t>
      </w:r>
      <w:r w:rsidRPr="008F58DA">
        <w:rPr>
          <w:rFonts w:cstheme="minorHAnsi"/>
          <w:i/>
          <w:iCs/>
        </w:rPr>
        <w:t>Orthopedics</w:t>
      </w:r>
      <w:r w:rsidRPr="008F58DA">
        <w:rPr>
          <w:rFonts w:cstheme="minorHAnsi"/>
        </w:rPr>
        <w:t> 13:939–45, 1990. </w:t>
      </w:r>
    </w:p>
    <w:p w14:paraId="3CA74B72" w14:textId="08AEF9BA" w:rsidR="008F58DA" w:rsidRPr="008F58DA" w:rsidRDefault="008F58DA" w:rsidP="00B02600">
      <w:pPr>
        <w:spacing w:after="0"/>
        <w:ind w:left="720" w:hanging="720"/>
        <w:rPr>
          <w:rFonts w:cstheme="minorHAnsi"/>
        </w:rPr>
      </w:pPr>
      <w:r w:rsidRPr="008F58DA">
        <w:rPr>
          <w:rFonts w:cstheme="minorHAnsi"/>
        </w:rPr>
        <w:t>22. Stephens MM: Does shortening of the first ray in the treatment of adolescent hallux valgus prejudice the outcome? J. </w:t>
      </w:r>
      <w:r w:rsidRPr="008F58DA">
        <w:rPr>
          <w:rFonts w:cstheme="minorHAnsi"/>
          <w:i/>
          <w:iCs/>
        </w:rPr>
        <w:t>Bone Joint Surg. Br</w:t>
      </w:r>
      <w:r w:rsidRPr="008F58DA">
        <w:rPr>
          <w:rFonts w:cstheme="minorHAnsi"/>
        </w:rPr>
        <w:t>. 88:858–859, 2006. </w:t>
      </w:r>
    </w:p>
    <w:p w14:paraId="79063598" w14:textId="3BAEFFA8" w:rsidR="008F58DA" w:rsidRPr="008F58DA" w:rsidRDefault="008F58DA" w:rsidP="00B02600">
      <w:pPr>
        <w:spacing w:after="0"/>
        <w:ind w:left="720" w:hanging="720"/>
        <w:rPr>
          <w:rFonts w:cstheme="minorHAnsi"/>
        </w:rPr>
      </w:pPr>
      <w:r w:rsidRPr="008F58DA">
        <w:rPr>
          <w:rFonts w:cstheme="minorHAnsi"/>
        </w:rPr>
        <w:t>23. Thordarson D, Ebramzadeh E, Moorthy M, Lee J, Rudicel S: Correlation of hallux valgus surgical outcome with AOFAS forefoot score and radiological parameters. </w:t>
      </w:r>
      <w:r w:rsidRPr="008F58DA">
        <w:rPr>
          <w:rFonts w:cstheme="minorHAnsi"/>
          <w:i/>
          <w:iCs/>
        </w:rPr>
        <w:t>Foot Ankle Int</w:t>
      </w:r>
      <w:r w:rsidRPr="008F58DA">
        <w:rPr>
          <w:rFonts w:cstheme="minorHAnsi"/>
        </w:rPr>
        <w:t>. 26:122–127, 2005. </w:t>
      </w:r>
    </w:p>
    <w:p w14:paraId="7E42F89C" w14:textId="43929484" w:rsidR="008F58DA" w:rsidRPr="008F58DA" w:rsidRDefault="008F58DA" w:rsidP="00B02600">
      <w:pPr>
        <w:spacing w:after="0"/>
        <w:ind w:left="720" w:hanging="720"/>
        <w:rPr>
          <w:rFonts w:cstheme="minorHAnsi"/>
        </w:rPr>
      </w:pPr>
      <w:r w:rsidRPr="008F58DA">
        <w:rPr>
          <w:rFonts w:cstheme="minorHAnsi"/>
        </w:rPr>
        <w:t>24. Torkki M, Malmivaara A, Seitsalo S, et al.: Surgery vs orthosis vs watchful waiting for hallux valgus: a randomized controlled trial. </w:t>
      </w:r>
      <w:r w:rsidRPr="008F58DA">
        <w:rPr>
          <w:rFonts w:cstheme="minorHAnsi"/>
          <w:i/>
          <w:iCs/>
        </w:rPr>
        <w:t>JAMA</w:t>
      </w:r>
      <w:r w:rsidRPr="008F58DA">
        <w:rPr>
          <w:rFonts w:cstheme="minorHAnsi"/>
        </w:rPr>
        <w:t> 285:2474–2480, 2001. </w:t>
      </w:r>
    </w:p>
    <w:p w14:paraId="6A486431" w14:textId="6958668A" w:rsidR="008F58DA" w:rsidRPr="008F58DA" w:rsidRDefault="008F58DA" w:rsidP="00B02600">
      <w:pPr>
        <w:spacing w:after="0"/>
        <w:ind w:left="720" w:hanging="720"/>
        <w:rPr>
          <w:rFonts w:cstheme="minorHAnsi"/>
        </w:rPr>
      </w:pPr>
      <w:r w:rsidRPr="008F58DA">
        <w:rPr>
          <w:rFonts w:cstheme="minorHAnsi"/>
        </w:rPr>
        <w:t>25. Vittas D, Jansen EC, Larsen TK: Gait analysis before and after osteotomy for hallux valgus. </w:t>
      </w:r>
      <w:r w:rsidRPr="008F58DA">
        <w:rPr>
          <w:rFonts w:cstheme="minorHAnsi"/>
          <w:i/>
          <w:iCs/>
        </w:rPr>
        <w:t>Foot Ankle</w:t>
      </w:r>
      <w:r w:rsidRPr="008F58DA">
        <w:rPr>
          <w:rFonts w:cstheme="minorHAnsi"/>
        </w:rPr>
        <w:t> 8:134–6, 1987. </w:t>
      </w:r>
    </w:p>
    <w:p w14:paraId="76389ED0" w14:textId="7F62AD1F" w:rsidR="008F58DA" w:rsidRPr="008F58DA" w:rsidRDefault="008F58DA" w:rsidP="00B02600">
      <w:pPr>
        <w:spacing w:after="0"/>
        <w:ind w:left="720" w:hanging="720"/>
        <w:rPr>
          <w:rFonts w:cstheme="minorHAnsi"/>
        </w:rPr>
      </w:pPr>
      <w:r w:rsidRPr="008F58DA">
        <w:rPr>
          <w:rFonts w:cstheme="minorHAnsi"/>
        </w:rPr>
        <w:t>26. Waldecker U: Metatarsalgia in hallux valgus deformity: a pedographic analysis. </w:t>
      </w:r>
      <w:r w:rsidRPr="008F58DA">
        <w:rPr>
          <w:rFonts w:cstheme="minorHAnsi"/>
          <w:i/>
          <w:iCs/>
        </w:rPr>
        <w:t>J Foot Ankle Surg</w:t>
      </w:r>
      <w:r w:rsidRPr="008F58DA">
        <w:rPr>
          <w:rFonts w:cstheme="minorHAnsi"/>
        </w:rPr>
        <w:t> 41:300–8, 2002. </w:t>
      </w: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332187"/>
    <w:multiLevelType w:val="multilevel"/>
    <w:tmpl w:val="F6108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2818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in6Y5BR3+IGv2KeE4iSO10mOsHvHvWM6Ylqh2ey5hvDlIIiCRXZ9kyGZ7Uhsq8FOMqfTKovb3Fw1J6xtjTKwCQ==" w:salt="B3pWHAL71p8bas5KbIod9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877DA"/>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67ED"/>
    <w:rsid w:val="0024134B"/>
    <w:rsid w:val="0025027E"/>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388"/>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574F"/>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6BF2"/>
    <w:rsid w:val="004B158A"/>
    <w:rsid w:val="004B2226"/>
    <w:rsid w:val="004B6BED"/>
    <w:rsid w:val="004B77C2"/>
    <w:rsid w:val="004C0B3D"/>
    <w:rsid w:val="004C2D7B"/>
    <w:rsid w:val="004C45D2"/>
    <w:rsid w:val="004C4A4F"/>
    <w:rsid w:val="004C5EEF"/>
    <w:rsid w:val="004D118A"/>
    <w:rsid w:val="004D1CB9"/>
    <w:rsid w:val="004D21C9"/>
    <w:rsid w:val="004E34F8"/>
    <w:rsid w:val="004E3C84"/>
    <w:rsid w:val="004E528B"/>
    <w:rsid w:val="004F146C"/>
    <w:rsid w:val="004F19E3"/>
    <w:rsid w:val="004F1F3C"/>
    <w:rsid w:val="004F657B"/>
    <w:rsid w:val="0050408D"/>
    <w:rsid w:val="00504C6A"/>
    <w:rsid w:val="00510364"/>
    <w:rsid w:val="005116C9"/>
    <w:rsid w:val="00511BEE"/>
    <w:rsid w:val="0051681B"/>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D83"/>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2069"/>
    <w:rsid w:val="006C7ED1"/>
    <w:rsid w:val="006D75E1"/>
    <w:rsid w:val="006D7670"/>
    <w:rsid w:val="006E10F4"/>
    <w:rsid w:val="006E10FD"/>
    <w:rsid w:val="006E2996"/>
    <w:rsid w:val="006E2EEC"/>
    <w:rsid w:val="006E471E"/>
    <w:rsid w:val="006E4859"/>
    <w:rsid w:val="006F24E3"/>
    <w:rsid w:val="006F432B"/>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417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69CE"/>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58D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0E7A"/>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3631"/>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A6CD6"/>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2600"/>
    <w:rsid w:val="00B03D08"/>
    <w:rsid w:val="00B05BF7"/>
    <w:rsid w:val="00B079F6"/>
    <w:rsid w:val="00B1094A"/>
    <w:rsid w:val="00B129D1"/>
    <w:rsid w:val="00B12F61"/>
    <w:rsid w:val="00B14CBC"/>
    <w:rsid w:val="00B1760D"/>
    <w:rsid w:val="00B17FF0"/>
    <w:rsid w:val="00B249DB"/>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24A7"/>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2403"/>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3E49"/>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2F5E"/>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2D4A"/>
    <w:rsid w:val="00FA431A"/>
    <w:rsid w:val="00FA54C6"/>
    <w:rsid w:val="00FA5E0B"/>
    <w:rsid w:val="00FA7BFA"/>
    <w:rsid w:val="00FB00F5"/>
    <w:rsid w:val="00FB0527"/>
    <w:rsid w:val="00FB3A37"/>
    <w:rsid w:val="00FB635D"/>
    <w:rsid w:val="00FB6BC1"/>
    <w:rsid w:val="00FC0EED"/>
    <w:rsid w:val="00FC11D2"/>
    <w:rsid w:val="00FC1405"/>
    <w:rsid w:val="00FD0FFF"/>
    <w:rsid w:val="00FD7B7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50E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row-down">
    <w:name w:val="arrow-down"/>
    <w:basedOn w:val="DefaultParagraphFont"/>
    <w:rsid w:val="00950E7A"/>
  </w:style>
  <w:style w:type="character" w:customStyle="1" w:styleId="expandable-author">
    <w:name w:val="expandable-author"/>
    <w:basedOn w:val="DefaultParagraphFont"/>
    <w:rsid w:val="00950E7A"/>
  </w:style>
  <w:style w:type="character" w:customStyle="1" w:styleId="contribdegrees">
    <w:name w:val="contribdegrees"/>
    <w:basedOn w:val="DefaultParagraphFont"/>
    <w:rsid w:val="00950E7A"/>
  </w:style>
  <w:style w:type="character" w:styleId="Hyperlink">
    <w:name w:val="Hyperlink"/>
    <w:basedOn w:val="DefaultParagraphFont"/>
    <w:uiPriority w:val="99"/>
    <w:unhideWhenUsed/>
    <w:rsid w:val="00950E7A"/>
    <w:rPr>
      <w:color w:val="0000FF"/>
      <w:u w:val="single"/>
    </w:rPr>
  </w:style>
  <w:style w:type="character" w:styleId="FollowedHyperlink">
    <w:name w:val="FollowedHyperlink"/>
    <w:basedOn w:val="DefaultParagraphFont"/>
    <w:uiPriority w:val="99"/>
    <w:semiHidden/>
    <w:unhideWhenUsed/>
    <w:rsid w:val="00950E7A"/>
    <w:rPr>
      <w:color w:val="800080"/>
      <w:u w:val="single"/>
    </w:rPr>
  </w:style>
  <w:style w:type="character" w:customStyle="1" w:styleId="degreescomma">
    <w:name w:val="degreescomma"/>
    <w:basedOn w:val="DefaultParagraphFont"/>
    <w:rsid w:val="00950E7A"/>
  </w:style>
  <w:style w:type="character" w:customStyle="1" w:styleId="more-than">
    <w:name w:val="more-than"/>
    <w:basedOn w:val="DefaultParagraphFont"/>
    <w:rsid w:val="00950E7A"/>
  </w:style>
  <w:style w:type="character" w:customStyle="1" w:styleId="publicationcontentepubdate">
    <w:name w:val="publicationcontentepubdate"/>
    <w:basedOn w:val="DefaultParagraphFont"/>
    <w:rsid w:val="00950E7A"/>
  </w:style>
  <w:style w:type="character" w:customStyle="1" w:styleId="articletype">
    <w:name w:val="articletype"/>
    <w:basedOn w:val="DefaultParagraphFont"/>
    <w:rsid w:val="00950E7A"/>
  </w:style>
  <w:style w:type="character" w:customStyle="1" w:styleId="crossmark">
    <w:name w:val="crossmark"/>
    <w:basedOn w:val="DefaultParagraphFont"/>
    <w:rsid w:val="00950E7A"/>
  </w:style>
  <w:style w:type="character" w:customStyle="1" w:styleId="doiwidgetlabel">
    <w:name w:val="doiwidgetlabel"/>
    <w:basedOn w:val="DefaultParagraphFont"/>
    <w:rsid w:val="00950E7A"/>
  </w:style>
  <w:style w:type="character" w:customStyle="1" w:styleId="arrow-up">
    <w:name w:val="arrow-up"/>
    <w:basedOn w:val="DefaultParagraphFont"/>
    <w:rsid w:val="00950E7A"/>
  </w:style>
  <w:style w:type="character" w:customStyle="1" w:styleId="section">
    <w:name w:val="section"/>
    <w:basedOn w:val="DefaultParagraphFont"/>
    <w:rsid w:val="00950E7A"/>
  </w:style>
  <w:style w:type="character" w:customStyle="1" w:styleId="altmetric-embed">
    <w:name w:val="altmetric-embed"/>
    <w:basedOn w:val="DefaultParagraphFont"/>
    <w:rsid w:val="00950E7A"/>
  </w:style>
  <w:style w:type="character" w:customStyle="1" w:styleId="altmetricspopup">
    <w:name w:val="altmetricspopup"/>
    <w:basedOn w:val="DefaultParagraphFont"/>
    <w:rsid w:val="00950E7A"/>
  </w:style>
  <w:style w:type="paragraph" w:customStyle="1" w:styleId="authornotefn">
    <w:name w:val="authornote_fn"/>
    <w:basedOn w:val="Normal"/>
    <w:rsid w:val="00950E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
    <w:name w:val="fulltext"/>
    <w:basedOn w:val="Normal"/>
    <w:rsid w:val="00950E7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50E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950E7A"/>
  </w:style>
  <w:style w:type="character" w:customStyle="1" w:styleId="captionlabel">
    <w:name w:val="captionlabel"/>
    <w:basedOn w:val="DefaultParagraphFont"/>
    <w:rsid w:val="00950E7A"/>
  </w:style>
  <w:style w:type="character" w:customStyle="1" w:styleId="figure">
    <w:name w:val="figure"/>
    <w:basedOn w:val="DefaultParagraphFont"/>
    <w:rsid w:val="00950E7A"/>
  </w:style>
  <w:style w:type="character" w:customStyle="1" w:styleId="overlay">
    <w:name w:val="overlay"/>
    <w:basedOn w:val="DefaultParagraphFont"/>
    <w:rsid w:val="00950E7A"/>
  </w:style>
  <w:style w:type="character" w:customStyle="1" w:styleId="nlmarticle-title">
    <w:name w:val="nlm_article-title"/>
    <w:basedOn w:val="DefaultParagraphFont"/>
    <w:rsid w:val="00950E7A"/>
  </w:style>
  <w:style w:type="character" w:customStyle="1" w:styleId="nlmfpage">
    <w:name w:val="nlm_fpage"/>
    <w:basedOn w:val="DefaultParagraphFont"/>
    <w:rsid w:val="00950E7A"/>
  </w:style>
  <w:style w:type="character" w:customStyle="1" w:styleId="nlmlpage">
    <w:name w:val="nlm_lpage"/>
    <w:basedOn w:val="DefaultParagraphFont"/>
    <w:rsid w:val="00950E7A"/>
  </w:style>
  <w:style w:type="character" w:customStyle="1" w:styleId="nlmyear">
    <w:name w:val="nlm_year"/>
    <w:basedOn w:val="DefaultParagraphFont"/>
    <w:rsid w:val="00950E7A"/>
  </w:style>
  <w:style w:type="character" w:customStyle="1" w:styleId="ref-google">
    <w:name w:val="ref-google"/>
    <w:basedOn w:val="DefaultParagraphFont"/>
    <w:rsid w:val="00950E7A"/>
  </w:style>
  <w:style w:type="character" w:customStyle="1" w:styleId="ref-xlink">
    <w:name w:val="ref-xlink"/>
    <w:basedOn w:val="DefaultParagraphFont"/>
    <w:rsid w:val="00950E7A"/>
  </w:style>
  <w:style w:type="character" w:customStyle="1" w:styleId="ref-sfxlink">
    <w:name w:val="ref-sfxlink"/>
    <w:basedOn w:val="DefaultParagraphFont"/>
    <w:rsid w:val="00950E7A"/>
  </w:style>
  <w:style w:type="character" w:customStyle="1" w:styleId="nlmpublisher-loc">
    <w:name w:val="nlm_publisher-loc"/>
    <w:basedOn w:val="DefaultParagraphFont"/>
    <w:rsid w:val="00950E7A"/>
  </w:style>
  <w:style w:type="character" w:customStyle="1" w:styleId="nlmpublisher-name">
    <w:name w:val="nlm_publisher-name"/>
    <w:basedOn w:val="DefaultParagraphFont"/>
    <w:rsid w:val="00950E7A"/>
  </w:style>
  <w:style w:type="character" w:styleId="UnresolvedMention">
    <w:name w:val="Unresolved Mention"/>
    <w:basedOn w:val="DefaultParagraphFont"/>
    <w:uiPriority w:val="99"/>
    <w:semiHidden/>
    <w:unhideWhenUsed/>
    <w:rsid w:val="00950E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42961">
      <w:bodyDiv w:val="1"/>
      <w:marLeft w:val="0"/>
      <w:marRight w:val="0"/>
      <w:marTop w:val="0"/>
      <w:marBottom w:val="0"/>
      <w:divBdr>
        <w:top w:val="none" w:sz="0" w:space="0" w:color="auto"/>
        <w:left w:val="none" w:sz="0" w:space="0" w:color="auto"/>
        <w:bottom w:val="none" w:sz="0" w:space="0" w:color="auto"/>
        <w:right w:val="none" w:sz="0" w:space="0" w:color="auto"/>
      </w:divBdr>
      <w:divsChild>
        <w:div w:id="1529949382">
          <w:marLeft w:val="0"/>
          <w:marRight w:val="0"/>
          <w:marTop w:val="0"/>
          <w:marBottom w:val="0"/>
          <w:divBdr>
            <w:top w:val="none" w:sz="0" w:space="0" w:color="auto"/>
            <w:left w:val="none" w:sz="0" w:space="0" w:color="auto"/>
            <w:bottom w:val="none" w:sz="0" w:space="0" w:color="auto"/>
            <w:right w:val="none" w:sz="0" w:space="0" w:color="auto"/>
          </w:divBdr>
          <w:divsChild>
            <w:div w:id="830020058">
              <w:marLeft w:val="0"/>
              <w:marRight w:val="0"/>
              <w:marTop w:val="0"/>
              <w:marBottom w:val="0"/>
              <w:divBdr>
                <w:top w:val="none" w:sz="0" w:space="0" w:color="auto"/>
                <w:left w:val="none" w:sz="0" w:space="0" w:color="auto"/>
                <w:bottom w:val="none" w:sz="0" w:space="0" w:color="auto"/>
                <w:right w:val="none" w:sz="0" w:space="0" w:color="auto"/>
              </w:divBdr>
              <w:divsChild>
                <w:div w:id="37095406">
                  <w:marLeft w:val="0"/>
                  <w:marRight w:val="0"/>
                  <w:marTop w:val="0"/>
                  <w:marBottom w:val="0"/>
                  <w:divBdr>
                    <w:top w:val="none" w:sz="0" w:space="0" w:color="auto"/>
                    <w:left w:val="none" w:sz="0" w:space="0" w:color="auto"/>
                    <w:bottom w:val="none" w:sz="0" w:space="0" w:color="auto"/>
                    <w:right w:val="none" w:sz="0" w:space="0" w:color="auto"/>
                  </w:divBdr>
                  <w:divsChild>
                    <w:div w:id="1969430522">
                      <w:marLeft w:val="0"/>
                      <w:marRight w:val="0"/>
                      <w:marTop w:val="0"/>
                      <w:marBottom w:val="0"/>
                      <w:divBdr>
                        <w:top w:val="none" w:sz="0" w:space="0" w:color="auto"/>
                        <w:left w:val="none" w:sz="0" w:space="0" w:color="auto"/>
                        <w:bottom w:val="none" w:sz="0" w:space="0" w:color="auto"/>
                        <w:right w:val="none" w:sz="0" w:space="0" w:color="auto"/>
                      </w:divBdr>
                      <w:divsChild>
                        <w:div w:id="130365640">
                          <w:marLeft w:val="0"/>
                          <w:marRight w:val="0"/>
                          <w:marTop w:val="0"/>
                          <w:marBottom w:val="0"/>
                          <w:divBdr>
                            <w:top w:val="none" w:sz="0" w:space="0" w:color="auto"/>
                            <w:left w:val="none" w:sz="0" w:space="0" w:color="auto"/>
                            <w:bottom w:val="none" w:sz="0" w:space="0" w:color="auto"/>
                            <w:right w:val="none" w:sz="0" w:space="0" w:color="auto"/>
                          </w:divBdr>
                          <w:divsChild>
                            <w:div w:id="1439376131">
                              <w:marLeft w:val="0"/>
                              <w:marRight w:val="0"/>
                              <w:marTop w:val="0"/>
                              <w:marBottom w:val="0"/>
                              <w:divBdr>
                                <w:top w:val="none" w:sz="0" w:space="0" w:color="auto"/>
                                <w:left w:val="none" w:sz="0" w:space="0" w:color="auto"/>
                                <w:bottom w:val="none" w:sz="0" w:space="0" w:color="auto"/>
                                <w:right w:val="none" w:sz="0" w:space="0" w:color="auto"/>
                              </w:divBdr>
                              <w:divsChild>
                                <w:div w:id="321929336">
                                  <w:marLeft w:val="0"/>
                                  <w:marRight w:val="0"/>
                                  <w:marTop w:val="0"/>
                                  <w:marBottom w:val="0"/>
                                  <w:divBdr>
                                    <w:top w:val="none" w:sz="0" w:space="0" w:color="auto"/>
                                    <w:left w:val="none" w:sz="0" w:space="0" w:color="auto"/>
                                    <w:bottom w:val="none" w:sz="0" w:space="0" w:color="auto"/>
                                    <w:right w:val="none" w:sz="0" w:space="0" w:color="auto"/>
                                  </w:divBdr>
                                </w:div>
                              </w:divsChild>
                            </w:div>
                            <w:div w:id="298993258">
                              <w:marLeft w:val="0"/>
                              <w:marRight w:val="0"/>
                              <w:marTop w:val="0"/>
                              <w:marBottom w:val="0"/>
                              <w:divBdr>
                                <w:top w:val="none" w:sz="0" w:space="0" w:color="auto"/>
                                <w:left w:val="none" w:sz="0" w:space="0" w:color="auto"/>
                                <w:bottom w:val="none" w:sz="0" w:space="0" w:color="auto"/>
                                <w:right w:val="none" w:sz="0" w:space="0" w:color="auto"/>
                              </w:divBdr>
                              <w:divsChild>
                                <w:div w:id="1602909766">
                                  <w:marLeft w:val="0"/>
                                  <w:marRight w:val="0"/>
                                  <w:marTop w:val="0"/>
                                  <w:marBottom w:val="0"/>
                                  <w:divBdr>
                                    <w:top w:val="none" w:sz="0" w:space="0" w:color="auto"/>
                                    <w:left w:val="none" w:sz="0" w:space="0" w:color="auto"/>
                                    <w:bottom w:val="none" w:sz="0" w:space="0" w:color="auto"/>
                                    <w:right w:val="none" w:sz="0" w:space="0" w:color="auto"/>
                                  </w:divBdr>
                                  <w:divsChild>
                                    <w:div w:id="281230576">
                                      <w:marLeft w:val="0"/>
                                      <w:marRight w:val="0"/>
                                      <w:marTop w:val="0"/>
                                      <w:marBottom w:val="0"/>
                                      <w:divBdr>
                                        <w:top w:val="none" w:sz="0" w:space="0" w:color="auto"/>
                                        <w:left w:val="none" w:sz="0" w:space="0" w:color="auto"/>
                                        <w:bottom w:val="none" w:sz="0" w:space="0" w:color="auto"/>
                                        <w:right w:val="none" w:sz="0" w:space="0" w:color="auto"/>
                                      </w:divBdr>
                                      <w:divsChild>
                                        <w:div w:id="97703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426780">
                              <w:marLeft w:val="0"/>
                              <w:marRight w:val="0"/>
                              <w:marTop w:val="0"/>
                              <w:marBottom w:val="0"/>
                              <w:divBdr>
                                <w:top w:val="none" w:sz="0" w:space="0" w:color="auto"/>
                                <w:left w:val="none" w:sz="0" w:space="0" w:color="auto"/>
                                <w:bottom w:val="none" w:sz="0" w:space="0" w:color="auto"/>
                                <w:right w:val="none" w:sz="0" w:space="0" w:color="auto"/>
                              </w:divBdr>
                              <w:divsChild>
                                <w:div w:id="1238124852">
                                  <w:marLeft w:val="0"/>
                                  <w:marRight w:val="0"/>
                                  <w:marTop w:val="0"/>
                                  <w:marBottom w:val="0"/>
                                  <w:divBdr>
                                    <w:top w:val="none" w:sz="0" w:space="0" w:color="auto"/>
                                    <w:left w:val="none" w:sz="0" w:space="0" w:color="auto"/>
                                    <w:bottom w:val="none" w:sz="0" w:space="0" w:color="auto"/>
                                    <w:right w:val="none" w:sz="0" w:space="0" w:color="auto"/>
                                  </w:divBdr>
                                  <w:divsChild>
                                    <w:div w:id="214393121">
                                      <w:marLeft w:val="0"/>
                                      <w:marRight w:val="0"/>
                                      <w:marTop w:val="0"/>
                                      <w:marBottom w:val="0"/>
                                      <w:divBdr>
                                        <w:top w:val="none" w:sz="0" w:space="0" w:color="auto"/>
                                        <w:left w:val="none" w:sz="0" w:space="0" w:color="auto"/>
                                        <w:bottom w:val="none" w:sz="0" w:space="0" w:color="auto"/>
                                        <w:right w:val="none" w:sz="0" w:space="0" w:color="auto"/>
                                      </w:divBdr>
                                      <w:divsChild>
                                        <w:div w:id="12851652">
                                          <w:marLeft w:val="0"/>
                                          <w:marRight w:val="0"/>
                                          <w:marTop w:val="0"/>
                                          <w:marBottom w:val="0"/>
                                          <w:divBdr>
                                            <w:top w:val="none" w:sz="0" w:space="0" w:color="auto"/>
                                            <w:left w:val="none" w:sz="0" w:space="0" w:color="auto"/>
                                            <w:bottom w:val="none" w:sz="0" w:space="0" w:color="auto"/>
                                            <w:right w:val="none" w:sz="0" w:space="0" w:color="auto"/>
                                          </w:divBdr>
                                          <w:divsChild>
                                            <w:div w:id="15462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22507">
                                  <w:marLeft w:val="0"/>
                                  <w:marRight w:val="0"/>
                                  <w:marTop w:val="0"/>
                                  <w:marBottom w:val="0"/>
                                  <w:divBdr>
                                    <w:top w:val="none" w:sz="0" w:space="0" w:color="auto"/>
                                    <w:left w:val="none" w:sz="0" w:space="0" w:color="auto"/>
                                    <w:bottom w:val="none" w:sz="0" w:space="0" w:color="auto"/>
                                    <w:right w:val="none" w:sz="0" w:space="0" w:color="auto"/>
                                  </w:divBdr>
                                  <w:divsChild>
                                    <w:div w:id="496307548">
                                      <w:marLeft w:val="0"/>
                                      <w:marRight w:val="0"/>
                                      <w:marTop w:val="0"/>
                                      <w:marBottom w:val="0"/>
                                      <w:divBdr>
                                        <w:top w:val="none" w:sz="0" w:space="0" w:color="auto"/>
                                        <w:left w:val="none" w:sz="0" w:space="0" w:color="auto"/>
                                        <w:bottom w:val="none" w:sz="0" w:space="0" w:color="auto"/>
                                        <w:right w:val="none" w:sz="0" w:space="0" w:color="auto"/>
                                      </w:divBdr>
                                      <w:divsChild>
                                        <w:div w:id="2062898132">
                                          <w:marLeft w:val="0"/>
                                          <w:marRight w:val="0"/>
                                          <w:marTop w:val="0"/>
                                          <w:marBottom w:val="0"/>
                                          <w:divBdr>
                                            <w:top w:val="none" w:sz="0" w:space="0" w:color="auto"/>
                                            <w:left w:val="none" w:sz="0" w:space="0" w:color="auto"/>
                                            <w:bottom w:val="none" w:sz="0" w:space="0" w:color="auto"/>
                                            <w:right w:val="none" w:sz="0" w:space="0" w:color="auto"/>
                                          </w:divBdr>
                                          <w:divsChild>
                                            <w:div w:id="1409229823">
                                              <w:marLeft w:val="0"/>
                                              <w:marRight w:val="0"/>
                                              <w:marTop w:val="0"/>
                                              <w:marBottom w:val="0"/>
                                              <w:divBdr>
                                                <w:top w:val="none" w:sz="0" w:space="0" w:color="auto"/>
                                                <w:left w:val="none" w:sz="0" w:space="0" w:color="auto"/>
                                                <w:bottom w:val="none" w:sz="0" w:space="0" w:color="auto"/>
                                                <w:right w:val="none" w:sz="0" w:space="0" w:color="auto"/>
                                              </w:divBdr>
                                              <w:divsChild>
                                                <w:div w:id="21253438">
                                                  <w:marLeft w:val="0"/>
                                                  <w:marRight w:val="0"/>
                                                  <w:marTop w:val="0"/>
                                                  <w:marBottom w:val="0"/>
                                                  <w:divBdr>
                                                    <w:top w:val="none" w:sz="0" w:space="0" w:color="auto"/>
                                                    <w:left w:val="none" w:sz="0" w:space="0" w:color="auto"/>
                                                    <w:bottom w:val="none" w:sz="0" w:space="0" w:color="auto"/>
                                                    <w:right w:val="none" w:sz="0" w:space="0" w:color="auto"/>
                                                  </w:divBdr>
                                                  <w:divsChild>
                                                    <w:div w:id="27145303">
                                                      <w:marLeft w:val="0"/>
                                                      <w:marRight w:val="0"/>
                                                      <w:marTop w:val="0"/>
                                                      <w:marBottom w:val="0"/>
                                                      <w:divBdr>
                                                        <w:top w:val="none" w:sz="0" w:space="0" w:color="auto"/>
                                                        <w:left w:val="none" w:sz="0" w:space="0" w:color="auto"/>
                                                        <w:bottom w:val="none" w:sz="0" w:space="0" w:color="auto"/>
                                                        <w:right w:val="none" w:sz="0" w:space="0" w:color="auto"/>
                                                      </w:divBdr>
                                                      <w:divsChild>
                                                        <w:div w:id="298220828">
                                                          <w:marLeft w:val="0"/>
                                                          <w:marRight w:val="0"/>
                                                          <w:marTop w:val="0"/>
                                                          <w:marBottom w:val="0"/>
                                                          <w:divBdr>
                                                            <w:top w:val="none" w:sz="0" w:space="0" w:color="auto"/>
                                                            <w:left w:val="none" w:sz="0" w:space="0" w:color="auto"/>
                                                            <w:bottom w:val="none" w:sz="0" w:space="0" w:color="auto"/>
                                                            <w:right w:val="none" w:sz="0" w:space="0" w:color="auto"/>
                                                          </w:divBdr>
                                                          <w:divsChild>
                                                            <w:div w:id="1423600748">
                                                              <w:marLeft w:val="0"/>
                                                              <w:marRight w:val="0"/>
                                                              <w:marTop w:val="0"/>
                                                              <w:marBottom w:val="0"/>
                                                              <w:divBdr>
                                                                <w:top w:val="none" w:sz="0" w:space="0" w:color="auto"/>
                                                                <w:left w:val="none" w:sz="0" w:space="0" w:color="auto"/>
                                                                <w:bottom w:val="none" w:sz="0" w:space="0" w:color="auto"/>
                                                                <w:right w:val="none" w:sz="0" w:space="0" w:color="auto"/>
                                                              </w:divBdr>
                                                              <w:divsChild>
                                                                <w:div w:id="1366567077">
                                                                  <w:marLeft w:val="0"/>
                                                                  <w:marRight w:val="0"/>
                                                                  <w:marTop w:val="0"/>
                                                                  <w:marBottom w:val="0"/>
                                                                  <w:divBdr>
                                                                    <w:top w:val="none" w:sz="0" w:space="0" w:color="auto"/>
                                                                    <w:left w:val="none" w:sz="0" w:space="0" w:color="auto"/>
                                                                    <w:bottom w:val="none" w:sz="0" w:space="0" w:color="auto"/>
                                                                    <w:right w:val="none" w:sz="0" w:space="0" w:color="auto"/>
                                                                  </w:divBdr>
                                                                  <w:divsChild>
                                                                    <w:div w:id="855271360">
                                                                      <w:marLeft w:val="0"/>
                                                                      <w:marRight w:val="0"/>
                                                                      <w:marTop w:val="0"/>
                                                                      <w:marBottom w:val="0"/>
                                                                      <w:divBdr>
                                                                        <w:top w:val="none" w:sz="0" w:space="0" w:color="auto"/>
                                                                        <w:left w:val="none" w:sz="0" w:space="0" w:color="auto"/>
                                                                        <w:bottom w:val="none" w:sz="0" w:space="0" w:color="auto"/>
                                                                        <w:right w:val="none" w:sz="0" w:space="0" w:color="auto"/>
                                                                      </w:divBdr>
                                                                      <w:divsChild>
                                                                        <w:div w:id="1127705125">
                                                                          <w:marLeft w:val="0"/>
                                                                          <w:marRight w:val="0"/>
                                                                          <w:marTop w:val="0"/>
                                                                          <w:marBottom w:val="0"/>
                                                                          <w:divBdr>
                                                                            <w:top w:val="none" w:sz="0" w:space="0" w:color="auto"/>
                                                                            <w:left w:val="none" w:sz="0" w:space="0" w:color="auto"/>
                                                                            <w:bottom w:val="none" w:sz="0" w:space="0" w:color="auto"/>
                                                                            <w:right w:val="none" w:sz="0" w:space="0" w:color="auto"/>
                                                                          </w:divBdr>
                                                                          <w:divsChild>
                                                                            <w:div w:id="1605989910">
                                                                              <w:marLeft w:val="0"/>
                                                                              <w:marRight w:val="0"/>
                                                                              <w:marTop w:val="0"/>
                                                                              <w:marBottom w:val="0"/>
                                                                              <w:divBdr>
                                                                                <w:top w:val="none" w:sz="0" w:space="0" w:color="auto"/>
                                                                                <w:left w:val="none" w:sz="0" w:space="0" w:color="auto"/>
                                                                                <w:bottom w:val="none" w:sz="0" w:space="0" w:color="auto"/>
                                                                                <w:right w:val="none" w:sz="0" w:space="0" w:color="auto"/>
                                                                              </w:divBdr>
                                                                              <w:divsChild>
                                                                                <w:div w:id="12221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83651">
                                                                          <w:marLeft w:val="0"/>
                                                                          <w:marRight w:val="0"/>
                                                                          <w:marTop w:val="0"/>
                                                                          <w:marBottom w:val="0"/>
                                                                          <w:divBdr>
                                                                            <w:top w:val="none" w:sz="0" w:space="0" w:color="auto"/>
                                                                            <w:left w:val="none" w:sz="0" w:space="0" w:color="auto"/>
                                                                            <w:bottom w:val="none" w:sz="0" w:space="0" w:color="auto"/>
                                                                            <w:right w:val="none" w:sz="0" w:space="0" w:color="auto"/>
                                                                          </w:divBdr>
                                                                          <w:divsChild>
                                                                            <w:div w:id="1013219316">
                                                                              <w:marLeft w:val="0"/>
                                                                              <w:marRight w:val="0"/>
                                                                              <w:marTop w:val="0"/>
                                                                              <w:marBottom w:val="0"/>
                                                                              <w:divBdr>
                                                                                <w:top w:val="none" w:sz="0" w:space="0" w:color="auto"/>
                                                                                <w:left w:val="none" w:sz="0" w:space="0" w:color="auto"/>
                                                                                <w:bottom w:val="none" w:sz="0" w:space="0" w:color="auto"/>
                                                                                <w:right w:val="none" w:sz="0" w:space="0" w:color="auto"/>
                                                                              </w:divBdr>
                                                                              <w:divsChild>
                                                                                <w:div w:id="278726404">
                                                                                  <w:marLeft w:val="0"/>
                                                                                  <w:marRight w:val="0"/>
                                                                                  <w:marTop w:val="0"/>
                                                                                  <w:marBottom w:val="0"/>
                                                                                  <w:divBdr>
                                                                                    <w:top w:val="none" w:sz="0" w:space="0" w:color="auto"/>
                                                                                    <w:left w:val="none" w:sz="0" w:space="0" w:color="auto"/>
                                                                                    <w:bottom w:val="none" w:sz="0" w:space="0" w:color="auto"/>
                                                                                    <w:right w:val="none" w:sz="0" w:space="0" w:color="auto"/>
                                                                                  </w:divBdr>
                                                                                  <w:divsChild>
                                                                                    <w:div w:id="1936935474">
                                                                                      <w:marLeft w:val="0"/>
                                                                                      <w:marRight w:val="0"/>
                                                                                      <w:marTop w:val="0"/>
                                                                                      <w:marBottom w:val="0"/>
                                                                                      <w:divBdr>
                                                                                        <w:top w:val="none" w:sz="0" w:space="0" w:color="auto"/>
                                                                                        <w:left w:val="none" w:sz="0" w:space="0" w:color="auto"/>
                                                                                        <w:bottom w:val="none" w:sz="0" w:space="0" w:color="auto"/>
                                                                                        <w:right w:val="none" w:sz="0" w:space="0" w:color="auto"/>
                                                                                      </w:divBdr>
                                                                                      <w:divsChild>
                                                                                        <w:div w:id="877205202">
                                                                                          <w:marLeft w:val="0"/>
                                                                                          <w:marRight w:val="0"/>
                                                                                          <w:marTop w:val="0"/>
                                                                                          <w:marBottom w:val="0"/>
                                                                                          <w:divBdr>
                                                                                            <w:top w:val="none" w:sz="0" w:space="0" w:color="auto"/>
                                                                                            <w:left w:val="none" w:sz="0" w:space="0" w:color="auto"/>
                                                                                            <w:bottom w:val="none" w:sz="0" w:space="0" w:color="auto"/>
                                                                                            <w:right w:val="none" w:sz="0" w:space="0" w:color="auto"/>
                                                                                          </w:divBdr>
                                                                                          <w:divsChild>
                                                                                            <w:div w:id="1561669149">
                                                                                              <w:marLeft w:val="0"/>
                                                                                              <w:marRight w:val="0"/>
                                                                                              <w:marTop w:val="0"/>
                                                                                              <w:marBottom w:val="0"/>
                                                                                              <w:divBdr>
                                                                                                <w:top w:val="none" w:sz="0" w:space="0" w:color="auto"/>
                                                                                                <w:left w:val="none" w:sz="0" w:space="0" w:color="auto"/>
                                                                                                <w:bottom w:val="none" w:sz="0" w:space="0" w:color="auto"/>
                                                                                                <w:right w:val="none" w:sz="0" w:space="0" w:color="auto"/>
                                                                                              </w:divBdr>
                                                                                              <w:divsChild>
                                                                                                <w:div w:id="1191914355">
                                                                                                  <w:marLeft w:val="0"/>
                                                                                                  <w:marRight w:val="0"/>
                                                                                                  <w:marTop w:val="0"/>
                                                                                                  <w:marBottom w:val="0"/>
                                                                                                  <w:divBdr>
                                                                                                    <w:top w:val="none" w:sz="0" w:space="0" w:color="auto"/>
                                                                                                    <w:left w:val="none" w:sz="0" w:space="0" w:color="auto"/>
                                                                                                    <w:bottom w:val="none" w:sz="0" w:space="0" w:color="auto"/>
                                                                                                    <w:right w:val="none" w:sz="0" w:space="0" w:color="auto"/>
                                                                                                  </w:divBdr>
                                                                                                  <w:divsChild>
                                                                                                    <w:div w:id="84948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7999215">
                                                          <w:marLeft w:val="0"/>
                                                          <w:marRight w:val="0"/>
                                                          <w:marTop w:val="0"/>
                                                          <w:marBottom w:val="0"/>
                                                          <w:divBdr>
                                                            <w:top w:val="none" w:sz="0" w:space="0" w:color="auto"/>
                                                            <w:left w:val="none" w:sz="0" w:space="0" w:color="auto"/>
                                                            <w:bottom w:val="none" w:sz="0" w:space="0" w:color="auto"/>
                                                            <w:right w:val="none" w:sz="0" w:space="0" w:color="auto"/>
                                                          </w:divBdr>
                                                          <w:divsChild>
                                                            <w:div w:id="250744402">
                                                              <w:marLeft w:val="0"/>
                                                              <w:marRight w:val="0"/>
                                                              <w:marTop w:val="0"/>
                                                              <w:marBottom w:val="0"/>
                                                              <w:divBdr>
                                                                <w:top w:val="none" w:sz="0" w:space="0" w:color="auto"/>
                                                                <w:left w:val="none" w:sz="0" w:space="0" w:color="auto"/>
                                                                <w:bottom w:val="none" w:sz="0" w:space="0" w:color="auto"/>
                                                                <w:right w:val="none" w:sz="0" w:space="0" w:color="auto"/>
                                                              </w:divBdr>
                                                              <w:divsChild>
                                                                <w:div w:id="1386104500">
                                                                  <w:marLeft w:val="0"/>
                                                                  <w:marRight w:val="0"/>
                                                                  <w:marTop w:val="0"/>
                                                                  <w:marBottom w:val="0"/>
                                                                  <w:divBdr>
                                                                    <w:top w:val="none" w:sz="0" w:space="0" w:color="auto"/>
                                                                    <w:left w:val="none" w:sz="0" w:space="0" w:color="auto"/>
                                                                    <w:bottom w:val="none" w:sz="0" w:space="0" w:color="auto"/>
                                                                    <w:right w:val="none" w:sz="0" w:space="0" w:color="auto"/>
                                                                  </w:divBdr>
                                                                  <w:divsChild>
                                                                    <w:div w:id="469127460">
                                                                      <w:marLeft w:val="0"/>
                                                                      <w:marRight w:val="0"/>
                                                                      <w:marTop w:val="0"/>
                                                                      <w:marBottom w:val="0"/>
                                                                      <w:divBdr>
                                                                        <w:top w:val="none" w:sz="0" w:space="0" w:color="auto"/>
                                                                        <w:left w:val="none" w:sz="0" w:space="0" w:color="auto"/>
                                                                        <w:bottom w:val="none" w:sz="0" w:space="0" w:color="auto"/>
                                                                        <w:right w:val="none" w:sz="0" w:space="0" w:color="auto"/>
                                                                      </w:divBdr>
                                                                      <w:divsChild>
                                                                        <w:div w:id="941962047">
                                                                          <w:marLeft w:val="0"/>
                                                                          <w:marRight w:val="0"/>
                                                                          <w:marTop w:val="0"/>
                                                                          <w:marBottom w:val="0"/>
                                                                          <w:divBdr>
                                                                            <w:top w:val="none" w:sz="0" w:space="0" w:color="auto"/>
                                                                            <w:left w:val="none" w:sz="0" w:space="0" w:color="auto"/>
                                                                            <w:bottom w:val="none" w:sz="0" w:space="0" w:color="auto"/>
                                                                            <w:right w:val="none" w:sz="0" w:space="0" w:color="auto"/>
                                                                          </w:divBdr>
                                                                        </w:div>
                                                                        <w:div w:id="430514169">
                                                                          <w:marLeft w:val="0"/>
                                                                          <w:marRight w:val="0"/>
                                                                          <w:marTop w:val="0"/>
                                                                          <w:marBottom w:val="0"/>
                                                                          <w:divBdr>
                                                                            <w:top w:val="none" w:sz="0" w:space="0" w:color="auto"/>
                                                                            <w:left w:val="none" w:sz="0" w:space="0" w:color="auto"/>
                                                                            <w:bottom w:val="none" w:sz="0" w:space="0" w:color="auto"/>
                                                                            <w:right w:val="none" w:sz="0" w:space="0" w:color="auto"/>
                                                                          </w:divBdr>
                                                                        </w:div>
                                                                      </w:divsChild>
                                                                    </w:div>
                                                                    <w:div w:id="391271914">
                                                                      <w:marLeft w:val="0"/>
                                                                      <w:marRight w:val="0"/>
                                                                      <w:marTop w:val="0"/>
                                                                      <w:marBottom w:val="0"/>
                                                                      <w:divBdr>
                                                                        <w:top w:val="none" w:sz="0" w:space="0" w:color="auto"/>
                                                                        <w:left w:val="none" w:sz="0" w:space="0" w:color="auto"/>
                                                                        <w:bottom w:val="none" w:sz="0" w:space="0" w:color="auto"/>
                                                                        <w:right w:val="none" w:sz="0" w:space="0" w:color="auto"/>
                                                                      </w:divBdr>
                                                                      <w:divsChild>
                                                                        <w:div w:id="823475064">
                                                                          <w:marLeft w:val="0"/>
                                                                          <w:marRight w:val="0"/>
                                                                          <w:marTop w:val="0"/>
                                                                          <w:marBottom w:val="0"/>
                                                                          <w:divBdr>
                                                                            <w:top w:val="none" w:sz="0" w:space="0" w:color="auto"/>
                                                                            <w:left w:val="none" w:sz="0" w:space="0" w:color="auto"/>
                                                                            <w:bottom w:val="none" w:sz="0" w:space="0" w:color="auto"/>
                                                                            <w:right w:val="none" w:sz="0" w:space="0" w:color="auto"/>
                                                                          </w:divBdr>
                                                                          <w:divsChild>
                                                                            <w:div w:id="1027868860">
                                                                              <w:marLeft w:val="0"/>
                                                                              <w:marRight w:val="0"/>
                                                                              <w:marTop w:val="0"/>
                                                                              <w:marBottom w:val="0"/>
                                                                              <w:divBdr>
                                                                                <w:top w:val="none" w:sz="0" w:space="0" w:color="auto"/>
                                                                                <w:left w:val="none" w:sz="0" w:space="0" w:color="auto"/>
                                                                                <w:bottom w:val="none" w:sz="0" w:space="0" w:color="auto"/>
                                                                                <w:right w:val="none" w:sz="0" w:space="0" w:color="auto"/>
                                                                              </w:divBdr>
                                                                              <w:divsChild>
                                                                                <w:div w:id="54201841">
                                                                                  <w:marLeft w:val="0"/>
                                                                                  <w:marRight w:val="0"/>
                                                                                  <w:marTop w:val="0"/>
                                                                                  <w:marBottom w:val="0"/>
                                                                                  <w:divBdr>
                                                                                    <w:top w:val="none" w:sz="0" w:space="0" w:color="auto"/>
                                                                                    <w:left w:val="none" w:sz="0" w:space="0" w:color="auto"/>
                                                                                    <w:bottom w:val="none" w:sz="0" w:space="0" w:color="auto"/>
                                                                                    <w:right w:val="none" w:sz="0" w:space="0" w:color="auto"/>
                                                                                  </w:divBdr>
                                                                                </w:div>
                                                                                <w:div w:id="181306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92068">
                                                                      <w:marLeft w:val="0"/>
                                                                      <w:marRight w:val="0"/>
                                                                      <w:marTop w:val="0"/>
                                                                      <w:marBottom w:val="0"/>
                                                                      <w:divBdr>
                                                                        <w:top w:val="none" w:sz="0" w:space="0" w:color="auto"/>
                                                                        <w:left w:val="none" w:sz="0" w:space="0" w:color="auto"/>
                                                                        <w:bottom w:val="none" w:sz="0" w:space="0" w:color="auto"/>
                                                                        <w:right w:val="none" w:sz="0" w:space="0" w:color="auto"/>
                                                                      </w:divBdr>
                                                                      <w:divsChild>
                                                                        <w:div w:id="53497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5779394">
                      <w:marLeft w:val="0"/>
                      <w:marRight w:val="0"/>
                      <w:marTop w:val="0"/>
                      <w:marBottom w:val="0"/>
                      <w:divBdr>
                        <w:top w:val="none" w:sz="0" w:space="0" w:color="auto"/>
                        <w:left w:val="none" w:sz="0" w:space="0" w:color="auto"/>
                        <w:bottom w:val="none" w:sz="0" w:space="0" w:color="auto"/>
                        <w:right w:val="none" w:sz="0" w:space="0" w:color="auto"/>
                      </w:divBdr>
                      <w:divsChild>
                        <w:div w:id="817959676">
                          <w:marLeft w:val="0"/>
                          <w:marRight w:val="0"/>
                          <w:marTop w:val="0"/>
                          <w:marBottom w:val="0"/>
                          <w:divBdr>
                            <w:top w:val="none" w:sz="0" w:space="0" w:color="auto"/>
                            <w:left w:val="none" w:sz="0" w:space="0" w:color="auto"/>
                            <w:bottom w:val="none" w:sz="0" w:space="0" w:color="auto"/>
                            <w:right w:val="none" w:sz="0" w:space="0" w:color="auto"/>
                          </w:divBdr>
                          <w:divsChild>
                            <w:div w:id="616065189">
                              <w:marLeft w:val="0"/>
                              <w:marRight w:val="0"/>
                              <w:marTop w:val="0"/>
                              <w:marBottom w:val="0"/>
                              <w:divBdr>
                                <w:top w:val="none" w:sz="0" w:space="0" w:color="auto"/>
                                <w:left w:val="none" w:sz="0" w:space="0" w:color="auto"/>
                                <w:bottom w:val="none" w:sz="0" w:space="0" w:color="auto"/>
                                <w:right w:val="none" w:sz="0" w:space="0" w:color="auto"/>
                              </w:divBdr>
                              <w:divsChild>
                                <w:div w:id="325524152">
                                  <w:marLeft w:val="0"/>
                                  <w:marRight w:val="0"/>
                                  <w:marTop w:val="0"/>
                                  <w:marBottom w:val="0"/>
                                  <w:divBdr>
                                    <w:top w:val="none" w:sz="0" w:space="0" w:color="auto"/>
                                    <w:left w:val="none" w:sz="0" w:space="0" w:color="auto"/>
                                    <w:bottom w:val="none" w:sz="0" w:space="0" w:color="auto"/>
                                    <w:right w:val="none" w:sz="0" w:space="0" w:color="auto"/>
                                  </w:divBdr>
                                  <w:divsChild>
                                    <w:div w:id="956840508">
                                      <w:marLeft w:val="0"/>
                                      <w:marRight w:val="0"/>
                                      <w:marTop w:val="0"/>
                                      <w:marBottom w:val="0"/>
                                      <w:divBdr>
                                        <w:top w:val="none" w:sz="0" w:space="0" w:color="auto"/>
                                        <w:left w:val="none" w:sz="0" w:space="0" w:color="auto"/>
                                        <w:bottom w:val="none" w:sz="0" w:space="0" w:color="auto"/>
                                        <w:right w:val="none" w:sz="0" w:space="0" w:color="auto"/>
                                      </w:divBdr>
                                      <w:divsChild>
                                        <w:div w:id="293219769">
                                          <w:marLeft w:val="0"/>
                                          <w:marRight w:val="0"/>
                                          <w:marTop w:val="0"/>
                                          <w:marBottom w:val="0"/>
                                          <w:divBdr>
                                            <w:top w:val="none" w:sz="0" w:space="0" w:color="auto"/>
                                            <w:left w:val="none" w:sz="0" w:space="0" w:color="auto"/>
                                            <w:bottom w:val="none" w:sz="0" w:space="0" w:color="auto"/>
                                            <w:right w:val="none" w:sz="0" w:space="0" w:color="auto"/>
                                          </w:divBdr>
                                        </w:div>
                                        <w:div w:id="898050503">
                                          <w:marLeft w:val="0"/>
                                          <w:marRight w:val="0"/>
                                          <w:marTop w:val="0"/>
                                          <w:marBottom w:val="0"/>
                                          <w:divBdr>
                                            <w:top w:val="none" w:sz="0" w:space="0" w:color="auto"/>
                                            <w:left w:val="none" w:sz="0" w:space="0" w:color="auto"/>
                                            <w:bottom w:val="none" w:sz="0" w:space="0" w:color="auto"/>
                                            <w:right w:val="none" w:sz="0" w:space="0" w:color="auto"/>
                                          </w:divBdr>
                                        </w:div>
                                      </w:divsChild>
                                    </w:div>
                                    <w:div w:id="709498534">
                                      <w:marLeft w:val="0"/>
                                      <w:marRight w:val="0"/>
                                      <w:marTop w:val="0"/>
                                      <w:marBottom w:val="0"/>
                                      <w:divBdr>
                                        <w:top w:val="none" w:sz="0" w:space="0" w:color="auto"/>
                                        <w:left w:val="none" w:sz="0" w:space="0" w:color="auto"/>
                                        <w:bottom w:val="none" w:sz="0" w:space="0" w:color="auto"/>
                                        <w:right w:val="none" w:sz="0" w:space="0" w:color="auto"/>
                                      </w:divBdr>
                                      <w:divsChild>
                                        <w:div w:id="370225203">
                                          <w:marLeft w:val="0"/>
                                          <w:marRight w:val="0"/>
                                          <w:marTop w:val="0"/>
                                          <w:marBottom w:val="0"/>
                                          <w:divBdr>
                                            <w:top w:val="none" w:sz="0" w:space="0" w:color="auto"/>
                                            <w:left w:val="none" w:sz="0" w:space="0" w:color="auto"/>
                                            <w:bottom w:val="none" w:sz="0" w:space="0" w:color="auto"/>
                                            <w:right w:val="none" w:sz="0" w:space="0" w:color="auto"/>
                                          </w:divBdr>
                                          <w:divsChild>
                                            <w:div w:id="60654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78139">
                                      <w:marLeft w:val="0"/>
                                      <w:marRight w:val="0"/>
                                      <w:marTop w:val="0"/>
                                      <w:marBottom w:val="0"/>
                                      <w:divBdr>
                                        <w:top w:val="none" w:sz="0" w:space="0" w:color="auto"/>
                                        <w:left w:val="none" w:sz="0" w:space="0" w:color="auto"/>
                                        <w:bottom w:val="none" w:sz="0" w:space="0" w:color="auto"/>
                                        <w:right w:val="none" w:sz="0" w:space="0" w:color="auto"/>
                                      </w:divBdr>
                                      <w:divsChild>
                                        <w:div w:id="1289317741">
                                          <w:marLeft w:val="0"/>
                                          <w:marRight w:val="0"/>
                                          <w:marTop w:val="0"/>
                                          <w:marBottom w:val="0"/>
                                          <w:divBdr>
                                            <w:top w:val="none" w:sz="0" w:space="0" w:color="auto"/>
                                            <w:left w:val="none" w:sz="0" w:space="0" w:color="auto"/>
                                            <w:bottom w:val="none" w:sz="0" w:space="0" w:color="auto"/>
                                            <w:right w:val="none" w:sz="0" w:space="0" w:color="auto"/>
                                          </w:divBdr>
                                          <w:divsChild>
                                            <w:div w:id="1745493997">
                                              <w:marLeft w:val="0"/>
                                              <w:marRight w:val="0"/>
                                              <w:marTop w:val="0"/>
                                              <w:marBottom w:val="0"/>
                                              <w:divBdr>
                                                <w:top w:val="none" w:sz="0" w:space="0" w:color="auto"/>
                                                <w:left w:val="none" w:sz="0" w:space="0" w:color="auto"/>
                                                <w:bottom w:val="none" w:sz="0" w:space="0" w:color="auto"/>
                                                <w:right w:val="none" w:sz="0" w:space="0" w:color="auto"/>
                                              </w:divBdr>
                                            </w:div>
                                          </w:divsChild>
                                        </w:div>
                                        <w:div w:id="123085737">
                                          <w:marLeft w:val="0"/>
                                          <w:marRight w:val="0"/>
                                          <w:marTop w:val="0"/>
                                          <w:marBottom w:val="0"/>
                                          <w:divBdr>
                                            <w:top w:val="none" w:sz="0" w:space="0" w:color="auto"/>
                                            <w:left w:val="none" w:sz="0" w:space="0" w:color="auto"/>
                                            <w:bottom w:val="none" w:sz="0" w:space="0" w:color="auto"/>
                                            <w:right w:val="none" w:sz="0" w:space="0" w:color="auto"/>
                                          </w:divBdr>
                                          <w:divsChild>
                                            <w:div w:id="313922237">
                                              <w:marLeft w:val="0"/>
                                              <w:marRight w:val="0"/>
                                              <w:marTop w:val="0"/>
                                              <w:marBottom w:val="0"/>
                                              <w:divBdr>
                                                <w:top w:val="none" w:sz="0" w:space="0" w:color="auto"/>
                                                <w:left w:val="none" w:sz="0" w:space="0" w:color="auto"/>
                                                <w:bottom w:val="none" w:sz="0" w:space="0" w:color="auto"/>
                                                <w:right w:val="none" w:sz="0" w:space="0" w:color="auto"/>
                                              </w:divBdr>
                                            </w:div>
                                            <w:div w:id="909576434">
                                              <w:marLeft w:val="0"/>
                                              <w:marRight w:val="0"/>
                                              <w:marTop w:val="0"/>
                                              <w:marBottom w:val="0"/>
                                              <w:divBdr>
                                                <w:top w:val="none" w:sz="0" w:space="0" w:color="auto"/>
                                                <w:left w:val="none" w:sz="0" w:space="0" w:color="auto"/>
                                                <w:bottom w:val="none" w:sz="0" w:space="0" w:color="auto"/>
                                                <w:right w:val="none" w:sz="0" w:space="0" w:color="auto"/>
                                              </w:divBdr>
                                              <w:divsChild>
                                                <w:div w:id="1541043023">
                                                  <w:marLeft w:val="0"/>
                                                  <w:marRight w:val="0"/>
                                                  <w:marTop w:val="0"/>
                                                  <w:marBottom w:val="0"/>
                                                  <w:divBdr>
                                                    <w:top w:val="none" w:sz="0" w:space="0" w:color="auto"/>
                                                    <w:left w:val="none" w:sz="0" w:space="0" w:color="auto"/>
                                                    <w:bottom w:val="none" w:sz="0" w:space="0" w:color="auto"/>
                                                    <w:right w:val="none" w:sz="0" w:space="0" w:color="auto"/>
                                                  </w:divBdr>
                                                </w:div>
                                              </w:divsChild>
                                            </w:div>
                                            <w:div w:id="1299803008">
                                              <w:marLeft w:val="0"/>
                                              <w:marRight w:val="0"/>
                                              <w:marTop w:val="0"/>
                                              <w:marBottom w:val="0"/>
                                              <w:divBdr>
                                                <w:top w:val="none" w:sz="0" w:space="0" w:color="auto"/>
                                                <w:left w:val="none" w:sz="0" w:space="0" w:color="auto"/>
                                                <w:bottom w:val="none" w:sz="0" w:space="0" w:color="auto"/>
                                                <w:right w:val="none" w:sz="0" w:space="0" w:color="auto"/>
                                              </w:divBdr>
                                              <w:divsChild>
                                                <w:div w:id="935334104">
                                                  <w:marLeft w:val="0"/>
                                                  <w:marRight w:val="0"/>
                                                  <w:marTop w:val="0"/>
                                                  <w:marBottom w:val="0"/>
                                                  <w:divBdr>
                                                    <w:top w:val="none" w:sz="0" w:space="0" w:color="auto"/>
                                                    <w:left w:val="none" w:sz="0" w:space="0" w:color="auto"/>
                                                    <w:bottom w:val="none" w:sz="0" w:space="0" w:color="auto"/>
                                                    <w:right w:val="none" w:sz="0" w:space="0" w:color="auto"/>
                                                  </w:divBdr>
                                                </w:div>
                                              </w:divsChild>
                                            </w:div>
                                            <w:div w:id="962884289">
                                              <w:marLeft w:val="0"/>
                                              <w:marRight w:val="0"/>
                                              <w:marTop w:val="0"/>
                                              <w:marBottom w:val="0"/>
                                              <w:divBdr>
                                                <w:top w:val="none" w:sz="0" w:space="0" w:color="auto"/>
                                                <w:left w:val="none" w:sz="0" w:space="0" w:color="auto"/>
                                                <w:bottom w:val="none" w:sz="0" w:space="0" w:color="auto"/>
                                                <w:right w:val="none" w:sz="0" w:space="0" w:color="auto"/>
                                              </w:divBdr>
                                              <w:divsChild>
                                                <w:div w:id="92091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9301">
                                          <w:marLeft w:val="0"/>
                                          <w:marRight w:val="0"/>
                                          <w:marTop w:val="0"/>
                                          <w:marBottom w:val="0"/>
                                          <w:divBdr>
                                            <w:top w:val="none" w:sz="0" w:space="0" w:color="auto"/>
                                            <w:left w:val="none" w:sz="0" w:space="0" w:color="auto"/>
                                            <w:bottom w:val="none" w:sz="0" w:space="0" w:color="auto"/>
                                            <w:right w:val="none" w:sz="0" w:space="0" w:color="auto"/>
                                          </w:divBdr>
                                          <w:divsChild>
                                            <w:div w:id="340013810">
                                              <w:marLeft w:val="0"/>
                                              <w:marRight w:val="0"/>
                                              <w:marTop w:val="0"/>
                                              <w:marBottom w:val="0"/>
                                              <w:divBdr>
                                                <w:top w:val="none" w:sz="0" w:space="0" w:color="auto"/>
                                                <w:left w:val="none" w:sz="0" w:space="0" w:color="auto"/>
                                                <w:bottom w:val="none" w:sz="0" w:space="0" w:color="auto"/>
                                                <w:right w:val="none" w:sz="0" w:space="0" w:color="auto"/>
                                              </w:divBdr>
                                            </w:div>
                                            <w:div w:id="653529207">
                                              <w:marLeft w:val="0"/>
                                              <w:marRight w:val="0"/>
                                              <w:marTop w:val="0"/>
                                              <w:marBottom w:val="0"/>
                                              <w:divBdr>
                                                <w:top w:val="none" w:sz="0" w:space="0" w:color="auto"/>
                                                <w:left w:val="none" w:sz="0" w:space="0" w:color="auto"/>
                                                <w:bottom w:val="none" w:sz="0" w:space="0" w:color="auto"/>
                                                <w:right w:val="none" w:sz="0" w:space="0" w:color="auto"/>
                                              </w:divBdr>
                                              <w:divsChild>
                                                <w:div w:id="2028827709">
                                                  <w:marLeft w:val="0"/>
                                                  <w:marRight w:val="0"/>
                                                  <w:marTop w:val="0"/>
                                                  <w:marBottom w:val="0"/>
                                                  <w:divBdr>
                                                    <w:top w:val="none" w:sz="0" w:space="0" w:color="auto"/>
                                                    <w:left w:val="none" w:sz="0" w:space="0" w:color="auto"/>
                                                    <w:bottom w:val="none" w:sz="0" w:space="0" w:color="auto"/>
                                                    <w:right w:val="none" w:sz="0" w:space="0" w:color="auto"/>
                                                  </w:divBdr>
                                                </w:div>
                                                <w:div w:id="1777821934">
                                                  <w:marLeft w:val="0"/>
                                                  <w:marRight w:val="0"/>
                                                  <w:marTop w:val="0"/>
                                                  <w:marBottom w:val="0"/>
                                                  <w:divBdr>
                                                    <w:top w:val="none" w:sz="0" w:space="0" w:color="auto"/>
                                                    <w:left w:val="none" w:sz="0" w:space="0" w:color="auto"/>
                                                    <w:bottom w:val="none" w:sz="0" w:space="0" w:color="auto"/>
                                                    <w:right w:val="none" w:sz="0" w:space="0" w:color="auto"/>
                                                  </w:divBdr>
                                                </w:div>
                                                <w:div w:id="674498729">
                                                  <w:marLeft w:val="0"/>
                                                  <w:marRight w:val="0"/>
                                                  <w:marTop w:val="0"/>
                                                  <w:marBottom w:val="0"/>
                                                  <w:divBdr>
                                                    <w:top w:val="none" w:sz="0" w:space="0" w:color="auto"/>
                                                    <w:left w:val="none" w:sz="0" w:space="0" w:color="auto"/>
                                                    <w:bottom w:val="none" w:sz="0" w:space="0" w:color="auto"/>
                                                    <w:right w:val="none" w:sz="0" w:space="0" w:color="auto"/>
                                                  </w:divBdr>
                                                </w:div>
                                                <w:div w:id="1096636596">
                                                  <w:marLeft w:val="0"/>
                                                  <w:marRight w:val="0"/>
                                                  <w:marTop w:val="0"/>
                                                  <w:marBottom w:val="0"/>
                                                  <w:divBdr>
                                                    <w:top w:val="none" w:sz="0" w:space="0" w:color="auto"/>
                                                    <w:left w:val="none" w:sz="0" w:space="0" w:color="auto"/>
                                                    <w:bottom w:val="none" w:sz="0" w:space="0" w:color="auto"/>
                                                    <w:right w:val="none" w:sz="0" w:space="0" w:color="auto"/>
                                                  </w:divBdr>
                                                  <w:divsChild>
                                                    <w:div w:id="1580946183">
                                                      <w:marLeft w:val="0"/>
                                                      <w:marRight w:val="0"/>
                                                      <w:marTop w:val="0"/>
                                                      <w:marBottom w:val="0"/>
                                                      <w:divBdr>
                                                        <w:top w:val="none" w:sz="0" w:space="0" w:color="auto"/>
                                                        <w:left w:val="none" w:sz="0" w:space="0" w:color="auto"/>
                                                        <w:bottom w:val="none" w:sz="0" w:space="0" w:color="auto"/>
                                                        <w:right w:val="none" w:sz="0" w:space="0" w:color="auto"/>
                                                      </w:divBdr>
                                                      <w:divsChild>
                                                        <w:div w:id="2014724330">
                                                          <w:marLeft w:val="0"/>
                                                          <w:marRight w:val="0"/>
                                                          <w:marTop w:val="0"/>
                                                          <w:marBottom w:val="0"/>
                                                          <w:divBdr>
                                                            <w:top w:val="none" w:sz="0" w:space="0" w:color="auto"/>
                                                            <w:left w:val="none" w:sz="0" w:space="0" w:color="auto"/>
                                                            <w:bottom w:val="none" w:sz="0" w:space="0" w:color="auto"/>
                                                            <w:right w:val="none" w:sz="0" w:space="0" w:color="auto"/>
                                                          </w:divBdr>
                                                        </w:div>
                                                      </w:divsChild>
                                                    </w:div>
                                                    <w:div w:id="148092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0961">
                                              <w:marLeft w:val="0"/>
                                              <w:marRight w:val="0"/>
                                              <w:marTop w:val="0"/>
                                              <w:marBottom w:val="0"/>
                                              <w:divBdr>
                                                <w:top w:val="none" w:sz="0" w:space="0" w:color="auto"/>
                                                <w:left w:val="none" w:sz="0" w:space="0" w:color="auto"/>
                                                <w:bottom w:val="none" w:sz="0" w:space="0" w:color="auto"/>
                                                <w:right w:val="none" w:sz="0" w:space="0" w:color="auto"/>
                                              </w:divBdr>
                                              <w:divsChild>
                                                <w:div w:id="922758444">
                                                  <w:marLeft w:val="0"/>
                                                  <w:marRight w:val="0"/>
                                                  <w:marTop w:val="0"/>
                                                  <w:marBottom w:val="0"/>
                                                  <w:divBdr>
                                                    <w:top w:val="none" w:sz="0" w:space="0" w:color="auto"/>
                                                    <w:left w:val="none" w:sz="0" w:space="0" w:color="auto"/>
                                                    <w:bottom w:val="none" w:sz="0" w:space="0" w:color="auto"/>
                                                    <w:right w:val="none" w:sz="0" w:space="0" w:color="auto"/>
                                                  </w:divBdr>
                                                </w:div>
                                                <w:div w:id="65153679">
                                                  <w:marLeft w:val="0"/>
                                                  <w:marRight w:val="0"/>
                                                  <w:marTop w:val="0"/>
                                                  <w:marBottom w:val="0"/>
                                                  <w:divBdr>
                                                    <w:top w:val="none" w:sz="0" w:space="0" w:color="auto"/>
                                                    <w:left w:val="none" w:sz="0" w:space="0" w:color="auto"/>
                                                    <w:bottom w:val="none" w:sz="0" w:space="0" w:color="auto"/>
                                                    <w:right w:val="none" w:sz="0" w:space="0" w:color="auto"/>
                                                  </w:divBdr>
                                                </w:div>
                                                <w:div w:id="986056839">
                                                  <w:marLeft w:val="0"/>
                                                  <w:marRight w:val="0"/>
                                                  <w:marTop w:val="0"/>
                                                  <w:marBottom w:val="0"/>
                                                  <w:divBdr>
                                                    <w:top w:val="none" w:sz="0" w:space="0" w:color="auto"/>
                                                    <w:left w:val="none" w:sz="0" w:space="0" w:color="auto"/>
                                                    <w:bottom w:val="none" w:sz="0" w:space="0" w:color="auto"/>
                                                    <w:right w:val="none" w:sz="0" w:space="0" w:color="auto"/>
                                                  </w:divBdr>
                                                </w:div>
                                                <w:div w:id="1596597944">
                                                  <w:marLeft w:val="0"/>
                                                  <w:marRight w:val="0"/>
                                                  <w:marTop w:val="0"/>
                                                  <w:marBottom w:val="0"/>
                                                  <w:divBdr>
                                                    <w:top w:val="none" w:sz="0" w:space="0" w:color="auto"/>
                                                    <w:left w:val="none" w:sz="0" w:space="0" w:color="auto"/>
                                                    <w:bottom w:val="none" w:sz="0" w:space="0" w:color="auto"/>
                                                    <w:right w:val="none" w:sz="0" w:space="0" w:color="auto"/>
                                                  </w:divBdr>
                                                  <w:divsChild>
                                                    <w:div w:id="1480268928">
                                                      <w:marLeft w:val="0"/>
                                                      <w:marRight w:val="0"/>
                                                      <w:marTop w:val="0"/>
                                                      <w:marBottom w:val="0"/>
                                                      <w:divBdr>
                                                        <w:top w:val="none" w:sz="0" w:space="0" w:color="auto"/>
                                                        <w:left w:val="none" w:sz="0" w:space="0" w:color="auto"/>
                                                        <w:bottom w:val="none" w:sz="0" w:space="0" w:color="auto"/>
                                                        <w:right w:val="none" w:sz="0" w:space="0" w:color="auto"/>
                                                      </w:divBdr>
                                                      <w:divsChild>
                                                        <w:div w:id="156842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868809">
                                              <w:marLeft w:val="0"/>
                                              <w:marRight w:val="0"/>
                                              <w:marTop w:val="0"/>
                                              <w:marBottom w:val="0"/>
                                              <w:divBdr>
                                                <w:top w:val="none" w:sz="0" w:space="0" w:color="auto"/>
                                                <w:left w:val="none" w:sz="0" w:space="0" w:color="auto"/>
                                                <w:bottom w:val="none" w:sz="0" w:space="0" w:color="auto"/>
                                                <w:right w:val="none" w:sz="0" w:space="0" w:color="auto"/>
                                              </w:divBdr>
                                              <w:divsChild>
                                                <w:div w:id="609092103">
                                                  <w:marLeft w:val="0"/>
                                                  <w:marRight w:val="0"/>
                                                  <w:marTop w:val="0"/>
                                                  <w:marBottom w:val="0"/>
                                                  <w:divBdr>
                                                    <w:top w:val="none" w:sz="0" w:space="0" w:color="auto"/>
                                                    <w:left w:val="none" w:sz="0" w:space="0" w:color="auto"/>
                                                    <w:bottom w:val="none" w:sz="0" w:space="0" w:color="auto"/>
                                                    <w:right w:val="none" w:sz="0" w:space="0" w:color="auto"/>
                                                  </w:divBdr>
                                                </w:div>
                                                <w:div w:id="1066875903">
                                                  <w:marLeft w:val="0"/>
                                                  <w:marRight w:val="0"/>
                                                  <w:marTop w:val="0"/>
                                                  <w:marBottom w:val="0"/>
                                                  <w:divBdr>
                                                    <w:top w:val="none" w:sz="0" w:space="0" w:color="auto"/>
                                                    <w:left w:val="none" w:sz="0" w:space="0" w:color="auto"/>
                                                    <w:bottom w:val="none" w:sz="0" w:space="0" w:color="auto"/>
                                                    <w:right w:val="none" w:sz="0" w:space="0" w:color="auto"/>
                                                  </w:divBdr>
                                                  <w:divsChild>
                                                    <w:div w:id="477190902">
                                                      <w:marLeft w:val="0"/>
                                                      <w:marRight w:val="0"/>
                                                      <w:marTop w:val="0"/>
                                                      <w:marBottom w:val="0"/>
                                                      <w:divBdr>
                                                        <w:top w:val="none" w:sz="0" w:space="0" w:color="auto"/>
                                                        <w:left w:val="none" w:sz="0" w:space="0" w:color="auto"/>
                                                        <w:bottom w:val="none" w:sz="0" w:space="0" w:color="auto"/>
                                                        <w:right w:val="none" w:sz="0" w:space="0" w:color="auto"/>
                                                      </w:divBdr>
                                                      <w:divsChild>
                                                        <w:div w:id="131622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531209">
                                              <w:marLeft w:val="0"/>
                                              <w:marRight w:val="0"/>
                                              <w:marTop w:val="0"/>
                                              <w:marBottom w:val="0"/>
                                              <w:divBdr>
                                                <w:top w:val="none" w:sz="0" w:space="0" w:color="auto"/>
                                                <w:left w:val="none" w:sz="0" w:space="0" w:color="auto"/>
                                                <w:bottom w:val="none" w:sz="0" w:space="0" w:color="auto"/>
                                                <w:right w:val="none" w:sz="0" w:space="0" w:color="auto"/>
                                              </w:divBdr>
                                              <w:divsChild>
                                                <w:div w:id="1913999407">
                                                  <w:marLeft w:val="0"/>
                                                  <w:marRight w:val="0"/>
                                                  <w:marTop w:val="0"/>
                                                  <w:marBottom w:val="0"/>
                                                  <w:divBdr>
                                                    <w:top w:val="none" w:sz="0" w:space="0" w:color="auto"/>
                                                    <w:left w:val="none" w:sz="0" w:space="0" w:color="auto"/>
                                                    <w:bottom w:val="none" w:sz="0" w:space="0" w:color="auto"/>
                                                    <w:right w:val="none" w:sz="0" w:space="0" w:color="auto"/>
                                                  </w:divBdr>
                                                </w:div>
                                                <w:div w:id="940919387">
                                                  <w:marLeft w:val="0"/>
                                                  <w:marRight w:val="0"/>
                                                  <w:marTop w:val="0"/>
                                                  <w:marBottom w:val="0"/>
                                                  <w:divBdr>
                                                    <w:top w:val="none" w:sz="0" w:space="0" w:color="auto"/>
                                                    <w:left w:val="none" w:sz="0" w:space="0" w:color="auto"/>
                                                    <w:bottom w:val="none" w:sz="0" w:space="0" w:color="auto"/>
                                                    <w:right w:val="none" w:sz="0" w:space="0" w:color="auto"/>
                                                  </w:divBdr>
                                                  <w:divsChild>
                                                    <w:div w:id="1665938610">
                                                      <w:marLeft w:val="0"/>
                                                      <w:marRight w:val="0"/>
                                                      <w:marTop w:val="0"/>
                                                      <w:marBottom w:val="0"/>
                                                      <w:divBdr>
                                                        <w:top w:val="none" w:sz="0" w:space="0" w:color="auto"/>
                                                        <w:left w:val="none" w:sz="0" w:space="0" w:color="auto"/>
                                                        <w:bottom w:val="none" w:sz="0" w:space="0" w:color="auto"/>
                                                        <w:right w:val="none" w:sz="0" w:space="0" w:color="auto"/>
                                                      </w:divBdr>
                                                      <w:divsChild>
                                                        <w:div w:id="93074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670265">
                                              <w:marLeft w:val="0"/>
                                              <w:marRight w:val="0"/>
                                              <w:marTop w:val="0"/>
                                              <w:marBottom w:val="0"/>
                                              <w:divBdr>
                                                <w:top w:val="none" w:sz="0" w:space="0" w:color="auto"/>
                                                <w:left w:val="none" w:sz="0" w:space="0" w:color="auto"/>
                                                <w:bottom w:val="none" w:sz="0" w:space="0" w:color="auto"/>
                                                <w:right w:val="none" w:sz="0" w:space="0" w:color="auto"/>
                                              </w:divBdr>
                                              <w:divsChild>
                                                <w:div w:id="1233658812">
                                                  <w:marLeft w:val="0"/>
                                                  <w:marRight w:val="0"/>
                                                  <w:marTop w:val="0"/>
                                                  <w:marBottom w:val="0"/>
                                                  <w:divBdr>
                                                    <w:top w:val="none" w:sz="0" w:space="0" w:color="auto"/>
                                                    <w:left w:val="none" w:sz="0" w:space="0" w:color="auto"/>
                                                    <w:bottom w:val="none" w:sz="0" w:space="0" w:color="auto"/>
                                                    <w:right w:val="none" w:sz="0" w:space="0" w:color="auto"/>
                                                  </w:divBdr>
                                                </w:div>
                                                <w:div w:id="193007709">
                                                  <w:marLeft w:val="0"/>
                                                  <w:marRight w:val="0"/>
                                                  <w:marTop w:val="0"/>
                                                  <w:marBottom w:val="0"/>
                                                  <w:divBdr>
                                                    <w:top w:val="none" w:sz="0" w:space="0" w:color="auto"/>
                                                    <w:left w:val="none" w:sz="0" w:space="0" w:color="auto"/>
                                                    <w:bottom w:val="none" w:sz="0" w:space="0" w:color="auto"/>
                                                    <w:right w:val="none" w:sz="0" w:space="0" w:color="auto"/>
                                                  </w:divBdr>
                                                  <w:divsChild>
                                                    <w:div w:id="1066605510">
                                                      <w:marLeft w:val="0"/>
                                                      <w:marRight w:val="0"/>
                                                      <w:marTop w:val="0"/>
                                                      <w:marBottom w:val="0"/>
                                                      <w:divBdr>
                                                        <w:top w:val="none" w:sz="0" w:space="0" w:color="auto"/>
                                                        <w:left w:val="none" w:sz="0" w:space="0" w:color="auto"/>
                                                        <w:bottom w:val="none" w:sz="0" w:space="0" w:color="auto"/>
                                                        <w:right w:val="none" w:sz="0" w:space="0" w:color="auto"/>
                                                      </w:divBdr>
                                                      <w:divsChild>
                                                        <w:div w:id="212712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290840">
                                              <w:marLeft w:val="0"/>
                                              <w:marRight w:val="0"/>
                                              <w:marTop w:val="0"/>
                                              <w:marBottom w:val="0"/>
                                              <w:divBdr>
                                                <w:top w:val="none" w:sz="0" w:space="0" w:color="auto"/>
                                                <w:left w:val="none" w:sz="0" w:space="0" w:color="auto"/>
                                                <w:bottom w:val="none" w:sz="0" w:space="0" w:color="auto"/>
                                                <w:right w:val="none" w:sz="0" w:space="0" w:color="auto"/>
                                              </w:divBdr>
                                              <w:divsChild>
                                                <w:div w:id="1010067703">
                                                  <w:marLeft w:val="0"/>
                                                  <w:marRight w:val="0"/>
                                                  <w:marTop w:val="0"/>
                                                  <w:marBottom w:val="0"/>
                                                  <w:divBdr>
                                                    <w:top w:val="none" w:sz="0" w:space="0" w:color="auto"/>
                                                    <w:left w:val="none" w:sz="0" w:space="0" w:color="auto"/>
                                                    <w:bottom w:val="none" w:sz="0" w:space="0" w:color="auto"/>
                                                    <w:right w:val="none" w:sz="0" w:space="0" w:color="auto"/>
                                                  </w:divBdr>
                                                </w:div>
                                                <w:div w:id="1292982050">
                                                  <w:marLeft w:val="0"/>
                                                  <w:marRight w:val="0"/>
                                                  <w:marTop w:val="0"/>
                                                  <w:marBottom w:val="0"/>
                                                  <w:divBdr>
                                                    <w:top w:val="none" w:sz="0" w:space="0" w:color="auto"/>
                                                    <w:left w:val="none" w:sz="0" w:space="0" w:color="auto"/>
                                                    <w:bottom w:val="none" w:sz="0" w:space="0" w:color="auto"/>
                                                    <w:right w:val="none" w:sz="0" w:space="0" w:color="auto"/>
                                                  </w:divBdr>
                                                  <w:divsChild>
                                                    <w:div w:id="530650772">
                                                      <w:marLeft w:val="0"/>
                                                      <w:marRight w:val="0"/>
                                                      <w:marTop w:val="0"/>
                                                      <w:marBottom w:val="0"/>
                                                      <w:divBdr>
                                                        <w:top w:val="none" w:sz="0" w:space="0" w:color="auto"/>
                                                        <w:left w:val="none" w:sz="0" w:space="0" w:color="auto"/>
                                                        <w:bottom w:val="none" w:sz="0" w:space="0" w:color="auto"/>
                                                        <w:right w:val="none" w:sz="0" w:space="0" w:color="auto"/>
                                                      </w:divBdr>
                                                      <w:divsChild>
                                                        <w:div w:id="160965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387900">
                                          <w:marLeft w:val="0"/>
                                          <w:marRight w:val="0"/>
                                          <w:marTop w:val="0"/>
                                          <w:marBottom w:val="0"/>
                                          <w:divBdr>
                                            <w:top w:val="none" w:sz="0" w:space="0" w:color="auto"/>
                                            <w:left w:val="none" w:sz="0" w:space="0" w:color="auto"/>
                                            <w:bottom w:val="none" w:sz="0" w:space="0" w:color="auto"/>
                                            <w:right w:val="none" w:sz="0" w:space="0" w:color="auto"/>
                                          </w:divBdr>
                                          <w:divsChild>
                                            <w:div w:id="617681856">
                                              <w:marLeft w:val="0"/>
                                              <w:marRight w:val="0"/>
                                              <w:marTop w:val="0"/>
                                              <w:marBottom w:val="0"/>
                                              <w:divBdr>
                                                <w:top w:val="none" w:sz="0" w:space="0" w:color="auto"/>
                                                <w:left w:val="none" w:sz="0" w:space="0" w:color="auto"/>
                                                <w:bottom w:val="none" w:sz="0" w:space="0" w:color="auto"/>
                                                <w:right w:val="none" w:sz="0" w:space="0" w:color="auto"/>
                                              </w:divBdr>
                                            </w:div>
                                          </w:divsChild>
                                        </w:div>
                                        <w:div w:id="970523911">
                                          <w:marLeft w:val="0"/>
                                          <w:marRight w:val="0"/>
                                          <w:marTop w:val="0"/>
                                          <w:marBottom w:val="0"/>
                                          <w:divBdr>
                                            <w:top w:val="none" w:sz="0" w:space="0" w:color="auto"/>
                                            <w:left w:val="none" w:sz="0" w:space="0" w:color="auto"/>
                                            <w:bottom w:val="none" w:sz="0" w:space="0" w:color="auto"/>
                                            <w:right w:val="none" w:sz="0" w:space="0" w:color="auto"/>
                                          </w:divBdr>
                                          <w:divsChild>
                                            <w:div w:id="1683969412">
                                              <w:marLeft w:val="0"/>
                                              <w:marRight w:val="0"/>
                                              <w:marTop w:val="0"/>
                                              <w:marBottom w:val="0"/>
                                              <w:divBdr>
                                                <w:top w:val="none" w:sz="0" w:space="0" w:color="auto"/>
                                                <w:left w:val="none" w:sz="0" w:space="0" w:color="auto"/>
                                                <w:bottom w:val="none" w:sz="0" w:space="0" w:color="auto"/>
                                                <w:right w:val="none" w:sz="0" w:space="0" w:color="auto"/>
                                              </w:divBdr>
                                            </w:div>
                                          </w:divsChild>
                                        </w:div>
                                        <w:div w:id="172367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3552892">
          <w:marLeft w:val="0"/>
          <w:marRight w:val="0"/>
          <w:marTop w:val="0"/>
          <w:marBottom w:val="0"/>
          <w:divBdr>
            <w:top w:val="none" w:sz="0" w:space="0" w:color="auto"/>
            <w:left w:val="none" w:sz="0" w:space="0" w:color="auto"/>
            <w:bottom w:val="none" w:sz="0" w:space="0" w:color="auto"/>
            <w:right w:val="none" w:sz="0" w:space="0" w:color="auto"/>
          </w:divBdr>
          <w:divsChild>
            <w:div w:id="834764637">
              <w:marLeft w:val="0"/>
              <w:marRight w:val="0"/>
              <w:marTop w:val="0"/>
              <w:marBottom w:val="0"/>
              <w:divBdr>
                <w:top w:val="none" w:sz="0" w:space="0" w:color="auto"/>
                <w:left w:val="none" w:sz="0" w:space="0" w:color="auto"/>
                <w:bottom w:val="none" w:sz="0" w:space="0" w:color="auto"/>
                <w:right w:val="none" w:sz="0" w:space="0" w:color="auto"/>
              </w:divBdr>
              <w:divsChild>
                <w:div w:id="106464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019691">
      <w:bodyDiv w:val="1"/>
      <w:marLeft w:val="0"/>
      <w:marRight w:val="0"/>
      <w:marTop w:val="0"/>
      <w:marBottom w:val="0"/>
      <w:divBdr>
        <w:top w:val="none" w:sz="0" w:space="0" w:color="auto"/>
        <w:left w:val="none" w:sz="0" w:space="0" w:color="auto"/>
        <w:bottom w:val="none" w:sz="0" w:space="0" w:color="auto"/>
        <w:right w:val="none" w:sz="0" w:space="0" w:color="auto"/>
      </w:divBdr>
      <w:divsChild>
        <w:div w:id="192379748">
          <w:marLeft w:val="0"/>
          <w:marRight w:val="0"/>
          <w:marTop w:val="0"/>
          <w:marBottom w:val="0"/>
          <w:divBdr>
            <w:top w:val="none" w:sz="0" w:space="0" w:color="auto"/>
            <w:left w:val="none" w:sz="0" w:space="0" w:color="auto"/>
            <w:bottom w:val="none" w:sz="0" w:space="0" w:color="auto"/>
            <w:right w:val="none" w:sz="0" w:space="0" w:color="auto"/>
          </w:divBdr>
          <w:divsChild>
            <w:div w:id="153181821">
              <w:marLeft w:val="0"/>
              <w:marRight w:val="0"/>
              <w:marTop w:val="0"/>
              <w:marBottom w:val="0"/>
              <w:divBdr>
                <w:top w:val="none" w:sz="0" w:space="0" w:color="auto"/>
                <w:left w:val="none" w:sz="0" w:space="0" w:color="auto"/>
                <w:bottom w:val="none" w:sz="0" w:space="0" w:color="auto"/>
                <w:right w:val="none" w:sz="0" w:space="0" w:color="auto"/>
              </w:divBdr>
            </w:div>
          </w:divsChild>
        </w:div>
        <w:div w:id="499928993">
          <w:marLeft w:val="0"/>
          <w:marRight w:val="0"/>
          <w:marTop w:val="0"/>
          <w:marBottom w:val="0"/>
          <w:divBdr>
            <w:top w:val="none" w:sz="0" w:space="0" w:color="auto"/>
            <w:left w:val="none" w:sz="0" w:space="0" w:color="auto"/>
            <w:bottom w:val="none" w:sz="0" w:space="0" w:color="auto"/>
            <w:right w:val="none" w:sz="0" w:space="0" w:color="auto"/>
          </w:divBdr>
          <w:divsChild>
            <w:div w:id="1676228879">
              <w:marLeft w:val="0"/>
              <w:marRight w:val="0"/>
              <w:marTop w:val="0"/>
              <w:marBottom w:val="0"/>
              <w:divBdr>
                <w:top w:val="none" w:sz="0" w:space="0" w:color="auto"/>
                <w:left w:val="none" w:sz="0" w:space="0" w:color="auto"/>
                <w:bottom w:val="none" w:sz="0" w:space="0" w:color="auto"/>
                <w:right w:val="none" w:sz="0" w:space="0" w:color="auto"/>
              </w:divBdr>
            </w:div>
          </w:divsChild>
        </w:div>
        <w:div w:id="1765607911">
          <w:marLeft w:val="0"/>
          <w:marRight w:val="0"/>
          <w:marTop w:val="0"/>
          <w:marBottom w:val="0"/>
          <w:divBdr>
            <w:top w:val="none" w:sz="0" w:space="0" w:color="auto"/>
            <w:left w:val="none" w:sz="0" w:space="0" w:color="auto"/>
            <w:bottom w:val="none" w:sz="0" w:space="0" w:color="auto"/>
            <w:right w:val="none" w:sz="0" w:space="0" w:color="auto"/>
          </w:divBdr>
          <w:divsChild>
            <w:div w:id="2143499317">
              <w:marLeft w:val="0"/>
              <w:marRight w:val="0"/>
              <w:marTop w:val="0"/>
              <w:marBottom w:val="0"/>
              <w:divBdr>
                <w:top w:val="none" w:sz="0" w:space="0" w:color="auto"/>
                <w:left w:val="none" w:sz="0" w:space="0" w:color="auto"/>
                <w:bottom w:val="none" w:sz="0" w:space="0" w:color="auto"/>
                <w:right w:val="none" w:sz="0" w:space="0" w:color="auto"/>
              </w:divBdr>
            </w:div>
          </w:divsChild>
        </w:div>
        <w:div w:id="1088694325">
          <w:marLeft w:val="0"/>
          <w:marRight w:val="0"/>
          <w:marTop w:val="0"/>
          <w:marBottom w:val="0"/>
          <w:divBdr>
            <w:top w:val="none" w:sz="0" w:space="0" w:color="auto"/>
            <w:left w:val="none" w:sz="0" w:space="0" w:color="auto"/>
            <w:bottom w:val="none" w:sz="0" w:space="0" w:color="auto"/>
            <w:right w:val="none" w:sz="0" w:space="0" w:color="auto"/>
          </w:divBdr>
          <w:divsChild>
            <w:div w:id="1947729965">
              <w:marLeft w:val="0"/>
              <w:marRight w:val="0"/>
              <w:marTop w:val="0"/>
              <w:marBottom w:val="0"/>
              <w:divBdr>
                <w:top w:val="none" w:sz="0" w:space="0" w:color="auto"/>
                <w:left w:val="none" w:sz="0" w:space="0" w:color="auto"/>
                <w:bottom w:val="none" w:sz="0" w:space="0" w:color="auto"/>
                <w:right w:val="none" w:sz="0" w:space="0" w:color="auto"/>
              </w:divBdr>
            </w:div>
          </w:divsChild>
        </w:div>
        <w:div w:id="2136824531">
          <w:marLeft w:val="0"/>
          <w:marRight w:val="0"/>
          <w:marTop w:val="0"/>
          <w:marBottom w:val="0"/>
          <w:divBdr>
            <w:top w:val="none" w:sz="0" w:space="0" w:color="auto"/>
            <w:left w:val="none" w:sz="0" w:space="0" w:color="auto"/>
            <w:bottom w:val="none" w:sz="0" w:space="0" w:color="auto"/>
            <w:right w:val="none" w:sz="0" w:space="0" w:color="auto"/>
          </w:divBdr>
          <w:divsChild>
            <w:div w:id="316880242">
              <w:marLeft w:val="0"/>
              <w:marRight w:val="0"/>
              <w:marTop w:val="0"/>
              <w:marBottom w:val="0"/>
              <w:divBdr>
                <w:top w:val="none" w:sz="0" w:space="0" w:color="auto"/>
                <w:left w:val="none" w:sz="0" w:space="0" w:color="auto"/>
                <w:bottom w:val="none" w:sz="0" w:space="0" w:color="auto"/>
                <w:right w:val="none" w:sz="0" w:space="0" w:color="auto"/>
              </w:divBdr>
            </w:div>
          </w:divsChild>
        </w:div>
        <w:div w:id="168377338">
          <w:marLeft w:val="0"/>
          <w:marRight w:val="0"/>
          <w:marTop w:val="0"/>
          <w:marBottom w:val="0"/>
          <w:divBdr>
            <w:top w:val="none" w:sz="0" w:space="0" w:color="auto"/>
            <w:left w:val="none" w:sz="0" w:space="0" w:color="auto"/>
            <w:bottom w:val="none" w:sz="0" w:space="0" w:color="auto"/>
            <w:right w:val="none" w:sz="0" w:space="0" w:color="auto"/>
          </w:divBdr>
          <w:divsChild>
            <w:div w:id="1805272526">
              <w:marLeft w:val="0"/>
              <w:marRight w:val="0"/>
              <w:marTop w:val="0"/>
              <w:marBottom w:val="0"/>
              <w:divBdr>
                <w:top w:val="none" w:sz="0" w:space="0" w:color="auto"/>
                <w:left w:val="none" w:sz="0" w:space="0" w:color="auto"/>
                <w:bottom w:val="none" w:sz="0" w:space="0" w:color="auto"/>
                <w:right w:val="none" w:sz="0" w:space="0" w:color="auto"/>
              </w:divBdr>
            </w:div>
          </w:divsChild>
        </w:div>
        <w:div w:id="1930503008">
          <w:marLeft w:val="0"/>
          <w:marRight w:val="0"/>
          <w:marTop w:val="0"/>
          <w:marBottom w:val="0"/>
          <w:divBdr>
            <w:top w:val="none" w:sz="0" w:space="0" w:color="auto"/>
            <w:left w:val="none" w:sz="0" w:space="0" w:color="auto"/>
            <w:bottom w:val="none" w:sz="0" w:space="0" w:color="auto"/>
            <w:right w:val="none" w:sz="0" w:space="0" w:color="auto"/>
          </w:divBdr>
          <w:divsChild>
            <w:div w:id="1959724265">
              <w:marLeft w:val="0"/>
              <w:marRight w:val="0"/>
              <w:marTop w:val="0"/>
              <w:marBottom w:val="0"/>
              <w:divBdr>
                <w:top w:val="none" w:sz="0" w:space="0" w:color="auto"/>
                <w:left w:val="none" w:sz="0" w:space="0" w:color="auto"/>
                <w:bottom w:val="none" w:sz="0" w:space="0" w:color="auto"/>
                <w:right w:val="none" w:sz="0" w:space="0" w:color="auto"/>
              </w:divBdr>
            </w:div>
          </w:divsChild>
        </w:div>
        <w:div w:id="1621110475">
          <w:marLeft w:val="0"/>
          <w:marRight w:val="0"/>
          <w:marTop w:val="0"/>
          <w:marBottom w:val="0"/>
          <w:divBdr>
            <w:top w:val="none" w:sz="0" w:space="0" w:color="auto"/>
            <w:left w:val="none" w:sz="0" w:space="0" w:color="auto"/>
            <w:bottom w:val="none" w:sz="0" w:space="0" w:color="auto"/>
            <w:right w:val="none" w:sz="0" w:space="0" w:color="auto"/>
          </w:divBdr>
          <w:divsChild>
            <w:div w:id="1039625169">
              <w:marLeft w:val="0"/>
              <w:marRight w:val="0"/>
              <w:marTop w:val="0"/>
              <w:marBottom w:val="0"/>
              <w:divBdr>
                <w:top w:val="none" w:sz="0" w:space="0" w:color="auto"/>
                <w:left w:val="none" w:sz="0" w:space="0" w:color="auto"/>
                <w:bottom w:val="none" w:sz="0" w:space="0" w:color="auto"/>
                <w:right w:val="none" w:sz="0" w:space="0" w:color="auto"/>
              </w:divBdr>
            </w:div>
          </w:divsChild>
        </w:div>
        <w:div w:id="1265721645">
          <w:marLeft w:val="0"/>
          <w:marRight w:val="0"/>
          <w:marTop w:val="0"/>
          <w:marBottom w:val="0"/>
          <w:divBdr>
            <w:top w:val="none" w:sz="0" w:space="0" w:color="auto"/>
            <w:left w:val="none" w:sz="0" w:space="0" w:color="auto"/>
            <w:bottom w:val="none" w:sz="0" w:space="0" w:color="auto"/>
            <w:right w:val="none" w:sz="0" w:space="0" w:color="auto"/>
          </w:divBdr>
          <w:divsChild>
            <w:div w:id="800996094">
              <w:marLeft w:val="0"/>
              <w:marRight w:val="0"/>
              <w:marTop w:val="0"/>
              <w:marBottom w:val="0"/>
              <w:divBdr>
                <w:top w:val="none" w:sz="0" w:space="0" w:color="auto"/>
                <w:left w:val="none" w:sz="0" w:space="0" w:color="auto"/>
                <w:bottom w:val="none" w:sz="0" w:space="0" w:color="auto"/>
                <w:right w:val="none" w:sz="0" w:space="0" w:color="auto"/>
              </w:divBdr>
            </w:div>
          </w:divsChild>
        </w:div>
        <w:div w:id="1100758071">
          <w:marLeft w:val="0"/>
          <w:marRight w:val="0"/>
          <w:marTop w:val="0"/>
          <w:marBottom w:val="0"/>
          <w:divBdr>
            <w:top w:val="none" w:sz="0" w:space="0" w:color="auto"/>
            <w:left w:val="none" w:sz="0" w:space="0" w:color="auto"/>
            <w:bottom w:val="none" w:sz="0" w:space="0" w:color="auto"/>
            <w:right w:val="none" w:sz="0" w:space="0" w:color="auto"/>
          </w:divBdr>
          <w:divsChild>
            <w:div w:id="316346871">
              <w:marLeft w:val="0"/>
              <w:marRight w:val="0"/>
              <w:marTop w:val="0"/>
              <w:marBottom w:val="0"/>
              <w:divBdr>
                <w:top w:val="none" w:sz="0" w:space="0" w:color="auto"/>
                <w:left w:val="none" w:sz="0" w:space="0" w:color="auto"/>
                <w:bottom w:val="none" w:sz="0" w:space="0" w:color="auto"/>
                <w:right w:val="none" w:sz="0" w:space="0" w:color="auto"/>
              </w:divBdr>
            </w:div>
          </w:divsChild>
        </w:div>
        <w:div w:id="1594968607">
          <w:marLeft w:val="0"/>
          <w:marRight w:val="0"/>
          <w:marTop w:val="0"/>
          <w:marBottom w:val="0"/>
          <w:divBdr>
            <w:top w:val="none" w:sz="0" w:space="0" w:color="auto"/>
            <w:left w:val="none" w:sz="0" w:space="0" w:color="auto"/>
            <w:bottom w:val="none" w:sz="0" w:space="0" w:color="auto"/>
            <w:right w:val="none" w:sz="0" w:space="0" w:color="auto"/>
          </w:divBdr>
          <w:divsChild>
            <w:div w:id="706757906">
              <w:marLeft w:val="0"/>
              <w:marRight w:val="0"/>
              <w:marTop w:val="0"/>
              <w:marBottom w:val="0"/>
              <w:divBdr>
                <w:top w:val="none" w:sz="0" w:space="0" w:color="auto"/>
                <w:left w:val="none" w:sz="0" w:space="0" w:color="auto"/>
                <w:bottom w:val="none" w:sz="0" w:space="0" w:color="auto"/>
                <w:right w:val="none" w:sz="0" w:space="0" w:color="auto"/>
              </w:divBdr>
            </w:div>
          </w:divsChild>
        </w:div>
        <w:div w:id="1773090960">
          <w:marLeft w:val="0"/>
          <w:marRight w:val="0"/>
          <w:marTop w:val="0"/>
          <w:marBottom w:val="0"/>
          <w:divBdr>
            <w:top w:val="none" w:sz="0" w:space="0" w:color="auto"/>
            <w:left w:val="none" w:sz="0" w:space="0" w:color="auto"/>
            <w:bottom w:val="none" w:sz="0" w:space="0" w:color="auto"/>
            <w:right w:val="none" w:sz="0" w:space="0" w:color="auto"/>
          </w:divBdr>
          <w:divsChild>
            <w:div w:id="402873390">
              <w:marLeft w:val="0"/>
              <w:marRight w:val="0"/>
              <w:marTop w:val="0"/>
              <w:marBottom w:val="0"/>
              <w:divBdr>
                <w:top w:val="none" w:sz="0" w:space="0" w:color="auto"/>
                <w:left w:val="none" w:sz="0" w:space="0" w:color="auto"/>
                <w:bottom w:val="none" w:sz="0" w:space="0" w:color="auto"/>
                <w:right w:val="none" w:sz="0" w:space="0" w:color="auto"/>
              </w:divBdr>
            </w:div>
          </w:divsChild>
        </w:div>
        <w:div w:id="2032799275">
          <w:marLeft w:val="0"/>
          <w:marRight w:val="0"/>
          <w:marTop w:val="0"/>
          <w:marBottom w:val="0"/>
          <w:divBdr>
            <w:top w:val="none" w:sz="0" w:space="0" w:color="auto"/>
            <w:left w:val="none" w:sz="0" w:space="0" w:color="auto"/>
            <w:bottom w:val="none" w:sz="0" w:space="0" w:color="auto"/>
            <w:right w:val="none" w:sz="0" w:space="0" w:color="auto"/>
          </w:divBdr>
          <w:divsChild>
            <w:div w:id="2036541783">
              <w:marLeft w:val="0"/>
              <w:marRight w:val="0"/>
              <w:marTop w:val="0"/>
              <w:marBottom w:val="0"/>
              <w:divBdr>
                <w:top w:val="none" w:sz="0" w:space="0" w:color="auto"/>
                <w:left w:val="none" w:sz="0" w:space="0" w:color="auto"/>
                <w:bottom w:val="none" w:sz="0" w:space="0" w:color="auto"/>
                <w:right w:val="none" w:sz="0" w:space="0" w:color="auto"/>
              </w:divBdr>
            </w:div>
          </w:divsChild>
        </w:div>
        <w:div w:id="896237026">
          <w:marLeft w:val="0"/>
          <w:marRight w:val="0"/>
          <w:marTop w:val="0"/>
          <w:marBottom w:val="0"/>
          <w:divBdr>
            <w:top w:val="none" w:sz="0" w:space="0" w:color="auto"/>
            <w:left w:val="none" w:sz="0" w:space="0" w:color="auto"/>
            <w:bottom w:val="none" w:sz="0" w:space="0" w:color="auto"/>
            <w:right w:val="none" w:sz="0" w:space="0" w:color="auto"/>
          </w:divBdr>
          <w:divsChild>
            <w:div w:id="245040520">
              <w:marLeft w:val="0"/>
              <w:marRight w:val="0"/>
              <w:marTop w:val="0"/>
              <w:marBottom w:val="0"/>
              <w:divBdr>
                <w:top w:val="none" w:sz="0" w:space="0" w:color="auto"/>
                <w:left w:val="none" w:sz="0" w:space="0" w:color="auto"/>
                <w:bottom w:val="none" w:sz="0" w:space="0" w:color="auto"/>
                <w:right w:val="none" w:sz="0" w:space="0" w:color="auto"/>
              </w:divBdr>
            </w:div>
          </w:divsChild>
        </w:div>
        <w:div w:id="1680500574">
          <w:marLeft w:val="0"/>
          <w:marRight w:val="0"/>
          <w:marTop w:val="0"/>
          <w:marBottom w:val="0"/>
          <w:divBdr>
            <w:top w:val="none" w:sz="0" w:space="0" w:color="auto"/>
            <w:left w:val="none" w:sz="0" w:space="0" w:color="auto"/>
            <w:bottom w:val="none" w:sz="0" w:space="0" w:color="auto"/>
            <w:right w:val="none" w:sz="0" w:space="0" w:color="auto"/>
          </w:divBdr>
          <w:divsChild>
            <w:div w:id="1978102551">
              <w:marLeft w:val="0"/>
              <w:marRight w:val="0"/>
              <w:marTop w:val="0"/>
              <w:marBottom w:val="0"/>
              <w:divBdr>
                <w:top w:val="none" w:sz="0" w:space="0" w:color="auto"/>
                <w:left w:val="none" w:sz="0" w:space="0" w:color="auto"/>
                <w:bottom w:val="none" w:sz="0" w:space="0" w:color="auto"/>
                <w:right w:val="none" w:sz="0" w:space="0" w:color="auto"/>
              </w:divBdr>
            </w:div>
          </w:divsChild>
        </w:div>
        <w:div w:id="1636178818">
          <w:marLeft w:val="0"/>
          <w:marRight w:val="0"/>
          <w:marTop w:val="0"/>
          <w:marBottom w:val="0"/>
          <w:divBdr>
            <w:top w:val="none" w:sz="0" w:space="0" w:color="auto"/>
            <w:left w:val="none" w:sz="0" w:space="0" w:color="auto"/>
            <w:bottom w:val="none" w:sz="0" w:space="0" w:color="auto"/>
            <w:right w:val="none" w:sz="0" w:space="0" w:color="auto"/>
          </w:divBdr>
          <w:divsChild>
            <w:div w:id="422147897">
              <w:marLeft w:val="0"/>
              <w:marRight w:val="0"/>
              <w:marTop w:val="0"/>
              <w:marBottom w:val="0"/>
              <w:divBdr>
                <w:top w:val="none" w:sz="0" w:space="0" w:color="auto"/>
                <w:left w:val="none" w:sz="0" w:space="0" w:color="auto"/>
                <w:bottom w:val="none" w:sz="0" w:space="0" w:color="auto"/>
                <w:right w:val="none" w:sz="0" w:space="0" w:color="auto"/>
              </w:divBdr>
            </w:div>
          </w:divsChild>
        </w:div>
        <w:div w:id="2034381395">
          <w:marLeft w:val="0"/>
          <w:marRight w:val="0"/>
          <w:marTop w:val="0"/>
          <w:marBottom w:val="0"/>
          <w:divBdr>
            <w:top w:val="none" w:sz="0" w:space="0" w:color="auto"/>
            <w:left w:val="none" w:sz="0" w:space="0" w:color="auto"/>
            <w:bottom w:val="none" w:sz="0" w:space="0" w:color="auto"/>
            <w:right w:val="none" w:sz="0" w:space="0" w:color="auto"/>
          </w:divBdr>
          <w:divsChild>
            <w:div w:id="1755860997">
              <w:marLeft w:val="0"/>
              <w:marRight w:val="0"/>
              <w:marTop w:val="0"/>
              <w:marBottom w:val="0"/>
              <w:divBdr>
                <w:top w:val="none" w:sz="0" w:space="0" w:color="auto"/>
                <w:left w:val="none" w:sz="0" w:space="0" w:color="auto"/>
                <w:bottom w:val="none" w:sz="0" w:space="0" w:color="auto"/>
                <w:right w:val="none" w:sz="0" w:space="0" w:color="auto"/>
              </w:divBdr>
            </w:div>
          </w:divsChild>
        </w:div>
        <w:div w:id="1078012986">
          <w:marLeft w:val="0"/>
          <w:marRight w:val="0"/>
          <w:marTop w:val="0"/>
          <w:marBottom w:val="0"/>
          <w:divBdr>
            <w:top w:val="none" w:sz="0" w:space="0" w:color="auto"/>
            <w:left w:val="none" w:sz="0" w:space="0" w:color="auto"/>
            <w:bottom w:val="none" w:sz="0" w:space="0" w:color="auto"/>
            <w:right w:val="none" w:sz="0" w:space="0" w:color="auto"/>
          </w:divBdr>
          <w:divsChild>
            <w:div w:id="646976595">
              <w:marLeft w:val="0"/>
              <w:marRight w:val="0"/>
              <w:marTop w:val="0"/>
              <w:marBottom w:val="0"/>
              <w:divBdr>
                <w:top w:val="none" w:sz="0" w:space="0" w:color="auto"/>
                <w:left w:val="none" w:sz="0" w:space="0" w:color="auto"/>
                <w:bottom w:val="none" w:sz="0" w:space="0" w:color="auto"/>
                <w:right w:val="none" w:sz="0" w:space="0" w:color="auto"/>
              </w:divBdr>
            </w:div>
          </w:divsChild>
        </w:div>
        <w:div w:id="759444609">
          <w:marLeft w:val="0"/>
          <w:marRight w:val="0"/>
          <w:marTop w:val="0"/>
          <w:marBottom w:val="0"/>
          <w:divBdr>
            <w:top w:val="none" w:sz="0" w:space="0" w:color="auto"/>
            <w:left w:val="none" w:sz="0" w:space="0" w:color="auto"/>
            <w:bottom w:val="none" w:sz="0" w:space="0" w:color="auto"/>
            <w:right w:val="none" w:sz="0" w:space="0" w:color="auto"/>
          </w:divBdr>
          <w:divsChild>
            <w:div w:id="1124234690">
              <w:marLeft w:val="0"/>
              <w:marRight w:val="0"/>
              <w:marTop w:val="0"/>
              <w:marBottom w:val="0"/>
              <w:divBdr>
                <w:top w:val="none" w:sz="0" w:space="0" w:color="auto"/>
                <w:left w:val="none" w:sz="0" w:space="0" w:color="auto"/>
                <w:bottom w:val="none" w:sz="0" w:space="0" w:color="auto"/>
                <w:right w:val="none" w:sz="0" w:space="0" w:color="auto"/>
              </w:divBdr>
            </w:div>
          </w:divsChild>
        </w:div>
        <w:div w:id="204215957">
          <w:marLeft w:val="0"/>
          <w:marRight w:val="0"/>
          <w:marTop w:val="0"/>
          <w:marBottom w:val="0"/>
          <w:divBdr>
            <w:top w:val="none" w:sz="0" w:space="0" w:color="auto"/>
            <w:left w:val="none" w:sz="0" w:space="0" w:color="auto"/>
            <w:bottom w:val="none" w:sz="0" w:space="0" w:color="auto"/>
            <w:right w:val="none" w:sz="0" w:space="0" w:color="auto"/>
          </w:divBdr>
          <w:divsChild>
            <w:div w:id="1183277296">
              <w:marLeft w:val="0"/>
              <w:marRight w:val="0"/>
              <w:marTop w:val="0"/>
              <w:marBottom w:val="0"/>
              <w:divBdr>
                <w:top w:val="none" w:sz="0" w:space="0" w:color="auto"/>
                <w:left w:val="none" w:sz="0" w:space="0" w:color="auto"/>
                <w:bottom w:val="none" w:sz="0" w:space="0" w:color="auto"/>
                <w:right w:val="none" w:sz="0" w:space="0" w:color="auto"/>
              </w:divBdr>
            </w:div>
          </w:divsChild>
        </w:div>
        <w:div w:id="1075785167">
          <w:marLeft w:val="0"/>
          <w:marRight w:val="0"/>
          <w:marTop w:val="0"/>
          <w:marBottom w:val="0"/>
          <w:divBdr>
            <w:top w:val="none" w:sz="0" w:space="0" w:color="auto"/>
            <w:left w:val="none" w:sz="0" w:space="0" w:color="auto"/>
            <w:bottom w:val="none" w:sz="0" w:space="0" w:color="auto"/>
            <w:right w:val="none" w:sz="0" w:space="0" w:color="auto"/>
          </w:divBdr>
          <w:divsChild>
            <w:div w:id="1519851313">
              <w:marLeft w:val="0"/>
              <w:marRight w:val="0"/>
              <w:marTop w:val="0"/>
              <w:marBottom w:val="0"/>
              <w:divBdr>
                <w:top w:val="none" w:sz="0" w:space="0" w:color="auto"/>
                <w:left w:val="none" w:sz="0" w:space="0" w:color="auto"/>
                <w:bottom w:val="none" w:sz="0" w:space="0" w:color="auto"/>
                <w:right w:val="none" w:sz="0" w:space="0" w:color="auto"/>
              </w:divBdr>
            </w:div>
          </w:divsChild>
        </w:div>
        <w:div w:id="974722361">
          <w:marLeft w:val="0"/>
          <w:marRight w:val="0"/>
          <w:marTop w:val="0"/>
          <w:marBottom w:val="0"/>
          <w:divBdr>
            <w:top w:val="none" w:sz="0" w:space="0" w:color="auto"/>
            <w:left w:val="none" w:sz="0" w:space="0" w:color="auto"/>
            <w:bottom w:val="none" w:sz="0" w:space="0" w:color="auto"/>
            <w:right w:val="none" w:sz="0" w:space="0" w:color="auto"/>
          </w:divBdr>
          <w:divsChild>
            <w:div w:id="2075662763">
              <w:marLeft w:val="0"/>
              <w:marRight w:val="0"/>
              <w:marTop w:val="0"/>
              <w:marBottom w:val="0"/>
              <w:divBdr>
                <w:top w:val="none" w:sz="0" w:space="0" w:color="auto"/>
                <w:left w:val="none" w:sz="0" w:space="0" w:color="auto"/>
                <w:bottom w:val="none" w:sz="0" w:space="0" w:color="auto"/>
                <w:right w:val="none" w:sz="0" w:space="0" w:color="auto"/>
              </w:divBdr>
            </w:div>
          </w:divsChild>
        </w:div>
        <w:div w:id="740640608">
          <w:marLeft w:val="0"/>
          <w:marRight w:val="0"/>
          <w:marTop w:val="0"/>
          <w:marBottom w:val="0"/>
          <w:divBdr>
            <w:top w:val="none" w:sz="0" w:space="0" w:color="auto"/>
            <w:left w:val="none" w:sz="0" w:space="0" w:color="auto"/>
            <w:bottom w:val="none" w:sz="0" w:space="0" w:color="auto"/>
            <w:right w:val="none" w:sz="0" w:space="0" w:color="auto"/>
          </w:divBdr>
          <w:divsChild>
            <w:div w:id="777675884">
              <w:marLeft w:val="0"/>
              <w:marRight w:val="0"/>
              <w:marTop w:val="0"/>
              <w:marBottom w:val="0"/>
              <w:divBdr>
                <w:top w:val="none" w:sz="0" w:space="0" w:color="auto"/>
                <w:left w:val="none" w:sz="0" w:space="0" w:color="auto"/>
                <w:bottom w:val="none" w:sz="0" w:space="0" w:color="auto"/>
                <w:right w:val="none" w:sz="0" w:space="0" w:color="auto"/>
              </w:divBdr>
            </w:div>
          </w:divsChild>
        </w:div>
        <w:div w:id="1934048119">
          <w:marLeft w:val="0"/>
          <w:marRight w:val="0"/>
          <w:marTop w:val="0"/>
          <w:marBottom w:val="0"/>
          <w:divBdr>
            <w:top w:val="none" w:sz="0" w:space="0" w:color="auto"/>
            <w:left w:val="none" w:sz="0" w:space="0" w:color="auto"/>
            <w:bottom w:val="none" w:sz="0" w:space="0" w:color="auto"/>
            <w:right w:val="none" w:sz="0" w:space="0" w:color="auto"/>
          </w:divBdr>
          <w:divsChild>
            <w:div w:id="980303312">
              <w:marLeft w:val="0"/>
              <w:marRight w:val="0"/>
              <w:marTop w:val="0"/>
              <w:marBottom w:val="0"/>
              <w:divBdr>
                <w:top w:val="none" w:sz="0" w:space="0" w:color="auto"/>
                <w:left w:val="none" w:sz="0" w:space="0" w:color="auto"/>
                <w:bottom w:val="none" w:sz="0" w:space="0" w:color="auto"/>
                <w:right w:val="none" w:sz="0" w:space="0" w:color="auto"/>
              </w:divBdr>
            </w:div>
          </w:divsChild>
        </w:div>
        <w:div w:id="2014264101">
          <w:marLeft w:val="0"/>
          <w:marRight w:val="0"/>
          <w:marTop w:val="0"/>
          <w:marBottom w:val="0"/>
          <w:divBdr>
            <w:top w:val="none" w:sz="0" w:space="0" w:color="auto"/>
            <w:left w:val="none" w:sz="0" w:space="0" w:color="auto"/>
            <w:bottom w:val="none" w:sz="0" w:space="0" w:color="auto"/>
            <w:right w:val="none" w:sz="0" w:space="0" w:color="auto"/>
          </w:divBdr>
          <w:divsChild>
            <w:div w:id="1738045565">
              <w:marLeft w:val="0"/>
              <w:marRight w:val="0"/>
              <w:marTop w:val="0"/>
              <w:marBottom w:val="0"/>
              <w:divBdr>
                <w:top w:val="none" w:sz="0" w:space="0" w:color="auto"/>
                <w:left w:val="none" w:sz="0" w:space="0" w:color="auto"/>
                <w:bottom w:val="none" w:sz="0" w:space="0" w:color="auto"/>
                <w:right w:val="none" w:sz="0" w:space="0" w:color="auto"/>
              </w:divBdr>
            </w:div>
          </w:divsChild>
        </w:div>
        <w:div w:id="699627956">
          <w:marLeft w:val="0"/>
          <w:marRight w:val="0"/>
          <w:marTop w:val="0"/>
          <w:marBottom w:val="0"/>
          <w:divBdr>
            <w:top w:val="none" w:sz="0" w:space="0" w:color="auto"/>
            <w:left w:val="none" w:sz="0" w:space="0" w:color="auto"/>
            <w:bottom w:val="none" w:sz="0" w:space="0" w:color="auto"/>
            <w:right w:val="none" w:sz="0" w:space="0" w:color="auto"/>
          </w:divBdr>
          <w:divsChild>
            <w:div w:id="2475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4411">
      <w:bodyDiv w:val="1"/>
      <w:marLeft w:val="0"/>
      <w:marRight w:val="0"/>
      <w:marTop w:val="0"/>
      <w:marBottom w:val="0"/>
      <w:divBdr>
        <w:top w:val="none" w:sz="0" w:space="0" w:color="auto"/>
        <w:left w:val="none" w:sz="0" w:space="0" w:color="auto"/>
        <w:bottom w:val="none" w:sz="0" w:space="0" w:color="auto"/>
        <w:right w:val="none" w:sz="0" w:space="0" w:color="auto"/>
      </w:divBdr>
      <w:divsChild>
        <w:div w:id="57090981">
          <w:marLeft w:val="0"/>
          <w:marRight w:val="0"/>
          <w:marTop w:val="0"/>
          <w:marBottom w:val="0"/>
          <w:divBdr>
            <w:top w:val="none" w:sz="0" w:space="0" w:color="auto"/>
            <w:left w:val="none" w:sz="0" w:space="0" w:color="auto"/>
            <w:bottom w:val="none" w:sz="0" w:space="0" w:color="auto"/>
            <w:right w:val="none" w:sz="0" w:space="0" w:color="auto"/>
          </w:divBdr>
        </w:div>
        <w:div w:id="266427118">
          <w:marLeft w:val="0"/>
          <w:marRight w:val="0"/>
          <w:marTop w:val="0"/>
          <w:marBottom w:val="0"/>
          <w:divBdr>
            <w:top w:val="single" w:sz="6" w:space="0" w:color="CCCCCC"/>
            <w:left w:val="none" w:sz="0" w:space="0" w:color="auto"/>
            <w:bottom w:val="single" w:sz="6" w:space="0" w:color="F0F0F0"/>
            <w:right w:val="none" w:sz="0" w:space="0" w:color="auto"/>
          </w:divBdr>
          <w:divsChild>
            <w:div w:id="604845694">
              <w:marLeft w:val="0"/>
              <w:marRight w:val="0"/>
              <w:marTop w:val="0"/>
              <w:marBottom w:val="0"/>
              <w:divBdr>
                <w:top w:val="none" w:sz="0" w:space="0" w:color="auto"/>
                <w:left w:val="none" w:sz="0" w:space="0" w:color="auto"/>
                <w:bottom w:val="none" w:sz="0" w:space="0" w:color="auto"/>
                <w:right w:val="none" w:sz="0" w:space="0" w:color="auto"/>
              </w:divBdr>
              <w:divsChild>
                <w:div w:id="212199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3113/FAI.2012.0141"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0-journals-sagepub-com.libus.csd.mu.edu/doi/full/10.3113/FAI.2012.014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3912</Words>
  <Characters>22300</Characters>
  <Application>Microsoft Office Word</Application>
  <DocSecurity>8</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2022-07-25T16:04:00Z</dcterms:created>
  <dcterms:modified xsi:type="dcterms:W3CDTF">2022-09-15T19:07:00Z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