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B1410B" w:rsidR="000A7622" w:rsidRPr="00C04F25" w:rsidRDefault="00162DCD" w:rsidP="00D14423">
      <w:pPr>
        <w:autoSpaceDE w:val="0"/>
        <w:autoSpaceDN w:val="0"/>
        <w:adjustRightInd w:val="0"/>
        <w:rPr>
          <w:rFonts w:cstheme="minorHAnsi"/>
          <w:b/>
          <w:bCs/>
          <w:i/>
          <w:iCs/>
          <w:sz w:val="32"/>
          <w:szCs w:val="32"/>
        </w:rPr>
      </w:pPr>
      <w:r>
        <w:rPr>
          <w:rFonts w:cstheme="minorHAnsi"/>
          <w:b/>
          <w:bCs/>
          <w:i/>
          <w:iCs/>
          <w:sz w:val="32"/>
          <w:szCs w:val="32"/>
        </w:rPr>
        <w:t xml:space="preserve">Speech Pathology and Audiology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5D1BF0B" w:rsidR="000A7622" w:rsidRDefault="0087274A" w:rsidP="00D14423">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Human Neuroscience</w:t>
      </w:r>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w:t>
      </w:r>
      <w:r>
        <w:rPr>
          <w:rFonts w:cstheme="minorHAnsi"/>
          <w:sz w:val="24"/>
          <w:szCs w:val="24"/>
          <w:lang w:val="fr-FR"/>
        </w:rPr>
        <w:t>March</w:t>
      </w:r>
      <w:r w:rsidR="00FA18D4">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A18D4">
        <w:rPr>
          <w:rFonts w:cstheme="minorHAnsi"/>
          <w:sz w:val="24"/>
          <w:szCs w:val="24"/>
          <w:lang w:val="fr-FR"/>
        </w:rPr>
        <w:t>624660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6D13D5" w:rsidRPr="006D13D5">
        <w:rPr>
          <w:rFonts w:cstheme="minorHAnsi"/>
          <w:sz w:val="24"/>
          <w:szCs w:val="24"/>
        </w:rPr>
        <w:t xml:space="preserve">© 2021 Dalton, </w:t>
      </w:r>
      <w:proofErr w:type="gramStart"/>
      <w:r w:rsidR="006D13D5" w:rsidRPr="006D13D5">
        <w:rPr>
          <w:rFonts w:cstheme="minorHAnsi"/>
          <w:sz w:val="24"/>
          <w:szCs w:val="24"/>
        </w:rPr>
        <w:t>Cavanagh</w:t>
      </w:r>
      <w:proofErr w:type="gramEnd"/>
      <w:r w:rsidR="006D13D5" w:rsidRPr="006D13D5">
        <w:rPr>
          <w:rFonts w:cstheme="minorHAnsi"/>
          <w:sz w:val="24"/>
          <w:szCs w:val="24"/>
        </w:rPr>
        <w:t xml:space="preserve"> and Richardson</w:t>
      </w:r>
      <w:r w:rsidR="006D13D5">
        <w:rPr>
          <w:rFonts w:cstheme="minorHAnsi"/>
          <w:sz w:val="24"/>
          <w:szCs w:val="24"/>
        </w:rPr>
        <w:t>, published by</w:t>
      </w:r>
      <w:r w:rsidR="000A7622" w:rsidRPr="00C04F25">
        <w:rPr>
          <w:rFonts w:cstheme="minorHAnsi"/>
          <w:sz w:val="24"/>
          <w:szCs w:val="24"/>
        </w:rPr>
        <w:t xml:space="preserve"> </w:t>
      </w:r>
      <w:r w:rsidR="00697E6D">
        <w:rPr>
          <w:rFonts w:cstheme="minorHAnsi"/>
          <w:sz w:val="24"/>
          <w:szCs w:val="24"/>
        </w:rPr>
        <w:t>Frontiers Media S.A.</w:t>
      </w:r>
      <w:r w:rsidR="000A7622" w:rsidRPr="00C04F25">
        <w:rPr>
          <w:rFonts w:cstheme="minorHAnsi"/>
          <w:sz w:val="24"/>
          <w:szCs w:val="24"/>
        </w:rPr>
        <w:t xml:space="preserve"> </w:t>
      </w:r>
      <w:r w:rsidR="006D13D5">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921B4" w:rsidRPr="008921B4">
        <w:rPr>
          <w:rFonts w:cstheme="minorHAnsi"/>
          <w:sz w:val="24"/>
          <w:szCs w:val="24"/>
        </w:rPr>
        <w:t>This is an open-access article distributed under the terms of the </w:t>
      </w:r>
      <w:hyperlink r:id="rId10" w:tgtFrame="_blank" w:history="1">
        <w:r w:rsidR="008921B4" w:rsidRPr="008921B4">
          <w:rPr>
            <w:rStyle w:val="Hyperlink"/>
            <w:rFonts w:cstheme="minorHAnsi"/>
            <w:sz w:val="24"/>
            <w:szCs w:val="24"/>
          </w:rPr>
          <w:t>Creative Commons Attribution License (CC BY)</w:t>
        </w:r>
      </w:hyperlink>
      <w:r w:rsidR="008921B4" w:rsidRPr="008921B4">
        <w:rPr>
          <w:rFonts w:cstheme="minorHAnsi"/>
          <w:sz w:val="24"/>
          <w:szCs w:val="24"/>
        </w:rPr>
        <w:t>.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0478B2C6" w:rsidR="00F76A3B" w:rsidRDefault="004D443D" w:rsidP="004D443D">
      <w:pPr>
        <w:pStyle w:val="Title"/>
      </w:pPr>
      <w:r w:rsidRPr="004D443D">
        <w:t>Spectral Resting-State EEG (</w:t>
      </w:r>
      <w:proofErr w:type="spellStart"/>
      <w:r w:rsidRPr="004D443D">
        <w:t>rsEEG</w:t>
      </w:r>
      <w:proofErr w:type="spellEnd"/>
      <w:r w:rsidRPr="004D443D">
        <w:t xml:space="preserve">) in Chronic Aphasia Is Reliable, Sensitive, and Correlates </w:t>
      </w:r>
      <w:r w:rsidR="00715F70" w:rsidRPr="004D443D">
        <w:t>with</w:t>
      </w:r>
      <w:r w:rsidRPr="004D443D">
        <w:t xml:space="preserve"> Functional Behavior</w:t>
      </w:r>
    </w:p>
    <w:p w14:paraId="2E2D9EF3" w14:textId="77777777" w:rsidR="00715F70" w:rsidRDefault="00715F70" w:rsidP="004D443D"/>
    <w:p w14:paraId="230D8B73" w14:textId="1AF29D5D" w:rsidR="00715F70" w:rsidRPr="00EF68BF" w:rsidRDefault="00715F70" w:rsidP="00EF68BF">
      <w:pPr>
        <w:pStyle w:val="NoSpacing"/>
        <w:rPr>
          <w:sz w:val="32"/>
          <w:szCs w:val="32"/>
        </w:rPr>
      </w:pPr>
      <w:r w:rsidRPr="00EF68BF">
        <w:rPr>
          <w:sz w:val="32"/>
          <w:szCs w:val="32"/>
        </w:rPr>
        <w:t>Sarah G. H. Dalton</w:t>
      </w:r>
    </w:p>
    <w:p w14:paraId="2366461F" w14:textId="5D26BE00" w:rsidR="00715F70" w:rsidRPr="00EF68BF" w:rsidRDefault="00EF68BF" w:rsidP="00EF68BF">
      <w:pPr>
        <w:pStyle w:val="NoSpacing"/>
        <w:rPr>
          <w:sz w:val="24"/>
          <w:szCs w:val="24"/>
        </w:rPr>
      </w:pPr>
      <w:r w:rsidRPr="00EF68BF">
        <w:rPr>
          <w:sz w:val="24"/>
          <w:szCs w:val="24"/>
        </w:rPr>
        <w:t>Department of Speech Pathology and Audiology, Marquette University, Milwaukee, WI</w:t>
      </w:r>
    </w:p>
    <w:p w14:paraId="0B13ABBD" w14:textId="2F1E77D2" w:rsidR="00715F70" w:rsidRPr="00EF68BF" w:rsidRDefault="00715F70" w:rsidP="00EF68BF">
      <w:pPr>
        <w:pStyle w:val="NoSpacing"/>
        <w:rPr>
          <w:sz w:val="32"/>
          <w:szCs w:val="32"/>
        </w:rPr>
      </w:pPr>
      <w:r w:rsidRPr="00EF68BF">
        <w:rPr>
          <w:sz w:val="32"/>
          <w:szCs w:val="32"/>
        </w:rPr>
        <w:t>James F. Cavanagh</w:t>
      </w:r>
    </w:p>
    <w:p w14:paraId="5F7BBFA2" w14:textId="14190EFD" w:rsidR="00715F70" w:rsidRPr="00EF68BF" w:rsidRDefault="00EF68BF" w:rsidP="00EF68BF">
      <w:pPr>
        <w:pStyle w:val="NoSpacing"/>
        <w:rPr>
          <w:sz w:val="24"/>
          <w:szCs w:val="24"/>
        </w:rPr>
      </w:pPr>
      <w:r w:rsidRPr="00EF68BF">
        <w:rPr>
          <w:sz w:val="24"/>
          <w:szCs w:val="24"/>
        </w:rPr>
        <w:t>Department of Psychology, University of New Mexico, Albuquerque, NM</w:t>
      </w:r>
    </w:p>
    <w:p w14:paraId="532A18D9" w14:textId="7EA8C820" w:rsidR="004D443D" w:rsidRPr="00EF68BF" w:rsidRDefault="00715F70" w:rsidP="00EF68BF">
      <w:pPr>
        <w:pStyle w:val="NoSpacing"/>
        <w:rPr>
          <w:sz w:val="32"/>
          <w:szCs w:val="32"/>
        </w:rPr>
      </w:pPr>
      <w:r w:rsidRPr="00EF68BF">
        <w:rPr>
          <w:sz w:val="32"/>
          <w:szCs w:val="32"/>
        </w:rPr>
        <w:t>Jessica D. Richardson</w:t>
      </w:r>
    </w:p>
    <w:p w14:paraId="212C2C94" w14:textId="5DCC38B8" w:rsidR="00715F70" w:rsidRPr="00EF68BF" w:rsidRDefault="00EF68BF" w:rsidP="00EF68BF">
      <w:pPr>
        <w:pStyle w:val="NoSpacing"/>
        <w:rPr>
          <w:sz w:val="24"/>
          <w:szCs w:val="24"/>
        </w:rPr>
      </w:pPr>
      <w:r w:rsidRPr="00EF68BF">
        <w:rPr>
          <w:sz w:val="24"/>
          <w:szCs w:val="24"/>
        </w:rPr>
        <w:t>Department of Speech and Hearing Sciences, University of New Mexico, Albuquerque, NM</w:t>
      </w:r>
    </w:p>
    <w:p w14:paraId="24C1D21D" w14:textId="77777777" w:rsidR="00715F70" w:rsidRDefault="00715F70" w:rsidP="004D443D"/>
    <w:p w14:paraId="3975441C" w14:textId="77777777" w:rsidR="004D443D" w:rsidRDefault="004D443D" w:rsidP="004D443D">
      <w:r w:rsidRPr="004D443D">
        <w:t xml:space="preserve">We investigated spectral resting-state EEG in persons with chronic stroke-induced aphasia to determine its reliability, sensitivity, and relationship to functional behaviors. Resting-state EEG has not yet been characterized in this population and was selected given the demonstrated potential of resting-state investigations using other neuroimaging techniques to guide clinical decision-making. Controls and persons with chronic stroke-induced aphasia completed two EEG recording sessions, separated by approximately 1 month, as well as behavioral assessments of language, sensorimotor, and cognitive domains. Power in the classic frequency bands (delta, </w:t>
      </w:r>
      <w:r w:rsidRPr="004D443D">
        <w:lastRenderedPageBreak/>
        <w:t xml:space="preserve">theta, alpha, and beta) was examined via spectral analysis of resting-state EEG data. Results suggest that power in the theta, alpha, and beta bands is reliable for use as a repeated measure. Significantly greater theta and lower beta power was observed in persons with aphasia (PWAs) than controls. Finally, in PWAs theta power negatively correlated with performance on a discourse informativeness measure, while alpha and beta power positively correlated with performance on the same measure. This indicates that spectral </w:t>
      </w:r>
      <w:proofErr w:type="spellStart"/>
      <w:r w:rsidRPr="004D443D">
        <w:t>rsEEG</w:t>
      </w:r>
      <w:proofErr w:type="spellEnd"/>
      <w:r w:rsidRPr="004D443D">
        <w:t xml:space="preserve"> slowing observed in PWAs in the chronic stage is pathological and suggests a possible avenue for directly altering brain activation to improve behavioral function. Taken together, these results suggest that spectral resting-state EEG holds promise for sensitive measurement of functioning and change in persons with chronic aphasia. Future studies investigating the utility of these measures as biomarkers of frank or latent aphasic deficits and treatment response in chronic stroke-induced aphasia are warranted.</w:t>
      </w:r>
    </w:p>
    <w:p w14:paraId="407470AA" w14:textId="77777777" w:rsidR="00157585" w:rsidRDefault="00157585" w:rsidP="00157585">
      <w:pPr>
        <w:pStyle w:val="Heading1"/>
      </w:pPr>
      <w:r w:rsidRPr="00157585">
        <w:t>Keywords</w:t>
      </w:r>
    </w:p>
    <w:p w14:paraId="6EAA692E" w14:textId="223E05E2" w:rsidR="00157585" w:rsidRDefault="00157585" w:rsidP="004D443D">
      <w:r w:rsidRPr="00157585">
        <w:t>aphasia, EEG, resting-state, spectral, reliability</w:t>
      </w:r>
    </w:p>
    <w:p w14:paraId="62C2BB37" w14:textId="77777777" w:rsidR="004D443D" w:rsidRPr="004D443D" w:rsidRDefault="004D443D" w:rsidP="00157585">
      <w:pPr>
        <w:pStyle w:val="Heading1"/>
      </w:pPr>
      <w:bookmarkStart w:id="2" w:name="h2"/>
      <w:bookmarkEnd w:id="2"/>
      <w:r w:rsidRPr="004D443D">
        <w:t>Introduction</w:t>
      </w:r>
    </w:p>
    <w:p w14:paraId="63950D09" w14:textId="77777777" w:rsidR="004D443D" w:rsidRPr="004D443D" w:rsidRDefault="004D443D" w:rsidP="004D443D">
      <w:r w:rsidRPr="004D443D">
        <w:t>For over two million adults living with aphasia in the United States, effective neurorehabilitation will be critical to successful return to everyday life pursuits. Resting-state EEG (</w:t>
      </w:r>
      <w:proofErr w:type="spellStart"/>
      <w:r w:rsidRPr="004D443D">
        <w:t>rsEEG</w:t>
      </w:r>
      <w:proofErr w:type="spellEnd"/>
      <w:r w:rsidRPr="004D443D">
        <w:t>) holds potential as a measure of neurorehabilitation success because it is inexpensive, has few contra-indications for use, and is already widely used in hospitals. Further, data acquisition is straightforward for trained users, even in individuals with severe impairments, and commercial systems with data processing applications are already positioned in healthcare settings, making it highly feasible.</w:t>
      </w:r>
    </w:p>
    <w:p w14:paraId="68220D3A" w14:textId="17FBB587" w:rsidR="004D443D" w:rsidRPr="004D443D" w:rsidRDefault="004D443D" w:rsidP="004D443D">
      <w:r w:rsidRPr="004D443D">
        <w:t>Resting-state assessments offer a simple complement to task-based paradigms in the identification of functional network connectivity. While task-based paradigms provide important insights into behaviors, they can be difficult to interpret when completed by individuals with an impairment in the behavior of interest (</w:t>
      </w:r>
      <w:r w:rsidRPr="00C05BF0">
        <w:t>Price et al., 2006</w:t>
      </w:r>
      <w:r w:rsidRPr="004D443D">
        <w:t>). For example, investigations of language in persons with aphasia (PWAs) often require participants to name pictures or match pictures to a word while undergoing fMRI. Because these individuals have difficulty processing and producing language, incorrect responses are common and must be accounted for in paradigm design and subsequent analyses. Typically, this means excluding incorrect trials from analysis, at the cost of power to detect effects. To offset this loss of statistical power, more trials can be included, but at the risk of increasing fatigue, frustration, and emotional distress. Further, the cognitive load of a given task will vary greatly across participants, depending on their level of deficit and residual abilities (</w:t>
      </w:r>
      <w:r w:rsidRPr="00C05BF0">
        <w:t>Logan, 1985</w:t>
      </w:r>
      <w:r w:rsidRPr="004D443D">
        <w:t>; </w:t>
      </w:r>
      <w:proofErr w:type="spellStart"/>
      <w:r w:rsidRPr="00C05BF0">
        <w:t>Borghini</w:t>
      </w:r>
      <w:proofErr w:type="spellEnd"/>
      <w:r w:rsidRPr="00C05BF0">
        <w:t xml:space="preserve"> et al., 2017</w:t>
      </w:r>
      <w:r w:rsidRPr="004D443D">
        <w:t>). These differences in cognitive load mean that recruitment of brain regions for task completion will also vary greatly, further complicating inferences about task-based activation. Similarly, event-related potential (ERP) analyses are used to investigate patterns in the EEG signal during task completion, with the same interpretive difficulties observed as in task-based fMRI. Recently, resting-state fMRI (</w:t>
      </w:r>
      <w:proofErr w:type="spellStart"/>
      <w:r w:rsidRPr="004D443D">
        <w:t>rsfMRI</w:t>
      </w:r>
      <w:proofErr w:type="spellEnd"/>
      <w:r w:rsidRPr="004D443D">
        <w:t>) has allowed investigation of brain function in the absence of task-based behavior (</w:t>
      </w:r>
      <w:proofErr w:type="spellStart"/>
      <w:r w:rsidRPr="00C05BF0">
        <w:t>Veldsman</w:t>
      </w:r>
      <w:proofErr w:type="spellEnd"/>
      <w:r w:rsidRPr="00C05BF0">
        <w:t xml:space="preserve"> et al., 2014</w:t>
      </w:r>
      <w:r w:rsidRPr="004D443D">
        <w:t>), which has led to an improved understanding of how networks communicate at rest and when on-task (</w:t>
      </w:r>
      <w:proofErr w:type="spellStart"/>
      <w:r w:rsidRPr="00C05BF0">
        <w:t>Klingbeil</w:t>
      </w:r>
      <w:proofErr w:type="spellEnd"/>
      <w:r w:rsidRPr="00C05BF0">
        <w:t xml:space="preserve"> et al., 2019</w:t>
      </w:r>
      <w:r w:rsidRPr="004D443D">
        <w:t xml:space="preserve">). It is reasonable to expect that spectral analysis of </w:t>
      </w:r>
      <w:proofErr w:type="spellStart"/>
      <w:r w:rsidRPr="004D443D">
        <w:t>rsEEG</w:t>
      </w:r>
      <w:proofErr w:type="spellEnd"/>
      <w:r w:rsidRPr="004D443D">
        <w:t xml:space="preserve"> may offer similar benefits as </w:t>
      </w:r>
      <w:proofErr w:type="spellStart"/>
      <w:r w:rsidRPr="004D443D">
        <w:t>rsfMRI</w:t>
      </w:r>
      <w:proofErr w:type="spellEnd"/>
      <w:r w:rsidRPr="004D443D">
        <w:t>, enabling assessment of PWAs even when language deficits limit or prevent completion of tasks that rely on intact language systems.</w:t>
      </w:r>
    </w:p>
    <w:p w14:paraId="7D6246AE" w14:textId="1F031BF5" w:rsidR="004D443D" w:rsidRPr="004D443D" w:rsidRDefault="004D443D" w:rsidP="004D443D">
      <w:r w:rsidRPr="004D443D">
        <w:t xml:space="preserve">Spectral </w:t>
      </w:r>
      <w:proofErr w:type="spellStart"/>
      <w:r w:rsidRPr="004D443D">
        <w:t>rsEEG</w:t>
      </w:r>
      <w:proofErr w:type="spellEnd"/>
      <w:r w:rsidRPr="004D443D">
        <w:t xml:space="preserve"> in the acute and sub-acute stages following stroke reveals increased low frequency (delta and theta) activity and reduced high frequency (alpha and beta) activity compared to controls (for a review, see </w:t>
      </w:r>
      <w:r w:rsidRPr="00C05BF0">
        <w:t xml:space="preserve">Finnigan and van </w:t>
      </w:r>
      <w:proofErr w:type="spellStart"/>
      <w:r w:rsidRPr="00C05BF0">
        <w:t>Putten</w:t>
      </w:r>
      <w:proofErr w:type="spellEnd"/>
      <w:r w:rsidRPr="00C05BF0">
        <w:t>, 2013</w:t>
      </w:r>
      <w:r w:rsidRPr="004D443D">
        <w:t>). These differences between controls and PWAs seem to be related to functional outcomes as measured by general stroke scales (</w:t>
      </w:r>
      <w:r w:rsidRPr="00C05BF0">
        <w:t>Finnigan et al., 2007</w:t>
      </w:r>
      <w:r w:rsidRPr="004D443D">
        <w:t>; </w:t>
      </w:r>
      <w:r w:rsidRPr="00C05BF0">
        <w:t>de Vos et al., 2008</w:t>
      </w:r>
      <w:r w:rsidRPr="004D443D">
        <w:t>; </w:t>
      </w:r>
      <w:proofErr w:type="spellStart"/>
      <w:r w:rsidRPr="00C05BF0">
        <w:t>Sheorajpanday</w:t>
      </w:r>
      <w:proofErr w:type="spellEnd"/>
      <w:r w:rsidRPr="00C05BF0">
        <w:t xml:space="preserve"> et al., 2009</w:t>
      </w:r>
      <w:r w:rsidRPr="004D443D">
        <w:t>; </w:t>
      </w:r>
      <w:proofErr w:type="spellStart"/>
      <w:r w:rsidRPr="00C05BF0">
        <w:t>Dubovik</w:t>
      </w:r>
      <w:proofErr w:type="spellEnd"/>
      <w:r w:rsidRPr="00C05BF0">
        <w:t xml:space="preserve"> et al., 2013</w:t>
      </w:r>
      <w:r w:rsidRPr="004D443D">
        <w:t>; </w:t>
      </w:r>
      <w:r w:rsidRPr="00C05BF0">
        <w:t>Nicolo et al., 2015</w:t>
      </w:r>
      <w:r w:rsidRPr="004D443D">
        <w:t>), where increased low frequency activity and reduced high frequency activity is often associated with poorer outcomes. Only a few studies have examined spectral EEG in chronic stroke (</w:t>
      </w:r>
      <w:r w:rsidRPr="00C05BF0">
        <w:t xml:space="preserve">Rozelle and </w:t>
      </w:r>
      <w:proofErr w:type="spellStart"/>
      <w:r w:rsidRPr="00C05BF0">
        <w:t>Budzynski</w:t>
      </w:r>
      <w:proofErr w:type="spellEnd"/>
      <w:r w:rsidRPr="00C05BF0">
        <w:t>, 1995</w:t>
      </w:r>
      <w:r w:rsidRPr="004D443D">
        <w:t>; </w:t>
      </w:r>
      <w:proofErr w:type="spellStart"/>
      <w:r w:rsidRPr="00C05BF0">
        <w:t>Spironelli</w:t>
      </w:r>
      <w:proofErr w:type="spellEnd"/>
      <w:r w:rsidRPr="00C05BF0">
        <w:t xml:space="preserve"> and </w:t>
      </w:r>
      <w:proofErr w:type="spellStart"/>
      <w:r w:rsidRPr="00C05BF0">
        <w:t>Angrilli</w:t>
      </w:r>
      <w:proofErr w:type="spellEnd"/>
      <w:r w:rsidRPr="00C05BF0">
        <w:t>, 2009</w:t>
      </w:r>
      <w:r w:rsidRPr="004D443D">
        <w:t>; </w:t>
      </w:r>
      <w:proofErr w:type="spellStart"/>
      <w:r w:rsidRPr="00C05BF0">
        <w:t>Spironelli</w:t>
      </w:r>
      <w:proofErr w:type="spellEnd"/>
      <w:r w:rsidRPr="00C05BF0">
        <w:t xml:space="preserve"> et al., 2013</w:t>
      </w:r>
      <w:r w:rsidRPr="004D443D">
        <w:t>; </w:t>
      </w:r>
      <w:r w:rsidRPr="00C05BF0">
        <w:t>Herron et al., 2014</w:t>
      </w:r>
      <w:r w:rsidRPr="004D443D">
        <w:t>; </w:t>
      </w:r>
      <w:r w:rsidRPr="00C05BF0">
        <w:t>Song et al., 2015</w:t>
      </w:r>
      <w:r w:rsidRPr="004D443D">
        <w:t>). The utility and generalizability of these studies are limited due to their reliance on behavioral tasks, restricted spectral frequencies investigated, and restricted behavioral profiles (e.g., persons with Broca’s aphasia only). While completing language tasks, including lexical judgment, rhyming judgment, semantic matching, and orthographic matching, 17 Italian-speaking PWAs (3 non-fluent, 13 fluent, 1 unclassified) demonstrated increased delta power in the left hemisphere compared to healthy controls (</w:t>
      </w:r>
      <w:proofErr w:type="spellStart"/>
      <w:r w:rsidRPr="00C05BF0">
        <w:t>Spironelli</w:t>
      </w:r>
      <w:proofErr w:type="spellEnd"/>
      <w:r w:rsidRPr="00C05BF0">
        <w:t xml:space="preserve"> and </w:t>
      </w:r>
      <w:proofErr w:type="spellStart"/>
      <w:r w:rsidRPr="00C05BF0">
        <w:t>Angrilli</w:t>
      </w:r>
      <w:proofErr w:type="spellEnd"/>
      <w:r w:rsidRPr="00C05BF0">
        <w:t>, 2009</w:t>
      </w:r>
      <w:r w:rsidRPr="004D443D">
        <w:t>). In a related study with an overlapping sample, </w:t>
      </w:r>
      <w:proofErr w:type="spellStart"/>
      <w:r w:rsidRPr="00C05BF0">
        <w:t>Spironelli</w:t>
      </w:r>
      <w:proofErr w:type="spellEnd"/>
      <w:r w:rsidRPr="00C05BF0">
        <w:t xml:space="preserve"> et al. (2013)</w:t>
      </w:r>
      <w:r w:rsidRPr="004D443D">
        <w:t> reported that 11 Italian-speaking PWAs also had reduced high beta power (calculated by averaging activity in the 21–28 Hz range, the upper half of the classic beta frequency band) in the lesioned left hemisphere compared to controls.</w:t>
      </w:r>
    </w:p>
    <w:p w14:paraId="3E3E6E88" w14:textId="6092FDD5" w:rsidR="004D443D" w:rsidRPr="004D443D" w:rsidRDefault="004D443D" w:rsidP="004D443D">
      <w:r w:rsidRPr="004D443D">
        <w:t xml:space="preserve">While not always specific to PWAs, several investigations have examined changes in spectral EEG over time. Spectral task-based EEG in 11 German-speaking PWAs (five non-fluent, six fluent) demonstrated that decreased left hemisphere delta power corresponded to significant language recovery in the </w:t>
      </w:r>
      <w:proofErr w:type="gramStart"/>
      <w:r w:rsidRPr="004D443D">
        <w:t>first year</w:t>
      </w:r>
      <w:proofErr w:type="gramEnd"/>
      <w:r w:rsidRPr="004D443D">
        <w:t xml:space="preserve"> post stroke, but no changes in language recovery or delta power were seen in the second year post stroke (</w:t>
      </w:r>
      <w:r w:rsidRPr="00C05BF0">
        <w:t>Hensel et al., 2004</w:t>
      </w:r>
      <w:r w:rsidRPr="004D443D">
        <w:t>). In a similar study of cognitive function (measured by the MoCA) following mild right hemisphere stroke in 10 Serbian-speaking participants, </w:t>
      </w:r>
      <w:r w:rsidRPr="00C05BF0">
        <w:t>Petrovic et al. (2017)</w:t>
      </w:r>
      <w:r w:rsidRPr="004D443D">
        <w:t xml:space="preserve"> reported that spectral </w:t>
      </w:r>
      <w:proofErr w:type="spellStart"/>
      <w:r w:rsidRPr="004D443D">
        <w:t>rsEEG</w:t>
      </w:r>
      <w:proofErr w:type="spellEnd"/>
      <w:r w:rsidRPr="004D443D">
        <w:t xml:space="preserve"> features measured approximately 10 days post-stroke did not fully resolve 1–1.5 years post-stroke, even when cognitive behavioral performance did. It was posited that these permanent changes in </w:t>
      </w:r>
      <w:proofErr w:type="spellStart"/>
      <w:r w:rsidRPr="004D443D">
        <w:t>rsEEG</w:t>
      </w:r>
      <w:proofErr w:type="spellEnd"/>
      <w:r w:rsidRPr="004D443D">
        <w:t xml:space="preserve"> were a result of neural adaptations to support cognition in the face of a lesion.</w:t>
      </w:r>
    </w:p>
    <w:p w14:paraId="7C2331D7" w14:textId="02C6C9F2" w:rsidR="004D443D" w:rsidRPr="004D443D" w:rsidRDefault="004D443D" w:rsidP="004D443D">
      <w:r w:rsidRPr="004D443D">
        <w:t>Some researchers have also examined spectral EEG before and after rehabilitation in sub-acute and chronic PWAs (</w:t>
      </w:r>
      <w:r w:rsidRPr="00C05BF0">
        <w:t xml:space="preserve">Rozelle and </w:t>
      </w:r>
      <w:proofErr w:type="spellStart"/>
      <w:r w:rsidRPr="00C05BF0">
        <w:t>Budzynski</w:t>
      </w:r>
      <w:proofErr w:type="spellEnd"/>
      <w:r w:rsidRPr="00C05BF0">
        <w:t>, 1995</w:t>
      </w:r>
      <w:r w:rsidRPr="004D443D">
        <w:t>; </w:t>
      </w:r>
      <w:proofErr w:type="spellStart"/>
      <w:r w:rsidRPr="00C05BF0">
        <w:t>Stojanovic</w:t>
      </w:r>
      <w:proofErr w:type="spellEnd"/>
      <w:r w:rsidRPr="00C05BF0">
        <w:t xml:space="preserve"> et al., 2013</w:t>
      </w:r>
      <w:r w:rsidRPr="004D443D">
        <w:t>). A single case study of an English-speaking person with chronic non-fluent aphasia investigated the use of spectral EEG as a biofeedback method to lower theta and increase beta activity (</w:t>
      </w:r>
      <w:r w:rsidRPr="00C05BF0">
        <w:t xml:space="preserve">Rozelle and </w:t>
      </w:r>
      <w:proofErr w:type="spellStart"/>
      <w:r w:rsidRPr="00C05BF0">
        <w:t>Budzynski</w:t>
      </w:r>
      <w:proofErr w:type="spellEnd"/>
      <w:r w:rsidRPr="00C05BF0">
        <w:t>, 1995</w:t>
      </w:r>
      <w:r w:rsidRPr="004D443D">
        <w:t xml:space="preserve">). Following training, the participant demonstrated significantly reduced theta activity in spectral </w:t>
      </w:r>
      <w:proofErr w:type="spellStart"/>
      <w:r w:rsidRPr="004D443D">
        <w:t>rsEEG</w:t>
      </w:r>
      <w:proofErr w:type="spellEnd"/>
      <w:r w:rsidRPr="004D443D">
        <w:t xml:space="preserve">, alongside behavioral improvements in speech, language, motor, mood, and cognitive domains. More recently, a study investigated aphasia treatment response in a sample of 32 Serbian-speaking PWAs (26 non-fluent, 6 fluent) using spectral </w:t>
      </w:r>
      <w:proofErr w:type="spellStart"/>
      <w:r w:rsidRPr="004D443D">
        <w:t>rsEEG</w:t>
      </w:r>
      <w:proofErr w:type="spellEnd"/>
      <w:r w:rsidRPr="004D443D">
        <w:t xml:space="preserve"> to compare the hemispheric and regional symmetry of delta, theta, alpha and beta power (</w:t>
      </w:r>
      <w:proofErr w:type="spellStart"/>
      <w:r w:rsidRPr="00C05BF0">
        <w:t>Stojanovic</w:t>
      </w:r>
      <w:proofErr w:type="spellEnd"/>
      <w:r w:rsidRPr="00C05BF0">
        <w:t xml:space="preserve"> et al., 2013</w:t>
      </w:r>
      <w:r w:rsidRPr="004D443D">
        <w:t>). Prior to treatment, hemispheric and regional asymmetry were increased, and variability was decreased, in PWAs compared to 86 age- and sex-matched healthy controls. Following treatment, between-group differences were significantly decreased, driven primarily by the better responders to aphasia therapy.</w:t>
      </w:r>
    </w:p>
    <w:p w14:paraId="6D3C0E86" w14:textId="25484776" w:rsidR="004D443D" w:rsidRPr="004D443D" w:rsidRDefault="004D443D" w:rsidP="004D443D">
      <w:r w:rsidRPr="004D443D">
        <w:t xml:space="preserve">Taken together, these studies provide preliminary evidence that spectral </w:t>
      </w:r>
      <w:proofErr w:type="spellStart"/>
      <w:r w:rsidRPr="004D443D">
        <w:t>rsEEG</w:t>
      </w:r>
      <w:proofErr w:type="spellEnd"/>
      <w:r w:rsidRPr="004D443D">
        <w:t xml:space="preserve"> may be useful for prognosis and measurement of treatment response. However, the psychometric properties of spectral </w:t>
      </w:r>
      <w:proofErr w:type="spellStart"/>
      <w:r w:rsidRPr="004D443D">
        <w:t>rsEEG</w:t>
      </w:r>
      <w:proofErr w:type="spellEnd"/>
      <w:r w:rsidRPr="004D443D">
        <w:t xml:space="preserve"> have not yet been characterized in PWAs, limiting the validity and accuracy of predictive inferences that can be made. A necessary step in the translation of spectral </w:t>
      </w:r>
      <w:proofErr w:type="spellStart"/>
      <w:r w:rsidRPr="004D443D">
        <w:t>rsEEG</w:t>
      </w:r>
      <w:proofErr w:type="spellEnd"/>
      <w:r w:rsidRPr="004D443D">
        <w:t xml:space="preserve"> measures from research to clinical practice is ensuring they possess adequate psychometric properties for use as repeated measures (i.e., treatment monitoring). Thus, it is paramount that the psychometric properties of spectral </w:t>
      </w:r>
      <w:proofErr w:type="spellStart"/>
      <w:r w:rsidRPr="004D443D">
        <w:t>rsEEG</w:t>
      </w:r>
      <w:proofErr w:type="spellEnd"/>
      <w:r w:rsidRPr="004D443D">
        <w:t xml:space="preserve"> are defined in PWAs, particularly in the chronic stage, as this has been understudied in comparison to the acute and sub-acute stages. Investigations of spectral EEG variability in adults have generally demonstrated good stability for healthy populations (</w:t>
      </w:r>
      <w:proofErr w:type="spellStart"/>
      <w:r w:rsidRPr="00C05BF0">
        <w:t>Oken</w:t>
      </w:r>
      <w:proofErr w:type="spellEnd"/>
      <w:r w:rsidRPr="00C05BF0">
        <w:t xml:space="preserve"> and </w:t>
      </w:r>
      <w:proofErr w:type="spellStart"/>
      <w:r w:rsidRPr="00C05BF0">
        <w:t>Chiappa</w:t>
      </w:r>
      <w:proofErr w:type="spellEnd"/>
      <w:r w:rsidRPr="00C05BF0">
        <w:t>, 1988</w:t>
      </w:r>
      <w:r w:rsidRPr="004D443D">
        <w:t>; </w:t>
      </w:r>
      <w:proofErr w:type="spellStart"/>
      <w:r w:rsidRPr="00C05BF0">
        <w:t>Salinsky</w:t>
      </w:r>
      <w:proofErr w:type="spellEnd"/>
      <w:r w:rsidRPr="00C05BF0">
        <w:t xml:space="preserve"> et al., 1991</w:t>
      </w:r>
      <w:r w:rsidRPr="004D443D">
        <w:t>; </w:t>
      </w:r>
      <w:proofErr w:type="spellStart"/>
      <w:r w:rsidRPr="00C05BF0">
        <w:t>Corsi</w:t>
      </w:r>
      <w:proofErr w:type="spellEnd"/>
      <w:r w:rsidRPr="00C05BF0">
        <w:t>-Cabrera et al., 1997</w:t>
      </w:r>
      <w:r w:rsidRPr="004D443D">
        <w:t>; </w:t>
      </w:r>
      <w:proofErr w:type="spellStart"/>
      <w:r w:rsidRPr="00C05BF0">
        <w:t>Kondacs</w:t>
      </w:r>
      <w:proofErr w:type="spellEnd"/>
      <w:r w:rsidRPr="00C05BF0">
        <w:t xml:space="preserve"> and </w:t>
      </w:r>
      <w:proofErr w:type="spellStart"/>
      <w:r w:rsidRPr="00C05BF0">
        <w:t>Szabó</w:t>
      </w:r>
      <w:proofErr w:type="spellEnd"/>
      <w:r w:rsidRPr="00C05BF0">
        <w:t>, 1999</w:t>
      </w:r>
      <w:r w:rsidRPr="004D443D">
        <w:t>; </w:t>
      </w:r>
      <w:r w:rsidRPr="00C05BF0">
        <w:t>Gudmundsson et al., 2007</w:t>
      </w:r>
      <w:r w:rsidRPr="004D443D">
        <w:t>; </w:t>
      </w:r>
      <w:r w:rsidRPr="00C05BF0">
        <w:t>Suarez-</w:t>
      </w:r>
      <w:proofErr w:type="spellStart"/>
      <w:r w:rsidRPr="00C05BF0">
        <w:t>Revelo</w:t>
      </w:r>
      <w:proofErr w:type="spellEnd"/>
      <w:r w:rsidRPr="00C05BF0">
        <w:t xml:space="preserve"> et al., 2015</w:t>
      </w:r>
      <w:r w:rsidRPr="004D443D">
        <w:t>), though electrode montage (i.e., spatial arrangement of electrodes) can have a significant impact on reliability (</w:t>
      </w:r>
      <w:r w:rsidRPr="00C05BF0">
        <w:t>Gudmundsson et al., 2007</w:t>
      </w:r>
      <w:r w:rsidRPr="004D443D">
        <w:t>), warranting further investigation. Acceptable specificity and test-retest reliability has yet to be investigated or established for specific patient populations. Despite this very limited psychometric evidence to support the use of spectral EEG as a repeated measure, it is already being used in this manner in research (e.g., </w:t>
      </w:r>
      <w:r w:rsidRPr="00C05BF0">
        <w:t xml:space="preserve">Rozelle and </w:t>
      </w:r>
      <w:proofErr w:type="spellStart"/>
      <w:r w:rsidRPr="00C05BF0">
        <w:t>Budzynski</w:t>
      </w:r>
      <w:proofErr w:type="spellEnd"/>
      <w:r w:rsidRPr="00C05BF0">
        <w:t>, 1995</w:t>
      </w:r>
      <w:r w:rsidRPr="004D443D">
        <w:t>; </w:t>
      </w:r>
      <w:r w:rsidRPr="00C05BF0">
        <w:t>Hensel et al., 2004</w:t>
      </w:r>
      <w:r w:rsidRPr="004D443D">
        <w:t>; </w:t>
      </w:r>
      <w:proofErr w:type="spellStart"/>
      <w:r w:rsidRPr="00C05BF0">
        <w:t>Stojanovic</w:t>
      </w:r>
      <w:proofErr w:type="spellEnd"/>
      <w:r w:rsidRPr="00C05BF0">
        <w:t xml:space="preserve"> et al., 2013</w:t>
      </w:r>
      <w:r w:rsidRPr="004D443D">
        <w:t>; </w:t>
      </w:r>
      <w:r w:rsidRPr="00C05BF0">
        <w:t>Wu et al., 2015</w:t>
      </w:r>
      <w:r w:rsidRPr="004D443D">
        <w:t>; </w:t>
      </w:r>
      <w:r w:rsidRPr="00C05BF0">
        <w:t>Petrovic et al., 2017</w:t>
      </w:r>
      <w:r w:rsidRPr="004D443D">
        <w:t xml:space="preserve">). Defining specificity and reliability of spectral </w:t>
      </w:r>
      <w:proofErr w:type="spellStart"/>
      <w:r w:rsidRPr="004D443D">
        <w:t>rsEEG</w:t>
      </w:r>
      <w:proofErr w:type="spellEnd"/>
      <w:r w:rsidRPr="004D443D">
        <w:t xml:space="preserve"> measures utilizing varied electrode montages post-stroke is critical to ensuring appropriate application of these measures and preventing research waste (for a discussion of research waste as it pertains to biomarkers, see </w:t>
      </w:r>
      <w:r w:rsidRPr="00C05BF0">
        <w:t xml:space="preserve">Ioannidis and </w:t>
      </w:r>
      <w:proofErr w:type="spellStart"/>
      <w:r w:rsidRPr="00C05BF0">
        <w:t>Bossuyt</w:t>
      </w:r>
      <w:proofErr w:type="spellEnd"/>
      <w:r w:rsidRPr="00C05BF0">
        <w:t>, 2017</w:t>
      </w:r>
      <w:r w:rsidRPr="004D443D">
        <w:t>).</w:t>
      </w:r>
    </w:p>
    <w:p w14:paraId="3406099D" w14:textId="77777777" w:rsidR="004D443D" w:rsidRPr="004D443D" w:rsidRDefault="004D443D" w:rsidP="004D443D">
      <w:r w:rsidRPr="004D443D">
        <w:t xml:space="preserve">The current study seeks to improve our understanding of brain activation changes and their potential as a biomarker (i.e., indicator of presence of aphasia, indicator of treatment response) in persons with chronic stroke-induced aphasia by repeated examination of the four most frequently used spectral EEG frequency bands during two rest conditions (eyes-open and eyes-closed). We focus our investigation on the chronic stage for two reasons. First, spectral </w:t>
      </w:r>
      <w:proofErr w:type="spellStart"/>
      <w:r w:rsidRPr="004D443D">
        <w:t>rsEEG</w:t>
      </w:r>
      <w:proofErr w:type="spellEnd"/>
      <w:r w:rsidRPr="004D443D">
        <w:t xml:space="preserve"> is understudied in the chronic phase compared to acute and sub-acute stages; and second, persons with chronic aphasia are likely to have more stable brain functions, making this the ideal population for investigating spectral </w:t>
      </w:r>
      <w:proofErr w:type="spellStart"/>
      <w:r w:rsidRPr="004D443D">
        <w:t>rsEEG’s</w:t>
      </w:r>
      <w:proofErr w:type="spellEnd"/>
      <w:r w:rsidRPr="004D443D">
        <w:t xml:space="preserve"> appropriateness for repeated measurement. This study will provide confirmation of spectral </w:t>
      </w:r>
      <w:proofErr w:type="spellStart"/>
      <w:r w:rsidRPr="004D443D">
        <w:t>rsEEG</w:t>
      </w:r>
      <w:proofErr w:type="spellEnd"/>
      <w:r w:rsidRPr="004D443D">
        <w:t xml:space="preserve"> changes persisting into the chronic stage post-stroke and will have wide application to PWAs of varying severities, where accurate completion of language tasks may not be possible. We report results for varied montages given the reported differences in the reliability of montages, the use of varied montages in the literature, and the contrast between clinically focused research which uses fewer electrodes (typically no more than 19) versus laboratory-focused research which uses large numbers of electrodes (64–256). The specific aims of this study are to:</w:t>
      </w:r>
    </w:p>
    <w:p w14:paraId="66ABAB44" w14:textId="77777777" w:rsidR="004D443D" w:rsidRPr="004D443D" w:rsidRDefault="004D443D" w:rsidP="00157585">
      <w:pPr>
        <w:pStyle w:val="NoSpacing"/>
        <w:ind w:left="720"/>
      </w:pPr>
      <w:r w:rsidRPr="004D443D">
        <w:t xml:space="preserve">1. Determine the reliability of spectral </w:t>
      </w:r>
      <w:proofErr w:type="spellStart"/>
      <w:r w:rsidRPr="004D443D">
        <w:t>rsEEG</w:t>
      </w:r>
      <w:proofErr w:type="spellEnd"/>
      <w:r w:rsidRPr="004D443D">
        <w:t xml:space="preserve"> measures in healthy controls and PWAs for four montages </w:t>
      </w:r>
      <w:proofErr w:type="gramStart"/>
      <w:r w:rsidRPr="004D443D">
        <w:t>in order to</w:t>
      </w:r>
      <w:proofErr w:type="gramEnd"/>
      <w:r w:rsidRPr="004D443D">
        <w:t xml:space="preserve"> establish suitability as a repeated measure.</w:t>
      </w:r>
    </w:p>
    <w:p w14:paraId="62D64ABC" w14:textId="77777777" w:rsidR="004D443D" w:rsidRPr="004D443D" w:rsidRDefault="004D443D" w:rsidP="00157585">
      <w:pPr>
        <w:pStyle w:val="NoSpacing"/>
        <w:ind w:left="720"/>
      </w:pPr>
      <w:r w:rsidRPr="004D443D">
        <w:t xml:space="preserve">2. Examine differences in spectral </w:t>
      </w:r>
      <w:proofErr w:type="spellStart"/>
      <w:r w:rsidRPr="004D443D">
        <w:t>rsEEG</w:t>
      </w:r>
      <w:proofErr w:type="spellEnd"/>
      <w:r w:rsidRPr="004D443D">
        <w:t xml:space="preserve"> between well-described samples of healthy controls and PWAs.</w:t>
      </w:r>
    </w:p>
    <w:p w14:paraId="51FDF1E0" w14:textId="77777777" w:rsidR="004D443D" w:rsidRDefault="004D443D" w:rsidP="00157585">
      <w:pPr>
        <w:pStyle w:val="NoSpacing"/>
        <w:ind w:left="720"/>
      </w:pPr>
      <w:r w:rsidRPr="004D443D">
        <w:t xml:space="preserve">3. Examine relationships between spectral </w:t>
      </w:r>
      <w:proofErr w:type="spellStart"/>
      <w:r w:rsidRPr="004D443D">
        <w:t>rsEEG</w:t>
      </w:r>
      <w:proofErr w:type="spellEnd"/>
      <w:r w:rsidRPr="004D443D">
        <w:t xml:space="preserve"> measures and performance on behavioral measures.</w:t>
      </w:r>
    </w:p>
    <w:p w14:paraId="6DA07EE5" w14:textId="77777777" w:rsidR="00157585" w:rsidRPr="004D443D" w:rsidRDefault="00157585" w:rsidP="004D443D"/>
    <w:p w14:paraId="16350794" w14:textId="77777777" w:rsidR="004D443D" w:rsidRPr="004D443D" w:rsidRDefault="004D443D" w:rsidP="00157585">
      <w:pPr>
        <w:pStyle w:val="Heading1"/>
      </w:pPr>
      <w:bookmarkStart w:id="3" w:name="h3"/>
      <w:bookmarkEnd w:id="3"/>
      <w:r w:rsidRPr="004D443D">
        <w:t>Materials and Methods</w:t>
      </w:r>
    </w:p>
    <w:p w14:paraId="0B706D25" w14:textId="77777777" w:rsidR="004D443D" w:rsidRPr="004D443D" w:rsidRDefault="004D443D" w:rsidP="00157585">
      <w:pPr>
        <w:pStyle w:val="Heading2"/>
      </w:pPr>
      <w:r w:rsidRPr="004D443D">
        <w:t>Participants</w:t>
      </w:r>
    </w:p>
    <w:p w14:paraId="7317D6A4" w14:textId="77777777" w:rsidR="004D443D" w:rsidRPr="00157585" w:rsidRDefault="004D443D" w:rsidP="00157585">
      <w:pPr>
        <w:pStyle w:val="Heading3"/>
        <w:rPr>
          <w:i/>
          <w:iCs/>
        </w:rPr>
      </w:pPr>
      <w:r w:rsidRPr="00157585">
        <w:rPr>
          <w:i/>
          <w:iCs/>
        </w:rPr>
        <w:t>Persons With Aphasia</w:t>
      </w:r>
    </w:p>
    <w:p w14:paraId="7492463D" w14:textId="6F20B6C7" w:rsidR="004D443D" w:rsidRPr="004D443D" w:rsidRDefault="004D443D" w:rsidP="004D443D">
      <w:r w:rsidRPr="004D443D">
        <w:t>Twenty-one PWAs were recruited into the study. Following inspection of EEG data, two participants were removed from analysis due to poor data quality, leaving 19 (seven females) PWAs (</w:t>
      </w:r>
      <w:r w:rsidRPr="00C05BF0">
        <w:t>Table 1</w:t>
      </w:r>
      <w:r w:rsidRPr="004D443D">
        <w:t xml:space="preserve">). Participants who had experienced multiple strokes (2–4) were included to ensure that the results are maximally applicable to the general aphasia rehabilitation population served by speech-language pathologists. Fifteen participants experienced left hemisphere stroke(s) while four experienced stroke(s) of mixed </w:t>
      </w:r>
      <w:proofErr w:type="spellStart"/>
      <w:r w:rsidRPr="004D443D">
        <w:t>hemisphericity</w:t>
      </w:r>
      <w:proofErr w:type="spellEnd"/>
      <w:r w:rsidRPr="004D443D">
        <w:t>. Western Aphasia Battery - Revised (WAB-R; </w:t>
      </w:r>
      <w:proofErr w:type="spellStart"/>
      <w:r w:rsidRPr="00C05BF0">
        <w:t>Kertesz</w:t>
      </w:r>
      <w:proofErr w:type="spellEnd"/>
      <w:r w:rsidRPr="00C05BF0">
        <w:t>, 2006</w:t>
      </w:r>
      <w:r w:rsidRPr="004D443D">
        <w:t>) Aphasia Quotient (AQ) scores were used to classify participants into the following aphasia subtypes: 6 anomic, 3 conduction, 1 Wernicke’s, 1 Broca’s, 1 transcortical motor, and 7 who experienced left hemisphere strokes but tested above the WAB cut-off for clinical aphasia (not aphasic by WAB; NABW). PWAs NABW demonstrated communication deficits based on discourse and naming performance (described in detail below) and were therefore included in the study, consistent with previous research (</w:t>
      </w:r>
      <w:proofErr w:type="spellStart"/>
      <w:r w:rsidRPr="00C05BF0">
        <w:t>Spironelli</w:t>
      </w:r>
      <w:proofErr w:type="spellEnd"/>
      <w:r w:rsidRPr="00C05BF0">
        <w:t xml:space="preserve"> and </w:t>
      </w:r>
      <w:proofErr w:type="spellStart"/>
      <w:r w:rsidRPr="00C05BF0">
        <w:t>Angrilli</w:t>
      </w:r>
      <w:proofErr w:type="spellEnd"/>
      <w:r w:rsidRPr="00C05BF0">
        <w:t>, 2009</w:t>
      </w:r>
      <w:r w:rsidRPr="004D443D">
        <w:t>; </w:t>
      </w:r>
      <w:proofErr w:type="spellStart"/>
      <w:r w:rsidRPr="00C05BF0">
        <w:t>Spironelli</w:t>
      </w:r>
      <w:proofErr w:type="spellEnd"/>
      <w:r w:rsidRPr="00C05BF0">
        <w:t xml:space="preserve"> et al., 2013</w:t>
      </w:r>
      <w:r w:rsidRPr="004D443D">
        <w:t>; </w:t>
      </w:r>
      <w:r w:rsidRPr="00C05BF0">
        <w:t>Fromm et al., 2017</w:t>
      </w:r>
      <w:r w:rsidRPr="004D443D">
        <w:t>; </w:t>
      </w:r>
      <w:r w:rsidRPr="00C05BF0">
        <w:t>Dalton and Richardson, 2019</w:t>
      </w:r>
      <w:r w:rsidRPr="004D443D">
        <w:t>). All PWAs were greater than 1-year post-stroke to ensure that spontaneous recovery was not a factor in the reliability analysis. As in previous studies (e.g., </w:t>
      </w:r>
      <w:r w:rsidRPr="00C05BF0">
        <w:t>Finnigan et al., 2007</w:t>
      </w:r>
      <w:r w:rsidRPr="004D443D">
        <w:t>, </w:t>
      </w:r>
      <w:r w:rsidRPr="00C05BF0">
        <w:t>2016</w:t>
      </w:r>
      <w:r w:rsidRPr="004D443D">
        <w:t>; </w:t>
      </w:r>
      <w:r w:rsidRPr="00C05BF0">
        <w:t>Leon-Carrion et al., 2009</w:t>
      </w:r>
      <w:r w:rsidRPr="004D443D">
        <w:t>; </w:t>
      </w:r>
      <w:r w:rsidRPr="00C05BF0">
        <w:t>Herron et al., 2014</w:t>
      </w:r>
      <w:r w:rsidRPr="004D443D">
        <w:t>; </w:t>
      </w:r>
      <w:r w:rsidRPr="00C05BF0">
        <w:t>Nicolo et al., 2015</w:t>
      </w:r>
      <w:r w:rsidRPr="004D443D">
        <w:t>; </w:t>
      </w:r>
      <w:r w:rsidRPr="00C05BF0">
        <w:t>Song et al., 2015</w:t>
      </w:r>
      <w:r w:rsidRPr="004D443D">
        <w:t>; </w:t>
      </w:r>
      <w:r w:rsidRPr="00C05BF0">
        <w:t>Wu et al., 2015</w:t>
      </w:r>
      <w:r w:rsidRPr="004D443D">
        <w:t>; </w:t>
      </w:r>
      <w:proofErr w:type="spellStart"/>
      <w:r w:rsidRPr="00C05BF0">
        <w:t>Gorišek</w:t>
      </w:r>
      <w:proofErr w:type="spellEnd"/>
      <w:r w:rsidRPr="00C05BF0">
        <w:t xml:space="preserve"> et al., 2016</w:t>
      </w:r>
      <w:r w:rsidRPr="004D443D">
        <w:t>), potential participants with a diagnosis of significant psychiatric mood disorders were excluded (including major depressive disorder or generalized anxiety disorder), but persons with self-reported symptoms of mild depression and anxiety with no clinical diagnosis were allowed to participate. All PWAs were right-handed prior to their stroke. English was the primary language used by all participants at the time of testing, and had been for many years, according to responses on the Language Experience and Proficiency Questionnaire (LEAP-Q; </w:t>
      </w:r>
      <w:r w:rsidRPr="00C05BF0">
        <w:t>Marian et al., 2007</w:t>
      </w:r>
      <w:r w:rsidRPr="004D443D">
        <w:t>). Three participants with stroke reported speaking more than one language, and all but one participant (who reported Spanish as the first language) reported English as their first language. The average age of PWAs was 58.2 years (SD = 14.5). Average education was 15 years (SD = 3.1). See </w:t>
      </w:r>
      <w:r w:rsidRPr="00C05BF0">
        <w:t>Supplementary Table 1</w:t>
      </w:r>
      <w:r w:rsidRPr="004D443D">
        <w:t> for participant level demographics of PWAs, including available lesion location information.</w:t>
      </w:r>
    </w:p>
    <w:p w14:paraId="27261F0B" w14:textId="7B8B5A10" w:rsidR="004D443D" w:rsidRDefault="004D443D" w:rsidP="000E4292">
      <w:pPr>
        <w:spacing w:after="0"/>
      </w:pPr>
      <w:r w:rsidRPr="004D443D">
        <w:rPr>
          <w:b/>
          <w:bCs/>
        </w:rPr>
        <w:t>Table 1.</w:t>
      </w:r>
      <w:r w:rsidRPr="004D443D">
        <w:t> Demographics for neurologically healthy controls and persons with aphasia included in the analysis.</w:t>
      </w:r>
    </w:p>
    <w:tbl>
      <w:tblPr>
        <w:tblStyle w:val="TableGrid"/>
        <w:tblW w:w="0" w:type="auto"/>
        <w:tblLook w:val="04A0" w:firstRow="1" w:lastRow="0" w:firstColumn="1" w:lastColumn="0" w:noHBand="0" w:noVBand="1"/>
      </w:tblPr>
      <w:tblGrid>
        <w:gridCol w:w="4928"/>
        <w:gridCol w:w="2559"/>
      </w:tblGrid>
      <w:tr w:rsidR="00ED6802" w:rsidRPr="000E4292" w14:paraId="02C76ED1" w14:textId="77777777" w:rsidTr="000E4292">
        <w:tc>
          <w:tcPr>
            <w:tcW w:w="0" w:type="auto"/>
          </w:tcPr>
          <w:p w14:paraId="37672982" w14:textId="77777777" w:rsidR="00ED6802" w:rsidRPr="000E4292" w:rsidRDefault="00ED6802" w:rsidP="00B3695E">
            <w:pPr>
              <w:pStyle w:val="NoSpacing"/>
              <w:rPr>
                <w:rFonts w:cstheme="minorHAnsi"/>
              </w:rPr>
            </w:pPr>
          </w:p>
        </w:tc>
        <w:tc>
          <w:tcPr>
            <w:tcW w:w="0" w:type="auto"/>
          </w:tcPr>
          <w:p w14:paraId="0BB03AAB" w14:textId="666727DA" w:rsidR="00ED6802" w:rsidRPr="000E4292" w:rsidRDefault="00E16D93" w:rsidP="00B3695E">
            <w:pPr>
              <w:pStyle w:val="NoSpacing"/>
              <w:rPr>
                <w:rFonts w:cstheme="minorHAnsi"/>
              </w:rPr>
            </w:pPr>
            <w:r w:rsidRPr="000E4292">
              <w:rPr>
                <w:rFonts w:cstheme="minorHAnsi"/>
              </w:rPr>
              <w:t>Healthy controls</w:t>
            </w:r>
          </w:p>
        </w:tc>
      </w:tr>
      <w:tr w:rsidR="00ED6802" w:rsidRPr="000E4292" w14:paraId="2A375F89" w14:textId="77777777" w:rsidTr="000E4292">
        <w:tc>
          <w:tcPr>
            <w:tcW w:w="0" w:type="auto"/>
          </w:tcPr>
          <w:p w14:paraId="37F30059" w14:textId="7D47454E" w:rsidR="00ED6802" w:rsidRPr="000E4292" w:rsidRDefault="00E16D93" w:rsidP="00B3695E">
            <w:pPr>
              <w:pStyle w:val="NoSpacing"/>
              <w:rPr>
                <w:rFonts w:cstheme="minorHAnsi"/>
              </w:rPr>
            </w:pPr>
            <w:r w:rsidRPr="000E4292">
              <w:rPr>
                <w:rFonts w:cstheme="minorHAnsi"/>
              </w:rPr>
              <w:t>Sex</w:t>
            </w:r>
          </w:p>
        </w:tc>
        <w:tc>
          <w:tcPr>
            <w:tcW w:w="0" w:type="auto"/>
          </w:tcPr>
          <w:p w14:paraId="00612790" w14:textId="376603D8" w:rsidR="00ED6802" w:rsidRPr="000E4292" w:rsidRDefault="00E16D93" w:rsidP="00B3695E">
            <w:pPr>
              <w:pStyle w:val="NoSpacing"/>
              <w:rPr>
                <w:rFonts w:cstheme="minorHAnsi"/>
              </w:rPr>
            </w:pPr>
            <w:r w:rsidRPr="000E4292">
              <w:rPr>
                <w:rFonts w:cstheme="minorHAnsi"/>
              </w:rPr>
              <w:t>15 females; 9</w:t>
            </w:r>
            <w:r w:rsidR="00B3695E" w:rsidRPr="000E4292">
              <w:rPr>
                <w:rFonts w:cstheme="minorHAnsi"/>
              </w:rPr>
              <w:t xml:space="preserve"> </w:t>
            </w:r>
            <w:r w:rsidRPr="000E4292">
              <w:rPr>
                <w:rFonts w:cstheme="minorHAnsi"/>
              </w:rPr>
              <w:t>males</w:t>
            </w:r>
          </w:p>
        </w:tc>
      </w:tr>
      <w:tr w:rsidR="00ED6802" w:rsidRPr="000E4292" w14:paraId="41F9AC9B" w14:textId="77777777" w:rsidTr="000E4292">
        <w:tc>
          <w:tcPr>
            <w:tcW w:w="0" w:type="auto"/>
          </w:tcPr>
          <w:p w14:paraId="2958C24B" w14:textId="5B809105" w:rsidR="00ED6802" w:rsidRPr="000E4292" w:rsidRDefault="00E16D93" w:rsidP="00B3695E">
            <w:pPr>
              <w:pStyle w:val="NoSpacing"/>
              <w:rPr>
                <w:rFonts w:cstheme="minorHAnsi"/>
              </w:rPr>
            </w:pPr>
            <w:r w:rsidRPr="000E4292">
              <w:rPr>
                <w:rFonts w:cstheme="minorHAnsi"/>
              </w:rPr>
              <w:t>Age (years)</w:t>
            </w:r>
          </w:p>
        </w:tc>
        <w:tc>
          <w:tcPr>
            <w:tcW w:w="0" w:type="auto"/>
          </w:tcPr>
          <w:p w14:paraId="4D228FF6" w14:textId="6F4F4F8D" w:rsidR="00ED6802" w:rsidRPr="000E4292" w:rsidRDefault="004071F0" w:rsidP="00B3695E">
            <w:pPr>
              <w:pStyle w:val="NoSpacing"/>
              <w:rPr>
                <w:rFonts w:cstheme="minorHAnsi"/>
              </w:rPr>
            </w:pPr>
            <w:r w:rsidRPr="000E4292">
              <w:rPr>
                <w:rFonts w:cstheme="minorHAnsi"/>
              </w:rPr>
              <w:t>59.3 (15.1)</w:t>
            </w:r>
            <w:r w:rsidR="00B3695E" w:rsidRPr="000E4292">
              <w:rPr>
                <w:rFonts w:cstheme="minorHAnsi"/>
              </w:rPr>
              <w:t xml:space="preserve"> </w:t>
            </w:r>
            <w:r w:rsidRPr="000E4292">
              <w:rPr>
                <w:rFonts w:cstheme="minorHAnsi"/>
              </w:rPr>
              <w:t>Range: 22–79</w:t>
            </w:r>
          </w:p>
        </w:tc>
      </w:tr>
      <w:tr w:rsidR="00ED6802" w:rsidRPr="000E4292" w14:paraId="5C3FFD1F" w14:textId="77777777" w:rsidTr="000E4292">
        <w:tc>
          <w:tcPr>
            <w:tcW w:w="0" w:type="auto"/>
          </w:tcPr>
          <w:p w14:paraId="225F80CA" w14:textId="496FDE3E" w:rsidR="00ED6802" w:rsidRPr="000E4292" w:rsidRDefault="004071F0" w:rsidP="00B3695E">
            <w:pPr>
              <w:pStyle w:val="NoSpacing"/>
              <w:rPr>
                <w:rFonts w:cstheme="minorHAnsi"/>
              </w:rPr>
            </w:pPr>
            <w:r w:rsidRPr="000E4292">
              <w:rPr>
                <w:rFonts w:cstheme="minorHAnsi"/>
              </w:rPr>
              <w:t>Education (years)</w:t>
            </w:r>
          </w:p>
        </w:tc>
        <w:tc>
          <w:tcPr>
            <w:tcW w:w="0" w:type="auto"/>
          </w:tcPr>
          <w:p w14:paraId="44DC8DFD" w14:textId="0323CFF0" w:rsidR="00ED6802" w:rsidRPr="000E4292" w:rsidRDefault="004071F0" w:rsidP="00B3695E">
            <w:pPr>
              <w:pStyle w:val="NoSpacing"/>
              <w:rPr>
                <w:rFonts w:cstheme="minorHAnsi"/>
              </w:rPr>
            </w:pPr>
            <w:r w:rsidRPr="000E4292">
              <w:rPr>
                <w:rFonts w:cstheme="minorHAnsi"/>
              </w:rPr>
              <w:t>16.8 (2.7)</w:t>
            </w:r>
            <w:r w:rsidR="00B3695E" w:rsidRPr="000E4292">
              <w:rPr>
                <w:rFonts w:cstheme="minorHAnsi"/>
              </w:rPr>
              <w:t xml:space="preserve"> </w:t>
            </w:r>
            <w:r w:rsidRPr="000E4292">
              <w:rPr>
                <w:rFonts w:cstheme="minorHAnsi"/>
              </w:rPr>
              <w:t>Range: 12–22</w:t>
            </w:r>
          </w:p>
        </w:tc>
      </w:tr>
      <w:tr w:rsidR="00ED6802" w:rsidRPr="000E4292" w14:paraId="03A0BC5E" w14:textId="77777777" w:rsidTr="000E4292">
        <w:tc>
          <w:tcPr>
            <w:tcW w:w="0" w:type="auto"/>
          </w:tcPr>
          <w:p w14:paraId="1DDE82C7" w14:textId="4029AAC4" w:rsidR="00ED6802" w:rsidRPr="000E4292" w:rsidRDefault="004071F0" w:rsidP="00B3695E">
            <w:pPr>
              <w:pStyle w:val="NoSpacing"/>
              <w:rPr>
                <w:rFonts w:cstheme="minorHAnsi"/>
              </w:rPr>
            </w:pPr>
            <w:r w:rsidRPr="000E4292">
              <w:rPr>
                <w:rFonts w:cstheme="minorHAnsi"/>
              </w:rPr>
              <w:t>Bi/Multilingual</w:t>
            </w:r>
          </w:p>
        </w:tc>
        <w:tc>
          <w:tcPr>
            <w:tcW w:w="0" w:type="auto"/>
          </w:tcPr>
          <w:p w14:paraId="7C4BD113" w14:textId="1988EAEF" w:rsidR="00ED6802" w:rsidRPr="000E4292" w:rsidRDefault="004071F0" w:rsidP="00B3695E">
            <w:pPr>
              <w:pStyle w:val="NoSpacing"/>
              <w:rPr>
                <w:rFonts w:cstheme="minorHAnsi"/>
              </w:rPr>
            </w:pPr>
            <w:r w:rsidRPr="000E4292">
              <w:rPr>
                <w:rFonts w:cstheme="minorHAnsi"/>
              </w:rPr>
              <w:t>6</w:t>
            </w:r>
          </w:p>
        </w:tc>
      </w:tr>
      <w:tr w:rsidR="004071F0" w:rsidRPr="000E4292" w14:paraId="3823212D" w14:textId="77777777" w:rsidTr="000E4292">
        <w:tc>
          <w:tcPr>
            <w:tcW w:w="0" w:type="auto"/>
          </w:tcPr>
          <w:p w14:paraId="02F45F39" w14:textId="77777777" w:rsidR="004071F0" w:rsidRPr="000E4292" w:rsidRDefault="004071F0" w:rsidP="00B3695E">
            <w:pPr>
              <w:pStyle w:val="NoSpacing"/>
              <w:rPr>
                <w:rFonts w:cstheme="minorHAnsi"/>
              </w:rPr>
            </w:pPr>
          </w:p>
        </w:tc>
        <w:tc>
          <w:tcPr>
            <w:tcW w:w="0" w:type="auto"/>
          </w:tcPr>
          <w:p w14:paraId="73F5CF6B" w14:textId="0DD69356" w:rsidR="004071F0" w:rsidRPr="000E4292" w:rsidRDefault="00B87280" w:rsidP="00B3695E">
            <w:pPr>
              <w:pStyle w:val="NoSpacing"/>
              <w:rPr>
                <w:rFonts w:cstheme="minorHAnsi"/>
              </w:rPr>
            </w:pPr>
            <w:r w:rsidRPr="000E4292">
              <w:rPr>
                <w:rFonts w:cstheme="minorHAnsi"/>
              </w:rPr>
              <w:t>Persons with</w:t>
            </w:r>
            <w:r w:rsidR="00B3695E" w:rsidRPr="000E4292">
              <w:rPr>
                <w:rFonts w:cstheme="minorHAnsi"/>
              </w:rPr>
              <w:t xml:space="preserve"> </w:t>
            </w:r>
            <w:r w:rsidRPr="000E4292">
              <w:rPr>
                <w:rFonts w:cstheme="minorHAnsi"/>
              </w:rPr>
              <w:t>aphasia</w:t>
            </w:r>
          </w:p>
        </w:tc>
      </w:tr>
      <w:tr w:rsidR="004071F0" w:rsidRPr="000E4292" w14:paraId="5020B0B4" w14:textId="77777777" w:rsidTr="000E4292">
        <w:tc>
          <w:tcPr>
            <w:tcW w:w="0" w:type="auto"/>
          </w:tcPr>
          <w:p w14:paraId="6A282D80" w14:textId="727ECCAE" w:rsidR="004071F0" w:rsidRPr="000E4292" w:rsidRDefault="00B87280" w:rsidP="00B3695E">
            <w:pPr>
              <w:pStyle w:val="NoSpacing"/>
              <w:rPr>
                <w:rFonts w:cstheme="minorHAnsi"/>
              </w:rPr>
            </w:pPr>
            <w:r w:rsidRPr="000E4292">
              <w:rPr>
                <w:rFonts w:cstheme="minorHAnsi"/>
              </w:rPr>
              <w:t>Sex</w:t>
            </w:r>
          </w:p>
        </w:tc>
        <w:tc>
          <w:tcPr>
            <w:tcW w:w="0" w:type="auto"/>
          </w:tcPr>
          <w:p w14:paraId="22667845" w14:textId="6F1F3B4A" w:rsidR="004071F0" w:rsidRPr="000E4292" w:rsidRDefault="006A5968" w:rsidP="00B3695E">
            <w:pPr>
              <w:pStyle w:val="NoSpacing"/>
              <w:rPr>
                <w:rFonts w:cstheme="minorHAnsi"/>
              </w:rPr>
            </w:pPr>
            <w:r w:rsidRPr="000E4292">
              <w:rPr>
                <w:rFonts w:cstheme="minorHAnsi"/>
              </w:rPr>
              <w:t>7 females; 12</w:t>
            </w:r>
            <w:r w:rsidR="00B3695E" w:rsidRPr="000E4292">
              <w:rPr>
                <w:rFonts w:cstheme="minorHAnsi"/>
              </w:rPr>
              <w:t xml:space="preserve"> </w:t>
            </w:r>
            <w:r w:rsidRPr="000E4292">
              <w:rPr>
                <w:rFonts w:cstheme="minorHAnsi"/>
              </w:rPr>
              <w:t>males</w:t>
            </w:r>
          </w:p>
        </w:tc>
      </w:tr>
      <w:tr w:rsidR="004071F0" w:rsidRPr="000E4292" w14:paraId="3BE9E902" w14:textId="77777777" w:rsidTr="000E4292">
        <w:tc>
          <w:tcPr>
            <w:tcW w:w="0" w:type="auto"/>
          </w:tcPr>
          <w:p w14:paraId="51B536A3" w14:textId="409D2021" w:rsidR="004071F0" w:rsidRPr="000E4292" w:rsidRDefault="00B87280" w:rsidP="00B3695E">
            <w:pPr>
              <w:pStyle w:val="NoSpacing"/>
              <w:rPr>
                <w:rFonts w:cstheme="minorHAnsi"/>
              </w:rPr>
            </w:pPr>
            <w:r w:rsidRPr="000E4292">
              <w:rPr>
                <w:rFonts w:cstheme="minorHAnsi"/>
              </w:rPr>
              <w:t>Age (years)</w:t>
            </w:r>
          </w:p>
        </w:tc>
        <w:tc>
          <w:tcPr>
            <w:tcW w:w="0" w:type="auto"/>
          </w:tcPr>
          <w:p w14:paraId="2FFDEFEB" w14:textId="120788E6" w:rsidR="004071F0" w:rsidRPr="000E4292" w:rsidRDefault="00361C51" w:rsidP="00B3695E">
            <w:pPr>
              <w:pStyle w:val="NoSpacing"/>
              <w:rPr>
                <w:rFonts w:cstheme="minorHAnsi"/>
              </w:rPr>
            </w:pPr>
            <w:r w:rsidRPr="000E4292">
              <w:rPr>
                <w:rFonts w:cstheme="minorHAnsi"/>
              </w:rPr>
              <w:t>58.2 (14.5)</w:t>
            </w:r>
            <w:r w:rsidR="00B3695E" w:rsidRPr="000E4292">
              <w:rPr>
                <w:rFonts w:cstheme="minorHAnsi"/>
              </w:rPr>
              <w:t xml:space="preserve"> </w:t>
            </w:r>
            <w:r w:rsidRPr="000E4292">
              <w:rPr>
                <w:rFonts w:cstheme="minorHAnsi"/>
              </w:rPr>
              <w:t>Range: 33–87</w:t>
            </w:r>
          </w:p>
        </w:tc>
      </w:tr>
      <w:tr w:rsidR="004071F0" w:rsidRPr="000E4292" w14:paraId="04C09D03" w14:textId="77777777" w:rsidTr="000E4292">
        <w:tc>
          <w:tcPr>
            <w:tcW w:w="0" w:type="auto"/>
          </w:tcPr>
          <w:p w14:paraId="2F9EEDA2" w14:textId="1332FC05" w:rsidR="004071F0" w:rsidRPr="000E4292" w:rsidRDefault="00B87280" w:rsidP="00B3695E">
            <w:pPr>
              <w:pStyle w:val="NoSpacing"/>
              <w:rPr>
                <w:rFonts w:cstheme="minorHAnsi"/>
              </w:rPr>
            </w:pPr>
            <w:r w:rsidRPr="000E4292">
              <w:rPr>
                <w:rFonts w:cstheme="minorHAnsi"/>
              </w:rPr>
              <w:t>Education (years)</w:t>
            </w:r>
          </w:p>
        </w:tc>
        <w:tc>
          <w:tcPr>
            <w:tcW w:w="0" w:type="auto"/>
          </w:tcPr>
          <w:p w14:paraId="7F0F3065" w14:textId="50E2C9D1" w:rsidR="004071F0" w:rsidRPr="000E4292" w:rsidRDefault="00361C51" w:rsidP="00B3695E">
            <w:pPr>
              <w:pStyle w:val="NoSpacing"/>
              <w:rPr>
                <w:rFonts w:cstheme="minorHAnsi"/>
              </w:rPr>
            </w:pPr>
            <w:r w:rsidRPr="000E4292">
              <w:rPr>
                <w:rFonts w:cstheme="minorHAnsi"/>
              </w:rPr>
              <w:t>15 (3.1)</w:t>
            </w:r>
            <w:r w:rsidR="00B3695E" w:rsidRPr="000E4292">
              <w:rPr>
                <w:rFonts w:cstheme="minorHAnsi"/>
              </w:rPr>
              <w:t xml:space="preserve"> </w:t>
            </w:r>
            <w:r w:rsidRPr="000E4292">
              <w:rPr>
                <w:rFonts w:cstheme="minorHAnsi"/>
              </w:rPr>
              <w:t>Range: 7–20</w:t>
            </w:r>
          </w:p>
        </w:tc>
      </w:tr>
      <w:tr w:rsidR="004071F0" w:rsidRPr="000E4292" w14:paraId="43E8C9C5" w14:textId="77777777" w:rsidTr="000E4292">
        <w:tc>
          <w:tcPr>
            <w:tcW w:w="0" w:type="auto"/>
          </w:tcPr>
          <w:p w14:paraId="493D2161" w14:textId="576AE82D" w:rsidR="004071F0" w:rsidRPr="000E4292" w:rsidRDefault="00B87280" w:rsidP="00B3695E">
            <w:pPr>
              <w:pStyle w:val="NoSpacing"/>
              <w:rPr>
                <w:rFonts w:cstheme="minorHAnsi"/>
              </w:rPr>
            </w:pPr>
            <w:r w:rsidRPr="000E4292">
              <w:rPr>
                <w:rFonts w:cstheme="minorHAnsi"/>
              </w:rPr>
              <w:t>Bi/Multilingual</w:t>
            </w:r>
          </w:p>
        </w:tc>
        <w:tc>
          <w:tcPr>
            <w:tcW w:w="0" w:type="auto"/>
          </w:tcPr>
          <w:p w14:paraId="493651B1" w14:textId="66DD6248" w:rsidR="004071F0" w:rsidRPr="000E4292" w:rsidRDefault="00361C51" w:rsidP="00B3695E">
            <w:pPr>
              <w:pStyle w:val="NoSpacing"/>
              <w:rPr>
                <w:rFonts w:cstheme="minorHAnsi"/>
              </w:rPr>
            </w:pPr>
            <w:r w:rsidRPr="000E4292">
              <w:rPr>
                <w:rFonts w:cstheme="minorHAnsi"/>
              </w:rPr>
              <w:t>2</w:t>
            </w:r>
          </w:p>
        </w:tc>
      </w:tr>
      <w:tr w:rsidR="00B87280" w:rsidRPr="000E4292" w14:paraId="37D1E1C0" w14:textId="77777777" w:rsidTr="000E4292">
        <w:tc>
          <w:tcPr>
            <w:tcW w:w="0" w:type="auto"/>
          </w:tcPr>
          <w:p w14:paraId="0DAAD1B8" w14:textId="7A3C1300" w:rsidR="00B87280" w:rsidRPr="000E4292" w:rsidRDefault="00B87280" w:rsidP="00B3695E">
            <w:pPr>
              <w:pStyle w:val="NoSpacing"/>
              <w:rPr>
                <w:rFonts w:cstheme="minorHAnsi"/>
              </w:rPr>
            </w:pPr>
            <w:r w:rsidRPr="000E4292">
              <w:rPr>
                <w:rFonts w:cstheme="minorHAnsi"/>
              </w:rPr>
              <w:t>Number of strokes</w:t>
            </w:r>
          </w:p>
        </w:tc>
        <w:tc>
          <w:tcPr>
            <w:tcW w:w="0" w:type="auto"/>
          </w:tcPr>
          <w:p w14:paraId="6D3C27DB" w14:textId="189DC826" w:rsidR="00B87280" w:rsidRPr="000E4292" w:rsidRDefault="00361C51" w:rsidP="00B3695E">
            <w:pPr>
              <w:pStyle w:val="NoSpacing"/>
              <w:rPr>
                <w:rFonts w:cstheme="minorHAnsi"/>
              </w:rPr>
            </w:pPr>
            <w:r w:rsidRPr="000E4292">
              <w:rPr>
                <w:rFonts w:cstheme="minorHAnsi"/>
              </w:rPr>
              <w:t>1.4 (0.8)</w:t>
            </w:r>
            <w:r w:rsidR="00B3695E" w:rsidRPr="000E4292">
              <w:rPr>
                <w:rFonts w:cstheme="minorHAnsi"/>
              </w:rPr>
              <w:t xml:space="preserve"> </w:t>
            </w:r>
            <w:r w:rsidRPr="000E4292">
              <w:rPr>
                <w:rFonts w:cstheme="minorHAnsi"/>
              </w:rPr>
              <w:t>Range: 1–4</w:t>
            </w:r>
          </w:p>
        </w:tc>
      </w:tr>
      <w:tr w:rsidR="00B87280" w:rsidRPr="000E4292" w14:paraId="25DC34D1" w14:textId="77777777" w:rsidTr="000E4292">
        <w:tc>
          <w:tcPr>
            <w:tcW w:w="0" w:type="auto"/>
          </w:tcPr>
          <w:p w14:paraId="33EB3126" w14:textId="3554D70D" w:rsidR="00B87280" w:rsidRPr="000E4292" w:rsidRDefault="006A5968" w:rsidP="00B3695E">
            <w:pPr>
              <w:pStyle w:val="NoSpacing"/>
              <w:rPr>
                <w:rFonts w:cstheme="minorHAnsi"/>
              </w:rPr>
            </w:pPr>
            <w:r w:rsidRPr="000E4292">
              <w:rPr>
                <w:rFonts w:cstheme="minorHAnsi"/>
              </w:rPr>
              <w:t xml:space="preserve">Time post onset in </w:t>
            </w:r>
            <w:proofErr w:type="gramStart"/>
            <w:r w:rsidRPr="000E4292">
              <w:rPr>
                <w:rFonts w:cstheme="minorHAnsi"/>
              </w:rPr>
              <w:t>months(</w:t>
            </w:r>
            <w:proofErr w:type="gramEnd"/>
            <w:r w:rsidRPr="000E4292">
              <w:rPr>
                <w:rFonts w:cstheme="minorHAnsi"/>
              </w:rPr>
              <w:t>since most recent stroke)</w:t>
            </w:r>
          </w:p>
        </w:tc>
        <w:tc>
          <w:tcPr>
            <w:tcW w:w="0" w:type="auto"/>
          </w:tcPr>
          <w:p w14:paraId="60C94EAD" w14:textId="30EE950D" w:rsidR="00B87280" w:rsidRPr="000E4292" w:rsidRDefault="00361C51" w:rsidP="00B3695E">
            <w:pPr>
              <w:pStyle w:val="NoSpacing"/>
              <w:rPr>
                <w:rFonts w:cstheme="minorHAnsi"/>
              </w:rPr>
            </w:pPr>
            <w:r w:rsidRPr="000E4292">
              <w:rPr>
                <w:rFonts w:cstheme="minorHAnsi"/>
              </w:rPr>
              <w:t>54.2 (40.8)</w:t>
            </w:r>
            <w:r w:rsidR="00B3695E" w:rsidRPr="000E4292">
              <w:rPr>
                <w:rFonts w:cstheme="minorHAnsi"/>
              </w:rPr>
              <w:t xml:space="preserve"> </w:t>
            </w:r>
            <w:r w:rsidRPr="000E4292">
              <w:rPr>
                <w:rFonts w:cstheme="minorHAnsi"/>
              </w:rPr>
              <w:t>Range: 15–183</w:t>
            </w:r>
          </w:p>
        </w:tc>
      </w:tr>
      <w:tr w:rsidR="00B87280" w:rsidRPr="000E4292" w14:paraId="4F73EBD1" w14:textId="77777777" w:rsidTr="000E4292">
        <w:tc>
          <w:tcPr>
            <w:tcW w:w="0" w:type="auto"/>
          </w:tcPr>
          <w:p w14:paraId="14F02C55" w14:textId="66F8CD87" w:rsidR="00B87280" w:rsidRPr="000E4292" w:rsidRDefault="006A5968" w:rsidP="00B3695E">
            <w:pPr>
              <w:pStyle w:val="NoSpacing"/>
              <w:rPr>
                <w:rFonts w:cstheme="minorHAnsi"/>
              </w:rPr>
            </w:pPr>
            <w:r w:rsidRPr="000E4292">
              <w:rPr>
                <w:rFonts w:cstheme="minorHAnsi"/>
              </w:rPr>
              <w:t>Lesioned hemisphere</w:t>
            </w:r>
          </w:p>
        </w:tc>
        <w:tc>
          <w:tcPr>
            <w:tcW w:w="0" w:type="auto"/>
          </w:tcPr>
          <w:p w14:paraId="5CE16F33" w14:textId="2EDC8308" w:rsidR="00B87280" w:rsidRPr="000E4292" w:rsidRDefault="00361C51" w:rsidP="00B3695E">
            <w:pPr>
              <w:pStyle w:val="NoSpacing"/>
              <w:rPr>
                <w:rFonts w:cstheme="minorHAnsi"/>
              </w:rPr>
            </w:pPr>
            <w:r w:rsidRPr="000E4292">
              <w:rPr>
                <w:rFonts w:cstheme="minorHAnsi"/>
              </w:rPr>
              <w:t>15 left; 4 mixed</w:t>
            </w:r>
          </w:p>
        </w:tc>
      </w:tr>
      <w:tr w:rsidR="006A5968" w:rsidRPr="000E4292" w14:paraId="17D56827" w14:textId="77777777" w:rsidTr="000E4292">
        <w:tc>
          <w:tcPr>
            <w:tcW w:w="0" w:type="auto"/>
          </w:tcPr>
          <w:p w14:paraId="53FC1902" w14:textId="39E201DC" w:rsidR="006A5968" w:rsidRPr="000E4292" w:rsidRDefault="006A5968" w:rsidP="00B3695E">
            <w:pPr>
              <w:pStyle w:val="NoSpacing"/>
              <w:rPr>
                <w:rFonts w:cstheme="minorHAnsi"/>
              </w:rPr>
            </w:pPr>
            <w:r w:rsidRPr="000E4292">
              <w:rPr>
                <w:rFonts w:cstheme="minorHAnsi"/>
              </w:rPr>
              <w:t>Aphasia diagnosis</w:t>
            </w:r>
          </w:p>
        </w:tc>
        <w:tc>
          <w:tcPr>
            <w:tcW w:w="0" w:type="auto"/>
          </w:tcPr>
          <w:p w14:paraId="040E3705" w14:textId="77777777" w:rsidR="00B3695E" w:rsidRPr="000E4292" w:rsidRDefault="00B3695E" w:rsidP="00B3695E">
            <w:pPr>
              <w:pStyle w:val="NoSpacing"/>
              <w:rPr>
                <w:rFonts w:cstheme="minorHAnsi"/>
              </w:rPr>
            </w:pPr>
            <w:r w:rsidRPr="000E4292">
              <w:rPr>
                <w:rFonts w:cstheme="minorHAnsi"/>
              </w:rPr>
              <w:t>7 NABW</w:t>
            </w:r>
          </w:p>
          <w:p w14:paraId="30616873" w14:textId="77777777" w:rsidR="00B3695E" w:rsidRPr="000E4292" w:rsidRDefault="00B3695E" w:rsidP="00B3695E">
            <w:pPr>
              <w:pStyle w:val="NoSpacing"/>
              <w:rPr>
                <w:rFonts w:cstheme="minorHAnsi"/>
              </w:rPr>
            </w:pPr>
            <w:r w:rsidRPr="000E4292">
              <w:rPr>
                <w:rFonts w:cstheme="minorHAnsi"/>
              </w:rPr>
              <w:t>6 Anomic</w:t>
            </w:r>
          </w:p>
          <w:p w14:paraId="23F0CF02" w14:textId="77777777" w:rsidR="00B3695E" w:rsidRPr="000E4292" w:rsidRDefault="00B3695E" w:rsidP="00B3695E">
            <w:pPr>
              <w:pStyle w:val="NoSpacing"/>
              <w:rPr>
                <w:rFonts w:cstheme="minorHAnsi"/>
              </w:rPr>
            </w:pPr>
            <w:r w:rsidRPr="000E4292">
              <w:rPr>
                <w:rFonts w:cstheme="minorHAnsi"/>
              </w:rPr>
              <w:t>3 Conduction</w:t>
            </w:r>
          </w:p>
          <w:p w14:paraId="68424149" w14:textId="77777777" w:rsidR="00B3695E" w:rsidRPr="000E4292" w:rsidRDefault="00B3695E" w:rsidP="00B3695E">
            <w:pPr>
              <w:pStyle w:val="NoSpacing"/>
              <w:rPr>
                <w:rFonts w:cstheme="minorHAnsi"/>
              </w:rPr>
            </w:pPr>
            <w:r w:rsidRPr="000E4292">
              <w:rPr>
                <w:rFonts w:cstheme="minorHAnsi"/>
              </w:rPr>
              <w:t>1 Wernicke’s</w:t>
            </w:r>
          </w:p>
          <w:p w14:paraId="451DE826" w14:textId="7A3EA197" w:rsidR="00B3695E" w:rsidRPr="000E4292" w:rsidRDefault="00B3695E" w:rsidP="00B3695E">
            <w:pPr>
              <w:pStyle w:val="NoSpacing"/>
              <w:rPr>
                <w:rFonts w:cstheme="minorHAnsi"/>
              </w:rPr>
            </w:pPr>
            <w:r w:rsidRPr="000E4292">
              <w:rPr>
                <w:rFonts w:cstheme="minorHAnsi"/>
              </w:rPr>
              <w:t>1 Transcortical</w:t>
            </w:r>
            <w:r w:rsidR="000E4292" w:rsidRPr="000E4292">
              <w:rPr>
                <w:rFonts w:cstheme="minorHAnsi"/>
              </w:rPr>
              <w:t xml:space="preserve"> </w:t>
            </w:r>
            <w:r w:rsidRPr="000E4292">
              <w:rPr>
                <w:rFonts w:cstheme="minorHAnsi"/>
              </w:rPr>
              <w:t>motor</w:t>
            </w:r>
          </w:p>
          <w:p w14:paraId="09583427" w14:textId="275FC1BD" w:rsidR="006A5968" w:rsidRPr="000E4292" w:rsidRDefault="00B3695E" w:rsidP="00B3695E">
            <w:pPr>
              <w:pStyle w:val="NoSpacing"/>
              <w:rPr>
                <w:rFonts w:cstheme="minorHAnsi"/>
              </w:rPr>
            </w:pPr>
            <w:r w:rsidRPr="000E4292">
              <w:rPr>
                <w:rFonts w:cstheme="minorHAnsi"/>
              </w:rPr>
              <w:t>1 Broca’s</w:t>
            </w:r>
          </w:p>
        </w:tc>
      </w:tr>
      <w:tr w:rsidR="006A5968" w:rsidRPr="000E4292" w14:paraId="196BC402" w14:textId="77777777" w:rsidTr="000E4292">
        <w:tc>
          <w:tcPr>
            <w:tcW w:w="0" w:type="auto"/>
          </w:tcPr>
          <w:p w14:paraId="03C0FDA0" w14:textId="21415A97" w:rsidR="006A5968" w:rsidRPr="000E4292" w:rsidRDefault="006A5968" w:rsidP="00B3695E">
            <w:pPr>
              <w:pStyle w:val="NoSpacing"/>
              <w:rPr>
                <w:rFonts w:cstheme="minorHAnsi"/>
              </w:rPr>
            </w:pPr>
            <w:r w:rsidRPr="000E4292">
              <w:rPr>
                <w:rFonts w:cstheme="minorHAnsi"/>
              </w:rPr>
              <w:t>Cognitive deficit†</w:t>
            </w:r>
          </w:p>
        </w:tc>
        <w:tc>
          <w:tcPr>
            <w:tcW w:w="0" w:type="auto"/>
          </w:tcPr>
          <w:p w14:paraId="1DCE9661" w14:textId="08F2BC03" w:rsidR="006A5968" w:rsidRPr="000E4292" w:rsidRDefault="00B3695E" w:rsidP="00B3695E">
            <w:pPr>
              <w:pStyle w:val="NoSpacing"/>
              <w:rPr>
                <w:rFonts w:cstheme="minorHAnsi"/>
              </w:rPr>
            </w:pPr>
            <w:r w:rsidRPr="000E4292">
              <w:rPr>
                <w:rFonts w:cstheme="minorHAnsi"/>
              </w:rPr>
              <w:t>12</w:t>
            </w:r>
          </w:p>
        </w:tc>
      </w:tr>
      <w:tr w:rsidR="006A5968" w:rsidRPr="000E4292" w14:paraId="74209CD2" w14:textId="77777777" w:rsidTr="000E4292">
        <w:tc>
          <w:tcPr>
            <w:tcW w:w="0" w:type="auto"/>
          </w:tcPr>
          <w:p w14:paraId="10F2B252" w14:textId="2BE5EEA5" w:rsidR="006A5968" w:rsidRPr="000E4292" w:rsidRDefault="006A5968" w:rsidP="00B3695E">
            <w:pPr>
              <w:pStyle w:val="NoSpacing"/>
              <w:rPr>
                <w:rFonts w:cstheme="minorHAnsi"/>
              </w:rPr>
            </w:pPr>
            <w:r w:rsidRPr="000E4292">
              <w:rPr>
                <w:rFonts w:cstheme="minorHAnsi"/>
              </w:rPr>
              <w:t>Sensorimotor deficit††</w:t>
            </w:r>
          </w:p>
        </w:tc>
        <w:tc>
          <w:tcPr>
            <w:tcW w:w="0" w:type="auto"/>
          </w:tcPr>
          <w:p w14:paraId="49AFB0DB" w14:textId="60FAA157" w:rsidR="006A5968" w:rsidRPr="000E4292" w:rsidRDefault="00B3695E" w:rsidP="00B3695E">
            <w:pPr>
              <w:pStyle w:val="NoSpacing"/>
              <w:rPr>
                <w:rFonts w:cstheme="minorHAnsi"/>
              </w:rPr>
            </w:pPr>
            <w:r w:rsidRPr="000E4292">
              <w:rPr>
                <w:rFonts w:cstheme="minorHAnsi"/>
              </w:rPr>
              <w:t>16</w:t>
            </w:r>
          </w:p>
        </w:tc>
      </w:tr>
    </w:tbl>
    <w:p w14:paraId="6CA61073" w14:textId="77777777" w:rsidR="00865AB7" w:rsidRPr="00865AB7" w:rsidRDefault="00865AB7" w:rsidP="00865AB7">
      <w:pPr>
        <w:pStyle w:val="NoSpacing"/>
      </w:pPr>
      <w:r w:rsidRPr="00865AB7">
        <w:t>Values for non-count variables are reported as mean (standard deviation).</w:t>
      </w:r>
    </w:p>
    <w:p w14:paraId="2C114471" w14:textId="19D64755" w:rsidR="00865AB7" w:rsidRPr="00865AB7" w:rsidRDefault="00865AB7" w:rsidP="00865AB7">
      <w:pPr>
        <w:pStyle w:val="NoSpacing"/>
      </w:pPr>
      <w:r w:rsidRPr="00865AB7">
        <w:t>†One participant did not complete RBANS testing, for this participant determination</w:t>
      </w:r>
      <w:r>
        <w:t xml:space="preserve"> </w:t>
      </w:r>
      <w:r w:rsidRPr="00865AB7">
        <w:t>of cognitive deficit is based on performance on the Weschler Adult Intelligence</w:t>
      </w:r>
      <w:r>
        <w:t xml:space="preserve"> </w:t>
      </w:r>
      <w:r w:rsidRPr="00865AB7">
        <w:t>Scales Picture Completion subtest.</w:t>
      </w:r>
    </w:p>
    <w:p w14:paraId="42F8EE1F" w14:textId="0CEBC070" w:rsidR="00157585" w:rsidRDefault="00865AB7" w:rsidP="00865AB7">
      <w:pPr>
        <w:pStyle w:val="NoSpacing"/>
      </w:pPr>
      <w:r w:rsidRPr="00865AB7">
        <w:t>††The same participant did not complete the sensorimotor assessment, however,</w:t>
      </w:r>
      <w:r>
        <w:t xml:space="preserve"> </w:t>
      </w:r>
      <w:r w:rsidRPr="00865AB7">
        <w:t>the participant had hemiparesis observable in everyday activities.</w:t>
      </w:r>
    </w:p>
    <w:p w14:paraId="1A6EBBC3" w14:textId="77777777" w:rsidR="00865AB7" w:rsidRPr="00865AB7" w:rsidRDefault="00865AB7" w:rsidP="00865AB7">
      <w:pPr>
        <w:pStyle w:val="NoSpacing"/>
      </w:pPr>
    </w:p>
    <w:p w14:paraId="7C81B63E" w14:textId="77777777" w:rsidR="004D443D" w:rsidRPr="00157585" w:rsidRDefault="004D443D" w:rsidP="00157585">
      <w:pPr>
        <w:pStyle w:val="Heading3"/>
        <w:rPr>
          <w:i/>
          <w:iCs/>
        </w:rPr>
      </w:pPr>
      <w:r w:rsidRPr="00157585">
        <w:rPr>
          <w:i/>
          <w:iCs/>
        </w:rPr>
        <w:t>Healthy Controls</w:t>
      </w:r>
    </w:p>
    <w:p w14:paraId="17397325" w14:textId="48898054" w:rsidR="004D443D" w:rsidRPr="004D443D" w:rsidRDefault="004D443D" w:rsidP="004D443D">
      <w:r w:rsidRPr="004D443D">
        <w:t>Twenty-six control participants were recruited into the study. Following inspection of EEG data, two participants were removed from analysis, leaving 24 (15 females) healthy, native English-speaking controls (</w:t>
      </w:r>
      <w:r w:rsidRPr="00C05BF0">
        <w:t>Table 1</w:t>
      </w:r>
      <w:r w:rsidRPr="004D443D">
        <w:t>). Participants were screened to ensure no history of neurological disease or injury that might affect brain function. Potential participants with a diagnosis of significant psychiatric mood disorders were excluded (including major depressive disorder or generalized anxiety disorder), but persons with self-reported symptoms of mild depression and anxiety with no clinical diagnosis were allowed to participate. All healthy control participants were right-handed, and the majority were monolingual; six reported speaking at least one other language in addition to English, but English was the first language for all control participants according to LEAP-Q responses (</w:t>
      </w:r>
      <w:r w:rsidRPr="00C05BF0">
        <w:t>Marian et al., 2007</w:t>
      </w:r>
      <w:r w:rsidRPr="004D443D">
        <w:t>). Healthy controls were matched to PWAs primarily on age, with years of education as a secondary matching variable. For one PWA, we were unable to match both age and education, due to the low level of education (seventh grade level) attained. The average age of control participants was 59.3 years (</w:t>
      </w:r>
      <w:r w:rsidRPr="004D443D">
        <w:rPr>
          <w:i/>
          <w:iCs/>
        </w:rPr>
        <w:t>SD</w:t>
      </w:r>
      <w:r w:rsidRPr="004D443D">
        <w:t> = 15.1 years). Control participants averaged 16.8 years of education (</w:t>
      </w:r>
      <w:r w:rsidRPr="004D443D">
        <w:rPr>
          <w:i/>
          <w:iCs/>
        </w:rPr>
        <w:t>SD</w:t>
      </w:r>
      <w:r w:rsidRPr="004D443D">
        <w:t> = 2.7).</w:t>
      </w:r>
    </w:p>
    <w:p w14:paraId="1203076B" w14:textId="77777777" w:rsidR="004D443D" w:rsidRPr="004D443D" w:rsidRDefault="004D443D" w:rsidP="00865AB7">
      <w:pPr>
        <w:pStyle w:val="Heading2"/>
      </w:pPr>
      <w:r w:rsidRPr="004D443D">
        <w:t>Assessments</w:t>
      </w:r>
    </w:p>
    <w:p w14:paraId="19405776" w14:textId="2FBD79E6" w:rsidR="004D443D" w:rsidRPr="004D443D" w:rsidRDefault="004D443D" w:rsidP="004D443D">
      <w:proofErr w:type="gramStart"/>
      <w:r w:rsidRPr="004D443D">
        <w:t>In order to</w:t>
      </w:r>
      <w:proofErr w:type="gramEnd"/>
      <w:r w:rsidRPr="004D443D">
        <w:t xml:space="preserve"> fully describe the characteristics of the sample, all participants (PWAs and healthy controls) completed sensorimotor, cognitive, and speech-language testing (</w:t>
      </w:r>
      <w:r w:rsidRPr="00C05BF0">
        <w:t>Table 2</w:t>
      </w:r>
      <w:r w:rsidRPr="004D443D">
        <w:t xml:space="preserve">). Sensorimotor testing was included since many individuals with aphasia experience these deficits given the </w:t>
      </w:r>
      <w:proofErr w:type="gramStart"/>
      <w:r w:rsidRPr="004D443D">
        <w:t>close proximity</w:t>
      </w:r>
      <w:proofErr w:type="gramEnd"/>
      <w:r w:rsidRPr="004D443D">
        <w:t xml:space="preserve"> of primary and supplementary motor cortices to </w:t>
      </w:r>
      <w:proofErr w:type="spellStart"/>
      <w:r w:rsidRPr="004D443D">
        <w:t>perisylvian</w:t>
      </w:r>
      <w:proofErr w:type="spellEnd"/>
      <w:r w:rsidRPr="004D443D">
        <w:t xml:space="preserve"> language areas. Sensorimotor function was measured via an in-house battery that included sensation, proprioception, motricity, and fine motor coordination tasks. Cognitive function was assessed with the Repeatable Battery for the Assessment of Neuropsychological Status (RBANS; </w:t>
      </w:r>
      <w:r w:rsidRPr="00C05BF0">
        <w:t>Randolph, 1998</w:t>
      </w:r>
      <w:r w:rsidRPr="004D443D">
        <w:t>) and the Wechsler Adult Intelligence Scales - Picture Completion subtest (WAIS-PC; </w:t>
      </w:r>
      <w:r w:rsidRPr="00C05BF0">
        <w:t>Wechsler et al., 2008</w:t>
      </w:r>
      <w:r w:rsidRPr="004D443D">
        <w:t>). Motor speech function was assessed using subtests of the Apraxia Battery for Adults - 2 (ABA-2; </w:t>
      </w:r>
      <w:proofErr w:type="spellStart"/>
      <w:r w:rsidRPr="00C05BF0">
        <w:t>Dabul</w:t>
      </w:r>
      <w:proofErr w:type="spellEnd"/>
      <w:r w:rsidRPr="00C05BF0">
        <w:t>, 2000</w:t>
      </w:r>
      <w:r w:rsidRPr="004D443D">
        <w:t xml:space="preserve">). Processing and production of prosodic information in spoken language was assessed using the </w:t>
      </w:r>
      <w:proofErr w:type="spellStart"/>
      <w:r w:rsidRPr="004D443D">
        <w:t>Aprosodia</w:t>
      </w:r>
      <w:proofErr w:type="spellEnd"/>
      <w:r w:rsidRPr="004D443D">
        <w:t xml:space="preserve"> Battery (</w:t>
      </w:r>
      <w:r w:rsidRPr="00C05BF0">
        <w:t xml:space="preserve">Ross and </w:t>
      </w:r>
      <w:proofErr w:type="spellStart"/>
      <w:r w:rsidRPr="00C05BF0">
        <w:t>Monnot</w:t>
      </w:r>
      <w:proofErr w:type="spellEnd"/>
      <w:r w:rsidRPr="00C05BF0">
        <w:t>, 2011</w:t>
      </w:r>
      <w:r w:rsidRPr="004D443D">
        <w:t>). Narrative abilities were assessed with the Discourse Production Test (DPT; </w:t>
      </w:r>
      <w:r w:rsidRPr="00C05BF0">
        <w:t>Fromm et al., 2020</w:t>
      </w:r>
      <w:r w:rsidRPr="004D443D">
        <w:t>), which requires participants to tell a story depicted in pictures, retell the story of Cinderella, and describe how to make a peanut-butter and jelly sandwich. Additional language measures were administered to PWAs only and included the WAB-R (</w:t>
      </w:r>
      <w:proofErr w:type="spellStart"/>
      <w:r w:rsidRPr="00C05BF0">
        <w:t>Kertesz</w:t>
      </w:r>
      <w:proofErr w:type="spellEnd"/>
      <w:r w:rsidRPr="00C05BF0">
        <w:t>, 2006</w:t>
      </w:r>
      <w:r w:rsidRPr="004D443D">
        <w:t>) to assess overall aphasia severity, the Boston Naming Test (BNT; </w:t>
      </w:r>
      <w:r w:rsidRPr="00C05BF0">
        <w:t>Kaplan et al., 2001</w:t>
      </w:r>
      <w:r w:rsidRPr="004D443D">
        <w:t>) to assess anomia severity, and a shortened version of the Discourse Comprehension Test (DCT; </w:t>
      </w:r>
      <w:r w:rsidRPr="00C05BF0">
        <w:t>Brookshire and Nicholas, 1997</w:t>
      </w:r>
      <w:r w:rsidRPr="004D443D">
        <w:t>).</w:t>
      </w:r>
    </w:p>
    <w:p w14:paraId="6D7DFA8A" w14:textId="77777777" w:rsidR="00FC7DF1" w:rsidRDefault="00FC7DF1" w:rsidP="004D443D">
      <w:pPr>
        <w:rPr>
          <w:b/>
          <w:bCs/>
        </w:rPr>
        <w:sectPr w:rsidR="00FC7DF1" w:rsidSect="00013176">
          <w:pgSz w:w="12240" w:h="15840"/>
          <w:pgMar w:top="1080" w:right="1080" w:bottom="1080" w:left="1080" w:header="720" w:footer="720" w:gutter="0"/>
          <w:cols w:space="720"/>
          <w:docGrid w:linePitch="360"/>
        </w:sectPr>
      </w:pPr>
    </w:p>
    <w:p w14:paraId="4B9E83EF" w14:textId="77777777" w:rsidR="004D443D" w:rsidRDefault="004D443D" w:rsidP="00873094">
      <w:pPr>
        <w:pStyle w:val="NoSpacing"/>
      </w:pPr>
      <w:r w:rsidRPr="004D443D">
        <w:rPr>
          <w:b/>
          <w:bCs/>
        </w:rPr>
        <w:t>Table 2.</w:t>
      </w:r>
      <w:r w:rsidRPr="004D443D">
        <w:t> Test scores for healthy controls and persons with aphasia included in the analysis as well as Cohen’s </w:t>
      </w:r>
      <w:r w:rsidRPr="004D443D">
        <w:rPr>
          <w:i/>
          <w:iCs/>
        </w:rPr>
        <w:t>D</w:t>
      </w:r>
      <w:r w:rsidRPr="004D443D">
        <w:t> effect sizes to estimate the magnitude of the difference between groups.</w:t>
      </w:r>
    </w:p>
    <w:tbl>
      <w:tblPr>
        <w:tblStyle w:val="TableGrid"/>
        <w:tblW w:w="0" w:type="auto"/>
        <w:tblLook w:val="04A0" w:firstRow="1" w:lastRow="0" w:firstColumn="1" w:lastColumn="0" w:noHBand="0" w:noVBand="1"/>
      </w:tblPr>
      <w:tblGrid>
        <w:gridCol w:w="1320"/>
        <w:gridCol w:w="3497"/>
        <w:gridCol w:w="3121"/>
        <w:gridCol w:w="1194"/>
        <w:gridCol w:w="1194"/>
        <w:gridCol w:w="1035"/>
      </w:tblGrid>
      <w:tr w:rsidR="00B52EA4" w:rsidRPr="007A5A32" w14:paraId="1049BE0B" w14:textId="77777777" w:rsidTr="00B52EA4">
        <w:tc>
          <w:tcPr>
            <w:tcW w:w="0" w:type="auto"/>
          </w:tcPr>
          <w:p w14:paraId="1070B3B2" w14:textId="77777777" w:rsidR="009A3028" w:rsidRPr="007A5A32" w:rsidRDefault="009A3028" w:rsidP="003305B5">
            <w:pPr>
              <w:pStyle w:val="NoSpacing"/>
              <w:rPr>
                <w:rFonts w:cstheme="minorHAnsi"/>
                <w:sz w:val="20"/>
                <w:szCs w:val="20"/>
              </w:rPr>
            </w:pPr>
          </w:p>
        </w:tc>
        <w:tc>
          <w:tcPr>
            <w:tcW w:w="0" w:type="auto"/>
          </w:tcPr>
          <w:p w14:paraId="4EAA65B7" w14:textId="77777777" w:rsidR="009A3028" w:rsidRPr="007A5A32" w:rsidRDefault="009A3028" w:rsidP="003305B5">
            <w:pPr>
              <w:pStyle w:val="NoSpacing"/>
              <w:rPr>
                <w:rFonts w:cstheme="minorHAnsi"/>
                <w:sz w:val="20"/>
                <w:szCs w:val="20"/>
              </w:rPr>
            </w:pPr>
          </w:p>
        </w:tc>
        <w:tc>
          <w:tcPr>
            <w:tcW w:w="0" w:type="auto"/>
          </w:tcPr>
          <w:p w14:paraId="7A0D0434" w14:textId="77777777" w:rsidR="009A3028" w:rsidRPr="007A5A32" w:rsidRDefault="009A3028" w:rsidP="003305B5">
            <w:pPr>
              <w:pStyle w:val="NoSpacing"/>
              <w:rPr>
                <w:rFonts w:cstheme="minorHAnsi"/>
                <w:sz w:val="20"/>
                <w:szCs w:val="20"/>
              </w:rPr>
            </w:pPr>
          </w:p>
        </w:tc>
        <w:tc>
          <w:tcPr>
            <w:tcW w:w="0" w:type="auto"/>
          </w:tcPr>
          <w:p w14:paraId="60674037" w14:textId="393A4E8B" w:rsidR="009A3028" w:rsidRPr="007A5A32" w:rsidRDefault="00636D2D" w:rsidP="003305B5">
            <w:pPr>
              <w:pStyle w:val="NoSpacing"/>
              <w:rPr>
                <w:rFonts w:cstheme="minorHAnsi"/>
                <w:sz w:val="20"/>
                <w:szCs w:val="20"/>
              </w:rPr>
            </w:pPr>
            <w:r w:rsidRPr="007A5A32">
              <w:rPr>
                <w:rFonts w:cstheme="minorHAnsi"/>
                <w:sz w:val="20"/>
                <w:szCs w:val="20"/>
              </w:rPr>
              <w:t>Control</w:t>
            </w:r>
          </w:p>
        </w:tc>
        <w:tc>
          <w:tcPr>
            <w:tcW w:w="0" w:type="auto"/>
          </w:tcPr>
          <w:p w14:paraId="74176B99" w14:textId="4BDC498A" w:rsidR="009A3028" w:rsidRPr="007A5A32" w:rsidRDefault="00636D2D" w:rsidP="003305B5">
            <w:pPr>
              <w:pStyle w:val="NoSpacing"/>
              <w:rPr>
                <w:rFonts w:cstheme="minorHAnsi"/>
                <w:sz w:val="20"/>
                <w:szCs w:val="20"/>
              </w:rPr>
            </w:pPr>
            <w:r w:rsidRPr="007A5A32">
              <w:rPr>
                <w:rFonts w:cstheme="minorHAnsi"/>
                <w:sz w:val="20"/>
                <w:szCs w:val="20"/>
              </w:rPr>
              <w:t>PWA</w:t>
            </w:r>
          </w:p>
        </w:tc>
        <w:tc>
          <w:tcPr>
            <w:tcW w:w="0" w:type="auto"/>
          </w:tcPr>
          <w:p w14:paraId="4187C2D2" w14:textId="1CCF594B" w:rsidR="009A3028" w:rsidRPr="007A5A32" w:rsidRDefault="00636D2D" w:rsidP="003305B5">
            <w:pPr>
              <w:pStyle w:val="NoSpacing"/>
              <w:rPr>
                <w:rFonts w:cstheme="minorHAnsi"/>
                <w:sz w:val="20"/>
                <w:szCs w:val="20"/>
              </w:rPr>
            </w:pPr>
            <w:r w:rsidRPr="007A5A32">
              <w:rPr>
                <w:rFonts w:cstheme="minorHAnsi"/>
                <w:sz w:val="20"/>
                <w:szCs w:val="20"/>
              </w:rPr>
              <w:t>Cohen’s D</w:t>
            </w:r>
          </w:p>
        </w:tc>
      </w:tr>
      <w:tr w:rsidR="00B52EA4" w:rsidRPr="007A5A32" w14:paraId="369CD4CF" w14:textId="77777777" w:rsidTr="00B52EA4">
        <w:tc>
          <w:tcPr>
            <w:tcW w:w="0" w:type="auto"/>
          </w:tcPr>
          <w:p w14:paraId="780C77F8" w14:textId="1D6ED758" w:rsidR="009A3028" w:rsidRPr="007A5A32" w:rsidRDefault="00636D2D" w:rsidP="003305B5">
            <w:pPr>
              <w:pStyle w:val="NoSpacing"/>
              <w:rPr>
                <w:rFonts w:cstheme="minorHAnsi"/>
                <w:sz w:val="20"/>
                <w:szCs w:val="20"/>
              </w:rPr>
            </w:pPr>
            <w:r w:rsidRPr="007A5A32">
              <w:rPr>
                <w:rFonts w:cstheme="minorHAnsi"/>
                <w:sz w:val="20"/>
                <w:szCs w:val="20"/>
              </w:rPr>
              <w:t>Sensorimotor</w:t>
            </w:r>
          </w:p>
        </w:tc>
        <w:tc>
          <w:tcPr>
            <w:tcW w:w="0" w:type="auto"/>
          </w:tcPr>
          <w:p w14:paraId="11636C58" w14:textId="2D278661" w:rsidR="009A3028" w:rsidRPr="007A5A32" w:rsidRDefault="00636D2D" w:rsidP="003305B5">
            <w:pPr>
              <w:pStyle w:val="NoSpacing"/>
              <w:rPr>
                <w:rFonts w:cstheme="minorHAnsi"/>
                <w:sz w:val="20"/>
                <w:szCs w:val="20"/>
              </w:rPr>
            </w:pPr>
            <w:r w:rsidRPr="007A5A32">
              <w:rPr>
                <w:rFonts w:cstheme="minorHAnsi"/>
                <w:sz w:val="20"/>
                <w:szCs w:val="20"/>
              </w:rPr>
              <w:t>Sensory</w:t>
            </w:r>
          </w:p>
        </w:tc>
        <w:tc>
          <w:tcPr>
            <w:tcW w:w="0" w:type="auto"/>
          </w:tcPr>
          <w:p w14:paraId="2E401A33" w14:textId="59068060" w:rsidR="009A3028" w:rsidRPr="007A5A32" w:rsidRDefault="00636D2D" w:rsidP="003305B5">
            <w:pPr>
              <w:pStyle w:val="NoSpacing"/>
              <w:rPr>
                <w:rFonts w:cstheme="minorHAnsi"/>
                <w:sz w:val="20"/>
                <w:szCs w:val="20"/>
              </w:rPr>
            </w:pPr>
            <w:r w:rsidRPr="007A5A32">
              <w:rPr>
                <w:rFonts w:cstheme="minorHAnsi"/>
                <w:sz w:val="20"/>
                <w:szCs w:val="20"/>
              </w:rPr>
              <w:t>Palm sensation (2)</w:t>
            </w:r>
          </w:p>
        </w:tc>
        <w:tc>
          <w:tcPr>
            <w:tcW w:w="0" w:type="auto"/>
          </w:tcPr>
          <w:p w14:paraId="6C39F323" w14:textId="58B1E5EA" w:rsidR="009A3028" w:rsidRPr="007A5A32" w:rsidRDefault="00636D2D" w:rsidP="003305B5">
            <w:pPr>
              <w:pStyle w:val="NoSpacing"/>
              <w:rPr>
                <w:rFonts w:cstheme="minorHAnsi"/>
                <w:sz w:val="20"/>
                <w:szCs w:val="20"/>
              </w:rPr>
            </w:pPr>
            <w:r w:rsidRPr="007A5A32">
              <w:rPr>
                <w:rFonts w:cstheme="minorHAnsi"/>
                <w:sz w:val="20"/>
                <w:szCs w:val="20"/>
              </w:rPr>
              <w:t>2 (0)</w:t>
            </w:r>
          </w:p>
        </w:tc>
        <w:tc>
          <w:tcPr>
            <w:tcW w:w="0" w:type="auto"/>
          </w:tcPr>
          <w:p w14:paraId="0631730A" w14:textId="107FC459" w:rsidR="009A3028" w:rsidRPr="007A5A32" w:rsidRDefault="008617CF" w:rsidP="003305B5">
            <w:pPr>
              <w:pStyle w:val="NoSpacing"/>
              <w:rPr>
                <w:rFonts w:cstheme="minorHAnsi"/>
                <w:sz w:val="20"/>
                <w:szCs w:val="20"/>
              </w:rPr>
            </w:pPr>
            <w:r w:rsidRPr="007A5A32">
              <w:rPr>
                <w:rFonts w:cstheme="minorHAnsi"/>
                <w:sz w:val="20"/>
                <w:szCs w:val="20"/>
              </w:rPr>
              <w:t>1.6 (0.6)</w:t>
            </w:r>
          </w:p>
        </w:tc>
        <w:tc>
          <w:tcPr>
            <w:tcW w:w="0" w:type="auto"/>
          </w:tcPr>
          <w:p w14:paraId="3216FAB6" w14:textId="30339FC5" w:rsidR="009A3028" w:rsidRPr="007A5A32" w:rsidRDefault="008617CF" w:rsidP="003305B5">
            <w:pPr>
              <w:pStyle w:val="NoSpacing"/>
              <w:rPr>
                <w:rFonts w:cstheme="minorHAnsi"/>
                <w:sz w:val="20"/>
                <w:szCs w:val="20"/>
              </w:rPr>
            </w:pPr>
            <w:r w:rsidRPr="007A5A32">
              <w:rPr>
                <w:rFonts w:cstheme="minorHAnsi"/>
                <w:sz w:val="20"/>
                <w:szCs w:val="20"/>
              </w:rPr>
              <w:t>0.897</w:t>
            </w:r>
          </w:p>
        </w:tc>
      </w:tr>
      <w:tr w:rsidR="00B52EA4" w:rsidRPr="007A5A32" w14:paraId="6C2BBE49" w14:textId="77777777" w:rsidTr="00B52EA4">
        <w:tc>
          <w:tcPr>
            <w:tcW w:w="0" w:type="auto"/>
          </w:tcPr>
          <w:p w14:paraId="399CE7FC" w14:textId="77777777" w:rsidR="009A3028" w:rsidRPr="007A5A32" w:rsidRDefault="009A3028" w:rsidP="003305B5">
            <w:pPr>
              <w:pStyle w:val="NoSpacing"/>
              <w:rPr>
                <w:rFonts w:cstheme="minorHAnsi"/>
                <w:sz w:val="20"/>
                <w:szCs w:val="20"/>
              </w:rPr>
            </w:pPr>
          </w:p>
        </w:tc>
        <w:tc>
          <w:tcPr>
            <w:tcW w:w="0" w:type="auto"/>
          </w:tcPr>
          <w:p w14:paraId="537C7FC5" w14:textId="77777777" w:rsidR="009A3028" w:rsidRPr="007A5A32" w:rsidRDefault="009A3028" w:rsidP="003305B5">
            <w:pPr>
              <w:pStyle w:val="NoSpacing"/>
              <w:rPr>
                <w:rFonts w:cstheme="minorHAnsi"/>
                <w:sz w:val="20"/>
                <w:szCs w:val="20"/>
              </w:rPr>
            </w:pPr>
          </w:p>
        </w:tc>
        <w:tc>
          <w:tcPr>
            <w:tcW w:w="0" w:type="auto"/>
          </w:tcPr>
          <w:p w14:paraId="6A3E7E82" w14:textId="18E34915" w:rsidR="009A3028" w:rsidRPr="007A5A32" w:rsidRDefault="008617CF" w:rsidP="003305B5">
            <w:pPr>
              <w:pStyle w:val="NoSpacing"/>
              <w:rPr>
                <w:rFonts w:cstheme="minorHAnsi"/>
                <w:sz w:val="20"/>
                <w:szCs w:val="20"/>
              </w:rPr>
            </w:pPr>
            <w:r w:rsidRPr="007A5A32">
              <w:rPr>
                <w:rFonts w:cstheme="minorHAnsi"/>
                <w:sz w:val="20"/>
                <w:szCs w:val="20"/>
              </w:rPr>
              <w:t>Proprioception (11)</w:t>
            </w:r>
          </w:p>
        </w:tc>
        <w:tc>
          <w:tcPr>
            <w:tcW w:w="0" w:type="auto"/>
          </w:tcPr>
          <w:p w14:paraId="7A88282D" w14:textId="74E6B675" w:rsidR="009A3028" w:rsidRPr="007A5A32" w:rsidRDefault="008617CF" w:rsidP="003305B5">
            <w:pPr>
              <w:pStyle w:val="NoSpacing"/>
              <w:rPr>
                <w:rFonts w:cstheme="minorHAnsi"/>
                <w:sz w:val="20"/>
                <w:szCs w:val="20"/>
              </w:rPr>
            </w:pPr>
            <w:r w:rsidRPr="007A5A32">
              <w:rPr>
                <w:rFonts w:cstheme="minorHAnsi"/>
                <w:sz w:val="20"/>
                <w:szCs w:val="20"/>
              </w:rPr>
              <w:t>11 (0.2)</w:t>
            </w:r>
          </w:p>
        </w:tc>
        <w:tc>
          <w:tcPr>
            <w:tcW w:w="0" w:type="auto"/>
          </w:tcPr>
          <w:p w14:paraId="547A3637" w14:textId="3334967B" w:rsidR="009A3028" w:rsidRPr="007A5A32" w:rsidRDefault="008617CF" w:rsidP="003305B5">
            <w:pPr>
              <w:pStyle w:val="NoSpacing"/>
              <w:rPr>
                <w:rFonts w:cstheme="minorHAnsi"/>
                <w:sz w:val="20"/>
                <w:szCs w:val="20"/>
              </w:rPr>
            </w:pPr>
            <w:r w:rsidRPr="007A5A32">
              <w:rPr>
                <w:rFonts w:cstheme="minorHAnsi"/>
                <w:sz w:val="20"/>
                <w:szCs w:val="20"/>
              </w:rPr>
              <w:t>9.7 (1.9)</w:t>
            </w:r>
          </w:p>
        </w:tc>
        <w:tc>
          <w:tcPr>
            <w:tcW w:w="0" w:type="auto"/>
          </w:tcPr>
          <w:p w14:paraId="6F7EBD29" w14:textId="087A3AE9" w:rsidR="009A3028" w:rsidRPr="007A5A32" w:rsidRDefault="008617CF" w:rsidP="003305B5">
            <w:pPr>
              <w:pStyle w:val="NoSpacing"/>
              <w:rPr>
                <w:rFonts w:cstheme="minorHAnsi"/>
                <w:sz w:val="20"/>
                <w:szCs w:val="20"/>
              </w:rPr>
            </w:pPr>
            <w:r w:rsidRPr="007A5A32">
              <w:rPr>
                <w:rFonts w:cstheme="minorHAnsi"/>
                <w:sz w:val="20"/>
                <w:szCs w:val="20"/>
              </w:rPr>
              <w:t>0.988</w:t>
            </w:r>
          </w:p>
        </w:tc>
      </w:tr>
      <w:tr w:rsidR="00B52EA4" w:rsidRPr="007A5A32" w14:paraId="2AFB9309" w14:textId="77777777" w:rsidTr="00B52EA4">
        <w:tc>
          <w:tcPr>
            <w:tcW w:w="0" w:type="auto"/>
          </w:tcPr>
          <w:p w14:paraId="652FE20A" w14:textId="77777777" w:rsidR="009A3028" w:rsidRPr="007A5A32" w:rsidRDefault="009A3028" w:rsidP="003305B5">
            <w:pPr>
              <w:pStyle w:val="NoSpacing"/>
              <w:rPr>
                <w:rFonts w:cstheme="minorHAnsi"/>
                <w:sz w:val="20"/>
                <w:szCs w:val="20"/>
              </w:rPr>
            </w:pPr>
          </w:p>
        </w:tc>
        <w:tc>
          <w:tcPr>
            <w:tcW w:w="0" w:type="auto"/>
          </w:tcPr>
          <w:p w14:paraId="78FF8CA5" w14:textId="03C0471E" w:rsidR="009A3028" w:rsidRPr="007A5A32" w:rsidRDefault="004D1930" w:rsidP="003305B5">
            <w:pPr>
              <w:pStyle w:val="NoSpacing"/>
              <w:rPr>
                <w:rFonts w:cstheme="minorHAnsi"/>
                <w:sz w:val="20"/>
                <w:szCs w:val="20"/>
              </w:rPr>
            </w:pPr>
            <w:r w:rsidRPr="007A5A32">
              <w:rPr>
                <w:rFonts w:cstheme="minorHAnsi"/>
                <w:sz w:val="20"/>
                <w:szCs w:val="20"/>
              </w:rPr>
              <w:t>Range of motion (ROM); Strength</w:t>
            </w:r>
          </w:p>
        </w:tc>
        <w:tc>
          <w:tcPr>
            <w:tcW w:w="0" w:type="auto"/>
          </w:tcPr>
          <w:p w14:paraId="7EC38F2C" w14:textId="088F13A3" w:rsidR="009A3028" w:rsidRPr="007A5A32" w:rsidRDefault="004D1930" w:rsidP="003305B5">
            <w:pPr>
              <w:pStyle w:val="NoSpacing"/>
              <w:rPr>
                <w:rFonts w:cstheme="minorHAnsi"/>
                <w:sz w:val="20"/>
                <w:szCs w:val="20"/>
              </w:rPr>
            </w:pPr>
            <w:proofErr w:type="spellStart"/>
            <w:r w:rsidRPr="007A5A32">
              <w:rPr>
                <w:rFonts w:cstheme="minorHAnsi"/>
                <w:sz w:val="20"/>
                <w:szCs w:val="20"/>
              </w:rPr>
              <w:t>Brunstromm</w:t>
            </w:r>
            <w:proofErr w:type="spellEnd"/>
            <w:r w:rsidRPr="007A5A32">
              <w:rPr>
                <w:rFonts w:cstheme="minorHAnsi"/>
                <w:sz w:val="20"/>
                <w:szCs w:val="20"/>
              </w:rPr>
              <w:t xml:space="preserve"> left hand function </w:t>
            </w:r>
            <w:r w:rsidR="00B52EA4" w:rsidRPr="007A5A32">
              <w:rPr>
                <w:rFonts w:cstheme="minorHAnsi"/>
                <w:sz w:val="20"/>
                <w:szCs w:val="20"/>
              </w:rPr>
              <w:t>(6)</w:t>
            </w:r>
          </w:p>
        </w:tc>
        <w:tc>
          <w:tcPr>
            <w:tcW w:w="0" w:type="auto"/>
          </w:tcPr>
          <w:p w14:paraId="2F58874B" w14:textId="657D0754" w:rsidR="009A3028" w:rsidRPr="007A5A32" w:rsidRDefault="00D940A9" w:rsidP="003305B5">
            <w:pPr>
              <w:pStyle w:val="NoSpacing"/>
              <w:rPr>
                <w:rFonts w:cstheme="minorHAnsi"/>
                <w:sz w:val="20"/>
                <w:szCs w:val="20"/>
              </w:rPr>
            </w:pPr>
            <w:r w:rsidRPr="007A5A32">
              <w:rPr>
                <w:rFonts w:cstheme="minorHAnsi"/>
                <w:sz w:val="20"/>
                <w:szCs w:val="20"/>
              </w:rPr>
              <w:t>6 (0)</w:t>
            </w:r>
          </w:p>
        </w:tc>
        <w:tc>
          <w:tcPr>
            <w:tcW w:w="0" w:type="auto"/>
          </w:tcPr>
          <w:p w14:paraId="724B08E8" w14:textId="0881B26C" w:rsidR="009A3028" w:rsidRPr="007A5A32" w:rsidRDefault="00D940A9" w:rsidP="003305B5">
            <w:pPr>
              <w:pStyle w:val="NoSpacing"/>
              <w:rPr>
                <w:rFonts w:cstheme="minorHAnsi"/>
                <w:sz w:val="20"/>
                <w:szCs w:val="20"/>
              </w:rPr>
            </w:pPr>
            <w:r w:rsidRPr="007A5A32">
              <w:rPr>
                <w:rFonts w:cstheme="minorHAnsi"/>
                <w:sz w:val="20"/>
                <w:szCs w:val="20"/>
              </w:rPr>
              <w:t>5.9 (0.3)</w:t>
            </w:r>
          </w:p>
        </w:tc>
        <w:tc>
          <w:tcPr>
            <w:tcW w:w="0" w:type="auto"/>
          </w:tcPr>
          <w:p w14:paraId="43A1A31E" w14:textId="05234C14" w:rsidR="009A3028" w:rsidRPr="007A5A32" w:rsidRDefault="003305B5" w:rsidP="003305B5">
            <w:pPr>
              <w:pStyle w:val="NoSpacing"/>
              <w:rPr>
                <w:rFonts w:cstheme="minorHAnsi"/>
                <w:sz w:val="20"/>
                <w:szCs w:val="20"/>
              </w:rPr>
            </w:pPr>
            <w:r w:rsidRPr="007A5A32">
              <w:rPr>
                <w:rFonts w:cstheme="minorHAnsi"/>
                <w:sz w:val="20"/>
                <w:szCs w:val="20"/>
              </w:rPr>
              <w:t>0.393</w:t>
            </w:r>
          </w:p>
        </w:tc>
      </w:tr>
      <w:tr w:rsidR="00B52EA4" w:rsidRPr="007A5A32" w14:paraId="0C200388" w14:textId="77777777" w:rsidTr="00B52EA4">
        <w:tc>
          <w:tcPr>
            <w:tcW w:w="0" w:type="auto"/>
          </w:tcPr>
          <w:p w14:paraId="104491A5" w14:textId="77777777" w:rsidR="009A3028" w:rsidRPr="007A5A32" w:rsidRDefault="009A3028" w:rsidP="003305B5">
            <w:pPr>
              <w:pStyle w:val="NoSpacing"/>
              <w:rPr>
                <w:rFonts w:cstheme="minorHAnsi"/>
                <w:sz w:val="20"/>
                <w:szCs w:val="20"/>
              </w:rPr>
            </w:pPr>
          </w:p>
        </w:tc>
        <w:tc>
          <w:tcPr>
            <w:tcW w:w="0" w:type="auto"/>
          </w:tcPr>
          <w:p w14:paraId="31942475" w14:textId="77777777" w:rsidR="009A3028" w:rsidRPr="007A5A32" w:rsidRDefault="009A3028" w:rsidP="003305B5">
            <w:pPr>
              <w:pStyle w:val="NoSpacing"/>
              <w:rPr>
                <w:rFonts w:cstheme="minorHAnsi"/>
                <w:sz w:val="20"/>
                <w:szCs w:val="20"/>
              </w:rPr>
            </w:pPr>
          </w:p>
        </w:tc>
        <w:tc>
          <w:tcPr>
            <w:tcW w:w="0" w:type="auto"/>
          </w:tcPr>
          <w:p w14:paraId="1B477B37" w14:textId="12450FD1" w:rsidR="009A3028" w:rsidRPr="007A5A32" w:rsidRDefault="004D1930" w:rsidP="003305B5">
            <w:pPr>
              <w:pStyle w:val="NoSpacing"/>
              <w:rPr>
                <w:rFonts w:cstheme="minorHAnsi"/>
                <w:sz w:val="20"/>
                <w:szCs w:val="20"/>
              </w:rPr>
            </w:pPr>
            <w:proofErr w:type="spellStart"/>
            <w:r w:rsidRPr="007A5A32">
              <w:rPr>
                <w:rFonts w:cstheme="minorHAnsi"/>
                <w:sz w:val="20"/>
                <w:szCs w:val="20"/>
              </w:rPr>
              <w:t>Brunstromm</w:t>
            </w:r>
            <w:proofErr w:type="spellEnd"/>
            <w:r w:rsidRPr="007A5A32">
              <w:rPr>
                <w:rFonts w:cstheme="minorHAnsi"/>
                <w:sz w:val="20"/>
                <w:szCs w:val="20"/>
              </w:rPr>
              <w:t xml:space="preserve"> right hand function </w:t>
            </w:r>
            <w:r w:rsidR="00B52EA4" w:rsidRPr="007A5A32">
              <w:rPr>
                <w:rFonts w:cstheme="minorHAnsi"/>
                <w:sz w:val="20"/>
                <w:szCs w:val="20"/>
              </w:rPr>
              <w:t>(6)</w:t>
            </w:r>
          </w:p>
        </w:tc>
        <w:tc>
          <w:tcPr>
            <w:tcW w:w="0" w:type="auto"/>
          </w:tcPr>
          <w:p w14:paraId="204EB73D" w14:textId="7F4B994D" w:rsidR="009A3028" w:rsidRPr="007A5A32" w:rsidRDefault="00D940A9" w:rsidP="003305B5">
            <w:pPr>
              <w:pStyle w:val="NoSpacing"/>
              <w:rPr>
                <w:rFonts w:cstheme="minorHAnsi"/>
                <w:sz w:val="20"/>
                <w:szCs w:val="20"/>
              </w:rPr>
            </w:pPr>
            <w:r w:rsidRPr="007A5A32">
              <w:rPr>
                <w:rFonts w:cstheme="minorHAnsi"/>
                <w:sz w:val="20"/>
                <w:szCs w:val="20"/>
              </w:rPr>
              <w:t>6 (0)</w:t>
            </w:r>
          </w:p>
        </w:tc>
        <w:tc>
          <w:tcPr>
            <w:tcW w:w="0" w:type="auto"/>
          </w:tcPr>
          <w:p w14:paraId="06D852DD" w14:textId="5A2AD140" w:rsidR="009A3028" w:rsidRPr="007A5A32" w:rsidRDefault="00D940A9" w:rsidP="003305B5">
            <w:pPr>
              <w:pStyle w:val="NoSpacing"/>
              <w:rPr>
                <w:rFonts w:cstheme="minorHAnsi"/>
                <w:sz w:val="20"/>
                <w:szCs w:val="20"/>
              </w:rPr>
            </w:pPr>
            <w:r w:rsidRPr="007A5A32">
              <w:rPr>
                <w:rFonts w:cstheme="minorHAnsi"/>
                <w:sz w:val="20"/>
                <w:szCs w:val="20"/>
              </w:rPr>
              <w:t>4.9 (1.8)</w:t>
            </w:r>
          </w:p>
        </w:tc>
        <w:tc>
          <w:tcPr>
            <w:tcW w:w="0" w:type="auto"/>
          </w:tcPr>
          <w:p w14:paraId="33EFA880" w14:textId="6793193E" w:rsidR="009A3028" w:rsidRPr="007A5A32" w:rsidRDefault="00D940A9" w:rsidP="003305B5">
            <w:pPr>
              <w:pStyle w:val="NoSpacing"/>
              <w:rPr>
                <w:rFonts w:cstheme="minorHAnsi"/>
                <w:sz w:val="20"/>
                <w:szCs w:val="20"/>
              </w:rPr>
            </w:pPr>
            <w:r w:rsidRPr="007A5A32">
              <w:rPr>
                <w:rFonts w:cstheme="minorHAnsi"/>
                <w:sz w:val="20"/>
                <w:szCs w:val="20"/>
              </w:rPr>
              <w:t>0.990</w:t>
            </w:r>
          </w:p>
        </w:tc>
      </w:tr>
      <w:tr w:rsidR="00B52EA4" w:rsidRPr="007A5A32" w14:paraId="34A3DBD8" w14:textId="77777777" w:rsidTr="00B52EA4">
        <w:tc>
          <w:tcPr>
            <w:tcW w:w="0" w:type="auto"/>
          </w:tcPr>
          <w:p w14:paraId="43342164" w14:textId="77777777" w:rsidR="009A3028" w:rsidRPr="007A5A32" w:rsidRDefault="009A3028" w:rsidP="003305B5">
            <w:pPr>
              <w:pStyle w:val="NoSpacing"/>
              <w:rPr>
                <w:rFonts w:cstheme="minorHAnsi"/>
                <w:sz w:val="20"/>
                <w:szCs w:val="20"/>
              </w:rPr>
            </w:pPr>
          </w:p>
        </w:tc>
        <w:tc>
          <w:tcPr>
            <w:tcW w:w="0" w:type="auto"/>
          </w:tcPr>
          <w:p w14:paraId="41F1E0E1" w14:textId="77777777" w:rsidR="009A3028" w:rsidRPr="007A5A32" w:rsidRDefault="009A3028" w:rsidP="003305B5">
            <w:pPr>
              <w:pStyle w:val="NoSpacing"/>
              <w:rPr>
                <w:rFonts w:cstheme="minorHAnsi"/>
                <w:sz w:val="20"/>
                <w:szCs w:val="20"/>
              </w:rPr>
            </w:pPr>
          </w:p>
        </w:tc>
        <w:tc>
          <w:tcPr>
            <w:tcW w:w="0" w:type="auto"/>
          </w:tcPr>
          <w:p w14:paraId="774CF2A0" w14:textId="2FD2FB6D" w:rsidR="009A3028" w:rsidRPr="007A5A32" w:rsidRDefault="004D1930" w:rsidP="003305B5">
            <w:pPr>
              <w:pStyle w:val="NoSpacing"/>
              <w:rPr>
                <w:rFonts w:cstheme="minorHAnsi"/>
                <w:sz w:val="20"/>
                <w:szCs w:val="20"/>
              </w:rPr>
            </w:pPr>
            <w:r w:rsidRPr="007A5A32">
              <w:rPr>
                <w:rFonts w:cstheme="minorHAnsi"/>
                <w:sz w:val="20"/>
                <w:szCs w:val="20"/>
              </w:rPr>
              <w:t xml:space="preserve">Left motricity index (199) </w:t>
            </w:r>
          </w:p>
        </w:tc>
        <w:tc>
          <w:tcPr>
            <w:tcW w:w="0" w:type="auto"/>
          </w:tcPr>
          <w:p w14:paraId="5E04CAA0" w14:textId="4C043E4B" w:rsidR="009A3028" w:rsidRPr="007A5A32" w:rsidRDefault="00B52EA4" w:rsidP="003305B5">
            <w:pPr>
              <w:pStyle w:val="NoSpacing"/>
              <w:rPr>
                <w:rFonts w:cstheme="minorHAnsi"/>
                <w:sz w:val="20"/>
                <w:szCs w:val="20"/>
              </w:rPr>
            </w:pPr>
            <w:r w:rsidRPr="007A5A32">
              <w:rPr>
                <w:rFonts w:cstheme="minorHAnsi"/>
                <w:sz w:val="20"/>
                <w:szCs w:val="20"/>
              </w:rPr>
              <w:t>197.1 (3)</w:t>
            </w:r>
          </w:p>
        </w:tc>
        <w:tc>
          <w:tcPr>
            <w:tcW w:w="0" w:type="auto"/>
          </w:tcPr>
          <w:p w14:paraId="78DE488B" w14:textId="2F3F1319" w:rsidR="009A3028" w:rsidRPr="007A5A32" w:rsidRDefault="00B52EA4" w:rsidP="003305B5">
            <w:pPr>
              <w:pStyle w:val="NoSpacing"/>
              <w:rPr>
                <w:rFonts w:cstheme="minorHAnsi"/>
                <w:sz w:val="20"/>
                <w:szCs w:val="20"/>
              </w:rPr>
            </w:pPr>
            <w:r w:rsidRPr="007A5A32">
              <w:rPr>
                <w:rFonts w:cstheme="minorHAnsi"/>
                <w:sz w:val="20"/>
                <w:szCs w:val="20"/>
              </w:rPr>
              <w:t>172.1 (48.5)</w:t>
            </w:r>
          </w:p>
        </w:tc>
        <w:tc>
          <w:tcPr>
            <w:tcW w:w="0" w:type="auto"/>
          </w:tcPr>
          <w:p w14:paraId="0291F655" w14:textId="31C284A7" w:rsidR="009A3028" w:rsidRPr="007A5A32" w:rsidRDefault="00B52EA4" w:rsidP="003305B5">
            <w:pPr>
              <w:pStyle w:val="NoSpacing"/>
              <w:rPr>
                <w:rFonts w:cstheme="minorHAnsi"/>
                <w:sz w:val="20"/>
                <w:szCs w:val="20"/>
              </w:rPr>
            </w:pPr>
            <w:r w:rsidRPr="007A5A32">
              <w:rPr>
                <w:rFonts w:cstheme="minorHAnsi"/>
                <w:sz w:val="20"/>
                <w:szCs w:val="20"/>
              </w:rPr>
              <w:t>0.765</w:t>
            </w:r>
          </w:p>
        </w:tc>
      </w:tr>
      <w:tr w:rsidR="00B52EA4" w:rsidRPr="007A5A32" w14:paraId="1236024F" w14:textId="77777777" w:rsidTr="00B52EA4">
        <w:tc>
          <w:tcPr>
            <w:tcW w:w="0" w:type="auto"/>
          </w:tcPr>
          <w:p w14:paraId="0D35B375" w14:textId="77777777" w:rsidR="009A3028" w:rsidRPr="007A5A32" w:rsidRDefault="009A3028" w:rsidP="003305B5">
            <w:pPr>
              <w:pStyle w:val="NoSpacing"/>
              <w:rPr>
                <w:rFonts w:cstheme="minorHAnsi"/>
                <w:sz w:val="20"/>
                <w:szCs w:val="20"/>
              </w:rPr>
            </w:pPr>
          </w:p>
        </w:tc>
        <w:tc>
          <w:tcPr>
            <w:tcW w:w="0" w:type="auto"/>
          </w:tcPr>
          <w:p w14:paraId="60324CA5" w14:textId="77777777" w:rsidR="009A3028" w:rsidRPr="007A5A32" w:rsidRDefault="009A3028" w:rsidP="003305B5">
            <w:pPr>
              <w:pStyle w:val="NoSpacing"/>
              <w:rPr>
                <w:rFonts w:cstheme="minorHAnsi"/>
                <w:sz w:val="20"/>
                <w:szCs w:val="20"/>
              </w:rPr>
            </w:pPr>
          </w:p>
        </w:tc>
        <w:tc>
          <w:tcPr>
            <w:tcW w:w="0" w:type="auto"/>
          </w:tcPr>
          <w:p w14:paraId="04B3382D" w14:textId="6DB7B8CE" w:rsidR="009A3028" w:rsidRPr="007A5A32" w:rsidRDefault="004D1930" w:rsidP="003305B5">
            <w:pPr>
              <w:pStyle w:val="NoSpacing"/>
              <w:rPr>
                <w:rFonts w:cstheme="minorHAnsi"/>
                <w:sz w:val="20"/>
                <w:szCs w:val="20"/>
              </w:rPr>
            </w:pPr>
            <w:r w:rsidRPr="007A5A32">
              <w:rPr>
                <w:rFonts w:cstheme="minorHAnsi"/>
                <w:sz w:val="20"/>
                <w:szCs w:val="20"/>
              </w:rPr>
              <w:t xml:space="preserve">Right motricity index (199) </w:t>
            </w:r>
          </w:p>
        </w:tc>
        <w:tc>
          <w:tcPr>
            <w:tcW w:w="0" w:type="auto"/>
          </w:tcPr>
          <w:p w14:paraId="6A7ECED7" w14:textId="3C39B8D6" w:rsidR="009A3028" w:rsidRPr="007A5A32" w:rsidRDefault="00B52EA4" w:rsidP="003305B5">
            <w:pPr>
              <w:pStyle w:val="NoSpacing"/>
              <w:rPr>
                <w:rFonts w:cstheme="minorHAnsi"/>
                <w:sz w:val="20"/>
                <w:szCs w:val="20"/>
              </w:rPr>
            </w:pPr>
            <w:r w:rsidRPr="007A5A32">
              <w:rPr>
                <w:rFonts w:cstheme="minorHAnsi"/>
                <w:sz w:val="20"/>
                <w:szCs w:val="20"/>
              </w:rPr>
              <w:t>197.4 (2)</w:t>
            </w:r>
          </w:p>
        </w:tc>
        <w:tc>
          <w:tcPr>
            <w:tcW w:w="0" w:type="auto"/>
          </w:tcPr>
          <w:p w14:paraId="1DD20CA9" w14:textId="16995020" w:rsidR="009A3028" w:rsidRPr="007A5A32" w:rsidRDefault="00B52EA4" w:rsidP="003305B5">
            <w:pPr>
              <w:pStyle w:val="NoSpacing"/>
              <w:rPr>
                <w:rFonts w:cstheme="minorHAnsi"/>
                <w:sz w:val="20"/>
                <w:szCs w:val="20"/>
              </w:rPr>
            </w:pPr>
            <w:r w:rsidRPr="007A5A32">
              <w:rPr>
                <w:rFonts w:cstheme="minorHAnsi"/>
                <w:sz w:val="20"/>
                <w:szCs w:val="20"/>
              </w:rPr>
              <w:t>146.7 (56.7)</w:t>
            </w:r>
          </w:p>
        </w:tc>
        <w:tc>
          <w:tcPr>
            <w:tcW w:w="0" w:type="auto"/>
          </w:tcPr>
          <w:p w14:paraId="1E3C8138" w14:textId="0E3CECD7" w:rsidR="009A3028" w:rsidRPr="007A5A32" w:rsidRDefault="00B52EA4" w:rsidP="003305B5">
            <w:pPr>
              <w:pStyle w:val="NoSpacing"/>
              <w:rPr>
                <w:rFonts w:cstheme="minorHAnsi"/>
                <w:sz w:val="20"/>
                <w:szCs w:val="20"/>
              </w:rPr>
            </w:pPr>
            <w:r w:rsidRPr="007A5A32">
              <w:rPr>
                <w:rFonts w:cstheme="minorHAnsi"/>
                <w:sz w:val="20"/>
                <w:szCs w:val="20"/>
              </w:rPr>
              <w:t>1.331</w:t>
            </w:r>
          </w:p>
        </w:tc>
      </w:tr>
      <w:tr w:rsidR="00B52EA4" w:rsidRPr="007A5A32" w14:paraId="50EFA6DD" w14:textId="77777777" w:rsidTr="00B52EA4">
        <w:tc>
          <w:tcPr>
            <w:tcW w:w="0" w:type="auto"/>
          </w:tcPr>
          <w:p w14:paraId="3D0356AF" w14:textId="77777777" w:rsidR="009A3028" w:rsidRPr="007A5A32" w:rsidRDefault="009A3028" w:rsidP="003305B5">
            <w:pPr>
              <w:pStyle w:val="NoSpacing"/>
              <w:rPr>
                <w:rFonts w:cstheme="minorHAnsi"/>
                <w:sz w:val="20"/>
                <w:szCs w:val="20"/>
              </w:rPr>
            </w:pPr>
          </w:p>
        </w:tc>
        <w:tc>
          <w:tcPr>
            <w:tcW w:w="0" w:type="auto"/>
          </w:tcPr>
          <w:p w14:paraId="44214413" w14:textId="2644B8B9" w:rsidR="009A3028" w:rsidRPr="007A5A32" w:rsidRDefault="009745F2" w:rsidP="003305B5">
            <w:pPr>
              <w:pStyle w:val="NoSpacing"/>
              <w:rPr>
                <w:rFonts w:cstheme="minorHAnsi"/>
                <w:sz w:val="20"/>
                <w:szCs w:val="20"/>
              </w:rPr>
            </w:pPr>
            <w:r w:rsidRPr="007A5A32">
              <w:rPr>
                <w:rFonts w:cstheme="minorHAnsi"/>
                <w:sz w:val="20"/>
                <w:szCs w:val="20"/>
              </w:rPr>
              <w:t>Fine motor; Coordination</w:t>
            </w:r>
          </w:p>
        </w:tc>
        <w:tc>
          <w:tcPr>
            <w:tcW w:w="0" w:type="auto"/>
          </w:tcPr>
          <w:p w14:paraId="4B3D7833" w14:textId="4730890F" w:rsidR="009A3028" w:rsidRPr="007A5A32" w:rsidRDefault="009745F2" w:rsidP="003305B5">
            <w:pPr>
              <w:pStyle w:val="NoSpacing"/>
              <w:rPr>
                <w:rFonts w:cstheme="minorHAnsi"/>
                <w:sz w:val="20"/>
                <w:szCs w:val="20"/>
              </w:rPr>
            </w:pPr>
            <w:r w:rsidRPr="007A5A32">
              <w:rPr>
                <w:rFonts w:cstheme="minorHAnsi"/>
                <w:sz w:val="20"/>
                <w:szCs w:val="20"/>
              </w:rPr>
              <w:t xml:space="preserve">Left index finger tap </w:t>
            </w:r>
          </w:p>
        </w:tc>
        <w:tc>
          <w:tcPr>
            <w:tcW w:w="0" w:type="auto"/>
          </w:tcPr>
          <w:p w14:paraId="10391A91" w14:textId="2C06D440" w:rsidR="009A3028" w:rsidRPr="007A5A32" w:rsidRDefault="00B52EA4" w:rsidP="003305B5">
            <w:pPr>
              <w:pStyle w:val="NoSpacing"/>
              <w:rPr>
                <w:rFonts w:cstheme="minorHAnsi"/>
                <w:sz w:val="20"/>
                <w:szCs w:val="20"/>
              </w:rPr>
            </w:pPr>
            <w:r w:rsidRPr="007A5A32">
              <w:rPr>
                <w:rFonts w:cstheme="minorHAnsi"/>
                <w:sz w:val="20"/>
                <w:szCs w:val="20"/>
              </w:rPr>
              <w:t>50.3 (8)</w:t>
            </w:r>
          </w:p>
        </w:tc>
        <w:tc>
          <w:tcPr>
            <w:tcW w:w="0" w:type="auto"/>
          </w:tcPr>
          <w:p w14:paraId="79BCDE93" w14:textId="2C2EA9EB" w:rsidR="009A3028" w:rsidRPr="007A5A32" w:rsidRDefault="00B52EA4" w:rsidP="003305B5">
            <w:pPr>
              <w:pStyle w:val="NoSpacing"/>
              <w:rPr>
                <w:rFonts w:cstheme="minorHAnsi"/>
                <w:sz w:val="20"/>
                <w:szCs w:val="20"/>
              </w:rPr>
            </w:pPr>
            <w:r w:rsidRPr="007A5A32">
              <w:rPr>
                <w:rFonts w:cstheme="minorHAnsi"/>
                <w:sz w:val="20"/>
                <w:szCs w:val="20"/>
              </w:rPr>
              <w:t>42.4 (12.6)</w:t>
            </w:r>
          </w:p>
        </w:tc>
        <w:tc>
          <w:tcPr>
            <w:tcW w:w="0" w:type="auto"/>
          </w:tcPr>
          <w:p w14:paraId="5DB3AC8E" w14:textId="381BBB27" w:rsidR="009A3028" w:rsidRPr="007A5A32" w:rsidRDefault="00B52EA4" w:rsidP="003305B5">
            <w:pPr>
              <w:pStyle w:val="NoSpacing"/>
              <w:rPr>
                <w:rFonts w:cstheme="minorHAnsi"/>
                <w:sz w:val="20"/>
                <w:szCs w:val="20"/>
              </w:rPr>
            </w:pPr>
            <w:r w:rsidRPr="007A5A32">
              <w:rPr>
                <w:rFonts w:cstheme="minorHAnsi"/>
                <w:sz w:val="20"/>
                <w:szCs w:val="20"/>
              </w:rPr>
              <w:t>0.769</w:t>
            </w:r>
          </w:p>
        </w:tc>
      </w:tr>
      <w:tr w:rsidR="007A5A32" w:rsidRPr="007A5A32" w14:paraId="5E32ED9D" w14:textId="77777777" w:rsidTr="00B52EA4">
        <w:tc>
          <w:tcPr>
            <w:tcW w:w="0" w:type="auto"/>
          </w:tcPr>
          <w:p w14:paraId="07700A15" w14:textId="77777777" w:rsidR="009745F2" w:rsidRPr="007A5A32" w:rsidRDefault="009745F2" w:rsidP="003305B5">
            <w:pPr>
              <w:pStyle w:val="NoSpacing"/>
              <w:rPr>
                <w:rFonts w:cstheme="minorHAnsi"/>
                <w:sz w:val="20"/>
                <w:szCs w:val="20"/>
              </w:rPr>
            </w:pPr>
          </w:p>
        </w:tc>
        <w:tc>
          <w:tcPr>
            <w:tcW w:w="0" w:type="auto"/>
          </w:tcPr>
          <w:p w14:paraId="703F6AEB" w14:textId="77777777" w:rsidR="009745F2" w:rsidRPr="007A5A32" w:rsidRDefault="009745F2" w:rsidP="003305B5">
            <w:pPr>
              <w:pStyle w:val="NoSpacing"/>
              <w:rPr>
                <w:rFonts w:cstheme="minorHAnsi"/>
                <w:sz w:val="20"/>
                <w:szCs w:val="20"/>
              </w:rPr>
            </w:pPr>
          </w:p>
        </w:tc>
        <w:tc>
          <w:tcPr>
            <w:tcW w:w="0" w:type="auto"/>
          </w:tcPr>
          <w:p w14:paraId="4BF5A86A" w14:textId="2AEDB3AE" w:rsidR="009745F2" w:rsidRPr="007A5A32" w:rsidRDefault="009745F2" w:rsidP="003305B5">
            <w:pPr>
              <w:pStyle w:val="NoSpacing"/>
              <w:rPr>
                <w:rFonts w:cstheme="minorHAnsi"/>
                <w:sz w:val="20"/>
                <w:szCs w:val="20"/>
              </w:rPr>
            </w:pPr>
            <w:r w:rsidRPr="007A5A32">
              <w:rPr>
                <w:rFonts w:cstheme="minorHAnsi"/>
                <w:sz w:val="20"/>
                <w:szCs w:val="20"/>
              </w:rPr>
              <w:t xml:space="preserve">Right index finger tap </w:t>
            </w:r>
          </w:p>
        </w:tc>
        <w:tc>
          <w:tcPr>
            <w:tcW w:w="0" w:type="auto"/>
          </w:tcPr>
          <w:p w14:paraId="2A4ACBD7" w14:textId="7C12EB6E" w:rsidR="009745F2" w:rsidRPr="007A5A32" w:rsidRDefault="00B52EA4" w:rsidP="003305B5">
            <w:pPr>
              <w:pStyle w:val="NoSpacing"/>
              <w:rPr>
                <w:rFonts w:cstheme="minorHAnsi"/>
                <w:sz w:val="20"/>
                <w:szCs w:val="20"/>
              </w:rPr>
            </w:pPr>
            <w:r w:rsidRPr="007A5A32">
              <w:rPr>
                <w:rFonts w:cstheme="minorHAnsi"/>
                <w:sz w:val="20"/>
                <w:szCs w:val="20"/>
              </w:rPr>
              <w:t>53.9 (8.8)</w:t>
            </w:r>
          </w:p>
        </w:tc>
        <w:tc>
          <w:tcPr>
            <w:tcW w:w="0" w:type="auto"/>
          </w:tcPr>
          <w:p w14:paraId="127ACF13" w14:textId="6A225FF4" w:rsidR="009745F2" w:rsidRPr="007A5A32" w:rsidRDefault="00B52EA4" w:rsidP="003305B5">
            <w:pPr>
              <w:pStyle w:val="NoSpacing"/>
              <w:rPr>
                <w:rFonts w:cstheme="minorHAnsi"/>
                <w:sz w:val="20"/>
                <w:szCs w:val="20"/>
              </w:rPr>
            </w:pPr>
            <w:r w:rsidRPr="007A5A32">
              <w:rPr>
                <w:rFonts w:cstheme="minorHAnsi"/>
                <w:sz w:val="20"/>
                <w:szCs w:val="20"/>
              </w:rPr>
              <w:t>33.4 (22.1)</w:t>
            </w:r>
          </w:p>
        </w:tc>
        <w:tc>
          <w:tcPr>
            <w:tcW w:w="0" w:type="auto"/>
          </w:tcPr>
          <w:p w14:paraId="0C66C8D3" w14:textId="39465FE4" w:rsidR="009745F2" w:rsidRPr="007A5A32" w:rsidRDefault="00B52EA4" w:rsidP="003305B5">
            <w:pPr>
              <w:pStyle w:val="NoSpacing"/>
              <w:rPr>
                <w:rFonts w:cstheme="minorHAnsi"/>
                <w:sz w:val="20"/>
                <w:szCs w:val="20"/>
              </w:rPr>
            </w:pPr>
            <w:r w:rsidRPr="007A5A32">
              <w:rPr>
                <w:rFonts w:cstheme="minorHAnsi"/>
                <w:sz w:val="20"/>
                <w:szCs w:val="20"/>
              </w:rPr>
              <w:t>1.279</w:t>
            </w:r>
          </w:p>
        </w:tc>
      </w:tr>
      <w:tr w:rsidR="007A5A32" w:rsidRPr="007A5A32" w14:paraId="5431EFB0" w14:textId="77777777" w:rsidTr="00B52EA4">
        <w:tc>
          <w:tcPr>
            <w:tcW w:w="0" w:type="auto"/>
          </w:tcPr>
          <w:p w14:paraId="319512F5" w14:textId="77777777" w:rsidR="009745F2" w:rsidRPr="007A5A32" w:rsidRDefault="009745F2" w:rsidP="003305B5">
            <w:pPr>
              <w:pStyle w:val="NoSpacing"/>
              <w:rPr>
                <w:rFonts w:cstheme="minorHAnsi"/>
                <w:sz w:val="20"/>
                <w:szCs w:val="20"/>
              </w:rPr>
            </w:pPr>
          </w:p>
        </w:tc>
        <w:tc>
          <w:tcPr>
            <w:tcW w:w="0" w:type="auto"/>
          </w:tcPr>
          <w:p w14:paraId="3F0502F1" w14:textId="77777777" w:rsidR="009745F2" w:rsidRPr="007A5A32" w:rsidRDefault="009745F2" w:rsidP="003305B5">
            <w:pPr>
              <w:pStyle w:val="NoSpacing"/>
              <w:rPr>
                <w:rFonts w:cstheme="minorHAnsi"/>
                <w:sz w:val="20"/>
                <w:szCs w:val="20"/>
              </w:rPr>
            </w:pPr>
          </w:p>
        </w:tc>
        <w:tc>
          <w:tcPr>
            <w:tcW w:w="0" w:type="auto"/>
          </w:tcPr>
          <w:p w14:paraId="3E4EAB65" w14:textId="5C281B02" w:rsidR="009745F2" w:rsidRPr="007A5A32" w:rsidRDefault="009745F2" w:rsidP="003305B5">
            <w:pPr>
              <w:pStyle w:val="NoSpacing"/>
              <w:rPr>
                <w:rFonts w:cstheme="minorHAnsi"/>
                <w:sz w:val="20"/>
                <w:szCs w:val="20"/>
              </w:rPr>
            </w:pPr>
            <w:r w:rsidRPr="007A5A32">
              <w:rPr>
                <w:rFonts w:cstheme="minorHAnsi"/>
                <w:sz w:val="20"/>
                <w:szCs w:val="20"/>
              </w:rPr>
              <w:t xml:space="preserve">L index/middle finger tap </w:t>
            </w:r>
          </w:p>
        </w:tc>
        <w:tc>
          <w:tcPr>
            <w:tcW w:w="0" w:type="auto"/>
          </w:tcPr>
          <w:p w14:paraId="6B122558" w14:textId="09A0F784" w:rsidR="009745F2" w:rsidRPr="007A5A32" w:rsidRDefault="00B52EA4" w:rsidP="003305B5">
            <w:pPr>
              <w:pStyle w:val="NoSpacing"/>
              <w:rPr>
                <w:rFonts w:cstheme="minorHAnsi"/>
                <w:sz w:val="20"/>
                <w:szCs w:val="20"/>
              </w:rPr>
            </w:pPr>
            <w:r w:rsidRPr="007A5A32">
              <w:rPr>
                <w:rFonts w:cstheme="minorHAnsi"/>
                <w:sz w:val="20"/>
                <w:szCs w:val="20"/>
              </w:rPr>
              <w:t>50 (18.8)</w:t>
            </w:r>
          </w:p>
        </w:tc>
        <w:tc>
          <w:tcPr>
            <w:tcW w:w="0" w:type="auto"/>
          </w:tcPr>
          <w:p w14:paraId="322F9123" w14:textId="0A406AF3" w:rsidR="009745F2" w:rsidRPr="007A5A32" w:rsidRDefault="00B52EA4" w:rsidP="003305B5">
            <w:pPr>
              <w:pStyle w:val="NoSpacing"/>
              <w:rPr>
                <w:rFonts w:cstheme="minorHAnsi"/>
                <w:sz w:val="20"/>
                <w:szCs w:val="20"/>
              </w:rPr>
            </w:pPr>
            <w:r w:rsidRPr="007A5A32">
              <w:rPr>
                <w:rFonts w:cstheme="minorHAnsi"/>
                <w:sz w:val="20"/>
                <w:szCs w:val="20"/>
              </w:rPr>
              <w:t>45.7 (25.2)</w:t>
            </w:r>
          </w:p>
        </w:tc>
        <w:tc>
          <w:tcPr>
            <w:tcW w:w="0" w:type="auto"/>
          </w:tcPr>
          <w:p w14:paraId="65DFC268" w14:textId="35839F68" w:rsidR="009745F2" w:rsidRPr="007A5A32" w:rsidRDefault="00B52EA4" w:rsidP="003305B5">
            <w:pPr>
              <w:pStyle w:val="NoSpacing"/>
              <w:rPr>
                <w:rFonts w:cstheme="minorHAnsi"/>
                <w:sz w:val="20"/>
                <w:szCs w:val="20"/>
              </w:rPr>
            </w:pPr>
            <w:r w:rsidRPr="007A5A32">
              <w:rPr>
                <w:rFonts w:cstheme="minorHAnsi"/>
                <w:sz w:val="20"/>
                <w:szCs w:val="20"/>
              </w:rPr>
              <w:t>0.196</w:t>
            </w:r>
          </w:p>
        </w:tc>
      </w:tr>
      <w:tr w:rsidR="007A5A32" w:rsidRPr="007A5A32" w14:paraId="1287E7B5" w14:textId="77777777" w:rsidTr="00B52EA4">
        <w:tc>
          <w:tcPr>
            <w:tcW w:w="0" w:type="auto"/>
          </w:tcPr>
          <w:p w14:paraId="2F98FF18" w14:textId="77777777" w:rsidR="009745F2" w:rsidRPr="007A5A32" w:rsidRDefault="009745F2" w:rsidP="003305B5">
            <w:pPr>
              <w:pStyle w:val="NoSpacing"/>
              <w:rPr>
                <w:rFonts w:cstheme="minorHAnsi"/>
                <w:sz w:val="20"/>
                <w:szCs w:val="20"/>
              </w:rPr>
            </w:pPr>
          </w:p>
        </w:tc>
        <w:tc>
          <w:tcPr>
            <w:tcW w:w="0" w:type="auto"/>
          </w:tcPr>
          <w:p w14:paraId="1B7EF916" w14:textId="77777777" w:rsidR="009745F2" w:rsidRPr="007A5A32" w:rsidRDefault="009745F2" w:rsidP="003305B5">
            <w:pPr>
              <w:pStyle w:val="NoSpacing"/>
              <w:rPr>
                <w:rFonts w:cstheme="minorHAnsi"/>
                <w:sz w:val="20"/>
                <w:szCs w:val="20"/>
              </w:rPr>
            </w:pPr>
          </w:p>
        </w:tc>
        <w:tc>
          <w:tcPr>
            <w:tcW w:w="0" w:type="auto"/>
          </w:tcPr>
          <w:p w14:paraId="712691C3" w14:textId="101688C1" w:rsidR="009745F2" w:rsidRPr="007A5A32" w:rsidRDefault="00F17E15" w:rsidP="003305B5">
            <w:pPr>
              <w:pStyle w:val="NoSpacing"/>
              <w:rPr>
                <w:rFonts w:cstheme="minorHAnsi"/>
                <w:sz w:val="20"/>
                <w:szCs w:val="20"/>
              </w:rPr>
            </w:pPr>
            <w:r w:rsidRPr="007A5A32">
              <w:rPr>
                <w:rFonts w:cstheme="minorHAnsi"/>
                <w:sz w:val="20"/>
                <w:szCs w:val="20"/>
              </w:rPr>
              <w:t xml:space="preserve">R index/middle finger tap </w:t>
            </w:r>
          </w:p>
        </w:tc>
        <w:tc>
          <w:tcPr>
            <w:tcW w:w="0" w:type="auto"/>
          </w:tcPr>
          <w:p w14:paraId="6FB2DEB2" w14:textId="4B890651" w:rsidR="009745F2" w:rsidRPr="007A5A32" w:rsidRDefault="00B52EA4" w:rsidP="003305B5">
            <w:pPr>
              <w:pStyle w:val="NoSpacing"/>
              <w:rPr>
                <w:rFonts w:cstheme="minorHAnsi"/>
                <w:sz w:val="20"/>
                <w:szCs w:val="20"/>
              </w:rPr>
            </w:pPr>
            <w:r w:rsidRPr="007A5A32">
              <w:rPr>
                <w:rFonts w:cstheme="minorHAnsi"/>
                <w:sz w:val="20"/>
                <w:szCs w:val="20"/>
              </w:rPr>
              <w:t>55.7 (19.7)</w:t>
            </w:r>
          </w:p>
        </w:tc>
        <w:tc>
          <w:tcPr>
            <w:tcW w:w="0" w:type="auto"/>
          </w:tcPr>
          <w:p w14:paraId="3C16526B" w14:textId="2AE342B3" w:rsidR="009745F2" w:rsidRPr="007A5A32" w:rsidRDefault="00B52EA4" w:rsidP="003305B5">
            <w:pPr>
              <w:pStyle w:val="NoSpacing"/>
              <w:rPr>
                <w:rFonts w:cstheme="minorHAnsi"/>
                <w:sz w:val="20"/>
                <w:szCs w:val="20"/>
              </w:rPr>
            </w:pPr>
            <w:r w:rsidRPr="007A5A32">
              <w:rPr>
                <w:rFonts w:cstheme="minorHAnsi"/>
                <w:sz w:val="20"/>
                <w:szCs w:val="20"/>
              </w:rPr>
              <w:t>33.7 (27.5)</w:t>
            </w:r>
          </w:p>
        </w:tc>
        <w:tc>
          <w:tcPr>
            <w:tcW w:w="0" w:type="auto"/>
          </w:tcPr>
          <w:p w14:paraId="3F64A12C" w14:textId="1010C01F" w:rsidR="009745F2" w:rsidRPr="007A5A32" w:rsidRDefault="00B52EA4" w:rsidP="003305B5">
            <w:pPr>
              <w:pStyle w:val="NoSpacing"/>
              <w:rPr>
                <w:rFonts w:cstheme="minorHAnsi"/>
                <w:sz w:val="20"/>
                <w:szCs w:val="20"/>
              </w:rPr>
            </w:pPr>
            <w:r w:rsidRPr="007A5A32">
              <w:rPr>
                <w:rFonts w:cstheme="minorHAnsi"/>
                <w:sz w:val="20"/>
                <w:szCs w:val="20"/>
              </w:rPr>
              <w:t>0.939</w:t>
            </w:r>
          </w:p>
        </w:tc>
      </w:tr>
      <w:tr w:rsidR="007A5A32" w:rsidRPr="007A5A32" w14:paraId="6AD2EBB8" w14:textId="77777777" w:rsidTr="00B52EA4">
        <w:tc>
          <w:tcPr>
            <w:tcW w:w="0" w:type="auto"/>
          </w:tcPr>
          <w:p w14:paraId="1FFCE445" w14:textId="77777777" w:rsidR="009745F2" w:rsidRPr="007A5A32" w:rsidRDefault="009745F2" w:rsidP="003305B5">
            <w:pPr>
              <w:pStyle w:val="NoSpacing"/>
              <w:rPr>
                <w:rFonts w:cstheme="minorHAnsi"/>
                <w:sz w:val="20"/>
                <w:szCs w:val="20"/>
              </w:rPr>
            </w:pPr>
          </w:p>
        </w:tc>
        <w:tc>
          <w:tcPr>
            <w:tcW w:w="0" w:type="auto"/>
          </w:tcPr>
          <w:p w14:paraId="43CDFE9D" w14:textId="77777777" w:rsidR="009745F2" w:rsidRPr="007A5A32" w:rsidRDefault="009745F2" w:rsidP="003305B5">
            <w:pPr>
              <w:pStyle w:val="NoSpacing"/>
              <w:rPr>
                <w:rFonts w:cstheme="minorHAnsi"/>
                <w:sz w:val="20"/>
                <w:szCs w:val="20"/>
              </w:rPr>
            </w:pPr>
          </w:p>
        </w:tc>
        <w:tc>
          <w:tcPr>
            <w:tcW w:w="0" w:type="auto"/>
          </w:tcPr>
          <w:p w14:paraId="50AD94D1" w14:textId="22E50378" w:rsidR="009745F2" w:rsidRPr="007A5A32" w:rsidRDefault="00F17E15" w:rsidP="003305B5">
            <w:pPr>
              <w:pStyle w:val="NoSpacing"/>
              <w:rPr>
                <w:rFonts w:cstheme="minorHAnsi"/>
                <w:sz w:val="20"/>
                <w:szCs w:val="20"/>
              </w:rPr>
            </w:pPr>
            <w:r w:rsidRPr="007A5A32">
              <w:rPr>
                <w:rFonts w:cstheme="minorHAnsi"/>
                <w:sz w:val="20"/>
                <w:szCs w:val="20"/>
              </w:rPr>
              <w:t xml:space="preserve">L/R index finger tap </w:t>
            </w:r>
          </w:p>
        </w:tc>
        <w:tc>
          <w:tcPr>
            <w:tcW w:w="0" w:type="auto"/>
          </w:tcPr>
          <w:p w14:paraId="2E32F037" w14:textId="46C2D2E2" w:rsidR="009745F2" w:rsidRPr="007A5A32" w:rsidRDefault="00B52EA4" w:rsidP="003305B5">
            <w:pPr>
              <w:pStyle w:val="NoSpacing"/>
              <w:rPr>
                <w:rFonts w:cstheme="minorHAnsi"/>
                <w:sz w:val="20"/>
                <w:szCs w:val="20"/>
              </w:rPr>
            </w:pPr>
            <w:r w:rsidRPr="007A5A32">
              <w:rPr>
                <w:rFonts w:cstheme="minorHAnsi"/>
                <w:sz w:val="20"/>
                <w:szCs w:val="20"/>
              </w:rPr>
              <w:t>66.45 (17.4)</w:t>
            </w:r>
          </w:p>
        </w:tc>
        <w:tc>
          <w:tcPr>
            <w:tcW w:w="0" w:type="auto"/>
          </w:tcPr>
          <w:p w14:paraId="73364319" w14:textId="76DA2963" w:rsidR="009745F2" w:rsidRPr="007A5A32" w:rsidRDefault="00B52EA4" w:rsidP="003305B5">
            <w:pPr>
              <w:pStyle w:val="NoSpacing"/>
              <w:rPr>
                <w:rFonts w:cstheme="minorHAnsi"/>
                <w:sz w:val="20"/>
                <w:szCs w:val="20"/>
              </w:rPr>
            </w:pPr>
            <w:r w:rsidRPr="007A5A32">
              <w:rPr>
                <w:rFonts w:cstheme="minorHAnsi"/>
                <w:sz w:val="20"/>
                <w:szCs w:val="20"/>
              </w:rPr>
              <w:t>40.5 (28.4)</w:t>
            </w:r>
          </w:p>
        </w:tc>
        <w:tc>
          <w:tcPr>
            <w:tcW w:w="0" w:type="auto"/>
          </w:tcPr>
          <w:p w14:paraId="03B8FD1D" w14:textId="7F15A688" w:rsidR="009745F2" w:rsidRPr="007A5A32" w:rsidRDefault="00B52EA4" w:rsidP="003305B5">
            <w:pPr>
              <w:pStyle w:val="NoSpacing"/>
              <w:rPr>
                <w:rFonts w:cstheme="minorHAnsi"/>
                <w:sz w:val="20"/>
                <w:szCs w:val="20"/>
              </w:rPr>
            </w:pPr>
            <w:r w:rsidRPr="007A5A32">
              <w:rPr>
                <w:rFonts w:cstheme="minorHAnsi"/>
                <w:sz w:val="20"/>
                <w:szCs w:val="20"/>
              </w:rPr>
              <w:t>1.123</w:t>
            </w:r>
          </w:p>
        </w:tc>
      </w:tr>
      <w:tr w:rsidR="007A5A32" w:rsidRPr="007A5A32" w14:paraId="1B4BDE64" w14:textId="77777777" w:rsidTr="00B52EA4">
        <w:tc>
          <w:tcPr>
            <w:tcW w:w="0" w:type="auto"/>
          </w:tcPr>
          <w:p w14:paraId="688EF713" w14:textId="77777777" w:rsidR="009745F2" w:rsidRPr="007A5A32" w:rsidRDefault="009745F2" w:rsidP="003305B5">
            <w:pPr>
              <w:pStyle w:val="NoSpacing"/>
              <w:rPr>
                <w:rFonts w:cstheme="minorHAnsi"/>
                <w:sz w:val="20"/>
                <w:szCs w:val="20"/>
              </w:rPr>
            </w:pPr>
          </w:p>
        </w:tc>
        <w:tc>
          <w:tcPr>
            <w:tcW w:w="0" w:type="auto"/>
          </w:tcPr>
          <w:p w14:paraId="4FA9748F" w14:textId="77777777" w:rsidR="009745F2" w:rsidRPr="007A5A32" w:rsidRDefault="009745F2" w:rsidP="003305B5">
            <w:pPr>
              <w:pStyle w:val="NoSpacing"/>
              <w:rPr>
                <w:rFonts w:cstheme="minorHAnsi"/>
                <w:sz w:val="20"/>
                <w:szCs w:val="20"/>
              </w:rPr>
            </w:pPr>
          </w:p>
        </w:tc>
        <w:tc>
          <w:tcPr>
            <w:tcW w:w="0" w:type="auto"/>
          </w:tcPr>
          <w:p w14:paraId="32E977EE" w14:textId="7944573E" w:rsidR="009745F2" w:rsidRPr="007A5A32" w:rsidRDefault="00F17E15" w:rsidP="003305B5">
            <w:pPr>
              <w:pStyle w:val="NoSpacing"/>
              <w:rPr>
                <w:rFonts w:cstheme="minorHAnsi"/>
                <w:sz w:val="20"/>
                <w:szCs w:val="20"/>
              </w:rPr>
            </w:pPr>
            <w:r w:rsidRPr="007A5A32">
              <w:rPr>
                <w:rFonts w:cstheme="minorHAnsi"/>
                <w:sz w:val="20"/>
                <w:szCs w:val="20"/>
              </w:rPr>
              <w:t xml:space="preserve">L foot tap </w:t>
            </w:r>
          </w:p>
        </w:tc>
        <w:tc>
          <w:tcPr>
            <w:tcW w:w="0" w:type="auto"/>
          </w:tcPr>
          <w:p w14:paraId="41AAA11B" w14:textId="4DD3EA85" w:rsidR="009745F2" w:rsidRPr="007A5A32" w:rsidRDefault="00B52EA4" w:rsidP="003305B5">
            <w:pPr>
              <w:pStyle w:val="NoSpacing"/>
              <w:rPr>
                <w:rFonts w:cstheme="minorHAnsi"/>
                <w:sz w:val="20"/>
                <w:szCs w:val="20"/>
              </w:rPr>
            </w:pPr>
            <w:r w:rsidRPr="007A5A32">
              <w:rPr>
                <w:rFonts w:cstheme="minorHAnsi"/>
                <w:sz w:val="20"/>
                <w:szCs w:val="20"/>
              </w:rPr>
              <w:t>32.6 (7)</w:t>
            </w:r>
          </w:p>
        </w:tc>
        <w:tc>
          <w:tcPr>
            <w:tcW w:w="0" w:type="auto"/>
          </w:tcPr>
          <w:p w14:paraId="49F352C3" w14:textId="211D3119" w:rsidR="009745F2" w:rsidRPr="007A5A32" w:rsidRDefault="00B52EA4" w:rsidP="003305B5">
            <w:pPr>
              <w:pStyle w:val="NoSpacing"/>
              <w:rPr>
                <w:rFonts w:cstheme="minorHAnsi"/>
                <w:sz w:val="20"/>
                <w:szCs w:val="20"/>
              </w:rPr>
            </w:pPr>
            <w:r w:rsidRPr="007A5A32">
              <w:rPr>
                <w:rFonts w:cstheme="minorHAnsi"/>
                <w:sz w:val="20"/>
                <w:szCs w:val="20"/>
              </w:rPr>
              <w:t>31.4 (8)</w:t>
            </w:r>
          </w:p>
        </w:tc>
        <w:tc>
          <w:tcPr>
            <w:tcW w:w="0" w:type="auto"/>
          </w:tcPr>
          <w:p w14:paraId="16BAE765" w14:textId="6318D037" w:rsidR="009745F2" w:rsidRPr="007A5A32" w:rsidRDefault="00B52EA4" w:rsidP="003305B5">
            <w:pPr>
              <w:pStyle w:val="NoSpacing"/>
              <w:rPr>
                <w:rFonts w:cstheme="minorHAnsi"/>
                <w:sz w:val="20"/>
                <w:szCs w:val="20"/>
              </w:rPr>
            </w:pPr>
            <w:r w:rsidRPr="007A5A32">
              <w:rPr>
                <w:rFonts w:cstheme="minorHAnsi"/>
                <w:sz w:val="20"/>
                <w:szCs w:val="20"/>
              </w:rPr>
              <w:t>0.165</w:t>
            </w:r>
          </w:p>
        </w:tc>
      </w:tr>
      <w:tr w:rsidR="007A5A32" w:rsidRPr="007A5A32" w14:paraId="0DDC5CB8" w14:textId="77777777" w:rsidTr="00B52EA4">
        <w:tc>
          <w:tcPr>
            <w:tcW w:w="0" w:type="auto"/>
          </w:tcPr>
          <w:p w14:paraId="7E249D9E" w14:textId="77777777" w:rsidR="009745F2" w:rsidRPr="007A5A32" w:rsidRDefault="009745F2" w:rsidP="003305B5">
            <w:pPr>
              <w:pStyle w:val="NoSpacing"/>
              <w:rPr>
                <w:rFonts w:cstheme="minorHAnsi"/>
                <w:sz w:val="20"/>
                <w:szCs w:val="20"/>
              </w:rPr>
            </w:pPr>
          </w:p>
        </w:tc>
        <w:tc>
          <w:tcPr>
            <w:tcW w:w="0" w:type="auto"/>
          </w:tcPr>
          <w:p w14:paraId="5DBFB015" w14:textId="77777777" w:rsidR="009745F2" w:rsidRPr="007A5A32" w:rsidRDefault="009745F2" w:rsidP="003305B5">
            <w:pPr>
              <w:pStyle w:val="NoSpacing"/>
              <w:rPr>
                <w:rFonts w:cstheme="minorHAnsi"/>
                <w:sz w:val="20"/>
                <w:szCs w:val="20"/>
              </w:rPr>
            </w:pPr>
          </w:p>
        </w:tc>
        <w:tc>
          <w:tcPr>
            <w:tcW w:w="0" w:type="auto"/>
          </w:tcPr>
          <w:p w14:paraId="1DD2EEDF" w14:textId="24D92C51" w:rsidR="009745F2" w:rsidRPr="007A5A32" w:rsidRDefault="00F17E15" w:rsidP="003305B5">
            <w:pPr>
              <w:pStyle w:val="NoSpacing"/>
              <w:rPr>
                <w:rFonts w:cstheme="minorHAnsi"/>
                <w:sz w:val="20"/>
                <w:szCs w:val="20"/>
              </w:rPr>
            </w:pPr>
            <w:r w:rsidRPr="007A5A32">
              <w:rPr>
                <w:rFonts w:cstheme="minorHAnsi"/>
                <w:sz w:val="20"/>
                <w:szCs w:val="20"/>
              </w:rPr>
              <w:t xml:space="preserve">R foot tap </w:t>
            </w:r>
          </w:p>
        </w:tc>
        <w:tc>
          <w:tcPr>
            <w:tcW w:w="0" w:type="auto"/>
          </w:tcPr>
          <w:p w14:paraId="4022A14D" w14:textId="3A85DA06" w:rsidR="009745F2" w:rsidRPr="007A5A32" w:rsidRDefault="00B52EA4" w:rsidP="003305B5">
            <w:pPr>
              <w:pStyle w:val="NoSpacing"/>
              <w:rPr>
                <w:rFonts w:cstheme="minorHAnsi"/>
                <w:sz w:val="20"/>
                <w:szCs w:val="20"/>
              </w:rPr>
            </w:pPr>
            <w:r w:rsidRPr="007A5A32">
              <w:rPr>
                <w:rFonts w:cstheme="minorHAnsi"/>
                <w:sz w:val="20"/>
                <w:szCs w:val="20"/>
              </w:rPr>
              <w:t>36 (7.6)</w:t>
            </w:r>
          </w:p>
        </w:tc>
        <w:tc>
          <w:tcPr>
            <w:tcW w:w="0" w:type="auto"/>
          </w:tcPr>
          <w:p w14:paraId="0B92DAF9" w14:textId="4E98A689" w:rsidR="009745F2" w:rsidRPr="007A5A32" w:rsidRDefault="00B52EA4" w:rsidP="003305B5">
            <w:pPr>
              <w:pStyle w:val="NoSpacing"/>
              <w:rPr>
                <w:rFonts w:cstheme="minorHAnsi"/>
                <w:sz w:val="20"/>
                <w:szCs w:val="20"/>
              </w:rPr>
            </w:pPr>
            <w:r w:rsidRPr="007A5A32">
              <w:rPr>
                <w:rFonts w:cstheme="minorHAnsi"/>
                <w:sz w:val="20"/>
                <w:szCs w:val="20"/>
              </w:rPr>
              <w:t>25.8 (11.8)</w:t>
            </w:r>
          </w:p>
        </w:tc>
        <w:tc>
          <w:tcPr>
            <w:tcW w:w="0" w:type="auto"/>
          </w:tcPr>
          <w:p w14:paraId="1BE72753" w14:textId="5BA92294" w:rsidR="009745F2" w:rsidRPr="007A5A32" w:rsidRDefault="00B52EA4" w:rsidP="003305B5">
            <w:pPr>
              <w:pStyle w:val="NoSpacing"/>
              <w:rPr>
                <w:rFonts w:cstheme="minorHAnsi"/>
                <w:sz w:val="20"/>
                <w:szCs w:val="20"/>
              </w:rPr>
            </w:pPr>
            <w:r w:rsidRPr="007A5A32">
              <w:rPr>
                <w:rFonts w:cstheme="minorHAnsi"/>
                <w:sz w:val="20"/>
                <w:szCs w:val="20"/>
              </w:rPr>
              <w:t>1.060</w:t>
            </w:r>
          </w:p>
        </w:tc>
      </w:tr>
      <w:tr w:rsidR="007A5A32" w:rsidRPr="007A5A32" w14:paraId="1D1DFFB0" w14:textId="77777777" w:rsidTr="00B52EA4">
        <w:tc>
          <w:tcPr>
            <w:tcW w:w="0" w:type="auto"/>
          </w:tcPr>
          <w:p w14:paraId="208FB733" w14:textId="77777777" w:rsidR="009745F2" w:rsidRPr="007A5A32" w:rsidRDefault="009745F2" w:rsidP="003305B5">
            <w:pPr>
              <w:pStyle w:val="NoSpacing"/>
              <w:rPr>
                <w:rFonts w:cstheme="minorHAnsi"/>
                <w:sz w:val="20"/>
                <w:szCs w:val="20"/>
              </w:rPr>
            </w:pPr>
          </w:p>
        </w:tc>
        <w:tc>
          <w:tcPr>
            <w:tcW w:w="0" w:type="auto"/>
          </w:tcPr>
          <w:p w14:paraId="4473E19D" w14:textId="77777777" w:rsidR="009745F2" w:rsidRPr="007A5A32" w:rsidRDefault="009745F2" w:rsidP="003305B5">
            <w:pPr>
              <w:pStyle w:val="NoSpacing"/>
              <w:rPr>
                <w:rFonts w:cstheme="minorHAnsi"/>
                <w:sz w:val="20"/>
                <w:szCs w:val="20"/>
              </w:rPr>
            </w:pPr>
          </w:p>
        </w:tc>
        <w:tc>
          <w:tcPr>
            <w:tcW w:w="0" w:type="auto"/>
          </w:tcPr>
          <w:p w14:paraId="2CA325D1" w14:textId="45836978" w:rsidR="009745F2" w:rsidRPr="007A5A32" w:rsidRDefault="00F17E15" w:rsidP="003305B5">
            <w:pPr>
              <w:pStyle w:val="NoSpacing"/>
              <w:rPr>
                <w:rFonts w:cstheme="minorHAnsi"/>
                <w:sz w:val="20"/>
                <w:szCs w:val="20"/>
              </w:rPr>
            </w:pPr>
            <w:r w:rsidRPr="007A5A32">
              <w:rPr>
                <w:rFonts w:cstheme="minorHAnsi"/>
                <w:sz w:val="20"/>
                <w:szCs w:val="20"/>
              </w:rPr>
              <w:t xml:space="preserve">L/R foot tap </w:t>
            </w:r>
          </w:p>
        </w:tc>
        <w:tc>
          <w:tcPr>
            <w:tcW w:w="0" w:type="auto"/>
          </w:tcPr>
          <w:p w14:paraId="09EE9E58" w14:textId="5D71FDCE" w:rsidR="009745F2" w:rsidRPr="007A5A32" w:rsidRDefault="00B52EA4" w:rsidP="003305B5">
            <w:pPr>
              <w:pStyle w:val="NoSpacing"/>
              <w:rPr>
                <w:rFonts w:cstheme="minorHAnsi"/>
                <w:sz w:val="20"/>
                <w:szCs w:val="20"/>
              </w:rPr>
            </w:pPr>
            <w:r w:rsidRPr="007A5A32">
              <w:rPr>
                <w:rFonts w:cstheme="minorHAnsi"/>
                <w:sz w:val="20"/>
                <w:szCs w:val="20"/>
              </w:rPr>
              <w:t>47.6 (10.3)</w:t>
            </w:r>
          </w:p>
        </w:tc>
        <w:tc>
          <w:tcPr>
            <w:tcW w:w="0" w:type="auto"/>
          </w:tcPr>
          <w:p w14:paraId="223D3A29" w14:textId="1BB18765" w:rsidR="009745F2" w:rsidRPr="007A5A32" w:rsidRDefault="00B52EA4" w:rsidP="003305B5">
            <w:pPr>
              <w:pStyle w:val="NoSpacing"/>
              <w:rPr>
                <w:rFonts w:cstheme="minorHAnsi"/>
                <w:sz w:val="20"/>
                <w:szCs w:val="20"/>
              </w:rPr>
            </w:pPr>
            <w:r w:rsidRPr="007A5A32">
              <w:rPr>
                <w:rFonts w:cstheme="minorHAnsi"/>
                <w:sz w:val="20"/>
                <w:szCs w:val="20"/>
              </w:rPr>
              <w:t>35.9 (17.5)</w:t>
            </w:r>
          </w:p>
        </w:tc>
        <w:tc>
          <w:tcPr>
            <w:tcW w:w="0" w:type="auto"/>
          </w:tcPr>
          <w:p w14:paraId="21ED0678" w14:textId="40DD7035" w:rsidR="009745F2" w:rsidRPr="007A5A32" w:rsidRDefault="00B52EA4" w:rsidP="003305B5">
            <w:pPr>
              <w:pStyle w:val="NoSpacing"/>
              <w:rPr>
                <w:rFonts w:cstheme="minorHAnsi"/>
                <w:sz w:val="20"/>
                <w:szCs w:val="20"/>
              </w:rPr>
            </w:pPr>
            <w:r w:rsidRPr="007A5A32">
              <w:rPr>
                <w:rFonts w:cstheme="minorHAnsi"/>
                <w:sz w:val="20"/>
                <w:szCs w:val="20"/>
              </w:rPr>
              <w:t>0.840</w:t>
            </w:r>
          </w:p>
        </w:tc>
      </w:tr>
      <w:tr w:rsidR="007A5A32" w:rsidRPr="007A5A32" w14:paraId="6BBD67E3" w14:textId="77777777" w:rsidTr="00B52EA4">
        <w:tc>
          <w:tcPr>
            <w:tcW w:w="0" w:type="auto"/>
          </w:tcPr>
          <w:p w14:paraId="55E5F05B" w14:textId="27FF6F22" w:rsidR="009745F2" w:rsidRPr="007A5A32" w:rsidRDefault="00D50E31" w:rsidP="003305B5">
            <w:pPr>
              <w:pStyle w:val="NoSpacing"/>
              <w:rPr>
                <w:rFonts w:cstheme="minorHAnsi"/>
                <w:sz w:val="20"/>
                <w:szCs w:val="20"/>
              </w:rPr>
            </w:pPr>
            <w:r w:rsidRPr="007A5A32">
              <w:rPr>
                <w:rFonts w:cstheme="minorHAnsi"/>
                <w:sz w:val="20"/>
                <w:szCs w:val="20"/>
              </w:rPr>
              <w:t>Cognitive</w:t>
            </w:r>
          </w:p>
        </w:tc>
        <w:tc>
          <w:tcPr>
            <w:tcW w:w="0" w:type="auto"/>
          </w:tcPr>
          <w:p w14:paraId="7142B357" w14:textId="77777777" w:rsidR="009745F2" w:rsidRPr="007A5A32" w:rsidRDefault="009745F2" w:rsidP="003305B5">
            <w:pPr>
              <w:pStyle w:val="NoSpacing"/>
              <w:rPr>
                <w:rFonts w:cstheme="minorHAnsi"/>
                <w:sz w:val="20"/>
                <w:szCs w:val="20"/>
              </w:rPr>
            </w:pPr>
          </w:p>
        </w:tc>
        <w:tc>
          <w:tcPr>
            <w:tcW w:w="0" w:type="auto"/>
          </w:tcPr>
          <w:p w14:paraId="26E6FA1B" w14:textId="149F844E" w:rsidR="009745F2" w:rsidRPr="007A5A32" w:rsidRDefault="00D50E31" w:rsidP="003305B5">
            <w:pPr>
              <w:pStyle w:val="NoSpacing"/>
              <w:rPr>
                <w:rFonts w:cstheme="minorHAnsi"/>
                <w:sz w:val="20"/>
                <w:szCs w:val="20"/>
              </w:rPr>
            </w:pPr>
            <w:r w:rsidRPr="007A5A32">
              <w:rPr>
                <w:rFonts w:cstheme="minorHAnsi"/>
                <w:sz w:val="20"/>
                <w:szCs w:val="20"/>
              </w:rPr>
              <w:t xml:space="preserve">RBANS </w:t>
            </w:r>
          </w:p>
        </w:tc>
        <w:tc>
          <w:tcPr>
            <w:tcW w:w="0" w:type="auto"/>
          </w:tcPr>
          <w:p w14:paraId="0615AE10" w14:textId="46A36539" w:rsidR="009745F2" w:rsidRPr="007A5A32" w:rsidRDefault="00B52EA4" w:rsidP="003305B5">
            <w:pPr>
              <w:pStyle w:val="NoSpacing"/>
              <w:rPr>
                <w:rFonts w:cstheme="minorHAnsi"/>
                <w:sz w:val="20"/>
                <w:szCs w:val="20"/>
              </w:rPr>
            </w:pPr>
            <w:r w:rsidRPr="007A5A32">
              <w:rPr>
                <w:rFonts w:cstheme="minorHAnsi"/>
                <w:sz w:val="20"/>
                <w:szCs w:val="20"/>
              </w:rPr>
              <w:t>97.2 (13.9)</w:t>
            </w:r>
          </w:p>
        </w:tc>
        <w:tc>
          <w:tcPr>
            <w:tcW w:w="0" w:type="auto"/>
          </w:tcPr>
          <w:p w14:paraId="08C33D89" w14:textId="467E2F74" w:rsidR="009745F2" w:rsidRPr="007A5A32" w:rsidRDefault="00B52EA4" w:rsidP="003305B5">
            <w:pPr>
              <w:pStyle w:val="NoSpacing"/>
              <w:rPr>
                <w:rFonts w:cstheme="minorHAnsi"/>
                <w:sz w:val="20"/>
                <w:szCs w:val="20"/>
              </w:rPr>
            </w:pPr>
            <w:r w:rsidRPr="007A5A32">
              <w:rPr>
                <w:rFonts w:cstheme="minorHAnsi"/>
                <w:sz w:val="20"/>
                <w:szCs w:val="20"/>
              </w:rPr>
              <w:t>64.7 (16.9)</w:t>
            </w:r>
          </w:p>
        </w:tc>
        <w:tc>
          <w:tcPr>
            <w:tcW w:w="0" w:type="auto"/>
          </w:tcPr>
          <w:p w14:paraId="451C5A34" w14:textId="4EAC175D" w:rsidR="009745F2" w:rsidRPr="007A5A32" w:rsidRDefault="00B52EA4" w:rsidP="003305B5">
            <w:pPr>
              <w:pStyle w:val="NoSpacing"/>
              <w:rPr>
                <w:rFonts w:cstheme="minorHAnsi"/>
                <w:sz w:val="20"/>
                <w:szCs w:val="20"/>
              </w:rPr>
            </w:pPr>
            <w:r w:rsidRPr="007A5A32">
              <w:rPr>
                <w:rFonts w:cstheme="minorHAnsi"/>
                <w:sz w:val="20"/>
                <w:szCs w:val="20"/>
              </w:rPr>
              <w:t>2.130</w:t>
            </w:r>
          </w:p>
        </w:tc>
      </w:tr>
      <w:tr w:rsidR="007A5A32" w:rsidRPr="007A5A32" w14:paraId="117F8B3B" w14:textId="77777777" w:rsidTr="00B52EA4">
        <w:tc>
          <w:tcPr>
            <w:tcW w:w="0" w:type="auto"/>
          </w:tcPr>
          <w:p w14:paraId="132DA2C0" w14:textId="77777777" w:rsidR="00D50E31" w:rsidRPr="007A5A32" w:rsidRDefault="00D50E31" w:rsidP="003305B5">
            <w:pPr>
              <w:pStyle w:val="NoSpacing"/>
              <w:rPr>
                <w:rFonts w:cstheme="minorHAnsi"/>
                <w:sz w:val="20"/>
                <w:szCs w:val="20"/>
              </w:rPr>
            </w:pPr>
          </w:p>
        </w:tc>
        <w:tc>
          <w:tcPr>
            <w:tcW w:w="0" w:type="auto"/>
          </w:tcPr>
          <w:p w14:paraId="58C95134" w14:textId="77777777" w:rsidR="00D50E31" w:rsidRPr="007A5A32" w:rsidRDefault="00D50E31" w:rsidP="003305B5">
            <w:pPr>
              <w:pStyle w:val="NoSpacing"/>
              <w:rPr>
                <w:rFonts w:cstheme="minorHAnsi"/>
                <w:sz w:val="20"/>
                <w:szCs w:val="20"/>
              </w:rPr>
            </w:pPr>
          </w:p>
        </w:tc>
        <w:tc>
          <w:tcPr>
            <w:tcW w:w="0" w:type="auto"/>
          </w:tcPr>
          <w:p w14:paraId="3E3D0D3C" w14:textId="734AF5C0" w:rsidR="00D50E31" w:rsidRPr="007A5A32" w:rsidRDefault="00D50E31" w:rsidP="003305B5">
            <w:pPr>
              <w:pStyle w:val="NoSpacing"/>
              <w:rPr>
                <w:rFonts w:cstheme="minorHAnsi"/>
                <w:sz w:val="20"/>
                <w:szCs w:val="20"/>
              </w:rPr>
            </w:pPr>
            <w:r w:rsidRPr="007A5A32">
              <w:rPr>
                <w:rFonts w:cstheme="minorHAnsi"/>
                <w:sz w:val="20"/>
                <w:szCs w:val="20"/>
              </w:rPr>
              <w:t xml:space="preserve">WAIS - PC </w:t>
            </w:r>
          </w:p>
        </w:tc>
        <w:tc>
          <w:tcPr>
            <w:tcW w:w="0" w:type="auto"/>
          </w:tcPr>
          <w:p w14:paraId="47318C5D" w14:textId="1DC2B1FA" w:rsidR="00D50E31" w:rsidRPr="007A5A32" w:rsidRDefault="00B52EA4" w:rsidP="003305B5">
            <w:pPr>
              <w:pStyle w:val="NoSpacing"/>
              <w:rPr>
                <w:rFonts w:cstheme="minorHAnsi"/>
                <w:sz w:val="20"/>
                <w:szCs w:val="20"/>
              </w:rPr>
            </w:pPr>
            <w:r w:rsidRPr="007A5A32">
              <w:rPr>
                <w:rFonts w:cstheme="minorHAnsi"/>
                <w:sz w:val="20"/>
                <w:szCs w:val="20"/>
              </w:rPr>
              <w:t>13.4 (2.8)</w:t>
            </w:r>
          </w:p>
        </w:tc>
        <w:tc>
          <w:tcPr>
            <w:tcW w:w="0" w:type="auto"/>
          </w:tcPr>
          <w:p w14:paraId="52E2B642" w14:textId="6265A653" w:rsidR="00D50E31" w:rsidRPr="007A5A32" w:rsidRDefault="00B52EA4" w:rsidP="003305B5">
            <w:pPr>
              <w:pStyle w:val="NoSpacing"/>
              <w:rPr>
                <w:rFonts w:cstheme="minorHAnsi"/>
                <w:sz w:val="20"/>
                <w:szCs w:val="20"/>
              </w:rPr>
            </w:pPr>
            <w:r w:rsidRPr="007A5A32">
              <w:rPr>
                <w:rFonts w:cstheme="minorHAnsi"/>
                <w:sz w:val="20"/>
                <w:szCs w:val="20"/>
              </w:rPr>
              <w:t>9.3 (3.6)</w:t>
            </w:r>
          </w:p>
        </w:tc>
        <w:tc>
          <w:tcPr>
            <w:tcW w:w="0" w:type="auto"/>
          </w:tcPr>
          <w:p w14:paraId="5E76E016" w14:textId="24B16956" w:rsidR="00D50E31" w:rsidRPr="007A5A32" w:rsidRDefault="00B52EA4" w:rsidP="003305B5">
            <w:pPr>
              <w:pStyle w:val="NoSpacing"/>
              <w:rPr>
                <w:rFonts w:cstheme="minorHAnsi"/>
                <w:sz w:val="20"/>
                <w:szCs w:val="20"/>
              </w:rPr>
            </w:pPr>
            <w:r w:rsidRPr="007A5A32">
              <w:rPr>
                <w:rFonts w:cstheme="minorHAnsi"/>
                <w:sz w:val="20"/>
                <w:szCs w:val="20"/>
              </w:rPr>
              <w:t>1.284</w:t>
            </w:r>
          </w:p>
        </w:tc>
      </w:tr>
      <w:tr w:rsidR="007A5A32" w:rsidRPr="007A5A32" w14:paraId="38BAD5A9" w14:textId="77777777" w:rsidTr="00B52EA4">
        <w:tc>
          <w:tcPr>
            <w:tcW w:w="0" w:type="auto"/>
          </w:tcPr>
          <w:p w14:paraId="1C5E9072" w14:textId="24396626" w:rsidR="00D50E31" w:rsidRPr="007A5A32" w:rsidRDefault="00D50E31" w:rsidP="003305B5">
            <w:pPr>
              <w:pStyle w:val="NoSpacing"/>
              <w:rPr>
                <w:rFonts w:cstheme="minorHAnsi"/>
                <w:sz w:val="20"/>
                <w:szCs w:val="20"/>
              </w:rPr>
            </w:pPr>
            <w:r w:rsidRPr="007A5A32">
              <w:rPr>
                <w:rFonts w:cstheme="minorHAnsi"/>
                <w:sz w:val="20"/>
                <w:szCs w:val="20"/>
              </w:rPr>
              <w:t>Emotion</w:t>
            </w:r>
          </w:p>
        </w:tc>
        <w:tc>
          <w:tcPr>
            <w:tcW w:w="0" w:type="auto"/>
          </w:tcPr>
          <w:p w14:paraId="72D82B2B" w14:textId="0703DFDD" w:rsidR="00D50E31" w:rsidRPr="007A5A32" w:rsidRDefault="00D82C74" w:rsidP="003305B5">
            <w:pPr>
              <w:pStyle w:val="NoSpacing"/>
              <w:rPr>
                <w:rFonts w:cstheme="minorHAnsi"/>
                <w:sz w:val="20"/>
                <w:szCs w:val="20"/>
              </w:rPr>
            </w:pPr>
            <w:proofErr w:type="spellStart"/>
            <w:r w:rsidRPr="007A5A32">
              <w:rPr>
                <w:rFonts w:cstheme="minorHAnsi"/>
                <w:sz w:val="20"/>
                <w:szCs w:val="20"/>
              </w:rPr>
              <w:t>Aprosodia</w:t>
            </w:r>
            <w:proofErr w:type="spellEnd"/>
            <w:r w:rsidRPr="007A5A32">
              <w:rPr>
                <w:rFonts w:cstheme="minorHAnsi"/>
                <w:sz w:val="20"/>
                <w:szCs w:val="20"/>
              </w:rPr>
              <w:t xml:space="preserve"> battery-Reception-Expression</w:t>
            </w:r>
          </w:p>
        </w:tc>
        <w:tc>
          <w:tcPr>
            <w:tcW w:w="0" w:type="auto"/>
          </w:tcPr>
          <w:p w14:paraId="69FD14F1" w14:textId="60B0106B" w:rsidR="00D50E31" w:rsidRPr="007A5A32" w:rsidRDefault="00D82C74" w:rsidP="003305B5">
            <w:pPr>
              <w:pStyle w:val="NoSpacing"/>
              <w:rPr>
                <w:rFonts w:cstheme="minorHAnsi"/>
                <w:sz w:val="20"/>
                <w:szCs w:val="20"/>
              </w:rPr>
            </w:pPr>
            <w:r w:rsidRPr="007A5A32">
              <w:rPr>
                <w:rFonts w:cstheme="minorHAnsi"/>
                <w:sz w:val="20"/>
                <w:szCs w:val="20"/>
              </w:rPr>
              <w:t xml:space="preserve">Word ID (12) </w:t>
            </w:r>
          </w:p>
        </w:tc>
        <w:tc>
          <w:tcPr>
            <w:tcW w:w="0" w:type="auto"/>
          </w:tcPr>
          <w:p w14:paraId="2D19595D" w14:textId="5D72C930" w:rsidR="00D50E31" w:rsidRPr="007A5A32" w:rsidRDefault="00B52EA4" w:rsidP="003305B5">
            <w:pPr>
              <w:pStyle w:val="NoSpacing"/>
              <w:rPr>
                <w:rFonts w:cstheme="minorHAnsi"/>
                <w:sz w:val="20"/>
                <w:szCs w:val="20"/>
              </w:rPr>
            </w:pPr>
            <w:r w:rsidRPr="007A5A32">
              <w:rPr>
                <w:rFonts w:cstheme="minorHAnsi"/>
                <w:sz w:val="20"/>
                <w:szCs w:val="20"/>
              </w:rPr>
              <w:t>10.9 (1.3)</w:t>
            </w:r>
          </w:p>
        </w:tc>
        <w:tc>
          <w:tcPr>
            <w:tcW w:w="0" w:type="auto"/>
          </w:tcPr>
          <w:p w14:paraId="40860945" w14:textId="03118D5D" w:rsidR="00D50E31" w:rsidRPr="007A5A32" w:rsidRDefault="00B52EA4" w:rsidP="003305B5">
            <w:pPr>
              <w:pStyle w:val="NoSpacing"/>
              <w:rPr>
                <w:rFonts w:cstheme="minorHAnsi"/>
                <w:sz w:val="20"/>
                <w:szCs w:val="20"/>
              </w:rPr>
            </w:pPr>
            <w:r w:rsidRPr="007A5A32">
              <w:rPr>
                <w:rFonts w:cstheme="minorHAnsi"/>
                <w:sz w:val="20"/>
                <w:szCs w:val="20"/>
              </w:rPr>
              <w:t>8.2 (2.8)</w:t>
            </w:r>
          </w:p>
        </w:tc>
        <w:tc>
          <w:tcPr>
            <w:tcW w:w="0" w:type="auto"/>
          </w:tcPr>
          <w:p w14:paraId="711E76A7" w14:textId="0FA80BBB" w:rsidR="00D50E31" w:rsidRPr="007A5A32" w:rsidRDefault="00B52EA4" w:rsidP="003305B5">
            <w:pPr>
              <w:pStyle w:val="NoSpacing"/>
              <w:rPr>
                <w:rFonts w:cstheme="minorHAnsi"/>
                <w:sz w:val="20"/>
                <w:szCs w:val="20"/>
              </w:rPr>
            </w:pPr>
            <w:r w:rsidRPr="007A5A32">
              <w:rPr>
                <w:rFonts w:cstheme="minorHAnsi"/>
                <w:sz w:val="20"/>
                <w:szCs w:val="20"/>
              </w:rPr>
              <w:t>1.263</w:t>
            </w:r>
          </w:p>
        </w:tc>
      </w:tr>
      <w:tr w:rsidR="007A5A32" w:rsidRPr="007A5A32" w14:paraId="749DEBA7" w14:textId="77777777" w:rsidTr="00B52EA4">
        <w:tc>
          <w:tcPr>
            <w:tcW w:w="0" w:type="auto"/>
          </w:tcPr>
          <w:p w14:paraId="38C627D4" w14:textId="77777777" w:rsidR="00D50E31" w:rsidRPr="007A5A32" w:rsidRDefault="00D50E31" w:rsidP="003305B5">
            <w:pPr>
              <w:pStyle w:val="NoSpacing"/>
              <w:rPr>
                <w:rFonts w:cstheme="minorHAnsi"/>
                <w:sz w:val="20"/>
                <w:szCs w:val="20"/>
              </w:rPr>
            </w:pPr>
          </w:p>
        </w:tc>
        <w:tc>
          <w:tcPr>
            <w:tcW w:w="0" w:type="auto"/>
          </w:tcPr>
          <w:p w14:paraId="24F2C9EE" w14:textId="77777777" w:rsidR="00D50E31" w:rsidRPr="007A5A32" w:rsidRDefault="00D50E31" w:rsidP="003305B5">
            <w:pPr>
              <w:pStyle w:val="NoSpacing"/>
              <w:rPr>
                <w:rFonts w:cstheme="minorHAnsi"/>
                <w:sz w:val="20"/>
                <w:szCs w:val="20"/>
              </w:rPr>
            </w:pPr>
          </w:p>
        </w:tc>
        <w:tc>
          <w:tcPr>
            <w:tcW w:w="0" w:type="auto"/>
          </w:tcPr>
          <w:p w14:paraId="1139881B" w14:textId="44918193" w:rsidR="00D50E31" w:rsidRPr="007A5A32" w:rsidRDefault="00D82C74" w:rsidP="003305B5">
            <w:pPr>
              <w:pStyle w:val="NoSpacing"/>
              <w:rPr>
                <w:rFonts w:cstheme="minorHAnsi"/>
                <w:sz w:val="20"/>
                <w:szCs w:val="20"/>
              </w:rPr>
            </w:pPr>
            <w:r w:rsidRPr="007A5A32">
              <w:rPr>
                <w:rFonts w:cstheme="minorHAnsi"/>
                <w:sz w:val="20"/>
                <w:szCs w:val="20"/>
              </w:rPr>
              <w:t xml:space="preserve">Monosyllabic ID (12) </w:t>
            </w:r>
          </w:p>
        </w:tc>
        <w:tc>
          <w:tcPr>
            <w:tcW w:w="0" w:type="auto"/>
          </w:tcPr>
          <w:p w14:paraId="672722B6" w14:textId="1D24CDC1" w:rsidR="00D50E31" w:rsidRPr="007A5A32" w:rsidRDefault="00B52EA4" w:rsidP="003305B5">
            <w:pPr>
              <w:pStyle w:val="NoSpacing"/>
              <w:rPr>
                <w:rFonts w:cstheme="minorHAnsi"/>
                <w:sz w:val="20"/>
                <w:szCs w:val="20"/>
              </w:rPr>
            </w:pPr>
            <w:r w:rsidRPr="007A5A32">
              <w:rPr>
                <w:rFonts w:cstheme="minorHAnsi"/>
                <w:sz w:val="20"/>
                <w:szCs w:val="20"/>
              </w:rPr>
              <w:t>10.2 (1.1)</w:t>
            </w:r>
          </w:p>
        </w:tc>
        <w:tc>
          <w:tcPr>
            <w:tcW w:w="0" w:type="auto"/>
          </w:tcPr>
          <w:p w14:paraId="636B9514" w14:textId="3B3BEE82" w:rsidR="00D50E31" w:rsidRPr="007A5A32" w:rsidRDefault="00B52EA4" w:rsidP="003305B5">
            <w:pPr>
              <w:pStyle w:val="NoSpacing"/>
              <w:rPr>
                <w:rFonts w:cstheme="minorHAnsi"/>
                <w:sz w:val="20"/>
                <w:szCs w:val="20"/>
              </w:rPr>
            </w:pPr>
            <w:r w:rsidRPr="007A5A32">
              <w:rPr>
                <w:rFonts w:cstheme="minorHAnsi"/>
                <w:sz w:val="20"/>
                <w:szCs w:val="20"/>
              </w:rPr>
              <w:t>8 (2.2)</w:t>
            </w:r>
          </w:p>
        </w:tc>
        <w:tc>
          <w:tcPr>
            <w:tcW w:w="0" w:type="auto"/>
          </w:tcPr>
          <w:p w14:paraId="31430EDC" w14:textId="2DFEE210" w:rsidR="00D50E31" w:rsidRPr="007A5A32" w:rsidRDefault="00B52EA4" w:rsidP="003305B5">
            <w:pPr>
              <w:pStyle w:val="NoSpacing"/>
              <w:rPr>
                <w:rFonts w:cstheme="minorHAnsi"/>
                <w:sz w:val="20"/>
                <w:szCs w:val="20"/>
              </w:rPr>
            </w:pPr>
            <w:r w:rsidRPr="007A5A32">
              <w:rPr>
                <w:rFonts w:cstheme="minorHAnsi"/>
                <w:sz w:val="20"/>
                <w:szCs w:val="20"/>
              </w:rPr>
              <w:t>1.303</w:t>
            </w:r>
          </w:p>
        </w:tc>
      </w:tr>
      <w:tr w:rsidR="007A5A32" w:rsidRPr="007A5A32" w14:paraId="74B26907" w14:textId="77777777" w:rsidTr="00B52EA4">
        <w:tc>
          <w:tcPr>
            <w:tcW w:w="0" w:type="auto"/>
          </w:tcPr>
          <w:p w14:paraId="11E50338" w14:textId="77777777" w:rsidR="00D50E31" w:rsidRPr="007A5A32" w:rsidRDefault="00D50E31" w:rsidP="003305B5">
            <w:pPr>
              <w:pStyle w:val="NoSpacing"/>
              <w:rPr>
                <w:rFonts w:cstheme="minorHAnsi"/>
                <w:sz w:val="20"/>
                <w:szCs w:val="20"/>
              </w:rPr>
            </w:pPr>
          </w:p>
        </w:tc>
        <w:tc>
          <w:tcPr>
            <w:tcW w:w="0" w:type="auto"/>
          </w:tcPr>
          <w:p w14:paraId="19B93BDC" w14:textId="77777777" w:rsidR="00D50E31" w:rsidRPr="007A5A32" w:rsidRDefault="00D50E31" w:rsidP="003305B5">
            <w:pPr>
              <w:pStyle w:val="NoSpacing"/>
              <w:rPr>
                <w:rFonts w:cstheme="minorHAnsi"/>
                <w:sz w:val="20"/>
                <w:szCs w:val="20"/>
              </w:rPr>
            </w:pPr>
          </w:p>
        </w:tc>
        <w:tc>
          <w:tcPr>
            <w:tcW w:w="0" w:type="auto"/>
          </w:tcPr>
          <w:p w14:paraId="723A2975" w14:textId="57CAE38F" w:rsidR="00D50E31" w:rsidRPr="007A5A32" w:rsidRDefault="00D82C74" w:rsidP="003305B5">
            <w:pPr>
              <w:pStyle w:val="NoSpacing"/>
              <w:rPr>
                <w:rFonts w:cstheme="minorHAnsi"/>
                <w:sz w:val="20"/>
                <w:szCs w:val="20"/>
              </w:rPr>
            </w:pPr>
            <w:r w:rsidRPr="007A5A32">
              <w:rPr>
                <w:rFonts w:cstheme="minorHAnsi"/>
                <w:sz w:val="20"/>
                <w:szCs w:val="20"/>
              </w:rPr>
              <w:t xml:space="preserve">Asyllabic ID (12) </w:t>
            </w:r>
          </w:p>
        </w:tc>
        <w:tc>
          <w:tcPr>
            <w:tcW w:w="0" w:type="auto"/>
          </w:tcPr>
          <w:p w14:paraId="3C5552BC" w14:textId="1D88DBF0" w:rsidR="00D50E31" w:rsidRPr="007A5A32" w:rsidRDefault="00B52EA4" w:rsidP="003305B5">
            <w:pPr>
              <w:pStyle w:val="NoSpacing"/>
              <w:rPr>
                <w:rFonts w:cstheme="minorHAnsi"/>
                <w:sz w:val="20"/>
                <w:szCs w:val="20"/>
              </w:rPr>
            </w:pPr>
            <w:r w:rsidRPr="007A5A32">
              <w:rPr>
                <w:rFonts w:cstheme="minorHAnsi"/>
                <w:sz w:val="20"/>
                <w:szCs w:val="20"/>
              </w:rPr>
              <w:t>9.1 (2.2)</w:t>
            </w:r>
          </w:p>
        </w:tc>
        <w:tc>
          <w:tcPr>
            <w:tcW w:w="0" w:type="auto"/>
          </w:tcPr>
          <w:p w14:paraId="3053B90F" w14:textId="0AA2422C" w:rsidR="00D50E31" w:rsidRPr="007A5A32" w:rsidRDefault="00B52EA4" w:rsidP="003305B5">
            <w:pPr>
              <w:pStyle w:val="NoSpacing"/>
              <w:rPr>
                <w:rFonts w:cstheme="minorHAnsi"/>
                <w:sz w:val="20"/>
                <w:szCs w:val="20"/>
              </w:rPr>
            </w:pPr>
            <w:r w:rsidRPr="007A5A32">
              <w:rPr>
                <w:rFonts w:cstheme="minorHAnsi"/>
                <w:sz w:val="20"/>
                <w:szCs w:val="20"/>
              </w:rPr>
              <w:t>6.5 (2.7)</w:t>
            </w:r>
          </w:p>
        </w:tc>
        <w:tc>
          <w:tcPr>
            <w:tcW w:w="0" w:type="auto"/>
          </w:tcPr>
          <w:p w14:paraId="16EF4839" w14:textId="659E6AA7" w:rsidR="00D50E31" w:rsidRPr="007A5A32" w:rsidRDefault="00B52EA4" w:rsidP="003305B5">
            <w:pPr>
              <w:pStyle w:val="NoSpacing"/>
              <w:rPr>
                <w:rFonts w:cstheme="minorHAnsi"/>
                <w:sz w:val="20"/>
                <w:szCs w:val="20"/>
              </w:rPr>
            </w:pPr>
            <w:r w:rsidRPr="007A5A32">
              <w:rPr>
                <w:rFonts w:cstheme="minorHAnsi"/>
                <w:sz w:val="20"/>
                <w:szCs w:val="20"/>
              </w:rPr>
              <w:t>1.079</w:t>
            </w:r>
          </w:p>
        </w:tc>
      </w:tr>
      <w:tr w:rsidR="007A5A32" w:rsidRPr="007A5A32" w14:paraId="4FB0B83F" w14:textId="77777777" w:rsidTr="00B52EA4">
        <w:tc>
          <w:tcPr>
            <w:tcW w:w="0" w:type="auto"/>
          </w:tcPr>
          <w:p w14:paraId="439272A7" w14:textId="77777777" w:rsidR="00D50E31" w:rsidRPr="007A5A32" w:rsidRDefault="00D50E31" w:rsidP="003305B5">
            <w:pPr>
              <w:pStyle w:val="NoSpacing"/>
              <w:rPr>
                <w:rFonts w:cstheme="minorHAnsi"/>
                <w:sz w:val="20"/>
                <w:szCs w:val="20"/>
              </w:rPr>
            </w:pPr>
          </w:p>
        </w:tc>
        <w:tc>
          <w:tcPr>
            <w:tcW w:w="0" w:type="auto"/>
          </w:tcPr>
          <w:p w14:paraId="644558F7" w14:textId="77777777" w:rsidR="00D50E31" w:rsidRPr="007A5A32" w:rsidRDefault="00D50E31" w:rsidP="003305B5">
            <w:pPr>
              <w:pStyle w:val="NoSpacing"/>
              <w:rPr>
                <w:rFonts w:cstheme="minorHAnsi"/>
                <w:sz w:val="20"/>
                <w:szCs w:val="20"/>
              </w:rPr>
            </w:pPr>
          </w:p>
        </w:tc>
        <w:tc>
          <w:tcPr>
            <w:tcW w:w="0" w:type="auto"/>
          </w:tcPr>
          <w:p w14:paraId="5372F5F0" w14:textId="6D59B879" w:rsidR="00D50E31" w:rsidRPr="007A5A32" w:rsidRDefault="00D82C74" w:rsidP="003305B5">
            <w:pPr>
              <w:pStyle w:val="NoSpacing"/>
              <w:rPr>
                <w:rFonts w:cstheme="minorHAnsi"/>
                <w:sz w:val="20"/>
                <w:szCs w:val="20"/>
              </w:rPr>
            </w:pPr>
            <w:r w:rsidRPr="007A5A32">
              <w:rPr>
                <w:rFonts w:cstheme="minorHAnsi"/>
                <w:sz w:val="20"/>
                <w:szCs w:val="20"/>
              </w:rPr>
              <w:t xml:space="preserve">Facial expression (14) </w:t>
            </w:r>
          </w:p>
        </w:tc>
        <w:tc>
          <w:tcPr>
            <w:tcW w:w="0" w:type="auto"/>
          </w:tcPr>
          <w:p w14:paraId="7C51DBD7" w14:textId="2606FAB0" w:rsidR="00D50E31" w:rsidRPr="007A5A32" w:rsidRDefault="00B52EA4" w:rsidP="003305B5">
            <w:pPr>
              <w:pStyle w:val="NoSpacing"/>
              <w:rPr>
                <w:rFonts w:cstheme="minorHAnsi"/>
                <w:sz w:val="20"/>
                <w:szCs w:val="20"/>
              </w:rPr>
            </w:pPr>
            <w:r w:rsidRPr="007A5A32">
              <w:rPr>
                <w:rFonts w:cstheme="minorHAnsi"/>
                <w:sz w:val="20"/>
                <w:szCs w:val="20"/>
              </w:rPr>
              <w:t>12.7 (1.2)</w:t>
            </w:r>
          </w:p>
        </w:tc>
        <w:tc>
          <w:tcPr>
            <w:tcW w:w="0" w:type="auto"/>
          </w:tcPr>
          <w:p w14:paraId="6B6BB745" w14:textId="64020AD9" w:rsidR="00D50E31" w:rsidRPr="007A5A32" w:rsidRDefault="00B52EA4" w:rsidP="003305B5">
            <w:pPr>
              <w:pStyle w:val="NoSpacing"/>
              <w:rPr>
                <w:rFonts w:cstheme="minorHAnsi"/>
                <w:sz w:val="20"/>
                <w:szCs w:val="20"/>
              </w:rPr>
            </w:pPr>
            <w:r w:rsidRPr="007A5A32">
              <w:rPr>
                <w:rFonts w:cstheme="minorHAnsi"/>
                <w:sz w:val="20"/>
                <w:szCs w:val="20"/>
              </w:rPr>
              <w:t>10.5 (2.3)</w:t>
            </w:r>
          </w:p>
        </w:tc>
        <w:tc>
          <w:tcPr>
            <w:tcW w:w="0" w:type="auto"/>
          </w:tcPr>
          <w:p w14:paraId="1E62CF20" w14:textId="27ADCF8A" w:rsidR="00D50E31" w:rsidRPr="007A5A32" w:rsidRDefault="00B52EA4" w:rsidP="003305B5">
            <w:pPr>
              <w:pStyle w:val="NoSpacing"/>
              <w:rPr>
                <w:rFonts w:cstheme="minorHAnsi"/>
                <w:sz w:val="20"/>
                <w:szCs w:val="20"/>
              </w:rPr>
            </w:pPr>
            <w:r w:rsidRPr="007A5A32">
              <w:rPr>
                <w:rFonts w:cstheme="minorHAnsi"/>
                <w:sz w:val="20"/>
                <w:szCs w:val="20"/>
              </w:rPr>
              <w:t>1.174</w:t>
            </w:r>
          </w:p>
        </w:tc>
      </w:tr>
      <w:tr w:rsidR="007A5A32" w:rsidRPr="007A5A32" w14:paraId="08F0DD41" w14:textId="77777777" w:rsidTr="00B52EA4">
        <w:tc>
          <w:tcPr>
            <w:tcW w:w="0" w:type="auto"/>
          </w:tcPr>
          <w:p w14:paraId="2E236F6C" w14:textId="77777777" w:rsidR="00D50E31" w:rsidRPr="007A5A32" w:rsidRDefault="00D50E31" w:rsidP="003305B5">
            <w:pPr>
              <w:pStyle w:val="NoSpacing"/>
              <w:rPr>
                <w:rFonts w:cstheme="minorHAnsi"/>
                <w:sz w:val="20"/>
                <w:szCs w:val="20"/>
              </w:rPr>
            </w:pPr>
          </w:p>
        </w:tc>
        <w:tc>
          <w:tcPr>
            <w:tcW w:w="0" w:type="auto"/>
          </w:tcPr>
          <w:p w14:paraId="2076405A" w14:textId="77777777" w:rsidR="00D50E31" w:rsidRPr="007A5A32" w:rsidRDefault="00D50E31" w:rsidP="003305B5">
            <w:pPr>
              <w:pStyle w:val="NoSpacing"/>
              <w:rPr>
                <w:rFonts w:cstheme="minorHAnsi"/>
                <w:sz w:val="20"/>
                <w:szCs w:val="20"/>
              </w:rPr>
            </w:pPr>
          </w:p>
        </w:tc>
        <w:tc>
          <w:tcPr>
            <w:tcW w:w="0" w:type="auto"/>
          </w:tcPr>
          <w:p w14:paraId="738F866C" w14:textId="07EFDE25" w:rsidR="00D50E31" w:rsidRPr="007A5A32" w:rsidRDefault="00D82C74" w:rsidP="003305B5">
            <w:pPr>
              <w:pStyle w:val="NoSpacing"/>
              <w:rPr>
                <w:rFonts w:cstheme="minorHAnsi"/>
                <w:sz w:val="20"/>
                <w:szCs w:val="20"/>
              </w:rPr>
            </w:pPr>
            <w:r w:rsidRPr="007A5A32">
              <w:rPr>
                <w:rFonts w:cstheme="minorHAnsi"/>
                <w:sz w:val="20"/>
                <w:szCs w:val="20"/>
              </w:rPr>
              <w:t xml:space="preserve">Verbal scenario (14) </w:t>
            </w:r>
          </w:p>
        </w:tc>
        <w:tc>
          <w:tcPr>
            <w:tcW w:w="0" w:type="auto"/>
          </w:tcPr>
          <w:p w14:paraId="6424D33F" w14:textId="1829EA51" w:rsidR="00D50E31" w:rsidRPr="007A5A32" w:rsidRDefault="00B52EA4" w:rsidP="003305B5">
            <w:pPr>
              <w:pStyle w:val="NoSpacing"/>
              <w:rPr>
                <w:rFonts w:cstheme="minorHAnsi"/>
                <w:sz w:val="20"/>
                <w:szCs w:val="20"/>
              </w:rPr>
            </w:pPr>
            <w:r w:rsidRPr="007A5A32">
              <w:rPr>
                <w:rFonts w:cstheme="minorHAnsi"/>
                <w:sz w:val="20"/>
                <w:szCs w:val="20"/>
              </w:rPr>
              <w:t>12.6 (1.4)</w:t>
            </w:r>
          </w:p>
        </w:tc>
        <w:tc>
          <w:tcPr>
            <w:tcW w:w="0" w:type="auto"/>
          </w:tcPr>
          <w:p w14:paraId="73C8F505" w14:textId="526EE280" w:rsidR="00D50E31" w:rsidRPr="007A5A32" w:rsidRDefault="00B52EA4" w:rsidP="003305B5">
            <w:pPr>
              <w:pStyle w:val="NoSpacing"/>
              <w:rPr>
                <w:rFonts w:cstheme="minorHAnsi"/>
                <w:sz w:val="20"/>
                <w:szCs w:val="20"/>
              </w:rPr>
            </w:pPr>
            <w:r w:rsidRPr="007A5A32">
              <w:rPr>
                <w:rFonts w:cstheme="minorHAnsi"/>
                <w:sz w:val="20"/>
                <w:szCs w:val="20"/>
              </w:rPr>
              <w:t>10.3 (2.8)</w:t>
            </w:r>
          </w:p>
        </w:tc>
        <w:tc>
          <w:tcPr>
            <w:tcW w:w="0" w:type="auto"/>
          </w:tcPr>
          <w:p w14:paraId="7F6CB88C" w14:textId="560766AA" w:rsidR="00D50E31" w:rsidRPr="007A5A32" w:rsidRDefault="00B52EA4" w:rsidP="003305B5">
            <w:pPr>
              <w:pStyle w:val="NoSpacing"/>
              <w:rPr>
                <w:rFonts w:cstheme="minorHAnsi"/>
                <w:sz w:val="20"/>
                <w:szCs w:val="20"/>
              </w:rPr>
            </w:pPr>
            <w:r w:rsidRPr="007A5A32">
              <w:rPr>
                <w:rFonts w:cstheme="minorHAnsi"/>
                <w:sz w:val="20"/>
                <w:szCs w:val="20"/>
              </w:rPr>
              <w:t>1.049</w:t>
            </w:r>
          </w:p>
        </w:tc>
      </w:tr>
      <w:tr w:rsidR="007A5A32" w:rsidRPr="007A5A32" w14:paraId="540924A2" w14:textId="77777777" w:rsidTr="00B52EA4">
        <w:tc>
          <w:tcPr>
            <w:tcW w:w="0" w:type="auto"/>
          </w:tcPr>
          <w:p w14:paraId="5A3C0B6A" w14:textId="77777777" w:rsidR="00D50E31" w:rsidRPr="007A5A32" w:rsidRDefault="00D50E31" w:rsidP="003305B5">
            <w:pPr>
              <w:pStyle w:val="NoSpacing"/>
              <w:rPr>
                <w:rFonts w:cstheme="minorHAnsi"/>
                <w:sz w:val="20"/>
                <w:szCs w:val="20"/>
              </w:rPr>
            </w:pPr>
          </w:p>
        </w:tc>
        <w:tc>
          <w:tcPr>
            <w:tcW w:w="0" w:type="auto"/>
          </w:tcPr>
          <w:p w14:paraId="4C8ECE61" w14:textId="77777777" w:rsidR="00D50E31" w:rsidRPr="007A5A32" w:rsidRDefault="00D50E31" w:rsidP="003305B5">
            <w:pPr>
              <w:pStyle w:val="NoSpacing"/>
              <w:rPr>
                <w:rFonts w:cstheme="minorHAnsi"/>
                <w:sz w:val="20"/>
                <w:szCs w:val="20"/>
              </w:rPr>
            </w:pPr>
          </w:p>
        </w:tc>
        <w:tc>
          <w:tcPr>
            <w:tcW w:w="0" w:type="auto"/>
          </w:tcPr>
          <w:p w14:paraId="1D903628" w14:textId="1B52B06A" w:rsidR="00D50E31" w:rsidRPr="007A5A32" w:rsidRDefault="00DA73A1" w:rsidP="003305B5">
            <w:pPr>
              <w:pStyle w:val="NoSpacing"/>
              <w:rPr>
                <w:rFonts w:cstheme="minorHAnsi"/>
                <w:sz w:val="20"/>
                <w:szCs w:val="20"/>
              </w:rPr>
            </w:pPr>
            <w:r w:rsidRPr="007A5A32">
              <w:rPr>
                <w:rFonts w:cstheme="minorHAnsi"/>
                <w:sz w:val="20"/>
                <w:szCs w:val="20"/>
              </w:rPr>
              <w:t xml:space="preserve">Attitude (20) </w:t>
            </w:r>
          </w:p>
        </w:tc>
        <w:tc>
          <w:tcPr>
            <w:tcW w:w="0" w:type="auto"/>
          </w:tcPr>
          <w:p w14:paraId="407A6AFB" w14:textId="4E468442" w:rsidR="00D50E31" w:rsidRPr="007A5A32" w:rsidRDefault="00B52EA4" w:rsidP="003305B5">
            <w:pPr>
              <w:pStyle w:val="NoSpacing"/>
              <w:rPr>
                <w:rFonts w:cstheme="minorHAnsi"/>
                <w:sz w:val="20"/>
                <w:szCs w:val="20"/>
              </w:rPr>
            </w:pPr>
            <w:r w:rsidRPr="007A5A32">
              <w:rPr>
                <w:rFonts w:cstheme="minorHAnsi"/>
                <w:sz w:val="20"/>
                <w:szCs w:val="20"/>
              </w:rPr>
              <w:t>16.7 (2)</w:t>
            </w:r>
          </w:p>
        </w:tc>
        <w:tc>
          <w:tcPr>
            <w:tcW w:w="0" w:type="auto"/>
          </w:tcPr>
          <w:p w14:paraId="3366FFD8" w14:textId="1336DFB3" w:rsidR="00D50E31" w:rsidRPr="007A5A32" w:rsidRDefault="00B52EA4" w:rsidP="003305B5">
            <w:pPr>
              <w:pStyle w:val="NoSpacing"/>
              <w:rPr>
                <w:rFonts w:cstheme="minorHAnsi"/>
                <w:sz w:val="20"/>
                <w:szCs w:val="20"/>
              </w:rPr>
            </w:pPr>
            <w:r w:rsidRPr="007A5A32">
              <w:rPr>
                <w:rFonts w:cstheme="minorHAnsi"/>
                <w:sz w:val="20"/>
                <w:szCs w:val="20"/>
              </w:rPr>
              <w:t>14.6 (2.6)</w:t>
            </w:r>
          </w:p>
        </w:tc>
        <w:tc>
          <w:tcPr>
            <w:tcW w:w="0" w:type="auto"/>
          </w:tcPr>
          <w:p w14:paraId="1171C116" w14:textId="6B5D071F" w:rsidR="00D50E31" w:rsidRPr="007A5A32" w:rsidRDefault="00B52EA4" w:rsidP="003305B5">
            <w:pPr>
              <w:pStyle w:val="NoSpacing"/>
              <w:rPr>
                <w:rFonts w:cstheme="minorHAnsi"/>
                <w:sz w:val="20"/>
                <w:szCs w:val="20"/>
              </w:rPr>
            </w:pPr>
            <w:r w:rsidRPr="007A5A32">
              <w:rPr>
                <w:rFonts w:cstheme="minorHAnsi"/>
                <w:sz w:val="20"/>
                <w:szCs w:val="20"/>
              </w:rPr>
              <w:t>0.907</w:t>
            </w:r>
          </w:p>
        </w:tc>
      </w:tr>
      <w:tr w:rsidR="007A5A32" w:rsidRPr="007A5A32" w14:paraId="7956F6A8" w14:textId="77777777" w:rsidTr="00B52EA4">
        <w:tc>
          <w:tcPr>
            <w:tcW w:w="0" w:type="auto"/>
          </w:tcPr>
          <w:p w14:paraId="0566DA9C" w14:textId="77777777" w:rsidR="00D50E31" w:rsidRPr="007A5A32" w:rsidRDefault="00D50E31" w:rsidP="003305B5">
            <w:pPr>
              <w:pStyle w:val="NoSpacing"/>
              <w:rPr>
                <w:rFonts w:cstheme="minorHAnsi"/>
                <w:sz w:val="20"/>
                <w:szCs w:val="20"/>
              </w:rPr>
            </w:pPr>
          </w:p>
        </w:tc>
        <w:tc>
          <w:tcPr>
            <w:tcW w:w="0" w:type="auto"/>
          </w:tcPr>
          <w:p w14:paraId="55DD49AB" w14:textId="77777777" w:rsidR="00D50E31" w:rsidRPr="007A5A32" w:rsidRDefault="00D50E31" w:rsidP="003305B5">
            <w:pPr>
              <w:pStyle w:val="NoSpacing"/>
              <w:rPr>
                <w:rFonts w:cstheme="minorHAnsi"/>
                <w:sz w:val="20"/>
                <w:szCs w:val="20"/>
              </w:rPr>
            </w:pPr>
          </w:p>
        </w:tc>
        <w:tc>
          <w:tcPr>
            <w:tcW w:w="0" w:type="auto"/>
          </w:tcPr>
          <w:p w14:paraId="25600B66" w14:textId="04A7E7CA" w:rsidR="00D50E31" w:rsidRPr="007A5A32" w:rsidRDefault="00DA73A1" w:rsidP="003305B5">
            <w:pPr>
              <w:pStyle w:val="NoSpacing"/>
              <w:rPr>
                <w:rFonts w:cstheme="minorHAnsi"/>
                <w:sz w:val="20"/>
                <w:szCs w:val="20"/>
              </w:rPr>
            </w:pPr>
            <w:r w:rsidRPr="007A5A32">
              <w:rPr>
                <w:rFonts w:cstheme="minorHAnsi"/>
                <w:sz w:val="20"/>
                <w:szCs w:val="20"/>
              </w:rPr>
              <w:t xml:space="preserve">Emotion semantics (20) </w:t>
            </w:r>
          </w:p>
        </w:tc>
        <w:tc>
          <w:tcPr>
            <w:tcW w:w="0" w:type="auto"/>
          </w:tcPr>
          <w:p w14:paraId="70A21F91" w14:textId="3873EFD9" w:rsidR="00D50E31" w:rsidRPr="007A5A32" w:rsidRDefault="00B52EA4" w:rsidP="003305B5">
            <w:pPr>
              <w:pStyle w:val="NoSpacing"/>
              <w:rPr>
                <w:rFonts w:cstheme="minorHAnsi"/>
                <w:sz w:val="20"/>
                <w:szCs w:val="20"/>
              </w:rPr>
            </w:pPr>
            <w:r w:rsidRPr="007A5A32">
              <w:rPr>
                <w:rFonts w:cstheme="minorHAnsi"/>
                <w:sz w:val="20"/>
                <w:szCs w:val="20"/>
              </w:rPr>
              <w:t>19.8 (0.4)</w:t>
            </w:r>
          </w:p>
        </w:tc>
        <w:tc>
          <w:tcPr>
            <w:tcW w:w="0" w:type="auto"/>
          </w:tcPr>
          <w:p w14:paraId="16A203E0" w14:textId="4F9A22DD" w:rsidR="00D50E31" w:rsidRPr="007A5A32" w:rsidRDefault="00B52EA4" w:rsidP="003305B5">
            <w:pPr>
              <w:pStyle w:val="NoSpacing"/>
              <w:rPr>
                <w:rFonts w:cstheme="minorHAnsi"/>
                <w:sz w:val="20"/>
                <w:szCs w:val="20"/>
              </w:rPr>
            </w:pPr>
            <w:r w:rsidRPr="007A5A32">
              <w:rPr>
                <w:rFonts w:cstheme="minorHAnsi"/>
                <w:sz w:val="20"/>
                <w:szCs w:val="20"/>
              </w:rPr>
              <w:t>17.9 (2.4)</w:t>
            </w:r>
          </w:p>
        </w:tc>
        <w:tc>
          <w:tcPr>
            <w:tcW w:w="0" w:type="auto"/>
          </w:tcPr>
          <w:p w14:paraId="607B6823" w14:textId="0968A87C" w:rsidR="00D50E31" w:rsidRPr="007A5A32" w:rsidRDefault="00B52EA4" w:rsidP="003305B5">
            <w:pPr>
              <w:pStyle w:val="NoSpacing"/>
              <w:rPr>
                <w:rFonts w:cstheme="minorHAnsi"/>
                <w:sz w:val="20"/>
                <w:szCs w:val="20"/>
              </w:rPr>
            </w:pPr>
            <w:r w:rsidRPr="007A5A32">
              <w:rPr>
                <w:rFonts w:cstheme="minorHAnsi"/>
                <w:sz w:val="20"/>
                <w:szCs w:val="20"/>
              </w:rPr>
              <w:t>1.113</w:t>
            </w:r>
          </w:p>
        </w:tc>
      </w:tr>
      <w:tr w:rsidR="007A5A32" w:rsidRPr="007A5A32" w14:paraId="2FFC2447" w14:textId="77777777" w:rsidTr="00B52EA4">
        <w:tc>
          <w:tcPr>
            <w:tcW w:w="0" w:type="auto"/>
          </w:tcPr>
          <w:p w14:paraId="69D2F246" w14:textId="088B9E49" w:rsidR="00D50E31" w:rsidRPr="007A5A32" w:rsidRDefault="00DA73A1" w:rsidP="003305B5">
            <w:pPr>
              <w:pStyle w:val="NoSpacing"/>
              <w:rPr>
                <w:rFonts w:cstheme="minorHAnsi"/>
                <w:sz w:val="20"/>
                <w:szCs w:val="20"/>
              </w:rPr>
            </w:pPr>
            <w:r w:rsidRPr="007A5A32">
              <w:rPr>
                <w:rFonts w:cstheme="minorHAnsi"/>
                <w:sz w:val="20"/>
                <w:szCs w:val="20"/>
              </w:rPr>
              <w:t>Language</w:t>
            </w:r>
          </w:p>
        </w:tc>
        <w:tc>
          <w:tcPr>
            <w:tcW w:w="0" w:type="auto"/>
          </w:tcPr>
          <w:p w14:paraId="5CA55C3E" w14:textId="3D450063" w:rsidR="00D50E31" w:rsidRPr="007A5A32" w:rsidRDefault="00DA73A1" w:rsidP="003305B5">
            <w:pPr>
              <w:pStyle w:val="NoSpacing"/>
              <w:rPr>
                <w:rFonts w:cstheme="minorHAnsi"/>
                <w:sz w:val="20"/>
                <w:szCs w:val="20"/>
              </w:rPr>
            </w:pPr>
            <w:r w:rsidRPr="007A5A32">
              <w:rPr>
                <w:rFonts w:cstheme="minorHAnsi"/>
                <w:sz w:val="20"/>
                <w:szCs w:val="20"/>
              </w:rPr>
              <w:t>Main concept analysis</w:t>
            </w:r>
          </w:p>
        </w:tc>
        <w:tc>
          <w:tcPr>
            <w:tcW w:w="0" w:type="auto"/>
          </w:tcPr>
          <w:p w14:paraId="4ED0972E" w14:textId="5B2441BE" w:rsidR="00D50E31" w:rsidRPr="007A5A32" w:rsidRDefault="00DA73A1" w:rsidP="003305B5">
            <w:pPr>
              <w:pStyle w:val="NoSpacing"/>
              <w:rPr>
                <w:rFonts w:cstheme="minorHAnsi"/>
                <w:sz w:val="20"/>
                <w:szCs w:val="20"/>
              </w:rPr>
            </w:pPr>
            <w:r w:rsidRPr="007A5A32">
              <w:rPr>
                <w:rFonts w:cstheme="minorHAnsi"/>
                <w:sz w:val="20"/>
                <w:szCs w:val="20"/>
              </w:rPr>
              <w:t xml:space="preserve">MC composite (216) </w:t>
            </w:r>
          </w:p>
        </w:tc>
        <w:tc>
          <w:tcPr>
            <w:tcW w:w="0" w:type="auto"/>
          </w:tcPr>
          <w:p w14:paraId="3344A5B0" w14:textId="18FAEA9F" w:rsidR="00D50E31" w:rsidRPr="007A5A32" w:rsidRDefault="00B52EA4" w:rsidP="003305B5">
            <w:pPr>
              <w:pStyle w:val="NoSpacing"/>
              <w:rPr>
                <w:rFonts w:cstheme="minorHAnsi"/>
                <w:sz w:val="20"/>
                <w:szCs w:val="20"/>
              </w:rPr>
            </w:pPr>
            <w:r w:rsidRPr="007A5A32">
              <w:rPr>
                <w:rFonts w:cstheme="minorHAnsi"/>
                <w:sz w:val="20"/>
                <w:szCs w:val="20"/>
              </w:rPr>
              <w:t>128.7 (21.8)</w:t>
            </w:r>
          </w:p>
        </w:tc>
        <w:tc>
          <w:tcPr>
            <w:tcW w:w="0" w:type="auto"/>
          </w:tcPr>
          <w:p w14:paraId="6B9532F1" w14:textId="65FDB9C2" w:rsidR="00D50E31" w:rsidRPr="007A5A32" w:rsidRDefault="00B52EA4" w:rsidP="003305B5">
            <w:pPr>
              <w:pStyle w:val="NoSpacing"/>
              <w:rPr>
                <w:rFonts w:cstheme="minorHAnsi"/>
                <w:sz w:val="20"/>
                <w:szCs w:val="20"/>
              </w:rPr>
            </w:pPr>
            <w:r w:rsidRPr="007A5A32">
              <w:rPr>
                <w:rFonts w:cstheme="minorHAnsi"/>
                <w:sz w:val="20"/>
                <w:szCs w:val="20"/>
              </w:rPr>
              <w:t>90.2 (44.5)</w:t>
            </w:r>
          </w:p>
        </w:tc>
        <w:tc>
          <w:tcPr>
            <w:tcW w:w="0" w:type="auto"/>
          </w:tcPr>
          <w:p w14:paraId="55D037DE" w14:textId="68834FC7" w:rsidR="00D50E31" w:rsidRPr="007A5A32" w:rsidRDefault="00B52EA4" w:rsidP="003305B5">
            <w:pPr>
              <w:pStyle w:val="NoSpacing"/>
              <w:rPr>
                <w:rFonts w:cstheme="minorHAnsi"/>
                <w:sz w:val="20"/>
                <w:szCs w:val="20"/>
              </w:rPr>
            </w:pPr>
            <w:r w:rsidRPr="007A5A32">
              <w:rPr>
                <w:rFonts w:cstheme="minorHAnsi"/>
                <w:sz w:val="20"/>
                <w:szCs w:val="20"/>
              </w:rPr>
              <w:t>1.127</w:t>
            </w:r>
          </w:p>
        </w:tc>
      </w:tr>
      <w:tr w:rsidR="007A5A32" w:rsidRPr="007A5A32" w14:paraId="1E57BA01" w14:textId="77777777" w:rsidTr="00B52EA4">
        <w:tc>
          <w:tcPr>
            <w:tcW w:w="0" w:type="auto"/>
          </w:tcPr>
          <w:p w14:paraId="744D84B0" w14:textId="77777777" w:rsidR="00DA73A1" w:rsidRPr="007A5A32" w:rsidRDefault="00DA73A1" w:rsidP="003305B5">
            <w:pPr>
              <w:pStyle w:val="NoSpacing"/>
              <w:rPr>
                <w:rFonts w:cstheme="minorHAnsi"/>
                <w:sz w:val="20"/>
                <w:szCs w:val="20"/>
              </w:rPr>
            </w:pPr>
          </w:p>
        </w:tc>
        <w:tc>
          <w:tcPr>
            <w:tcW w:w="0" w:type="auto"/>
          </w:tcPr>
          <w:p w14:paraId="5CE83711" w14:textId="77777777" w:rsidR="00DA73A1" w:rsidRPr="007A5A32" w:rsidRDefault="00DA73A1" w:rsidP="003305B5">
            <w:pPr>
              <w:pStyle w:val="NoSpacing"/>
              <w:rPr>
                <w:rFonts w:cstheme="minorHAnsi"/>
                <w:sz w:val="20"/>
                <w:szCs w:val="20"/>
              </w:rPr>
            </w:pPr>
          </w:p>
        </w:tc>
        <w:tc>
          <w:tcPr>
            <w:tcW w:w="0" w:type="auto"/>
          </w:tcPr>
          <w:p w14:paraId="53956D01" w14:textId="7936439C" w:rsidR="00DA73A1" w:rsidRPr="007A5A32" w:rsidRDefault="000F7D22" w:rsidP="003305B5">
            <w:pPr>
              <w:pStyle w:val="NoSpacing"/>
              <w:rPr>
                <w:rFonts w:cstheme="minorHAnsi"/>
                <w:sz w:val="20"/>
                <w:szCs w:val="20"/>
              </w:rPr>
            </w:pPr>
            <w:r w:rsidRPr="007A5A32">
              <w:rPr>
                <w:rFonts w:cstheme="minorHAnsi"/>
                <w:sz w:val="20"/>
                <w:szCs w:val="20"/>
              </w:rPr>
              <w:t xml:space="preserve">Accurate/complete (72) </w:t>
            </w:r>
          </w:p>
        </w:tc>
        <w:tc>
          <w:tcPr>
            <w:tcW w:w="0" w:type="auto"/>
          </w:tcPr>
          <w:p w14:paraId="2683936F" w14:textId="31CCA6B8" w:rsidR="00DA73A1" w:rsidRPr="007A5A32" w:rsidRDefault="00B52EA4" w:rsidP="003305B5">
            <w:pPr>
              <w:pStyle w:val="NoSpacing"/>
              <w:rPr>
                <w:rFonts w:cstheme="minorHAnsi"/>
                <w:sz w:val="20"/>
                <w:szCs w:val="20"/>
              </w:rPr>
            </w:pPr>
            <w:r w:rsidRPr="007A5A32">
              <w:rPr>
                <w:rFonts w:cstheme="minorHAnsi"/>
                <w:sz w:val="20"/>
                <w:szCs w:val="20"/>
              </w:rPr>
              <w:t>35.4 (7.7)</w:t>
            </w:r>
          </w:p>
        </w:tc>
        <w:tc>
          <w:tcPr>
            <w:tcW w:w="0" w:type="auto"/>
          </w:tcPr>
          <w:p w14:paraId="20BBDB86" w14:textId="2E1590F1" w:rsidR="00DA73A1" w:rsidRPr="007A5A32" w:rsidRDefault="00B52EA4" w:rsidP="003305B5">
            <w:pPr>
              <w:pStyle w:val="NoSpacing"/>
              <w:rPr>
                <w:rFonts w:cstheme="minorHAnsi"/>
                <w:sz w:val="20"/>
                <w:szCs w:val="20"/>
              </w:rPr>
            </w:pPr>
            <w:r w:rsidRPr="007A5A32">
              <w:rPr>
                <w:rFonts w:cstheme="minorHAnsi"/>
                <w:sz w:val="20"/>
                <w:szCs w:val="20"/>
              </w:rPr>
              <w:t>22.4 (14.2)</w:t>
            </w:r>
          </w:p>
        </w:tc>
        <w:tc>
          <w:tcPr>
            <w:tcW w:w="0" w:type="auto"/>
          </w:tcPr>
          <w:p w14:paraId="61E1611F" w14:textId="22792D62" w:rsidR="00DA73A1" w:rsidRPr="007A5A32" w:rsidRDefault="00B52EA4" w:rsidP="003305B5">
            <w:pPr>
              <w:pStyle w:val="NoSpacing"/>
              <w:rPr>
                <w:rFonts w:cstheme="minorHAnsi"/>
                <w:sz w:val="20"/>
                <w:szCs w:val="20"/>
              </w:rPr>
            </w:pPr>
            <w:r w:rsidRPr="007A5A32">
              <w:rPr>
                <w:rFonts w:cstheme="minorHAnsi"/>
                <w:sz w:val="20"/>
                <w:szCs w:val="20"/>
              </w:rPr>
              <w:t>1.160</w:t>
            </w:r>
          </w:p>
        </w:tc>
      </w:tr>
      <w:tr w:rsidR="007A5A32" w:rsidRPr="007A5A32" w14:paraId="4E4C8DF4" w14:textId="77777777" w:rsidTr="00B52EA4">
        <w:tc>
          <w:tcPr>
            <w:tcW w:w="0" w:type="auto"/>
          </w:tcPr>
          <w:p w14:paraId="6B7D7781" w14:textId="77777777" w:rsidR="00DA73A1" w:rsidRPr="007A5A32" w:rsidRDefault="00DA73A1" w:rsidP="003305B5">
            <w:pPr>
              <w:pStyle w:val="NoSpacing"/>
              <w:rPr>
                <w:rFonts w:cstheme="minorHAnsi"/>
                <w:sz w:val="20"/>
                <w:szCs w:val="20"/>
              </w:rPr>
            </w:pPr>
          </w:p>
        </w:tc>
        <w:tc>
          <w:tcPr>
            <w:tcW w:w="0" w:type="auto"/>
          </w:tcPr>
          <w:p w14:paraId="475E9217" w14:textId="00AAA616" w:rsidR="00DA73A1" w:rsidRPr="007A5A32" w:rsidRDefault="000F7D22" w:rsidP="003305B5">
            <w:pPr>
              <w:pStyle w:val="NoSpacing"/>
              <w:rPr>
                <w:rFonts w:cstheme="minorHAnsi"/>
                <w:sz w:val="20"/>
                <w:szCs w:val="20"/>
              </w:rPr>
            </w:pPr>
            <w:r w:rsidRPr="007A5A32">
              <w:rPr>
                <w:rFonts w:cstheme="minorHAnsi"/>
                <w:sz w:val="20"/>
                <w:szCs w:val="20"/>
              </w:rPr>
              <w:t>Motor speech</w:t>
            </w:r>
          </w:p>
        </w:tc>
        <w:tc>
          <w:tcPr>
            <w:tcW w:w="0" w:type="auto"/>
          </w:tcPr>
          <w:p w14:paraId="12174A82" w14:textId="60B835CF" w:rsidR="00DA73A1" w:rsidRPr="007A5A32" w:rsidRDefault="000F7D22" w:rsidP="003305B5">
            <w:pPr>
              <w:pStyle w:val="NoSpacing"/>
              <w:rPr>
                <w:rFonts w:cstheme="minorHAnsi"/>
                <w:sz w:val="20"/>
                <w:szCs w:val="20"/>
              </w:rPr>
            </w:pPr>
            <w:r w:rsidRPr="007A5A32">
              <w:rPr>
                <w:rFonts w:cstheme="minorHAnsi"/>
                <w:sz w:val="20"/>
                <w:szCs w:val="20"/>
              </w:rPr>
              <w:t xml:space="preserve">Increasing length </w:t>
            </w:r>
          </w:p>
        </w:tc>
        <w:tc>
          <w:tcPr>
            <w:tcW w:w="0" w:type="auto"/>
          </w:tcPr>
          <w:p w14:paraId="22922203" w14:textId="15F52164" w:rsidR="00DA73A1" w:rsidRPr="007A5A32" w:rsidRDefault="00B52EA4" w:rsidP="003305B5">
            <w:pPr>
              <w:pStyle w:val="NoSpacing"/>
              <w:rPr>
                <w:rFonts w:cstheme="minorHAnsi"/>
                <w:sz w:val="20"/>
                <w:szCs w:val="20"/>
              </w:rPr>
            </w:pPr>
            <w:r w:rsidRPr="007A5A32">
              <w:rPr>
                <w:rFonts w:cstheme="minorHAnsi"/>
                <w:sz w:val="20"/>
                <w:szCs w:val="20"/>
              </w:rPr>
              <w:t>0.1 (0.2)</w:t>
            </w:r>
          </w:p>
        </w:tc>
        <w:tc>
          <w:tcPr>
            <w:tcW w:w="0" w:type="auto"/>
          </w:tcPr>
          <w:p w14:paraId="5B2F9D30" w14:textId="47F3A357" w:rsidR="00DA73A1" w:rsidRPr="007A5A32" w:rsidRDefault="00B52EA4" w:rsidP="003305B5">
            <w:pPr>
              <w:pStyle w:val="NoSpacing"/>
              <w:rPr>
                <w:rFonts w:cstheme="minorHAnsi"/>
                <w:sz w:val="20"/>
                <w:szCs w:val="20"/>
              </w:rPr>
            </w:pPr>
            <w:r w:rsidRPr="007A5A32">
              <w:rPr>
                <w:rFonts w:cstheme="minorHAnsi"/>
                <w:sz w:val="20"/>
                <w:szCs w:val="20"/>
              </w:rPr>
              <w:t>3.2 (3.1)</w:t>
            </w:r>
          </w:p>
        </w:tc>
        <w:tc>
          <w:tcPr>
            <w:tcW w:w="0" w:type="auto"/>
          </w:tcPr>
          <w:p w14:paraId="4CAE1AF2" w14:textId="26D83BEC" w:rsidR="00DA73A1" w:rsidRPr="007A5A32" w:rsidRDefault="00B52EA4" w:rsidP="003305B5">
            <w:pPr>
              <w:pStyle w:val="NoSpacing"/>
              <w:rPr>
                <w:rFonts w:cstheme="minorHAnsi"/>
                <w:sz w:val="20"/>
                <w:szCs w:val="20"/>
              </w:rPr>
            </w:pPr>
            <w:r w:rsidRPr="007A5A32">
              <w:rPr>
                <w:rFonts w:cstheme="minorHAnsi"/>
                <w:sz w:val="20"/>
                <w:szCs w:val="20"/>
              </w:rPr>
              <w:t>-1.482</w:t>
            </w:r>
          </w:p>
        </w:tc>
      </w:tr>
      <w:tr w:rsidR="007A5A32" w:rsidRPr="007A5A32" w14:paraId="23B22533" w14:textId="77777777" w:rsidTr="00B52EA4">
        <w:tc>
          <w:tcPr>
            <w:tcW w:w="0" w:type="auto"/>
          </w:tcPr>
          <w:p w14:paraId="269C5116" w14:textId="77777777" w:rsidR="00C706F6" w:rsidRPr="007A5A32" w:rsidRDefault="00C706F6" w:rsidP="003305B5">
            <w:pPr>
              <w:pStyle w:val="NoSpacing"/>
              <w:rPr>
                <w:rFonts w:cstheme="minorHAnsi"/>
                <w:sz w:val="20"/>
                <w:szCs w:val="20"/>
              </w:rPr>
            </w:pPr>
          </w:p>
        </w:tc>
        <w:tc>
          <w:tcPr>
            <w:tcW w:w="0" w:type="auto"/>
          </w:tcPr>
          <w:p w14:paraId="55DF880A" w14:textId="6ADD7F6B" w:rsidR="00C706F6" w:rsidRPr="007A5A32" w:rsidRDefault="00C706F6" w:rsidP="003305B5">
            <w:pPr>
              <w:pStyle w:val="NoSpacing"/>
              <w:rPr>
                <w:rFonts w:cstheme="minorHAnsi"/>
                <w:sz w:val="20"/>
                <w:szCs w:val="20"/>
              </w:rPr>
            </w:pPr>
          </w:p>
        </w:tc>
        <w:tc>
          <w:tcPr>
            <w:tcW w:w="0" w:type="auto"/>
          </w:tcPr>
          <w:p w14:paraId="7B72D9AC" w14:textId="677601DA" w:rsidR="00C706F6" w:rsidRPr="007A5A32" w:rsidRDefault="00C706F6" w:rsidP="003305B5">
            <w:pPr>
              <w:pStyle w:val="NoSpacing"/>
              <w:rPr>
                <w:rFonts w:cstheme="minorHAnsi"/>
                <w:sz w:val="20"/>
                <w:szCs w:val="20"/>
              </w:rPr>
            </w:pPr>
            <w:r w:rsidRPr="007A5A32">
              <w:rPr>
                <w:rFonts w:cstheme="minorHAnsi"/>
                <w:sz w:val="20"/>
                <w:szCs w:val="20"/>
              </w:rPr>
              <w:t xml:space="preserve">Limb/oral apraxia (50) </w:t>
            </w:r>
          </w:p>
        </w:tc>
        <w:tc>
          <w:tcPr>
            <w:tcW w:w="0" w:type="auto"/>
          </w:tcPr>
          <w:p w14:paraId="001586DC" w14:textId="3531F644" w:rsidR="00C706F6" w:rsidRPr="007A5A32" w:rsidRDefault="00B52EA4" w:rsidP="003305B5">
            <w:pPr>
              <w:pStyle w:val="NoSpacing"/>
              <w:rPr>
                <w:rFonts w:cstheme="minorHAnsi"/>
                <w:sz w:val="20"/>
                <w:szCs w:val="20"/>
              </w:rPr>
            </w:pPr>
            <w:r w:rsidRPr="007A5A32">
              <w:rPr>
                <w:rFonts w:cstheme="minorHAnsi"/>
                <w:sz w:val="20"/>
                <w:szCs w:val="20"/>
              </w:rPr>
              <w:t>50 (0)</w:t>
            </w:r>
          </w:p>
        </w:tc>
        <w:tc>
          <w:tcPr>
            <w:tcW w:w="0" w:type="auto"/>
          </w:tcPr>
          <w:p w14:paraId="54E364A3" w14:textId="38E178E1" w:rsidR="00C706F6" w:rsidRPr="007A5A32" w:rsidRDefault="00B52EA4" w:rsidP="003305B5">
            <w:pPr>
              <w:pStyle w:val="NoSpacing"/>
              <w:rPr>
                <w:rFonts w:cstheme="minorHAnsi"/>
                <w:sz w:val="20"/>
                <w:szCs w:val="20"/>
              </w:rPr>
            </w:pPr>
            <w:r w:rsidRPr="007A5A32">
              <w:rPr>
                <w:rFonts w:cstheme="minorHAnsi"/>
                <w:sz w:val="20"/>
                <w:szCs w:val="20"/>
              </w:rPr>
              <w:t>47.3 (3)</w:t>
            </w:r>
          </w:p>
        </w:tc>
        <w:tc>
          <w:tcPr>
            <w:tcW w:w="0" w:type="auto"/>
          </w:tcPr>
          <w:p w14:paraId="32989C55" w14:textId="69D179CC" w:rsidR="00C706F6" w:rsidRPr="007A5A32" w:rsidRDefault="00B52EA4" w:rsidP="003305B5">
            <w:pPr>
              <w:pStyle w:val="NoSpacing"/>
              <w:rPr>
                <w:rFonts w:cstheme="minorHAnsi"/>
                <w:sz w:val="20"/>
                <w:szCs w:val="20"/>
              </w:rPr>
            </w:pPr>
            <w:r w:rsidRPr="007A5A32">
              <w:rPr>
                <w:rFonts w:cstheme="minorHAnsi"/>
                <w:sz w:val="20"/>
                <w:szCs w:val="20"/>
              </w:rPr>
              <w:t>1.345</w:t>
            </w:r>
          </w:p>
        </w:tc>
      </w:tr>
      <w:tr w:rsidR="007A5A32" w:rsidRPr="007A5A32" w14:paraId="4B04CD50" w14:textId="77777777" w:rsidTr="00B52EA4">
        <w:tc>
          <w:tcPr>
            <w:tcW w:w="0" w:type="auto"/>
          </w:tcPr>
          <w:p w14:paraId="18064AE0" w14:textId="77777777" w:rsidR="00C706F6" w:rsidRPr="007A5A32" w:rsidRDefault="00C706F6" w:rsidP="003305B5">
            <w:pPr>
              <w:pStyle w:val="NoSpacing"/>
              <w:rPr>
                <w:rFonts w:cstheme="minorHAnsi"/>
                <w:sz w:val="20"/>
                <w:szCs w:val="20"/>
              </w:rPr>
            </w:pPr>
          </w:p>
        </w:tc>
        <w:tc>
          <w:tcPr>
            <w:tcW w:w="0" w:type="auto"/>
          </w:tcPr>
          <w:p w14:paraId="44732DAB" w14:textId="4E6E13B9" w:rsidR="00C706F6" w:rsidRPr="007A5A32" w:rsidRDefault="00C706F6" w:rsidP="003305B5">
            <w:pPr>
              <w:pStyle w:val="NoSpacing"/>
              <w:rPr>
                <w:rFonts w:cstheme="minorHAnsi"/>
                <w:sz w:val="20"/>
                <w:szCs w:val="20"/>
              </w:rPr>
            </w:pPr>
          </w:p>
        </w:tc>
        <w:tc>
          <w:tcPr>
            <w:tcW w:w="0" w:type="auto"/>
          </w:tcPr>
          <w:p w14:paraId="11ABDF1A" w14:textId="6C141AF6" w:rsidR="00C706F6" w:rsidRPr="007A5A32" w:rsidRDefault="00C706F6" w:rsidP="003305B5">
            <w:pPr>
              <w:pStyle w:val="NoSpacing"/>
              <w:rPr>
                <w:rFonts w:cstheme="minorHAnsi"/>
                <w:sz w:val="20"/>
                <w:szCs w:val="20"/>
              </w:rPr>
            </w:pPr>
            <w:r w:rsidRPr="007A5A32">
              <w:rPr>
                <w:rFonts w:cstheme="minorHAnsi"/>
                <w:sz w:val="20"/>
                <w:szCs w:val="20"/>
              </w:rPr>
              <w:t xml:space="preserve">Multiple repetition (30) </w:t>
            </w:r>
          </w:p>
        </w:tc>
        <w:tc>
          <w:tcPr>
            <w:tcW w:w="0" w:type="auto"/>
          </w:tcPr>
          <w:p w14:paraId="099AA418" w14:textId="5A5B3019" w:rsidR="00C706F6" w:rsidRPr="007A5A32" w:rsidRDefault="00B52EA4" w:rsidP="003305B5">
            <w:pPr>
              <w:pStyle w:val="NoSpacing"/>
              <w:rPr>
                <w:rFonts w:cstheme="minorHAnsi"/>
                <w:sz w:val="20"/>
                <w:szCs w:val="20"/>
              </w:rPr>
            </w:pPr>
            <w:r w:rsidRPr="007A5A32">
              <w:rPr>
                <w:rFonts w:cstheme="minorHAnsi"/>
                <w:sz w:val="20"/>
                <w:szCs w:val="20"/>
              </w:rPr>
              <w:t>29.9 (0.5)</w:t>
            </w:r>
          </w:p>
        </w:tc>
        <w:tc>
          <w:tcPr>
            <w:tcW w:w="0" w:type="auto"/>
          </w:tcPr>
          <w:p w14:paraId="0C95D050" w14:textId="1D6E792A" w:rsidR="00C706F6" w:rsidRPr="007A5A32" w:rsidRDefault="00B52EA4" w:rsidP="003305B5">
            <w:pPr>
              <w:pStyle w:val="NoSpacing"/>
              <w:rPr>
                <w:rFonts w:cstheme="minorHAnsi"/>
                <w:sz w:val="20"/>
                <w:szCs w:val="20"/>
              </w:rPr>
            </w:pPr>
            <w:r w:rsidRPr="007A5A32">
              <w:rPr>
                <w:rFonts w:cstheme="minorHAnsi"/>
                <w:sz w:val="20"/>
                <w:szCs w:val="20"/>
              </w:rPr>
              <w:t>25.3 (7.8)</w:t>
            </w:r>
          </w:p>
        </w:tc>
        <w:tc>
          <w:tcPr>
            <w:tcW w:w="0" w:type="auto"/>
          </w:tcPr>
          <w:p w14:paraId="6A654B40" w14:textId="1B022DD7" w:rsidR="00C706F6" w:rsidRPr="007A5A32" w:rsidRDefault="00B52EA4" w:rsidP="003305B5">
            <w:pPr>
              <w:pStyle w:val="NoSpacing"/>
              <w:rPr>
                <w:rFonts w:cstheme="minorHAnsi"/>
                <w:sz w:val="20"/>
                <w:szCs w:val="20"/>
              </w:rPr>
            </w:pPr>
            <w:r w:rsidRPr="007A5A32">
              <w:rPr>
                <w:rFonts w:cstheme="minorHAnsi"/>
                <w:sz w:val="20"/>
                <w:szCs w:val="20"/>
              </w:rPr>
              <w:t>0.878</w:t>
            </w:r>
          </w:p>
        </w:tc>
      </w:tr>
      <w:tr w:rsidR="007A5A32" w:rsidRPr="007A5A32" w14:paraId="6F54FF58" w14:textId="77777777" w:rsidTr="00B52EA4">
        <w:tc>
          <w:tcPr>
            <w:tcW w:w="0" w:type="auto"/>
          </w:tcPr>
          <w:p w14:paraId="080B284E" w14:textId="77777777" w:rsidR="00C706F6" w:rsidRPr="007A5A32" w:rsidRDefault="00C706F6" w:rsidP="003305B5">
            <w:pPr>
              <w:pStyle w:val="NoSpacing"/>
              <w:rPr>
                <w:rFonts w:cstheme="minorHAnsi"/>
                <w:sz w:val="20"/>
                <w:szCs w:val="20"/>
              </w:rPr>
            </w:pPr>
          </w:p>
        </w:tc>
        <w:tc>
          <w:tcPr>
            <w:tcW w:w="0" w:type="auto"/>
          </w:tcPr>
          <w:p w14:paraId="2F16000B" w14:textId="6FF770C1" w:rsidR="00C706F6" w:rsidRPr="007A5A32" w:rsidRDefault="00C706F6" w:rsidP="003305B5">
            <w:pPr>
              <w:pStyle w:val="NoSpacing"/>
              <w:rPr>
                <w:rFonts w:cstheme="minorHAnsi"/>
                <w:sz w:val="20"/>
                <w:szCs w:val="20"/>
              </w:rPr>
            </w:pPr>
          </w:p>
        </w:tc>
        <w:tc>
          <w:tcPr>
            <w:tcW w:w="0" w:type="auto"/>
          </w:tcPr>
          <w:p w14:paraId="7A0C7950" w14:textId="58A27AEF" w:rsidR="00C706F6" w:rsidRPr="007A5A32" w:rsidRDefault="00C706F6" w:rsidP="003305B5">
            <w:pPr>
              <w:pStyle w:val="NoSpacing"/>
              <w:rPr>
                <w:rFonts w:cstheme="minorHAnsi"/>
                <w:sz w:val="20"/>
                <w:szCs w:val="20"/>
              </w:rPr>
            </w:pPr>
            <w:r w:rsidRPr="007A5A32">
              <w:rPr>
                <w:rFonts w:cstheme="minorHAnsi"/>
                <w:sz w:val="20"/>
                <w:szCs w:val="20"/>
              </w:rPr>
              <w:t xml:space="preserve">WAB-R-AQ (100) </w:t>
            </w:r>
          </w:p>
        </w:tc>
        <w:tc>
          <w:tcPr>
            <w:tcW w:w="0" w:type="auto"/>
          </w:tcPr>
          <w:p w14:paraId="4B96F1AA" w14:textId="77777777" w:rsidR="00C706F6" w:rsidRPr="007A5A32" w:rsidRDefault="00C706F6" w:rsidP="003305B5">
            <w:pPr>
              <w:pStyle w:val="NoSpacing"/>
              <w:rPr>
                <w:rFonts w:cstheme="minorHAnsi"/>
                <w:sz w:val="20"/>
                <w:szCs w:val="20"/>
              </w:rPr>
            </w:pPr>
          </w:p>
        </w:tc>
        <w:tc>
          <w:tcPr>
            <w:tcW w:w="0" w:type="auto"/>
          </w:tcPr>
          <w:p w14:paraId="78C1ED7B" w14:textId="6C5309EC" w:rsidR="00C706F6" w:rsidRPr="007A5A32" w:rsidRDefault="00873094" w:rsidP="003305B5">
            <w:pPr>
              <w:pStyle w:val="NoSpacing"/>
              <w:rPr>
                <w:rFonts w:cstheme="minorHAnsi"/>
                <w:sz w:val="20"/>
                <w:szCs w:val="20"/>
              </w:rPr>
            </w:pPr>
            <w:r w:rsidRPr="007A5A32">
              <w:rPr>
                <w:rFonts w:cstheme="minorHAnsi"/>
                <w:sz w:val="20"/>
                <w:szCs w:val="20"/>
              </w:rPr>
              <w:t>83.9 (16.9)</w:t>
            </w:r>
          </w:p>
        </w:tc>
        <w:tc>
          <w:tcPr>
            <w:tcW w:w="0" w:type="auto"/>
          </w:tcPr>
          <w:p w14:paraId="42C08903" w14:textId="77777777" w:rsidR="00C706F6" w:rsidRPr="007A5A32" w:rsidRDefault="00C706F6" w:rsidP="003305B5">
            <w:pPr>
              <w:pStyle w:val="NoSpacing"/>
              <w:rPr>
                <w:rFonts w:cstheme="minorHAnsi"/>
                <w:sz w:val="20"/>
                <w:szCs w:val="20"/>
              </w:rPr>
            </w:pPr>
          </w:p>
        </w:tc>
      </w:tr>
      <w:tr w:rsidR="007A5A32" w:rsidRPr="007A5A32" w14:paraId="0DC1FCFD" w14:textId="77777777" w:rsidTr="00B52EA4">
        <w:tc>
          <w:tcPr>
            <w:tcW w:w="0" w:type="auto"/>
          </w:tcPr>
          <w:p w14:paraId="2B1018D0" w14:textId="77777777" w:rsidR="00C706F6" w:rsidRPr="007A5A32" w:rsidRDefault="00C706F6" w:rsidP="003305B5">
            <w:pPr>
              <w:pStyle w:val="NoSpacing"/>
              <w:rPr>
                <w:rFonts w:cstheme="minorHAnsi"/>
                <w:sz w:val="20"/>
                <w:szCs w:val="20"/>
              </w:rPr>
            </w:pPr>
          </w:p>
        </w:tc>
        <w:tc>
          <w:tcPr>
            <w:tcW w:w="0" w:type="auto"/>
          </w:tcPr>
          <w:p w14:paraId="2394BDB4" w14:textId="02AD8012" w:rsidR="00C706F6" w:rsidRPr="007A5A32" w:rsidRDefault="00C706F6" w:rsidP="003305B5">
            <w:pPr>
              <w:pStyle w:val="NoSpacing"/>
              <w:rPr>
                <w:rFonts w:cstheme="minorHAnsi"/>
                <w:sz w:val="20"/>
                <w:szCs w:val="20"/>
              </w:rPr>
            </w:pPr>
          </w:p>
        </w:tc>
        <w:tc>
          <w:tcPr>
            <w:tcW w:w="0" w:type="auto"/>
          </w:tcPr>
          <w:p w14:paraId="1C3E6993" w14:textId="63B09B8D" w:rsidR="00C706F6" w:rsidRPr="007A5A32" w:rsidRDefault="00C706F6" w:rsidP="003305B5">
            <w:pPr>
              <w:pStyle w:val="NoSpacing"/>
              <w:rPr>
                <w:rFonts w:cstheme="minorHAnsi"/>
                <w:sz w:val="20"/>
                <w:szCs w:val="20"/>
              </w:rPr>
            </w:pPr>
            <w:r w:rsidRPr="007A5A32">
              <w:rPr>
                <w:rFonts w:cstheme="minorHAnsi"/>
                <w:sz w:val="20"/>
                <w:szCs w:val="20"/>
              </w:rPr>
              <w:t xml:space="preserve">BNT (60) </w:t>
            </w:r>
          </w:p>
        </w:tc>
        <w:tc>
          <w:tcPr>
            <w:tcW w:w="0" w:type="auto"/>
          </w:tcPr>
          <w:p w14:paraId="2164F54F" w14:textId="77777777" w:rsidR="00C706F6" w:rsidRPr="007A5A32" w:rsidRDefault="00C706F6" w:rsidP="003305B5">
            <w:pPr>
              <w:pStyle w:val="NoSpacing"/>
              <w:rPr>
                <w:rFonts w:cstheme="minorHAnsi"/>
                <w:sz w:val="20"/>
                <w:szCs w:val="20"/>
              </w:rPr>
            </w:pPr>
          </w:p>
        </w:tc>
        <w:tc>
          <w:tcPr>
            <w:tcW w:w="0" w:type="auto"/>
          </w:tcPr>
          <w:p w14:paraId="3923A76C" w14:textId="094C5EE5" w:rsidR="00C706F6" w:rsidRPr="007A5A32" w:rsidRDefault="00873094" w:rsidP="003305B5">
            <w:pPr>
              <w:pStyle w:val="NoSpacing"/>
              <w:rPr>
                <w:rFonts w:cstheme="minorHAnsi"/>
                <w:sz w:val="20"/>
                <w:szCs w:val="20"/>
              </w:rPr>
            </w:pPr>
            <w:r w:rsidRPr="007A5A32">
              <w:rPr>
                <w:rFonts w:cstheme="minorHAnsi"/>
                <w:sz w:val="20"/>
                <w:szCs w:val="20"/>
              </w:rPr>
              <w:t>44.5 (15.2)</w:t>
            </w:r>
          </w:p>
        </w:tc>
        <w:tc>
          <w:tcPr>
            <w:tcW w:w="0" w:type="auto"/>
          </w:tcPr>
          <w:p w14:paraId="27DABE44" w14:textId="77777777" w:rsidR="00C706F6" w:rsidRPr="007A5A32" w:rsidRDefault="00C706F6" w:rsidP="003305B5">
            <w:pPr>
              <w:pStyle w:val="NoSpacing"/>
              <w:rPr>
                <w:rFonts w:cstheme="minorHAnsi"/>
                <w:sz w:val="20"/>
                <w:szCs w:val="20"/>
              </w:rPr>
            </w:pPr>
          </w:p>
        </w:tc>
      </w:tr>
      <w:tr w:rsidR="007A5A32" w:rsidRPr="007A5A32" w14:paraId="75350C56" w14:textId="77777777" w:rsidTr="00B52EA4">
        <w:tc>
          <w:tcPr>
            <w:tcW w:w="0" w:type="auto"/>
          </w:tcPr>
          <w:p w14:paraId="61345CFD" w14:textId="77777777" w:rsidR="00C706F6" w:rsidRPr="007A5A32" w:rsidRDefault="00C706F6" w:rsidP="003305B5">
            <w:pPr>
              <w:pStyle w:val="NoSpacing"/>
              <w:rPr>
                <w:rFonts w:cstheme="minorHAnsi"/>
                <w:sz w:val="20"/>
                <w:szCs w:val="20"/>
              </w:rPr>
            </w:pPr>
          </w:p>
        </w:tc>
        <w:tc>
          <w:tcPr>
            <w:tcW w:w="0" w:type="auto"/>
          </w:tcPr>
          <w:p w14:paraId="30E038E4" w14:textId="04E5772B" w:rsidR="00C706F6" w:rsidRPr="007A5A32" w:rsidRDefault="00C706F6" w:rsidP="003305B5">
            <w:pPr>
              <w:pStyle w:val="NoSpacing"/>
              <w:rPr>
                <w:rFonts w:cstheme="minorHAnsi"/>
                <w:sz w:val="20"/>
                <w:szCs w:val="20"/>
              </w:rPr>
            </w:pPr>
            <w:r w:rsidRPr="007A5A32">
              <w:rPr>
                <w:rFonts w:cstheme="minorHAnsi"/>
                <w:sz w:val="20"/>
                <w:szCs w:val="20"/>
              </w:rPr>
              <w:t>Discourse comprehension</w:t>
            </w:r>
          </w:p>
        </w:tc>
        <w:tc>
          <w:tcPr>
            <w:tcW w:w="0" w:type="auto"/>
          </w:tcPr>
          <w:p w14:paraId="24F35AA5" w14:textId="727C9638" w:rsidR="00C706F6" w:rsidRPr="007A5A32" w:rsidRDefault="00C706F6" w:rsidP="003305B5">
            <w:pPr>
              <w:pStyle w:val="NoSpacing"/>
              <w:rPr>
                <w:rFonts w:cstheme="minorHAnsi"/>
                <w:sz w:val="20"/>
                <w:szCs w:val="20"/>
              </w:rPr>
            </w:pPr>
            <w:r w:rsidRPr="007A5A32">
              <w:rPr>
                <w:rFonts w:cstheme="minorHAnsi"/>
                <w:sz w:val="20"/>
                <w:szCs w:val="20"/>
              </w:rPr>
              <w:t xml:space="preserve">Main idea – Total (12) </w:t>
            </w:r>
          </w:p>
        </w:tc>
        <w:tc>
          <w:tcPr>
            <w:tcW w:w="0" w:type="auto"/>
          </w:tcPr>
          <w:p w14:paraId="26E94149" w14:textId="77777777" w:rsidR="00C706F6" w:rsidRPr="007A5A32" w:rsidRDefault="00C706F6" w:rsidP="003305B5">
            <w:pPr>
              <w:pStyle w:val="NoSpacing"/>
              <w:rPr>
                <w:rFonts w:cstheme="minorHAnsi"/>
                <w:sz w:val="20"/>
                <w:szCs w:val="20"/>
              </w:rPr>
            </w:pPr>
          </w:p>
        </w:tc>
        <w:tc>
          <w:tcPr>
            <w:tcW w:w="0" w:type="auto"/>
          </w:tcPr>
          <w:p w14:paraId="5D7A6316" w14:textId="309BD25D" w:rsidR="00C706F6" w:rsidRPr="007A5A32" w:rsidRDefault="00873094" w:rsidP="003305B5">
            <w:pPr>
              <w:pStyle w:val="NoSpacing"/>
              <w:rPr>
                <w:rFonts w:cstheme="minorHAnsi"/>
                <w:sz w:val="20"/>
                <w:szCs w:val="20"/>
              </w:rPr>
            </w:pPr>
            <w:r w:rsidRPr="007A5A32">
              <w:rPr>
                <w:rFonts w:cstheme="minorHAnsi"/>
                <w:sz w:val="20"/>
                <w:szCs w:val="20"/>
              </w:rPr>
              <w:t>10.9 (1.7)</w:t>
            </w:r>
          </w:p>
        </w:tc>
        <w:tc>
          <w:tcPr>
            <w:tcW w:w="0" w:type="auto"/>
          </w:tcPr>
          <w:p w14:paraId="3B382D77" w14:textId="77777777" w:rsidR="00C706F6" w:rsidRPr="007A5A32" w:rsidRDefault="00C706F6" w:rsidP="003305B5">
            <w:pPr>
              <w:pStyle w:val="NoSpacing"/>
              <w:rPr>
                <w:rFonts w:cstheme="minorHAnsi"/>
                <w:sz w:val="20"/>
                <w:szCs w:val="20"/>
              </w:rPr>
            </w:pPr>
          </w:p>
        </w:tc>
      </w:tr>
      <w:tr w:rsidR="007A5A32" w:rsidRPr="007A5A32" w14:paraId="0FCB67DC" w14:textId="77777777" w:rsidTr="00B52EA4">
        <w:tc>
          <w:tcPr>
            <w:tcW w:w="0" w:type="auto"/>
          </w:tcPr>
          <w:p w14:paraId="4543C8D0" w14:textId="77777777" w:rsidR="00C706F6" w:rsidRPr="007A5A32" w:rsidRDefault="00C706F6" w:rsidP="003305B5">
            <w:pPr>
              <w:pStyle w:val="NoSpacing"/>
              <w:rPr>
                <w:rFonts w:cstheme="minorHAnsi"/>
                <w:sz w:val="20"/>
                <w:szCs w:val="20"/>
              </w:rPr>
            </w:pPr>
          </w:p>
        </w:tc>
        <w:tc>
          <w:tcPr>
            <w:tcW w:w="0" w:type="auto"/>
          </w:tcPr>
          <w:p w14:paraId="547BB81B" w14:textId="77777777" w:rsidR="00C706F6" w:rsidRPr="007A5A32" w:rsidRDefault="00C706F6" w:rsidP="003305B5">
            <w:pPr>
              <w:pStyle w:val="NoSpacing"/>
              <w:rPr>
                <w:rFonts w:cstheme="minorHAnsi"/>
                <w:sz w:val="20"/>
                <w:szCs w:val="20"/>
              </w:rPr>
            </w:pPr>
          </w:p>
        </w:tc>
        <w:tc>
          <w:tcPr>
            <w:tcW w:w="0" w:type="auto"/>
          </w:tcPr>
          <w:p w14:paraId="2952CB96" w14:textId="5943A484" w:rsidR="00C706F6" w:rsidRPr="007A5A32" w:rsidRDefault="00135BE4" w:rsidP="003305B5">
            <w:pPr>
              <w:pStyle w:val="NoSpacing"/>
              <w:rPr>
                <w:rFonts w:cstheme="minorHAnsi"/>
                <w:sz w:val="20"/>
                <w:szCs w:val="20"/>
              </w:rPr>
            </w:pPr>
            <w:r w:rsidRPr="007A5A32">
              <w:rPr>
                <w:rFonts w:cstheme="minorHAnsi"/>
                <w:sz w:val="20"/>
                <w:szCs w:val="20"/>
              </w:rPr>
              <w:t xml:space="preserve">Detail – Total (12) </w:t>
            </w:r>
          </w:p>
        </w:tc>
        <w:tc>
          <w:tcPr>
            <w:tcW w:w="0" w:type="auto"/>
          </w:tcPr>
          <w:p w14:paraId="685902EB" w14:textId="77777777" w:rsidR="00C706F6" w:rsidRPr="007A5A32" w:rsidRDefault="00C706F6" w:rsidP="003305B5">
            <w:pPr>
              <w:pStyle w:val="NoSpacing"/>
              <w:rPr>
                <w:rFonts w:cstheme="minorHAnsi"/>
                <w:sz w:val="20"/>
                <w:szCs w:val="20"/>
              </w:rPr>
            </w:pPr>
          </w:p>
        </w:tc>
        <w:tc>
          <w:tcPr>
            <w:tcW w:w="0" w:type="auto"/>
          </w:tcPr>
          <w:p w14:paraId="39D1F1E0" w14:textId="130B3366" w:rsidR="00C706F6" w:rsidRPr="007A5A32" w:rsidRDefault="00873094" w:rsidP="003305B5">
            <w:pPr>
              <w:pStyle w:val="NoSpacing"/>
              <w:rPr>
                <w:rFonts w:cstheme="minorHAnsi"/>
                <w:sz w:val="20"/>
                <w:szCs w:val="20"/>
              </w:rPr>
            </w:pPr>
            <w:r w:rsidRPr="007A5A32">
              <w:rPr>
                <w:rFonts w:cstheme="minorHAnsi"/>
                <w:sz w:val="20"/>
                <w:szCs w:val="20"/>
              </w:rPr>
              <w:t>9.2 (2.1)</w:t>
            </w:r>
          </w:p>
        </w:tc>
        <w:tc>
          <w:tcPr>
            <w:tcW w:w="0" w:type="auto"/>
          </w:tcPr>
          <w:p w14:paraId="4638E58F" w14:textId="77777777" w:rsidR="00C706F6" w:rsidRPr="007A5A32" w:rsidRDefault="00C706F6" w:rsidP="003305B5">
            <w:pPr>
              <w:pStyle w:val="NoSpacing"/>
              <w:rPr>
                <w:rFonts w:cstheme="minorHAnsi"/>
                <w:sz w:val="20"/>
                <w:szCs w:val="20"/>
              </w:rPr>
            </w:pPr>
          </w:p>
        </w:tc>
      </w:tr>
    </w:tbl>
    <w:p w14:paraId="15018356" w14:textId="6832DA13" w:rsidR="00FC7DF1" w:rsidRDefault="00135BE4" w:rsidP="00135BE4">
      <w:pPr>
        <w:pStyle w:val="NoSpacing"/>
        <w:sectPr w:rsidR="00FC7DF1" w:rsidSect="00FC7DF1">
          <w:pgSz w:w="15840" w:h="12240" w:orient="landscape"/>
          <w:pgMar w:top="1080" w:right="1080" w:bottom="1080" w:left="1080" w:header="720" w:footer="720" w:gutter="0"/>
          <w:cols w:space="720"/>
          <w:docGrid w:linePitch="360"/>
        </w:sectPr>
      </w:pPr>
      <w:r w:rsidRPr="00135BE4">
        <w:t>The value next to each task name represents the maximum score on the measure. Performance on each task is reported as mean (standard deviation). All effect</w:t>
      </w:r>
      <w:r>
        <w:t xml:space="preserve"> </w:t>
      </w:r>
      <w:r w:rsidRPr="00135BE4">
        <w:t>sizes, except those for left hand function, left index/middle finger tap, and left foot tap, correspond to large effects. RBANS, Repeatable Battery for the Assessment of</w:t>
      </w:r>
      <w:r>
        <w:t xml:space="preserve"> </w:t>
      </w:r>
      <w:r w:rsidRPr="00135BE4">
        <w:t>Neuropsychological Status; WAIS-PC, Weschler Adult Intelligence Scales - Picture Completion; WAB-R-AQ, Western Aphasia Battery - Revised - Aphasia Quotient; BNT,</w:t>
      </w:r>
      <w:r>
        <w:t xml:space="preserve"> </w:t>
      </w:r>
      <w:r w:rsidRPr="00135BE4">
        <w:t>Boston Naming Test.</w:t>
      </w:r>
      <w:r w:rsidR="009745F2">
        <w:tab/>
      </w:r>
    </w:p>
    <w:p w14:paraId="1B383DB2" w14:textId="486EE34B" w:rsidR="004D443D" w:rsidRPr="004D443D" w:rsidRDefault="004D443D" w:rsidP="004D443D">
      <w:r w:rsidRPr="004D443D">
        <w:t>The DPT was scored using a main concept analysis (MCA; </w:t>
      </w:r>
      <w:r w:rsidRPr="00C05BF0">
        <w:t>Nicholas and Brookshire, 1995</w:t>
      </w:r>
      <w:r w:rsidRPr="004D443D">
        <w:t>), which evaluates how well persons communicate the gist, or essential elements of a story. MCA was scored using standardized checklists with accompanying normative data (</w:t>
      </w:r>
      <w:r w:rsidRPr="00C05BF0">
        <w:t>Nicholas and Brookshire, 1995</w:t>
      </w:r>
      <w:r w:rsidRPr="004D443D">
        <w:t>; </w:t>
      </w:r>
      <w:r w:rsidRPr="00C05BF0">
        <w:t>Richardson and Dalton, 2016</w:t>
      </w:r>
      <w:r w:rsidRPr="004D443D">
        <w:t>, </w:t>
      </w:r>
      <w:r w:rsidRPr="00C05BF0">
        <w:t>2020</w:t>
      </w:r>
      <w:r w:rsidRPr="004D443D">
        <w:t>; </w:t>
      </w:r>
      <w:r w:rsidRPr="00C05BF0">
        <w:t>Dalton and Richardson, 2019</w:t>
      </w:r>
      <w:r w:rsidRPr="004D443D">
        <w:t>) which involves comparison of participant-produced utterances to standardized checklists to evaluate accuracy and completeness of utterances. For example, during a retelling of the Cinderella story, one of the main concepts is “Cinderella danced with the prince” (with three essential elements ‘Cinderella,’ ‘danced,’ and ‘with the prince’). If an individual attempted to produce this main concept and said, “Cinderella danced”, it would be considered accurate but incomplete, because it is missing the essential element ‘with the prince.’ If an individual said “Cinderella walked with the prince” it would be considered inaccurate (because they dance, not walk) but complete, because all three essential elements are represented. A score is assigned for each main concept ranging from 0 for absent to 3 for accurate and complete and then scores are summed to yield the MC composite score. In this investigation we focused on the MC composite score and the number of MCs coded as accurate and complete since they are the most straightforward to interpret. Using this system, we can sensitively assess the quality of discourse production in individuals across the impairment spectrum, from healthy controls (e.g., no history of stroke and aphasia) to profound aphasia (</w:t>
      </w:r>
      <w:r w:rsidRPr="00C05BF0">
        <w:t>Dalton and Richardson, 2019</w:t>
      </w:r>
      <w:r w:rsidRPr="004D443D">
        <w:t>; </w:t>
      </w:r>
      <w:r w:rsidRPr="00C05BF0">
        <w:t>Dalton et al., 2020</w:t>
      </w:r>
      <w:r w:rsidRPr="004D443D">
        <w:t>).</w:t>
      </w:r>
    </w:p>
    <w:p w14:paraId="57A38F48" w14:textId="77777777" w:rsidR="004D443D" w:rsidRPr="004D443D" w:rsidRDefault="004D443D" w:rsidP="0039027F">
      <w:pPr>
        <w:pStyle w:val="Heading2"/>
      </w:pPr>
      <w:r w:rsidRPr="004D443D">
        <w:t>EEG Recording</w:t>
      </w:r>
    </w:p>
    <w:p w14:paraId="38BCB125" w14:textId="01246FE9" w:rsidR="004D443D" w:rsidRPr="004D443D" w:rsidRDefault="004D443D" w:rsidP="004D443D">
      <w:r w:rsidRPr="004D443D">
        <w:t>EEG data was recorded from 64 active electrodes placed in an elastic cap according to the 10–10 International system of classification (</w:t>
      </w:r>
      <w:proofErr w:type="spellStart"/>
      <w:r w:rsidRPr="00C05BF0">
        <w:t>Chatrian</w:t>
      </w:r>
      <w:proofErr w:type="spellEnd"/>
      <w:r w:rsidRPr="00C05BF0">
        <w:t xml:space="preserve"> et al., 1985</w:t>
      </w:r>
      <w:r w:rsidRPr="004D443D">
        <w:t xml:space="preserve">) which extends the 10–20 placement system for more dense electrode arrays. The ground electrode was located at </w:t>
      </w:r>
      <w:proofErr w:type="spellStart"/>
      <w:r w:rsidRPr="004D443D">
        <w:t>Fpz</w:t>
      </w:r>
      <w:proofErr w:type="spellEnd"/>
      <w:r w:rsidRPr="004D443D">
        <w:t xml:space="preserve"> (the default in the electrode caps used in this study) with the reference electrode at </w:t>
      </w:r>
      <w:proofErr w:type="spellStart"/>
      <w:r w:rsidRPr="004D443D">
        <w:t>CPz</w:t>
      </w:r>
      <w:proofErr w:type="spellEnd"/>
      <w:r w:rsidRPr="004D443D">
        <w:t xml:space="preserve">. Blinks and eye movement were recorded via vertical electro-oculography using paired electrodes placed above and below the left eye. Data were recorded on a </w:t>
      </w:r>
      <w:proofErr w:type="spellStart"/>
      <w:r w:rsidRPr="004D443D">
        <w:t>BrainVision</w:t>
      </w:r>
      <w:proofErr w:type="spellEnd"/>
      <w:r w:rsidRPr="004D443D">
        <w:t xml:space="preserve"> </w:t>
      </w:r>
      <w:proofErr w:type="spellStart"/>
      <w:r w:rsidRPr="004D443D">
        <w:t>actiCHamp</w:t>
      </w:r>
      <w:proofErr w:type="spellEnd"/>
      <w:r w:rsidRPr="004D443D">
        <w:t xml:space="preserve"> system with a 500 Hz sampling rate (corresponding to a data point recorded every 2 </w:t>
      </w:r>
      <w:proofErr w:type="spellStart"/>
      <w:r w:rsidRPr="004D443D">
        <w:t>ms</w:t>
      </w:r>
      <w:proofErr w:type="spellEnd"/>
      <w:r w:rsidRPr="004D443D">
        <w:t xml:space="preserve">) and online bandpass filtering from 0.01–100 Hz. Participants were seated in front of a computer in a dimly lit room. </w:t>
      </w:r>
      <w:proofErr w:type="spellStart"/>
      <w:r w:rsidRPr="004D443D">
        <w:t>rsEEG</w:t>
      </w:r>
      <w:proofErr w:type="spellEnd"/>
      <w:r w:rsidRPr="004D443D">
        <w:t xml:space="preserve"> was recorded for 2 min with eyes-open and 2 min with eyes-closed. During the eyes-open recording, participants were asked to fixate on a white cross presented on a black background to limit eye movement artifacts. Both eyes-open and eyes-closed conditions were used as there is inconsistency in the literature, with most reporting only the eyes-closed condition (e.g., </w:t>
      </w:r>
      <w:proofErr w:type="spellStart"/>
      <w:r w:rsidRPr="00C05BF0">
        <w:t>Dubovik</w:t>
      </w:r>
      <w:proofErr w:type="spellEnd"/>
      <w:r w:rsidRPr="00C05BF0">
        <w:t xml:space="preserve"> et al., 2013</w:t>
      </w:r>
      <w:r w:rsidRPr="004D443D">
        <w:t>; </w:t>
      </w:r>
      <w:r w:rsidRPr="00C05BF0">
        <w:t>Finnigan et al., 2016</w:t>
      </w:r>
      <w:r w:rsidRPr="004D443D">
        <w:t>), others reporting only the eyes-open condition (e.g., </w:t>
      </w:r>
      <w:r w:rsidRPr="00C05BF0">
        <w:t>Herron et al., 2014</w:t>
      </w:r>
      <w:r w:rsidRPr="004D443D">
        <w:t>; </w:t>
      </w:r>
      <w:r w:rsidRPr="00C05BF0">
        <w:t>Wu et al., 2015</w:t>
      </w:r>
      <w:r w:rsidRPr="004D443D">
        <w:t>), and some reporting both conditions (e.g., </w:t>
      </w:r>
      <w:proofErr w:type="spellStart"/>
      <w:r w:rsidRPr="00C05BF0">
        <w:t>Cuspineda</w:t>
      </w:r>
      <w:proofErr w:type="spellEnd"/>
      <w:r w:rsidRPr="00C05BF0">
        <w:t xml:space="preserve"> et al., 2003</w:t>
      </w:r>
      <w:r w:rsidRPr="004D443D">
        <w:t>; </w:t>
      </w:r>
      <w:proofErr w:type="spellStart"/>
      <w:r w:rsidRPr="00C05BF0">
        <w:t>Stojanovic</w:t>
      </w:r>
      <w:proofErr w:type="spellEnd"/>
      <w:r w:rsidRPr="00C05BF0">
        <w:t xml:space="preserve"> et al., 2013</w:t>
      </w:r>
      <w:r w:rsidRPr="004D443D">
        <w:t>). In addition, research indicates that these conditions are not equivalent, even as individuals age, suggesting a need to determine psychometric properties for each condition separately (</w:t>
      </w:r>
      <w:r w:rsidRPr="00C05BF0">
        <w:t>Barry et al., 2007</w:t>
      </w:r>
      <w:r w:rsidRPr="004D443D">
        <w:t>; </w:t>
      </w:r>
      <w:r w:rsidRPr="00C05BF0">
        <w:t>Barry and De Blasio, 2017</w:t>
      </w:r>
      <w:r w:rsidRPr="004D443D">
        <w:t>).</w:t>
      </w:r>
    </w:p>
    <w:p w14:paraId="39E4B92D" w14:textId="77777777" w:rsidR="004D443D" w:rsidRPr="004D443D" w:rsidRDefault="004D443D" w:rsidP="0039027F">
      <w:pPr>
        <w:pStyle w:val="Heading2"/>
      </w:pPr>
      <w:r w:rsidRPr="004D443D">
        <w:t>Data Processing</w:t>
      </w:r>
    </w:p>
    <w:p w14:paraId="16A0B9EF" w14:textId="765D5A24" w:rsidR="004D443D" w:rsidRPr="004D443D" w:rsidRDefault="004D443D" w:rsidP="004D443D">
      <w:r w:rsidRPr="004D443D">
        <w:t xml:space="preserve">Standard offline pre-processing using </w:t>
      </w:r>
      <w:proofErr w:type="spellStart"/>
      <w:r w:rsidRPr="004D443D">
        <w:t>BrainVision</w:t>
      </w:r>
      <w:proofErr w:type="spellEnd"/>
      <w:r w:rsidRPr="004D443D">
        <w:t xml:space="preserve"> Analyzer 2.1 was conducted to ensure adequate data quality. First, noisy channels were identified through visual inspection and interpolated. Data were high (0.1 Hz</w:t>
      </w:r>
      <w:proofErr w:type="gramStart"/>
      <w:r w:rsidRPr="004D443D">
        <w:t>)</w:t>
      </w:r>
      <w:proofErr w:type="gramEnd"/>
      <w:r w:rsidRPr="004D443D">
        <w:t xml:space="preserve"> and low (50 Hz) pass filtered using infinite impulse response zero-phase shift Butterworth filters to minimize distortion and preserve phase information (</w:t>
      </w:r>
      <w:r w:rsidRPr="00C05BF0">
        <w:t>Hamming, 1998</w:t>
      </w:r>
      <w:r w:rsidRPr="004D443D">
        <w:t>; </w:t>
      </w:r>
      <w:r w:rsidRPr="00C05BF0">
        <w:t>Oppenheim et al., 1999</w:t>
      </w:r>
      <w:r w:rsidRPr="004D443D">
        <w:t>). After filtering, bad segments (i.e., muscle activity) were manually rejected and independent component analysis was conducted to remove eye movement artifacts (</w:t>
      </w:r>
      <w:proofErr w:type="spellStart"/>
      <w:r w:rsidRPr="00C05BF0">
        <w:t>Makeig</w:t>
      </w:r>
      <w:proofErr w:type="spellEnd"/>
      <w:r w:rsidRPr="00C05BF0">
        <w:t xml:space="preserve"> et al., 1996</w:t>
      </w:r>
      <w:r w:rsidRPr="004D443D">
        <w:t xml:space="preserve">). Channels were re-referenced to an average reference and channel </w:t>
      </w:r>
      <w:proofErr w:type="spellStart"/>
      <w:r w:rsidRPr="004D443D">
        <w:t>CPz</w:t>
      </w:r>
      <w:proofErr w:type="spellEnd"/>
      <w:r w:rsidRPr="004D443D">
        <w:t xml:space="preserve"> was interpolated from the average referenced data.</w:t>
      </w:r>
    </w:p>
    <w:p w14:paraId="2F09BD59" w14:textId="053DD1B3" w:rsidR="004D443D" w:rsidRPr="004D443D" w:rsidRDefault="004D443D" w:rsidP="004D443D">
      <w:r w:rsidRPr="004D443D">
        <w:t xml:space="preserve">After the pre-processing steps above, the following steps were conducted to calculate absolute spectral power. First, data were </w:t>
      </w:r>
      <w:proofErr w:type="spellStart"/>
      <w:r w:rsidRPr="004D443D">
        <w:t>epoched</w:t>
      </w:r>
      <w:proofErr w:type="spellEnd"/>
      <w:r w:rsidRPr="004D443D">
        <w:t xml:space="preserve"> into 2048 </w:t>
      </w:r>
      <w:proofErr w:type="spellStart"/>
      <w:r w:rsidRPr="004D443D">
        <w:t>ms</w:t>
      </w:r>
      <w:proofErr w:type="spellEnd"/>
      <w:r w:rsidRPr="004D443D">
        <w:t xml:space="preserve"> bins with 1024 data points per epoch. Epochs with data values greater than ±100 microvolts and/or changes in value greater than ±25 microvolts were rejected. Second, data were subjected to a fast Fourier transform (FFT) with </w:t>
      </w:r>
      <w:proofErr w:type="spellStart"/>
      <w:r w:rsidRPr="004D443D">
        <w:t>Hanning</w:t>
      </w:r>
      <w:proofErr w:type="spellEnd"/>
      <w:r w:rsidRPr="004D443D">
        <w:t xml:space="preserve"> window and tapering at the beginning and end of the window totaling 10% of the epoch length. The resolution of a FFT can be calculated as the sampling frequency divided by the number of data points in the epoch. With a sampling frequency of 500 Hz and 1024 data points in each epoch, this resulted in 0.49 Hz resolution, consistent with previous research (e.g., </w:t>
      </w:r>
      <w:r w:rsidRPr="00C05BF0">
        <w:t>Hensel et al., 2004</w:t>
      </w:r>
      <w:r w:rsidRPr="004D443D">
        <w:t>; </w:t>
      </w:r>
      <w:r w:rsidRPr="00C05BF0">
        <w:t>Herron et al., 2014</w:t>
      </w:r>
      <w:r w:rsidRPr="004D443D">
        <w:t>; </w:t>
      </w:r>
      <w:proofErr w:type="spellStart"/>
      <w:r w:rsidRPr="00C05BF0">
        <w:t>Schleiger</w:t>
      </w:r>
      <w:proofErr w:type="spellEnd"/>
      <w:r w:rsidRPr="00C05BF0">
        <w:t xml:space="preserve"> et al., 2014</w:t>
      </w:r>
      <w:r w:rsidRPr="004D443D">
        <w:t xml:space="preserve">). Participants with fewer than 30 s of artifact-free data per condition were excluded from the analysis, resulting in the exclusion of data for two PWAs and two healthy controls. Third, the absolute sum of spectral power in the four classic frequency bands was calculated, accounting for the 0.49 Hz resolution of the FFT (delta: 0.98–2.93; theta: 3.91–6.84 Hz; alpha: 7.81–12.21 Hz; beta: 13.18–30.27 Hz). These frequency bands were selected based on the </w:t>
      </w:r>
      <w:proofErr w:type="gramStart"/>
      <w:r w:rsidRPr="004D443D">
        <w:t>most commonly reported</w:t>
      </w:r>
      <w:proofErr w:type="gramEnd"/>
      <w:r w:rsidRPr="004D443D">
        <w:t xml:space="preserve"> values in the articles we reviewed (e.g., </w:t>
      </w:r>
      <w:r w:rsidRPr="00C05BF0">
        <w:t>Leon-Carrion et al., 2009</w:t>
      </w:r>
      <w:r w:rsidRPr="004D443D">
        <w:t>; </w:t>
      </w:r>
      <w:r w:rsidRPr="00C05BF0">
        <w:t>Herron et al., 2014</w:t>
      </w:r>
      <w:r w:rsidRPr="004D443D">
        <w:t>). All measures were calculated for each electrode separately, then averaged across electrodes, a common approach in the literature (e.g., </w:t>
      </w:r>
      <w:proofErr w:type="spellStart"/>
      <w:r w:rsidRPr="00C05BF0">
        <w:t>Cuspineda</w:t>
      </w:r>
      <w:proofErr w:type="spellEnd"/>
      <w:r w:rsidRPr="00C05BF0">
        <w:t xml:space="preserve"> et al., 2003</w:t>
      </w:r>
      <w:r w:rsidRPr="004D443D">
        <w:t>; </w:t>
      </w:r>
      <w:r w:rsidRPr="00C05BF0">
        <w:t>Hensel et al., 2004</w:t>
      </w:r>
      <w:r w:rsidRPr="004D443D">
        <w:t>; </w:t>
      </w:r>
      <w:r w:rsidRPr="00C05BF0">
        <w:t>Finnigan et al., 2007</w:t>
      </w:r>
      <w:r w:rsidRPr="004D443D">
        <w:t>; </w:t>
      </w:r>
      <w:r w:rsidRPr="00C05BF0">
        <w:t>Song et al., 2015</w:t>
      </w:r>
      <w:r w:rsidRPr="004D443D">
        <w:t>; </w:t>
      </w:r>
      <w:r w:rsidRPr="00C05BF0">
        <w:t>Carrick et al., 2016</w:t>
      </w:r>
      <w:r w:rsidRPr="004D443D">
        <w:t>).</w:t>
      </w:r>
    </w:p>
    <w:p w14:paraId="23B1C9AA" w14:textId="22216028" w:rsidR="004D443D" w:rsidRPr="004D443D" w:rsidRDefault="004D443D" w:rsidP="004D443D">
      <w:r w:rsidRPr="004D443D">
        <w:t>Calculations were performed for the following anatomical electrode montages (see </w:t>
      </w:r>
      <w:r w:rsidRPr="00C05BF0">
        <w:t>Figure 1</w:t>
      </w:r>
      <w:r w:rsidRPr="004D443D">
        <w:t xml:space="preserve">): whole brain (all 64 electrodes), clinical (19 electrodes corresponding to 10–20 International system electrode </w:t>
      </w:r>
      <w:proofErr w:type="gramStart"/>
      <w:r w:rsidRPr="004D443D">
        <w:t>locations;</w:t>
      </w:r>
      <w:proofErr w:type="gramEnd"/>
      <w:r w:rsidRPr="004D443D">
        <w:t xml:space="preserve"> e.g., </w:t>
      </w:r>
      <w:r w:rsidRPr="00C05BF0">
        <w:t>Finnigan et al., 2016</w:t>
      </w:r>
      <w:r w:rsidRPr="004D443D">
        <w:t xml:space="preserve">), left hemisphere (excluding midline electrodes), and right hemisphere (excluding midline electrodes). For the left and right hemisphere montages, the average reference was calculated separately using only the electrodes in that hemisphere to ensure that only activation in the hemisphere of interest was included. Previous research has reported on hemispheric comparisons in both healthy controls and </w:t>
      </w:r>
      <w:proofErr w:type="gramStart"/>
      <w:r w:rsidRPr="004D443D">
        <w:t>individuals</w:t>
      </w:r>
      <w:proofErr w:type="gramEnd"/>
      <w:r w:rsidRPr="004D443D">
        <w:t xml:space="preserve"> post-stroke, indicating a need for information regarding the stability and reliability of such measures (e.g., </w:t>
      </w:r>
      <w:r w:rsidRPr="00C05BF0">
        <w:t>Hensel et al., 2004</w:t>
      </w:r>
      <w:r w:rsidRPr="004D443D">
        <w:t>; </w:t>
      </w:r>
      <w:proofErr w:type="spellStart"/>
      <w:r w:rsidRPr="00C05BF0">
        <w:t>Spironelli</w:t>
      </w:r>
      <w:proofErr w:type="spellEnd"/>
      <w:r w:rsidRPr="00C05BF0">
        <w:t xml:space="preserve"> and </w:t>
      </w:r>
      <w:proofErr w:type="spellStart"/>
      <w:r w:rsidRPr="00C05BF0">
        <w:t>Angrilli</w:t>
      </w:r>
      <w:proofErr w:type="spellEnd"/>
      <w:r w:rsidRPr="00C05BF0">
        <w:t>, 2009</w:t>
      </w:r>
      <w:r w:rsidRPr="004D443D">
        <w:t>; </w:t>
      </w:r>
      <w:proofErr w:type="spellStart"/>
      <w:r w:rsidRPr="00C05BF0">
        <w:t>Spironelli</w:t>
      </w:r>
      <w:proofErr w:type="spellEnd"/>
      <w:r w:rsidRPr="00C05BF0">
        <w:t xml:space="preserve"> et al., 2013</w:t>
      </w:r>
      <w:r w:rsidRPr="004D443D">
        <w:t>; </w:t>
      </w:r>
      <w:r w:rsidRPr="00C05BF0">
        <w:t>Herron et al., 2014</w:t>
      </w:r>
      <w:r w:rsidRPr="004D443D">
        <w:t>; </w:t>
      </w:r>
      <w:r w:rsidRPr="00C05BF0">
        <w:t>Petrovic et al., 2017</w:t>
      </w:r>
      <w:r w:rsidRPr="004D443D">
        <w:t>). Also, neuroimaging studies have long utilized hemispheric comparisons and/or examined hemispheric differences and related behaviors (e.g., </w:t>
      </w:r>
      <w:r w:rsidRPr="00C05BF0">
        <w:t>French and Beaumont, 1984</w:t>
      </w:r>
      <w:r w:rsidRPr="004D443D">
        <w:t>; </w:t>
      </w:r>
      <w:r w:rsidRPr="00C05BF0">
        <w:t>Bolduc et al., 2003</w:t>
      </w:r>
      <w:r w:rsidRPr="004D443D">
        <w:t>; </w:t>
      </w:r>
      <w:proofErr w:type="spellStart"/>
      <w:r w:rsidRPr="00C05BF0">
        <w:t>Szaflarski</w:t>
      </w:r>
      <w:proofErr w:type="spellEnd"/>
      <w:r w:rsidRPr="00C05BF0">
        <w:t xml:space="preserve"> et al., 2006</w:t>
      </w:r>
      <w:r w:rsidRPr="004D443D">
        <w:t>; </w:t>
      </w:r>
      <w:r w:rsidRPr="00C05BF0">
        <w:t>Learmonth et al., 2017</w:t>
      </w:r>
      <w:r w:rsidRPr="004D443D">
        <w:t>; </w:t>
      </w:r>
      <w:r w:rsidRPr="00C05BF0">
        <w:t>Othman et al., 2020</w:t>
      </w:r>
      <w:r w:rsidRPr="004D443D">
        <w:t>). Hemispheric comparisons are frequent in the aphasia literature where lesions affect a behavior (e.g., language) that is typically strongly lateralized to the left hemisphere (e.g., </w:t>
      </w:r>
      <w:proofErr w:type="spellStart"/>
      <w:r w:rsidRPr="00C05BF0">
        <w:t>Gow</w:t>
      </w:r>
      <w:proofErr w:type="spellEnd"/>
      <w:r w:rsidRPr="00C05BF0">
        <w:t xml:space="preserve"> and </w:t>
      </w:r>
      <w:proofErr w:type="spellStart"/>
      <w:r w:rsidRPr="00C05BF0">
        <w:t>Ahlfors</w:t>
      </w:r>
      <w:proofErr w:type="spellEnd"/>
      <w:r w:rsidRPr="00C05BF0">
        <w:t>, 2017</w:t>
      </w:r>
      <w:r w:rsidRPr="004D443D">
        <w:t>; </w:t>
      </w:r>
      <w:proofErr w:type="spellStart"/>
      <w:r w:rsidRPr="00C05BF0">
        <w:t>Piai</w:t>
      </w:r>
      <w:proofErr w:type="spellEnd"/>
      <w:r w:rsidRPr="00C05BF0">
        <w:t xml:space="preserve"> et al., 2017</w:t>
      </w:r>
      <w:r w:rsidRPr="004D443D">
        <w:t>; </w:t>
      </w:r>
      <w:r w:rsidRPr="00C05BF0">
        <w:t>Sandberg, 2017</w:t>
      </w:r>
      <w:r w:rsidRPr="004D443D">
        <w:t>; </w:t>
      </w:r>
      <w:r w:rsidRPr="00C05BF0">
        <w:t>Wilson et al., 2019</w:t>
      </w:r>
      <w:r w:rsidRPr="004D443D">
        <w:t>). By providing hemispheric results in this investigation, we pave the road for future investigations that seek to compare individuals with left and right hemisphere strokes, or to compare individuals with either left or right hemisphere strokes to healthy controls or other clinical populations.</w:t>
      </w:r>
    </w:p>
    <w:p w14:paraId="62B1ED0D" w14:textId="3602732E" w:rsidR="004D443D" w:rsidRPr="004D443D" w:rsidRDefault="004D443D" w:rsidP="0039027F">
      <w:pPr>
        <w:pStyle w:val="NoSpacing"/>
      </w:pPr>
      <w:bookmarkStart w:id="4" w:name="figure1"/>
      <w:r w:rsidRPr="004D443D">
        <w:rPr>
          <w:noProof/>
        </w:rPr>
        <w:drawing>
          <wp:inline distT="0" distB="0" distL="0" distR="0" wp14:anchorId="58E0FEC3" wp14:editId="14D7CDE4">
            <wp:extent cx="1329055" cy="1424940"/>
            <wp:effectExtent l="0" t="0" r="4445" b="3810"/>
            <wp:docPr id="7" name="Picture 7" descr="www.frontiersin.or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9055" cy="1424940"/>
                    </a:xfrm>
                    <a:prstGeom prst="rect">
                      <a:avLst/>
                    </a:prstGeom>
                    <a:noFill/>
                    <a:ln>
                      <a:noFill/>
                    </a:ln>
                  </pic:spPr>
                </pic:pic>
              </a:graphicData>
            </a:graphic>
          </wp:inline>
        </w:drawing>
      </w:r>
      <w:bookmarkEnd w:id="4"/>
    </w:p>
    <w:p w14:paraId="5EDFFFA3" w14:textId="77777777" w:rsidR="004D443D" w:rsidRDefault="004D443D" w:rsidP="0039027F">
      <w:pPr>
        <w:pStyle w:val="NoSpacing"/>
      </w:pPr>
      <w:r w:rsidRPr="004D443D">
        <w:rPr>
          <w:b/>
          <w:bCs/>
        </w:rPr>
        <w:t>Figure 1.</w:t>
      </w:r>
      <w:r w:rsidRPr="004D443D">
        <w:t> All labeled electrodes were included in the whole brain montage. Red circles show electrodes included the clinical (10–20 montage), and blue boxes show electrodes included in the left and right hemisphere montages.</w:t>
      </w:r>
    </w:p>
    <w:p w14:paraId="174048DD" w14:textId="77777777" w:rsidR="0039027F" w:rsidRPr="004D443D" w:rsidRDefault="0039027F" w:rsidP="004D443D"/>
    <w:p w14:paraId="525EE9FA" w14:textId="77777777" w:rsidR="004D443D" w:rsidRPr="004D443D" w:rsidRDefault="004D443D" w:rsidP="0039027F">
      <w:pPr>
        <w:pStyle w:val="Heading2"/>
      </w:pPr>
      <w:r w:rsidRPr="004D443D">
        <w:t>Data Analysis</w:t>
      </w:r>
    </w:p>
    <w:p w14:paraId="1E430CE4" w14:textId="56F570EF" w:rsidR="004D443D" w:rsidRPr="004D443D" w:rsidRDefault="004D443D" w:rsidP="004D443D">
      <w:r w:rsidRPr="004D443D">
        <w:t xml:space="preserve">All statistical analyses were conducted using SPSS v27. The reliability of spectral </w:t>
      </w:r>
      <w:proofErr w:type="spellStart"/>
      <w:r w:rsidRPr="004D443D">
        <w:t>rsEEG</w:t>
      </w:r>
      <w:proofErr w:type="spellEnd"/>
      <w:r w:rsidRPr="004D443D">
        <w:t xml:space="preserve"> absolute power was calculated between sessions one and two via single-measure intra-class correlations using a two-way mixed effect model with absolute agreement (ICC; </w:t>
      </w:r>
      <w:proofErr w:type="spellStart"/>
      <w:r w:rsidRPr="00C05BF0">
        <w:t>Shrout</w:t>
      </w:r>
      <w:proofErr w:type="spellEnd"/>
      <w:r w:rsidRPr="00C05BF0">
        <w:t xml:space="preserve"> and Fleiss, 1979</w:t>
      </w:r>
      <w:r w:rsidRPr="004D443D">
        <w:t>; </w:t>
      </w:r>
      <w:r w:rsidRPr="00C05BF0">
        <w:t>McGraw and Wong, 1996</w:t>
      </w:r>
      <w:r w:rsidRPr="004D443D">
        <w:t>; </w:t>
      </w:r>
      <w:r w:rsidRPr="00C05BF0">
        <w:t>Suarez-</w:t>
      </w:r>
      <w:proofErr w:type="spellStart"/>
      <w:r w:rsidRPr="00C05BF0">
        <w:t>Revelo</w:t>
      </w:r>
      <w:proofErr w:type="spellEnd"/>
      <w:r w:rsidRPr="00C05BF0">
        <w:t xml:space="preserve"> et al., 2015</w:t>
      </w:r>
      <w:r w:rsidRPr="004D443D">
        <w:t>; </w:t>
      </w:r>
      <w:r w:rsidRPr="00C05BF0">
        <w:t>Koo and Li, 2016</w:t>
      </w:r>
      <w:r w:rsidRPr="004D443D">
        <w:t>). ICCs are widely used to evaluate the psychometric properties of newly developed assessment instruments. The ICCs conducted here assessed the exactness of the match between, for example, whole brain relative delta power at session one and whole brain relative delta power at session two during eyes-closed rest. The closer these values are to each other, the stronger the correlation, and the more stable the measure over time. Only the point estimates are reported in the text; however, 95% confidence intervals are reported in tables to allow readers a more nuanced interpretation of reliability. ICCs were identified as poor (&lt;0.5), moderate (≥0.5 and &lt;0.75), good (≥0.75 and &lt;0.9), or excellent (≥0.9) (</w:t>
      </w:r>
      <w:r w:rsidRPr="00C05BF0">
        <w:t>Koo and Li, 2016</w:t>
      </w:r>
      <w:r w:rsidRPr="004D443D">
        <w:t>).</w:t>
      </w:r>
    </w:p>
    <w:p w14:paraId="0D523DFB" w14:textId="7320A661" w:rsidR="004D443D" w:rsidRPr="004D443D" w:rsidRDefault="004D443D" w:rsidP="004D443D">
      <w:r w:rsidRPr="004D443D">
        <w:t>Before examining between-group differences, descriptive statistics (mean, median, standard deviation, range, skew, and kurtosis) were calculated for both groups; normality was assessed using skew and kurtosis. Student’s </w:t>
      </w:r>
      <w:r w:rsidRPr="004D443D">
        <w:rPr>
          <w:i/>
          <w:iCs/>
        </w:rPr>
        <w:t>t</w:t>
      </w:r>
      <w:r w:rsidRPr="004D443D">
        <w:t>-tests to compare differences between groups were planned. While many variables reported here violate the assumption of normality, previous research has shown parametric statistics such as the </w:t>
      </w:r>
      <w:r w:rsidRPr="004D443D">
        <w:rPr>
          <w:i/>
          <w:iCs/>
        </w:rPr>
        <w:t>t</w:t>
      </w:r>
      <w:r w:rsidRPr="004D443D">
        <w:t>-test to be robust to violations of normality (using Bradley’s [1978] definition of robustness where deviation from </w:t>
      </w:r>
      <w:r w:rsidRPr="004D443D">
        <w:rPr>
          <w:i/>
          <w:iCs/>
        </w:rPr>
        <w:t>p</w:t>
      </w:r>
      <w:r w:rsidRPr="004D443D">
        <w:t xml:space="preserve"> = 0.05 is </w:t>
      </w:r>
      <w:r w:rsidRPr="004D443D">
        <w:rPr>
          <w:rFonts w:ascii="Cambria Math" w:hAnsi="Cambria Math" w:cs="Cambria Math"/>
        </w:rPr>
        <w:t>∼</w:t>
      </w:r>
      <w:r w:rsidRPr="004D443D">
        <w:rPr>
          <w:rFonts w:ascii="Calibri" w:hAnsi="Calibri" w:cs="Calibri"/>
        </w:rPr>
        <w:t>±</w:t>
      </w:r>
      <w:r w:rsidRPr="004D443D">
        <w:t>0.005). Simulation studies have demonstrated the robustness of the</w:t>
      </w:r>
      <w:r w:rsidRPr="004D443D">
        <w:rPr>
          <w:rFonts w:ascii="Calibri" w:hAnsi="Calibri" w:cs="Calibri"/>
        </w:rPr>
        <w:t> </w:t>
      </w:r>
      <w:r w:rsidRPr="004D443D">
        <w:rPr>
          <w:i/>
          <w:iCs/>
        </w:rPr>
        <w:t>t</w:t>
      </w:r>
      <w:r w:rsidRPr="004D443D">
        <w:t>-test in the face of non-normal distributions when the absolute value of skew is less than 2, and the absolute value of kurtosis is less than 9 (</w:t>
      </w:r>
      <w:proofErr w:type="spellStart"/>
      <w:r w:rsidRPr="00C05BF0">
        <w:t>Boneau</w:t>
      </w:r>
      <w:proofErr w:type="spellEnd"/>
      <w:r w:rsidRPr="00C05BF0">
        <w:t>, 1960</w:t>
      </w:r>
      <w:r w:rsidRPr="004D443D">
        <w:t>; </w:t>
      </w:r>
      <w:proofErr w:type="spellStart"/>
      <w:r w:rsidRPr="00C05BF0">
        <w:t>Posten</w:t>
      </w:r>
      <w:proofErr w:type="spellEnd"/>
      <w:r w:rsidRPr="00C05BF0">
        <w:t>, 1978</w:t>
      </w:r>
      <w:r w:rsidRPr="004D443D">
        <w:t>; </w:t>
      </w:r>
      <w:r w:rsidRPr="00C05BF0">
        <w:t>Bradley, 1982</w:t>
      </w:r>
      <w:r w:rsidRPr="004D443D">
        <w:t>; </w:t>
      </w:r>
      <w:proofErr w:type="spellStart"/>
      <w:r w:rsidRPr="00C05BF0">
        <w:t>Schmider</w:t>
      </w:r>
      <w:proofErr w:type="spellEnd"/>
      <w:r w:rsidRPr="00C05BF0">
        <w:t xml:space="preserve"> et al., 2010</w:t>
      </w:r>
      <w:r w:rsidRPr="004D443D">
        <w:t>). Data with skew or kurtosis outside the range for which </w:t>
      </w:r>
      <w:r w:rsidRPr="004D443D">
        <w:rPr>
          <w:i/>
          <w:iCs/>
        </w:rPr>
        <w:t>t</w:t>
      </w:r>
      <w:r w:rsidRPr="004D443D">
        <w:t>-tests are robust were assessed using the Mann–Whitney </w:t>
      </w:r>
      <w:r w:rsidRPr="004D443D">
        <w:rPr>
          <w:i/>
          <w:iCs/>
        </w:rPr>
        <w:t>U</w:t>
      </w:r>
      <w:r w:rsidRPr="004D443D">
        <w:t> test consistent with previous research (</w:t>
      </w:r>
      <w:r w:rsidRPr="00C05BF0">
        <w:t>Hensel et al., 2004</w:t>
      </w:r>
      <w:r w:rsidRPr="004D443D">
        <w:t>; </w:t>
      </w:r>
      <w:proofErr w:type="spellStart"/>
      <w:r w:rsidRPr="00C05BF0">
        <w:t>Nolfe</w:t>
      </w:r>
      <w:proofErr w:type="spellEnd"/>
      <w:r w:rsidRPr="00C05BF0">
        <w:t xml:space="preserve"> et al., 2006</w:t>
      </w:r>
      <w:r w:rsidRPr="004D443D">
        <w:t>; </w:t>
      </w:r>
      <w:proofErr w:type="spellStart"/>
      <w:r w:rsidRPr="00C05BF0">
        <w:t>Sheorajpanday</w:t>
      </w:r>
      <w:proofErr w:type="spellEnd"/>
      <w:r w:rsidRPr="00C05BF0">
        <w:t xml:space="preserve"> et al., 2009</w:t>
      </w:r>
      <w:r w:rsidRPr="004D443D">
        <w:t>; </w:t>
      </w:r>
      <w:r w:rsidRPr="00C05BF0">
        <w:t>Herron et al., 2014</w:t>
      </w:r>
      <w:r w:rsidRPr="004D443D">
        <w:t xml:space="preserve">). Homogeneity of variance was assessed using the </w:t>
      </w:r>
      <w:proofErr w:type="spellStart"/>
      <w:r w:rsidRPr="004D443D">
        <w:t>Levene’s</w:t>
      </w:r>
      <w:proofErr w:type="spellEnd"/>
      <w:r w:rsidRPr="004D443D">
        <w:t xml:space="preserve"> test. For variables that violated the homogeneity of variance assumption, Welch’s </w:t>
      </w:r>
      <w:r w:rsidRPr="004D443D">
        <w:rPr>
          <w:i/>
          <w:iCs/>
        </w:rPr>
        <w:t>t</w:t>
      </w:r>
      <w:r w:rsidRPr="004D443D">
        <w:t>-tests were used (</w:t>
      </w:r>
      <w:r w:rsidRPr="00C05BF0">
        <w:t>Ruxton, 2006</w:t>
      </w:r>
      <w:r w:rsidRPr="004D443D">
        <w:t>). Between-group comparisons were conducted using the data from the first recording session only. Effect size calculations (Hedge’s </w:t>
      </w:r>
      <w:r w:rsidRPr="004D443D">
        <w:rPr>
          <w:i/>
          <w:iCs/>
        </w:rPr>
        <w:t>g</w:t>
      </w:r>
      <w:r w:rsidRPr="004D443D">
        <w:t> for </w:t>
      </w:r>
      <w:r w:rsidRPr="004D443D">
        <w:rPr>
          <w:i/>
          <w:iCs/>
        </w:rPr>
        <w:t>t</w:t>
      </w:r>
      <w:r w:rsidRPr="004D443D">
        <w:t>-tests and η</w:t>
      </w:r>
      <w:r w:rsidRPr="004D443D">
        <w:rPr>
          <w:vertAlign w:val="superscript"/>
        </w:rPr>
        <w:t>2</w:t>
      </w:r>
      <w:r w:rsidRPr="004D443D">
        <w:t> for Mann–Whitney </w:t>
      </w:r>
      <w:r w:rsidRPr="004D443D">
        <w:rPr>
          <w:i/>
          <w:iCs/>
        </w:rPr>
        <w:t>U</w:t>
      </w:r>
      <w:r w:rsidRPr="004D443D">
        <w:t> tests) were conducted for all comparisons, and medium to large effects are reported. Hedge’s </w:t>
      </w:r>
      <w:r w:rsidRPr="004D443D">
        <w:rPr>
          <w:i/>
          <w:iCs/>
        </w:rPr>
        <w:t>g</w:t>
      </w:r>
      <w:r w:rsidRPr="004D443D">
        <w:t> and η</w:t>
      </w:r>
      <w:r w:rsidRPr="004D443D">
        <w:rPr>
          <w:vertAlign w:val="superscript"/>
        </w:rPr>
        <w:t>2</w:t>
      </w:r>
      <w:r w:rsidRPr="004D443D">
        <w:t> have a different range of possible values, so for ease of interpretation, both the numeric value and commonly accepted estimates of effect size (small, medium, or large) are reported (</w:t>
      </w:r>
      <w:r w:rsidRPr="00C05BF0">
        <w:t>Cohen, 1988</w:t>
      </w:r>
      <w:r w:rsidRPr="004D443D">
        <w:t>). Holm–Bonferroni corrections for multiple comparisons (</w:t>
      </w:r>
      <w:r w:rsidRPr="00C05BF0">
        <w:t>Holm, 1979</w:t>
      </w:r>
      <w:r w:rsidRPr="004D443D">
        <w:t>) were used to control type I error. We selected the Holm–Bonferroni approach over the more widely used Bonferroni technique as the Bonferroni tends to inflate Type I errors, while the Holm–Bonferroni approach better balances Type I and Type II error (</w:t>
      </w:r>
      <w:proofErr w:type="spellStart"/>
      <w:r w:rsidRPr="00C05BF0">
        <w:t>Aickin</w:t>
      </w:r>
      <w:proofErr w:type="spellEnd"/>
      <w:r w:rsidRPr="00C05BF0">
        <w:t xml:space="preserve"> and Gensler, 1996</w:t>
      </w:r>
      <w:r w:rsidRPr="004D443D">
        <w:t>), and will be more sensitive to group differences.</w:t>
      </w:r>
    </w:p>
    <w:p w14:paraId="27206DAC" w14:textId="77777777" w:rsidR="004D443D" w:rsidRPr="004D443D" w:rsidRDefault="004D443D" w:rsidP="004D443D">
      <w:r w:rsidRPr="004D443D">
        <w:t xml:space="preserve">Finally, an analysis of correlations between spectral </w:t>
      </w:r>
      <w:proofErr w:type="spellStart"/>
      <w:r w:rsidRPr="004D443D">
        <w:t>rsEEG</w:t>
      </w:r>
      <w:proofErr w:type="spellEnd"/>
      <w:r w:rsidRPr="004D443D">
        <w:t xml:space="preserve"> measures and performance on behavioral tasks in PWAs was conducted. Correlations were calculated to identify the relationship between spectral </w:t>
      </w:r>
      <w:proofErr w:type="spellStart"/>
      <w:r w:rsidRPr="004D443D">
        <w:t>rsEEG</w:t>
      </w:r>
      <w:proofErr w:type="spellEnd"/>
      <w:r w:rsidRPr="004D443D">
        <w:t xml:space="preserve"> measures and performance on cognitive (RBANS index score), and language (WAB-R AQ, number of correct items named on BNT, and production of Main Concepts [MCs] during storytelling) assessments. For all behavioral measures, a lower score represents poorer performance.</w:t>
      </w:r>
    </w:p>
    <w:p w14:paraId="221C2EC3" w14:textId="77777777" w:rsidR="004D443D" w:rsidRPr="004D443D" w:rsidRDefault="004D443D" w:rsidP="0039027F">
      <w:pPr>
        <w:pStyle w:val="Heading1"/>
      </w:pPr>
      <w:bookmarkStart w:id="5" w:name="h4"/>
      <w:bookmarkEnd w:id="5"/>
      <w:r w:rsidRPr="004D443D">
        <w:t>Results</w:t>
      </w:r>
    </w:p>
    <w:p w14:paraId="2E3AA90F" w14:textId="77777777" w:rsidR="004D443D" w:rsidRPr="004D443D" w:rsidRDefault="004D443D" w:rsidP="004D443D">
      <w:r w:rsidRPr="004D443D">
        <w:t>Independent samples </w:t>
      </w:r>
      <w:r w:rsidRPr="004D443D">
        <w:rPr>
          <w:i/>
          <w:iCs/>
        </w:rPr>
        <w:t>t</w:t>
      </w:r>
      <w:r w:rsidRPr="004D443D">
        <w:t>-tests were conducted to compare age and education between the two groups to ensure adequate matching. No significant difference was observed between the two groups for age (</w:t>
      </w:r>
      <w:r w:rsidRPr="004D443D">
        <w:rPr>
          <w:i/>
          <w:iCs/>
        </w:rPr>
        <w:t>t</w:t>
      </w:r>
      <w:r w:rsidRPr="004D443D">
        <w:t> = 0.239; </w:t>
      </w:r>
      <w:r w:rsidRPr="004D443D">
        <w:rPr>
          <w:i/>
          <w:iCs/>
        </w:rPr>
        <w:t>p</w:t>
      </w:r>
      <w:r w:rsidRPr="004D443D">
        <w:t> = 0.812). A significant difference was observed between groups on education (</w:t>
      </w:r>
      <w:r w:rsidRPr="004D443D">
        <w:rPr>
          <w:i/>
          <w:iCs/>
        </w:rPr>
        <w:t>t</w:t>
      </w:r>
      <w:r w:rsidRPr="004D443D">
        <w:t> = 2.081; </w:t>
      </w:r>
      <w:r w:rsidRPr="004D443D">
        <w:rPr>
          <w:i/>
          <w:iCs/>
        </w:rPr>
        <w:t>p</w:t>
      </w:r>
      <w:r w:rsidRPr="004D443D">
        <w:t xml:space="preserve"> = 0.044), driven by the PWA with a </w:t>
      </w:r>
      <w:proofErr w:type="gramStart"/>
      <w:r w:rsidRPr="004D443D">
        <w:t>seventh grade</w:t>
      </w:r>
      <w:proofErr w:type="gramEnd"/>
      <w:r w:rsidRPr="004D443D">
        <w:t xml:space="preserve"> education. When this individual was removed from the PWA group, the </w:t>
      </w:r>
      <w:r w:rsidRPr="004D443D">
        <w:rPr>
          <w:i/>
          <w:iCs/>
        </w:rPr>
        <w:t>t</w:t>
      </w:r>
      <w:r w:rsidRPr="004D443D">
        <w:t>-test for education was no longer significant (</w:t>
      </w:r>
      <w:r w:rsidRPr="004D443D">
        <w:rPr>
          <w:i/>
          <w:iCs/>
        </w:rPr>
        <w:t>t</w:t>
      </w:r>
      <w:r w:rsidRPr="004D443D">
        <w:t> = 1.715; </w:t>
      </w:r>
      <w:r w:rsidRPr="004D443D">
        <w:rPr>
          <w:i/>
          <w:iCs/>
        </w:rPr>
        <w:t>p</w:t>
      </w:r>
      <w:r w:rsidRPr="004D443D">
        <w:t> = 0.094).</w:t>
      </w:r>
    </w:p>
    <w:p w14:paraId="1B748376" w14:textId="77777777" w:rsidR="004D443D" w:rsidRPr="004D443D" w:rsidRDefault="004D443D" w:rsidP="0039027F">
      <w:pPr>
        <w:pStyle w:val="Heading2"/>
      </w:pPr>
      <w:r w:rsidRPr="004D443D">
        <w:t>Aim 1 - Reliability</w:t>
      </w:r>
    </w:p>
    <w:p w14:paraId="5FE405A1" w14:textId="77777777" w:rsidR="004D443D" w:rsidRPr="004D443D" w:rsidRDefault="004D443D" w:rsidP="004D443D">
      <w:r w:rsidRPr="004D443D">
        <w:t xml:space="preserve">Reliability was examined for each of the four montages (whole brain, clinical, left hemisphere, right hemisphere) in each spectral frequency band (delta, theta, alpha, beta). This resulted in the calculation of ICCs for 16 </w:t>
      </w:r>
      <w:proofErr w:type="gramStart"/>
      <w:r w:rsidRPr="004D443D">
        <w:t>montage</w:t>
      </w:r>
      <w:proofErr w:type="gramEnd"/>
      <w:r w:rsidRPr="004D443D">
        <w:t xml:space="preserve"> + spectral band combinations.</w:t>
      </w:r>
    </w:p>
    <w:p w14:paraId="49B8E16E" w14:textId="77777777" w:rsidR="004D443D" w:rsidRPr="0039027F" w:rsidRDefault="004D443D" w:rsidP="0039027F">
      <w:pPr>
        <w:pStyle w:val="Heading3"/>
        <w:rPr>
          <w:i/>
          <w:iCs/>
        </w:rPr>
      </w:pPr>
      <w:r w:rsidRPr="0039027F">
        <w:rPr>
          <w:i/>
          <w:iCs/>
        </w:rPr>
        <w:t>Eyes-Open Rest</w:t>
      </w:r>
    </w:p>
    <w:p w14:paraId="54AD2109" w14:textId="5B1FCF45" w:rsidR="004D443D" w:rsidRPr="004D443D" w:rsidRDefault="004D443D" w:rsidP="004D443D">
      <w:r w:rsidRPr="004D443D">
        <w:t>Better intra-individual reliability was observed for PWAs than controls during eyes-open rest (</w:t>
      </w:r>
      <w:r w:rsidRPr="00C05BF0">
        <w:t>Table 3</w:t>
      </w:r>
      <w:r w:rsidRPr="004D443D">
        <w:t> and </w:t>
      </w:r>
      <w:r w:rsidRPr="00C05BF0">
        <w:t>Figure 2</w:t>
      </w:r>
      <w:r w:rsidRPr="004D443D">
        <w:t>). PWAs demonstrated moderate-good reliability in all montage + spectral band combinations (good reliability in 9/16 and moderate reliability in 7/16), while healthy controls demonstrated moderate-good reliability in 14/16 montage + spectral band combinations (good reliability in 4/16 and moderate reliability in 10/16). Healthy controls demonstrated poor reliability for delta and theta power in the right hemisphere. For PWAs, the highest reliability was observed with theta and alpha power, then beta power, with the lowest reliability in delta power. In healthy controls the highest reliability was observed with beta power, followed by alpha, then delta and finally theta power.</w:t>
      </w:r>
    </w:p>
    <w:p w14:paraId="70C8CF3A" w14:textId="77777777" w:rsidR="00911A19" w:rsidRDefault="00911A19" w:rsidP="004D443D">
      <w:pPr>
        <w:rPr>
          <w:b/>
          <w:bCs/>
        </w:rPr>
        <w:sectPr w:rsidR="00911A19" w:rsidSect="00FC7DF1">
          <w:pgSz w:w="12240" w:h="15840"/>
          <w:pgMar w:top="1080" w:right="1080" w:bottom="1080" w:left="1080" w:header="720" w:footer="720" w:gutter="0"/>
          <w:cols w:space="720"/>
          <w:docGrid w:linePitch="360"/>
        </w:sectPr>
      </w:pPr>
    </w:p>
    <w:p w14:paraId="3BBB18EF" w14:textId="54EAD779" w:rsidR="00911A19" w:rsidRPr="00911A19" w:rsidRDefault="004D443D" w:rsidP="009720FA">
      <w:pPr>
        <w:spacing w:after="0"/>
      </w:pPr>
      <w:r w:rsidRPr="004D443D">
        <w:rPr>
          <w:b/>
          <w:bCs/>
        </w:rPr>
        <w:t>Table 3.</w:t>
      </w:r>
      <w:r w:rsidRPr="004D443D">
        <w:t> Intra-class correlation coefficients and 95% confidence intervals for neurologically healthy controls and persons with aphasia.</w:t>
      </w:r>
    </w:p>
    <w:tbl>
      <w:tblPr>
        <w:tblStyle w:val="TableGrid"/>
        <w:tblW w:w="0" w:type="auto"/>
        <w:tblLook w:val="0020" w:firstRow="1" w:lastRow="0" w:firstColumn="0" w:lastColumn="0" w:noHBand="0" w:noVBand="0"/>
      </w:tblPr>
      <w:tblGrid>
        <w:gridCol w:w="1855"/>
        <w:gridCol w:w="1314"/>
        <w:gridCol w:w="1316"/>
        <w:gridCol w:w="1179"/>
        <w:gridCol w:w="1179"/>
        <w:gridCol w:w="948"/>
        <w:gridCol w:w="1394"/>
        <w:gridCol w:w="1179"/>
        <w:gridCol w:w="1179"/>
        <w:gridCol w:w="1179"/>
        <w:gridCol w:w="948"/>
      </w:tblGrid>
      <w:tr w:rsidR="008F7EB9" w:rsidRPr="00A16981" w14:paraId="7A436434" w14:textId="77777777" w:rsidTr="007A266B">
        <w:trPr>
          <w:trHeight w:val="231"/>
        </w:trPr>
        <w:tc>
          <w:tcPr>
            <w:tcW w:w="0" w:type="auto"/>
          </w:tcPr>
          <w:p w14:paraId="72AD97A5" w14:textId="54D445AF" w:rsidR="008F7EB9" w:rsidRPr="00911A19" w:rsidRDefault="008F7EB9" w:rsidP="009720FA">
            <w:r>
              <w:t>Control</w:t>
            </w:r>
          </w:p>
        </w:tc>
        <w:tc>
          <w:tcPr>
            <w:tcW w:w="0" w:type="auto"/>
          </w:tcPr>
          <w:p w14:paraId="089F91B3" w14:textId="77777777" w:rsidR="008F7EB9" w:rsidRPr="00911A19" w:rsidRDefault="008F7EB9" w:rsidP="009720FA"/>
        </w:tc>
        <w:tc>
          <w:tcPr>
            <w:tcW w:w="0" w:type="auto"/>
          </w:tcPr>
          <w:p w14:paraId="6CA54422" w14:textId="77777777" w:rsidR="008F7EB9" w:rsidRPr="00911A19" w:rsidRDefault="008F7EB9" w:rsidP="009720FA"/>
        </w:tc>
        <w:tc>
          <w:tcPr>
            <w:tcW w:w="0" w:type="auto"/>
          </w:tcPr>
          <w:p w14:paraId="1B33D0D4" w14:textId="77777777" w:rsidR="008F7EB9" w:rsidRPr="00911A19" w:rsidRDefault="008F7EB9" w:rsidP="009720FA"/>
        </w:tc>
        <w:tc>
          <w:tcPr>
            <w:tcW w:w="0" w:type="auto"/>
          </w:tcPr>
          <w:p w14:paraId="2DDF0DE3" w14:textId="77777777" w:rsidR="008F7EB9" w:rsidRPr="00911A19" w:rsidRDefault="008F7EB9" w:rsidP="009720FA"/>
        </w:tc>
        <w:tc>
          <w:tcPr>
            <w:tcW w:w="0" w:type="auto"/>
          </w:tcPr>
          <w:p w14:paraId="61249222" w14:textId="77777777" w:rsidR="008F7EB9" w:rsidRPr="00911A19" w:rsidRDefault="008F7EB9" w:rsidP="009720FA"/>
        </w:tc>
        <w:tc>
          <w:tcPr>
            <w:tcW w:w="0" w:type="auto"/>
          </w:tcPr>
          <w:p w14:paraId="530705EE" w14:textId="77777777" w:rsidR="008F7EB9" w:rsidRPr="00911A19" w:rsidRDefault="008F7EB9" w:rsidP="009720FA"/>
        </w:tc>
        <w:tc>
          <w:tcPr>
            <w:tcW w:w="0" w:type="auto"/>
          </w:tcPr>
          <w:p w14:paraId="4F7B64A9" w14:textId="77777777" w:rsidR="008F7EB9" w:rsidRPr="00911A19" w:rsidRDefault="008F7EB9" w:rsidP="009720FA"/>
        </w:tc>
        <w:tc>
          <w:tcPr>
            <w:tcW w:w="0" w:type="auto"/>
          </w:tcPr>
          <w:p w14:paraId="4BD18222" w14:textId="77777777" w:rsidR="008F7EB9" w:rsidRPr="00911A19" w:rsidRDefault="008F7EB9" w:rsidP="009720FA"/>
        </w:tc>
        <w:tc>
          <w:tcPr>
            <w:tcW w:w="0" w:type="auto"/>
          </w:tcPr>
          <w:p w14:paraId="3F7A2AEB" w14:textId="77777777" w:rsidR="008F7EB9" w:rsidRPr="00911A19" w:rsidRDefault="008F7EB9" w:rsidP="009720FA"/>
        </w:tc>
        <w:tc>
          <w:tcPr>
            <w:tcW w:w="0" w:type="auto"/>
          </w:tcPr>
          <w:p w14:paraId="4CCD47AC" w14:textId="77777777" w:rsidR="008F7EB9" w:rsidRPr="00911A19" w:rsidRDefault="008F7EB9" w:rsidP="009720FA"/>
        </w:tc>
      </w:tr>
      <w:tr w:rsidR="008F7EB9" w:rsidRPr="00A16981" w14:paraId="77546D51" w14:textId="77777777" w:rsidTr="007A266B">
        <w:trPr>
          <w:trHeight w:val="231"/>
        </w:trPr>
        <w:tc>
          <w:tcPr>
            <w:tcW w:w="0" w:type="auto"/>
          </w:tcPr>
          <w:p w14:paraId="4935A478" w14:textId="77777777" w:rsidR="008F7EB9" w:rsidRPr="00911A19" w:rsidRDefault="008F7EB9" w:rsidP="009720FA"/>
        </w:tc>
        <w:tc>
          <w:tcPr>
            <w:tcW w:w="0" w:type="auto"/>
          </w:tcPr>
          <w:p w14:paraId="29F36EC1" w14:textId="03A93B7B" w:rsidR="008F7EB9" w:rsidRPr="00911A19" w:rsidRDefault="008F7EB9" w:rsidP="009720FA">
            <w:r>
              <w:t>Eyes open rest</w:t>
            </w:r>
          </w:p>
        </w:tc>
        <w:tc>
          <w:tcPr>
            <w:tcW w:w="0" w:type="auto"/>
          </w:tcPr>
          <w:p w14:paraId="7AECAFD0" w14:textId="77777777" w:rsidR="008F7EB9" w:rsidRPr="00911A19" w:rsidRDefault="008F7EB9" w:rsidP="009720FA"/>
        </w:tc>
        <w:tc>
          <w:tcPr>
            <w:tcW w:w="0" w:type="auto"/>
          </w:tcPr>
          <w:p w14:paraId="6521A643" w14:textId="77777777" w:rsidR="008F7EB9" w:rsidRPr="00911A19" w:rsidRDefault="008F7EB9" w:rsidP="009720FA"/>
        </w:tc>
        <w:tc>
          <w:tcPr>
            <w:tcW w:w="0" w:type="auto"/>
          </w:tcPr>
          <w:p w14:paraId="56F4412A" w14:textId="77777777" w:rsidR="008F7EB9" w:rsidRPr="00911A19" w:rsidRDefault="008F7EB9" w:rsidP="009720FA"/>
        </w:tc>
        <w:tc>
          <w:tcPr>
            <w:tcW w:w="0" w:type="auto"/>
          </w:tcPr>
          <w:p w14:paraId="7374C684" w14:textId="77777777" w:rsidR="008F7EB9" w:rsidRPr="00911A19" w:rsidRDefault="008F7EB9" w:rsidP="009720FA"/>
        </w:tc>
        <w:tc>
          <w:tcPr>
            <w:tcW w:w="0" w:type="auto"/>
          </w:tcPr>
          <w:p w14:paraId="61F0A31F" w14:textId="4EE1EC31" w:rsidR="008F7EB9" w:rsidRPr="00911A19" w:rsidRDefault="0032252B" w:rsidP="009720FA">
            <w:r>
              <w:t>Eyes closed rest</w:t>
            </w:r>
          </w:p>
        </w:tc>
        <w:tc>
          <w:tcPr>
            <w:tcW w:w="0" w:type="auto"/>
          </w:tcPr>
          <w:p w14:paraId="67AECF20" w14:textId="77777777" w:rsidR="008F7EB9" w:rsidRPr="00911A19" w:rsidRDefault="008F7EB9" w:rsidP="009720FA"/>
        </w:tc>
        <w:tc>
          <w:tcPr>
            <w:tcW w:w="0" w:type="auto"/>
          </w:tcPr>
          <w:p w14:paraId="384CE9EC" w14:textId="77777777" w:rsidR="008F7EB9" w:rsidRPr="00911A19" w:rsidRDefault="008F7EB9" w:rsidP="009720FA"/>
        </w:tc>
        <w:tc>
          <w:tcPr>
            <w:tcW w:w="0" w:type="auto"/>
          </w:tcPr>
          <w:p w14:paraId="79B6E0C4" w14:textId="77777777" w:rsidR="008F7EB9" w:rsidRPr="00911A19" w:rsidRDefault="008F7EB9" w:rsidP="009720FA"/>
        </w:tc>
        <w:tc>
          <w:tcPr>
            <w:tcW w:w="0" w:type="auto"/>
          </w:tcPr>
          <w:p w14:paraId="77D9BDD4" w14:textId="77777777" w:rsidR="008F7EB9" w:rsidRPr="00911A19" w:rsidRDefault="008F7EB9" w:rsidP="009720FA"/>
        </w:tc>
      </w:tr>
      <w:tr w:rsidR="00327DA2" w:rsidRPr="00A16981" w14:paraId="559678F1" w14:textId="77777777" w:rsidTr="007A266B">
        <w:trPr>
          <w:trHeight w:val="231"/>
        </w:trPr>
        <w:tc>
          <w:tcPr>
            <w:tcW w:w="0" w:type="auto"/>
          </w:tcPr>
          <w:p w14:paraId="13B85807" w14:textId="77777777" w:rsidR="00911A19" w:rsidRPr="00911A19" w:rsidRDefault="00911A19" w:rsidP="009720FA">
            <w:pPr>
              <w:spacing w:line="259" w:lineRule="auto"/>
            </w:pPr>
          </w:p>
        </w:tc>
        <w:tc>
          <w:tcPr>
            <w:tcW w:w="0" w:type="auto"/>
          </w:tcPr>
          <w:p w14:paraId="2215B7CC" w14:textId="77777777" w:rsidR="00911A19" w:rsidRPr="00911A19" w:rsidRDefault="00911A19" w:rsidP="009720FA">
            <w:pPr>
              <w:spacing w:line="259" w:lineRule="auto"/>
            </w:pPr>
            <w:bookmarkStart w:id="6" w:name="Results"/>
            <w:bookmarkStart w:id="7" w:name="_bookmark0"/>
            <w:bookmarkEnd w:id="6"/>
            <w:bookmarkEnd w:id="7"/>
            <w:r w:rsidRPr="00911A19">
              <w:t>Delta</w:t>
            </w:r>
          </w:p>
        </w:tc>
        <w:tc>
          <w:tcPr>
            <w:tcW w:w="0" w:type="auto"/>
          </w:tcPr>
          <w:p w14:paraId="3638C9E1" w14:textId="77777777" w:rsidR="00911A19" w:rsidRPr="00911A19" w:rsidRDefault="00911A19" w:rsidP="009720FA">
            <w:pPr>
              <w:spacing w:line="259" w:lineRule="auto"/>
            </w:pPr>
            <w:r w:rsidRPr="00911A19">
              <w:t>Theta</w:t>
            </w:r>
          </w:p>
        </w:tc>
        <w:tc>
          <w:tcPr>
            <w:tcW w:w="0" w:type="auto"/>
          </w:tcPr>
          <w:p w14:paraId="3BA57C21" w14:textId="77777777" w:rsidR="00911A19" w:rsidRPr="00911A19" w:rsidRDefault="00911A19" w:rsidP="009720FA">
            <w:pPr>
              <w:spacing w:line="259" w:lineRule="auto"/>
            </w:pPr>
            <w:r w:rsidRPr="00911A19">
              <w:t>Alpha</w:t>
            </w:r>
          </w:p>
        </w:tc>
        <w:tc>
          <w:tcPr>
            <w:tcW w:w="0" w:type="auto"/>
          </w:tcPr>
          <w:p w14:paraId="5697CB17" w14:textId="77777777" w:rsidR="00911A19" w:rsidRPr="00911A19" w:rsidRDefault="00911A19" w:rsidP="009720FA">
            <w:pPr>
              <w:spacing w:line="259" w:lineRule="auto"/>
            </w:pPr>
            <w:r w:rsidRPr="00911A19">
              <w:t>Beta</w:t>
            </w:r>
          </w:p>
        </w:tc>
        <w:tc>
          <w:tcPr>
            <w:tcW w:w="0" w:type="auto"/>
          </w:tcPr>
          <w:p w14:paraId="185707AD" w14:textId="77777777" w:rsidR="00911A19" w:rsidRPr="00911A19" w:rsidRDefault="00911A19" w:rsidP="009720FA">
            <w:pPr>
              <w:spacing w:line="259" w:lineRule="auto"/>
            </w:pPr>
            <w:r w:rsidRPr="00911A19">
              <w:t>A</w:t>
            </w:r>
            <w:bookmarkStart w:id="8" w:name="Aim_1_-_Reliability"/>
            <w:bookmarkStart w:id="9" w:name="Eyes-Open_Rest"/>
            <w:bookmarkEnd w:id="8"/>
            <w:bookmarkEnd w:id="9"/>
            <w:r w:rsidRPr="00911A19">
              <w:t>verage</w:t>
            </w:r>
          </w:p>
        </w:tc>
        <w:tc>
          <w:tcPr>
            <w:tcW w:w="0" w:type="auto"/>
          </w:tcPr>
          <w:p w14:paraId="5DCE34EA" w14:textId="77777777" w:rsidR="00911A19" w:rsidRPr="00911A19" w:rsidRDefault="00911A19" w:rsidP="009720FA">
            <w:pPr>
              <w:spacing w:line="259" w:lineRule="auto"/>
            </w:pPr>
            <w:r w:rsidRPr="00911A19">
              <w:t>Delta</w:t>
            </w:r>
          </w:p>
        </w:tc>
        <w:tc>
          <w:tcPr>
            <w:tcW w:w="0" w:type="auto"/>
          </w:tcPr>
          <w:p w14:paraId="4AD0D045" w14:textId="77777777" w:rsidR="00911A19" w:rsidRPr="00911A19" w:rsidRDefault="00911A19" w:rsidP="009720FA">
            <w:pPr>
              <w:spacing w:line="259" w:lineRule="auto"/>
            </w:pPr>
            <w:r w:rsidRPr="00911A19">
              <w:t>Theta</w:t>
            </w:r>
          </w:p>
        </w:tc>
        <w:tc>
          <w:tcPr>
            <w:tcW w:w="0" w:type="auto"/>
          </w:tcPr>
          <w:p w14:paraId="47D2CA0C" w14:textId="77777777" w:rsidR="00911A19" w:rsidRPr="00911A19" w:rsidRDefault="00911A19" w:rsidP="009720FA">
            <w:pPr>
              <w:spacing w:line="259" w:lineRule="auto"/>
            </w:pPr>
            <w:r w:rsidRPr="00911A19">
              <w:t>Alpha</w:t>
            </w:r>
          </w:p>
        </w:tc>
        <w:tc>
          <w:tcPr>
            <w:tcW w:w="0" w:type="auto"/>
          </w:tcPr>
          <w:p w14:paraId="7C9E062C" w14:textId="77777777" w:rsidR="00911A19" w:rsidRPr="00911A19" w:rsidRDefault="00911A19" w:rsidP="009720FA">
            <w:pPr>
              <w:spacing w:line="259" w:lineRule="auto"/>
            </w:pPr>
            <w:r w:rsidRPr="00911A19">
              <w:t>Beta</w:t>
            </w:r>
          </w:p>
        </w:tc>
        <w:tc>
          <w:tcPr>
            <w:tcW w:w="0" w:type="auto"/>
          </w:tcPr>
          <w:p w14:paraId="555FC1B1" w14:textId="77777777" w:rsidR="00911A19" w:rsidRPr="00911A19" w:rsidRDefault="00911A19" w:rsidP="009720FA">
            <w:pPr>
              <w:spacing w:line="259" w:lineRule="auto"/>
            </w:pPr>
            <w:r w:rsidRPr="00911A19">
              <w:t>Average</w:t>
            </w:r>
          </w:p>
        </w:tc>
      </w:tr>
      <w:tr w:rsidR="000911CB" w:rsidRPr="00A16981" w14:paraId="63C82973" w14:textId="77777777" w:rsidTr="007A266B">
        <w:trPr>
          <w:trHeight w:val="210"/>
        </w:trPr>
        <w:tc>
          <w:tcPr>
            <w:tcW w:w="0" w:type="auto"/>
          </w:tcPr>
          <w:p w14:paraId="6DEE2954" w14:textId="77777777" w:rsidR="00911A19" w:rsidRPr="00911A19" w:rsidRDefault="00911A19" w:rsidP="009720FA">
            <w:pPr>
              <w:spacing w:line="259" w:lineRule="auto"/>
            </w:pPr>
            <w:r w:rsidRPr="00911A19">
              <w:t>Whole brain</w:t>
            </w:r>
          </w:p>
        </w:tc>
        <w:tc>
          <w:tcPr>
            <w:tcW w:w="0" w:type="auto"/>
            <w:shd w:val="clear" w:color="auto" w:fill="FFFF00"/>
          </w:tcPr>
          <w:p w14:paraId="64B4725A" w14:textId="77777777" w:rsidR="00911A19" w:rsidRPr="00911A19" w:rsidRDefault="00911A19" w:rsidP="009720FA">
            <w:pPr>
              <w:spacing w:line="259" w:lineRule="auto"/>
            </w:pPr>
            <w:r w:rsidRPr="00911A19">
              <w:t>0.575</w:t>
            </w:r>
          </w:p>
        </w:tc>
        <w:tc>
          <w:tcPr>
            <w:tcW w:w="0" w:type="auto"/>
            <w:shd w:val="clear" w:color="auto" w:fill="FFFF00"/>
          </w:tcPr>
          <w:p w14:paraId="7993C3D4" w14:textId="77777777" w:rsidR="00911A19" w:rsidRPr="00911A19" w:rsidRDefault="00911A19" w:rsidP="009720FA">
            <w:pPr>
              <w:spacing w:line="259" w:lineRule="auto"/>
            </w:pPr>
            <w:r w:rsidRPr="00911A19">
              <w:t>0.546</w:t>
            </w:r>
          </w:p>
        </w:tc>
        <w:tc>
          <w:tcPr>
            <w:tcW w:w="0" w:type="auto"/>
            <w:shd w:val="clear" w:color="auto" w:fill="FFFF00"/>
          </w:tcPr>
          <w:p w14:paraId="34CC93C1" w14:textId="77777777" w:rsidR="00911A19" w:rsidRPr="00911A19" w:rsidRDefault="00911A19" w:rsidP="009720FA">
            <w:pPr>
              <w:spacing w:line="259" w:lineRule="auto"/>
            </w:pPr>
            <w:r w:rsidRPr="00911A19">
              <w:t>0.725</w:t>
            </w:r>
          </w:p>
        </w:tc>
        <w:tc>
          <w:tcPr>
            <w:tcW w:w="0" w:type="auto"/>
            <w:shd w:val="clear" w:color="auto" w:fill="00B050"/>
          </w:tcPr>
          <w:p w14:paraId="274D10C8" w14:textId="77777777" w:rsidR="00911A19" w:rsidRPr="00911A19" w:rsidRDefault="00911A19" w:rsidP="009720FA">
            <w:pPr>
              <w:spacing w:line="259" w:lineRule="auto"/>
            </w:pPr>
            <w:r w:rsidRPr="00911A19">
              <w:t>0.815</w:t>
            </w:r>
          </w:p>
        </w:tc>
        <w:tc>
          <w:tcPr>
            <w:tcW w:w="0" w:type="auto"/>
            <w:shd w:val="clear" w:color="auto" w:fill="FFFF00"/>
          </w:tcPr>
          <w:p w14:paraId="52898EF0" w14:textId="77777777" w:rsidR="00911A19" w:rsidRPr="00911A19" w:rsidRDefault="00911A19" w:rsidP="009720FA">
            <w:pPr>
              <w:spacing w:line="259" w:lineRule="auto"/>
              <w:rPr>
                <w:i/>
                <w:iCs/>
              </w:rPr>
            </w:pPr>
            <w:r w:rsidRPr="00911A19">
              <w:rPr>
                <w:i/>
                <w:iCs/>
              </w:rPr>
              <w:t>0.665</w:t>
            </w:r>
          </w:p>
        </w:tc>
        <w:tc>
          <w:tcPr>
            <w:tcW w:w="0" w:type="auto"/>
            <w:shd w:val="clear" w:color="auto" w:fill="FFFF00"/>
          </w:tcPr>
          <w:p w14:paraId="023D7591" w14:textId="77777777" w:rsidR="00911A19" w:rsidRPr="00911A19" w:rsidRDefault="00911A19" w:rsidP="009720FA">
            <w:pPr>
              <w:spacing w:line="259" w:lineRule="auto"/>
            </w:pPr>
            <w:r w:rsidRPr="00911A19">
              <w:t>0.566</w:t>
            </w:r>
          </w:p>
        </w:tc>
        <w:tc>
          <w:tcPr>
            <w:tcW w:w="0" w:type="auto"/>
            <w:shd w:val="clear" w:color="auto" w:fill="00B050"/>
          </w:tcPr>
          <w:p w14:paraId="0AD3F021" w14:textId="77777777" w:rsidR="00911A19" w:rsidRPr="00911A19" w:rsidRDefault="00911A19" w:rsidP="009720FA">
            <w:pPr>
              <w:spacing w:line="259" w:lineRule="auto"/>
            </w:pPr>
            <w:r w:rsidRPr="00911A19">
              <w:t>0.878</w:t>
            </w:r>
          </w:p>
        </w:tc>
        <w:tc>
          <w:tcPr>
            <w:tcW w:w="0" w:type="auto"/>
            <w:shd w:val="clear" w:color="auto" w:fill="FFFF00"/>
          </w:tcPr>
          <w:p w14:paraId="7FAFDB28" w14:textId="77777777" w:rsidR="00911A19" w:rsidRPr="00911A19" w:rsidRDefault="00911A19" w:rsidP="009720FA">
            <w:pPr>
              <w:spacing w:line="259" w:lineRule="auto"/>
            </w:pPr>
            <w:r w:rsidRPr="00911A19">
              <w:t>0.727</w:t>
            </w:r>
          </w:p>
        </w:tc>
        <w:tc>
          <w:tcPr>
            <w:tcW w:w="0" w:type="auto"/>
            <w:shd w:val="clear" w:color="auto" w:fill="00B050"/>
          </w:tcPr>
          <w:p w14:paraId="18779512" w14:textId="77777777" w:rsidR="00911A19" w:rsidRPr="00911A19" w:rsidRDefault="00911A19" w:rsidP="009720FA">
            <w:pPr>
              <w:spacing w:line="259" w:lineRule="auto"/>
            </w:pPr>
            <w:r w:rsidRPr="00911A19">
              <w:t>0.750</w:t>
            </w:r>
          </w:p>
        </w:tc>
        <w:tc>
          <w:tcPr>
            <w:tcW w:w="0" w:type="auto"/>
            <w:shd w:val="clear" w:color="auto" w:fill="FFFF00"/>
          </w:tcPr>
          <w:p w14:paraId="3E9E8E5C" w14:textId="77777777" w:rsidR="00911A19" w:rsidRPr="00911A19" w:rsidRDefault="00911A19" w:rsidP="009720FA">
            <w:pPr>
              <w:spacing w:line="259" w:lineRule="auto"/>
              <w:rPr>
                <w:i/>
                <w:iCs/>
              </w:rPr>
            </w:pPr>
            <w:r w:rsidRPr="00911A19">
              <w:rPr>
                <w:i/>
                <w:iCs/>
              </w:rPr>
              <w:t>0.73</w:t>
            </w:r>
          </w:p>
        </w:tc>
      </w:tr>
      <w:tr w:rsidR="00327DA2" w:rsidRPr="00A16981" w14:paraId="047EDD24" w14:textId="77777777" w:rsidTr="007A266B">
        <w:trPr>
          <w:trHeight w:val="210"/>
        </w:trPr>
        <w:tc>
          <w:tcPr>
            <w:tcW w:w="0" w:type="auto"/>
          </w:tcPr>
          <w:p w14:paraId="10EB0C4D" w14:textId="77777777" w:rsidR="00911A19" w:rsidRPr="00911A19" w:rsidRDefault="00911A19" w:rsidP="009720FA">
            <w:pPr>
              <w:spacing w:line="259" w:lineRule="auto"/>
            </w:pPr>
          </w:p>
        </w:tc>
        <w:tc>
          <w:tcPr>
            <w:tcW w:w="0" w:type="auto"/>
            <w:shd w:val="clear" w:color="auto" w:fill="FFFF00"/>
          </w:tcPr>
          <w:p w14:paraId="2443B28D" w14:textId="77777777" w:rsidR="00911A19" w:rsidRPr="00911A19" w:rsidRDefault="00911A19" w:rsidP="009720FA">
            <w:pPr>
              <w:spacing w:line="259" w:lineRule="auto"/>
            </w:pPr>
            <w:r w:rsidRPr="00911A19">
              <w:t>0.197–0.804</w:t>
            </w:r>
          </w:p>
        </w:tc>
        <w:tc>
          <w:tcPr>
            <w:tcW w:w="0" w:type="auto"/>
            <w:shd w:val="clear" w:color="auto" w:fill="FFFF00"/>
          </w:tcPr>
          <w:p w14:paraId="54259720" w14:textId="77777777" w:rsidR="00911A19" w:rsidRPr="00911A19" w:rsidRDefault="00911A19" w:rsidP="009720FA">
            <w:pPr>
              <w:spacing w:line="259" w:lineRule="auto"/>
            </w:pPr>
            <w:r w:rsidRPr="00911A19">
              <w:t>0.152—-0.788</w:t>
            </w:r>
          </w:p>
        </w:tc>
        <w:tc>
          <w:tcPr>
            <w:tcW w:w="0" w:type="auto"/>
            <w:shd w:val="clear" w:color="auto" w:fill="FFFF00"/>
          </w:tcPr>
          <w:p w14:paraId="4123808A" w14:textId="77777777" w:rsidR="00911A19" w:rsidRPr="00911A19" w:rsidRDefault="00911A19" w:rsidP="009720FA">
            <w:pPr>
              <w:spacing w:line="259" w:lineRule="auto"/>
            </w:pPr>
            <w:r w:rsidRPr="00911A19">
              <w:t>0.444–0.877</w:t>
            </w:r>
          </w:p>
        </w:tc>
        <w:tc>
          <w:tcPr>
            <w:tcW w:w="0" w:type="auto"/>
            <w:shd w:val="clear" w:color="auto" w:fill="00B050"/>
          </w:tcPr>
          <w:p w14:paraId="0A0706C7" w14:textId="77777777" w:rsidR="00911A19" w:rsidRPr="00911A19" w:rsidRDefault="00911A19" w:rsidP="009720FA">
            <w:pPr>
              <w:spacing w:line="259" w:lineRule="auto"/>
            </w:pPr>
            <w:r w:rsidRPr="00911A19">
              <w:t>0.597–0.921</w:t>
            </w:r>
          </w:p>
        </w:tc>
        <w:tc>
          <w:tcPr>
            <w:tcW w:w="0" w:type="auto"/>
          </w:tcPr>
          <w:p w14:paraId="4A9BAF33" w14:textId="77777777" w:rsidR="00911A19" w:rsidRPr="00911A19" w:rsidRDefault="00911A19" w:rsidP="009720FA">
            <w:pPr>
              <w:spacing w:line="259" w:lineRule="auto"/>
            </w:pPr>
          </w:p>
        </w:tc>
        <w:tc>
          <w:tcPr>
            <w:tcW w:w="0" w:type="auto"/>
            <w:shd w:val="clear" w:color="auto" w:fill="FFFF00"/>
          </w:tcPr>
          <w:p w14:paraId="519D0620" w14:textId="77777777" w:rsidR="00911A19" w:rsidRPr="00911A19" w:rsidRDefault="00911A19" w:rsidP="009720FA">
            <w:pPr>
              <w:spacing w:line="259" w:lineRule="auto"/>
            </w:pPr>
            <w:r w:rsidRPr="00911A19">
              <w:t>0.179–0.799</w:t>
            </w:r>
          </w:p>
        </w:tc>
        <w:tc>
          <w:tcPr>
            <w:tcW w:w="0" w:type="auto"/>
            <w:shd w:val="clear" w:color="auto" w:fill="00B050"/>
          </w:tcPr>
          <w:p w14:paraId="1000E839" w14:textId="77777777" w:rsidR="00911A19" w:rsidRPr="00911A19" w:rsidRDefault="00911A19" w:rsidP="009720FA">
            <w:pPr>
              <w:spacing w:line="259" w:lineRule="auto"/>
            </w:pPr>
            <w:r w:rsidRPr="00911A19">
              <w:t>0.727–0.948</w:t>
            </w:r>
          </w:p>
        </w:tc>
        <w:tc>
          <w:tcPr>
            <w:tcW w:w="0" w:type="auto"/>
            <w:shd w:val="clear" w:color="auto" w:fill="FFFF00"/>
          </w:tcPr>
          <w:p w14:paraId="0DD98A15" w14:textId="77777777" w:rsidR="00911A19" w:rsidRPr="00911A19" w:rsidRDefault="00911A19" w:rsidP="009720FA">
            <w:pPr>
              <w:spacing w:line="259" w:lineRule="auto"/>
            </w:pPr>
            <w:r w:rsidRPr="00911A19">
              <w:t>0.437–0.880</w:t>
            </w:r>
          </w:p>
        </w:tc>
        <w:tc>
          <w:tcPr>
            <w:tcW w:w="0" w:type="auto"/>
            <w:shd w:val="clear" w:color="auto" w:fill="00B050"/>
          </w:tcPr>
          <w:p w14:paraId="6D930405" w14:textId="77777777" w:rsidR="00911A19" w:rsidRPr="00911A19" w:rsidRDefault="00911A19" w:rsidP="009720FA">
            <w:pPr>
              <w:spacing w:line="259" w:lineRule="auto"/>
            </w:pPr>
            <w:r w:rsidRPr="00911A19">
              <w:t>0.484–0.890</w:t>
            </w:r>
          </w:p>
        </w:tc>
        <w:tc>
          <w:tcPr>
            <w:tcW w:w="0" w:type="auto"/>
          </w:tcPr>
          <w:p w14:paraId="3C0E1D17" w14:textId="77777777" w:rsidR="00911A19" w:rsidRPr="00911A19" w:rsidRDefault="00911A19" w:rsidP="009720FA">
            <w:pPr>
              <w:spacing w:line="259" w:lineRule="auto"/>
            </w:pPr>
          </w:p>
        </w:tc>
      </w:tr>
      <w:tr w:rsidR="000911CB" w:rsidRPr="00A16981" w14:paraId="159E7C5A" w14:textId="77777777" w:rsidTr="007A266B">
        <w:trPr>
          <w:trHeight w:val="210"/>
        </w:trPr>
        <w:tc>
          <w:tcPr>
            <w:tcW w:w="0" w:type="auto"/>
          </w:tcPr>
          <w:p w14:paraId="11F66321" w14:textId="77777777" w:rsidR="00911A19" w:rsidRPr="00911A19" w:rsidRDefault="00911A19" w:rsidP="009720FA">
            <w:pPr>
              <w:spacing w:line="259" w:lineRule="auto"/>
            </w:pPr>
            <w:r w:rsidRPr="00911A19">
              <w:t>Clinical</w:t>
            </w:r>
          </w:p>
        </w:tc>
        <w:tc>
          <w:tcPr>
            <w:tcW w:w="0" w:type="auto"/>
            <w:shd w:val="clear" w:color="auto" w:fill="FFFF00"/>
          </w:tcPr>
          <w:p w14:paraId="3445B38B" w14:textId="77777777" w:rsidR="00911A19" w:rsidRPr="00911A19" w:rsidRDefault="00911A19" w:rsidP="009720FA">
            <w:pPr>
              <w:spacing w:line="259" w:lineRule="auto"/>
            </w:pPr>
            <w:r w:rsidRPr="00911A19">
              <w:t>0.652</w:t>
            </w:r>
          </w:p>
        </w:tc>
        <w:tc>
          <w:tcPr>
            <w:tcW w:w="0" w:type="auto"/>
            <w:shd w:val="clear" w:color="auto" w:fill="FFFF00"/>
          </w:tcPr>
          <w:p w14:paraId="7105AB11" w14:textId="77777777" w:rsidR="00911A19" w:rsidRPr="00911A19" w:rsidRDefault="00911A19" w:rsidP="009720FA">
            <w:pPr>
              <w:spacing w:line="259" w:lineRule="auto"/>
            </w:pPr>
            <w:r w:rsidRPr="00911A19">
              <w:t>0.522</w:t>
            </w:r>
          </w:p>
        </w:tc>
        <w:tc>
          <w:tcPr>
            <w:tcW w:w="0" w:type="auto"/>
            <w:shd w:val="clear" w:color="auto" w:fill="FFFF00"/>
          </w:tcPr>
          <w:p w14:paraId="0180A7A3" w14:textId="77777777" w:rsidR="00911A19" w:rsidRPr="00911A19" w:rsidRDefault="00911A19" w:rsidP="009720FA">
            <w:pPr>
              <w:spacing w:line="259" w:lineRule="auto"/>
            </w:pPr>
            <w:r w:rsidRPr="00911A19">
              <w:t>0.738</w:t>
            </w:r>
          </w:p>
        </w:tc>
        <w:tc>
          <w:tcPr>
            <w:tcW w:w="0" w:type="auto"/>
            <w:shd w:val="clear" w:color="auto" w:fill="00B050"/>
          </w:tcPr>
          <w:p w14:paraId="3FABC074" w14:textId="77777777" w:rsidR="00911A19" w:rsidRPr="00911A19" w:rsidRDefault="00911A19" w:rsidP="009720FA">
            <w:pPr>
              <w:spacing w:line="259" w:lineRule="auto"/>
            </w:pPr>
            <w:r w:rsidRPr="00911A19">
              <w:t>0.802</w:t>
            </w:r>
          </w:p>
        </w:tc>
        <w:tc>
          <w:tcPr>
            <w:tcW w:w="0" w:type="auto"/>
            <w:shd w:val="clear" w:color="auto" w:fill="FFFF00"/>
          </w:tcPr>
          <w:p w14:paraId="3B02EA60" w14:textId="77777777" w:rsidR="00911A19" w:rsidRPr="00911A19" w:rsidRDefault="00911A19" w:rsidP="009720FA">
            <w:pPr>
              <w:spacing w:line="259" w:lineRule="auto"/>
              <w:rPr>
                <w:i/>
                <w:iCs/>
              </w:rPr>
            </w:pPr>
            <w:r w:rsidRPr="00911A19">
              <w:rPr>
                <w:i/>
                <w:iCs/>
              </w:rPr>
              <w:t>0.679</w:t>
            </w:r>
          </w:p>
        </w:tc>
        <w:tc>
          <w:tcPr>
            <w:tcW w:w="0" w:type="auto"/>
            <w:shd w:val="clear" w:color="auto" w:fill="FFFF00"/>
          </w:tcPr>
          <w:p w14:paraId="79E627B5" w14:textId="77777777" w:rsidR="00911A19" w:rsidRPr="00911A19" w:rsidRDefault="00911A19" w:rsidP="009720FA">
            <w:pPr>
              <w:spacing w:line="259" w:lineRule="auto"/>
            </w:pPr>
            <w:r w:rsidRPr="00911A19">
              <w:t>0.608</w:t>
            </w:r>
          </w:p>
        </w:tc>
        <w:tc>
          <w:tcPr>
            <w:tcW w:w="0" w:type="auto"/>
            <w:shd w:val="clear" w:color="auto" w:fill="00B050"/>
          </w:tcPr>
          <w:p w14:paraId="0D8E4BDC" w14:textId="77777777" w:rsidR="00911A19" w:rsidRPr="00911A19" w:rsidRDefault="00911A19" w:rsidP="009720FA">
            <w:pPr>
              <w:spacing w:line="259" w:lineRule="auto"/>
            </w:pPr>
            <w:r w:rsidRPr="00911A19">
              <w:t>0.852</w:t>
            </w:r>
          </w:p>
        </w:tc>
        <w:tc>
          <w:tcPr>
            <w:tcW w:w="0" w:type="auto"/>
            <w:shd w:val="clear" w:color="auto" w:fill="FFFF00"/>
          </w:tcPr>
          <w:p w14:paraId="2700E933" w14:textId="77777777" w:rsidR="00911A19" w:rsidRPr="00911A19" w:rsidRDefault="00911A19" w:rsidP="009720FA">
            <w:pPr>
              <w:spacing w:line="259" w:lineRule="auto"/>
            </w:pPr>
            <w:r w:rsidRPr="00911A19">
              <w:t>0.704</w:t>
            </w:r>
          </w:p>
        </w:tc>
        <w:tc>
          <w:tcPr>
            <w:tcW w:w="0" w:type="auto"/>
            <w:shd w:val="clear" w:color="auto" w:fill="FFFF00"/>
          </w:tcPr>
          <w:p w14:paraId="68FF1ECB" w14:textId="77777777" w:rsidR="00911A19" w:rsidRPr="00911A19" w:rsidRDefault="00911A19" w:rsidP="009720FA">
            <w:pPr>
              <w:spacing w:line="259" w:lineRule="auto"/>
            </w:pPr>
            <w:r w:rsidRPr="00911A19">
              <w:t>0.742</w:t>
            </w:r>
          </w:p>
        </w:tc>
        <w:tc>
          <w:tcPr>
            <w:tcW w:w="0" w:type="auto"/>
            <w:shd w:val="clear" w:color="auto" w:fill="FFFF00"/>
          </w:tcPr>
          <w:p w14:paraId="1E4D46B6" w14:textId="77777777" w:rsidR="00911A19" w:rsidRPr="00911A19" w:rsidRDefault="00911A19" w:rsidP="009720FA">
            <w:pPr>
              <w:spacing w:line="259" w:lineRule="auto"/>
              <w:rPr>
                <w:i/>
                <w:iCs/>
              </w:rPr>
            </w:pPr>
            <w:r w:rsidRPr="00911A19">
              <w:rPr>
                <w:i/>
                <w:iCs/>
              </w:rPr>
              <w:t>0.727</w:t>
            </w:r>
          </w:p>
        </w:tc>
      </w:tr>
      <w:tr w:rsidR="00327DA2" w:rsidRPr="00A16981" w14:paraId="382AC791" w14:textId="77777777" w:rsidTr="007A266B">
        <w:trPr>
          <w:trHeight w:val="210"/>
        </w:trPr>
        <w:tc>
          <w:tcPr>
            <w:tcW w:w="0" w:type="auto"/>
          </w:tcPr>
          <w:p w14:paraId="7C154010" w14:textId="77777777" w:rsidR="00911A19" w:rsidRPr="00911A19" w:rsidRDefault="00911A19" w:rsidP="009720FA">
            <w:pPr>
              <w:spacing w:line="259" w:lineRule="auto"/>
            </w:pPr>
          </w:p>
        </w:tc>
        <w:tc>
          <w:tcPr>
            <w:tcW w:w="0" w:type="auto"/>
            <w:shd w:val="clear" w:color="auto" w:fill="FFFF00"/>
          </w:tcPr>
          <w:p w14:paraId="5647AEEE" w14:textId="77777777" w:rsidR="00911A19" w:rsidRPr="00911A19" w:rsidRDefault="00911A19" w:rsidP="009720FA">
            <w:pPr>
              <w:spacing w:line="259" w:lineRule="auto"/>
            </w:pPr>
            <w:r w:rsidRPr="00911A19">
              <w:t>0.322–0.842</w:t>
            </w:r>
          </w:p>
        </w:tc>
        <w:tc>
          <w:tcPr>
            <w:tcW w:w="0" w:type="auto"/>
            <w:shd w:val="clear" w:color="auto" w:fill="FFFF00"/>
          </w:tcPr>
          <w:p w14:paraId="170EC9E3" w14:textId="77777777" w:rsidR="00911A19" w:rsidRPr="00911A19" w:rsidRDefault="00911A19" w:rsidP="009720FA">
            <w:pPr>
              <w:spacing w:line="259" w:lineRule="auto"/>
            </w:pPr>
            <w:r w:rsidRPr="00911A19">
              <w:t>0.119–0.776</w:t>
            </w:r>
          </w:p>
        </w:tc>
        <w:tc>
          <w:tcPr>
            <w:tcW w:w="0" w:type="auto"/>
            <w:shd w:val="clear" w:color="auto" w:fill="FFFF00"/>
          </w:tcPr>
          <w:p w14:paraId="2D63D2BF" w14:textId="77777777" w:rsidR="00911A19" w:rsidRPr="00911A19" w:rsidRDefault="00911A19" w:rsidP="009720FA">
            <w:pPr>
              <w:spacing w:line="259" w:lineRule="auto"/>
            </w:pPr>
            <w:r w:rsidRPr="00911A19">
              <w:t>0.467–0.884</w:t>
            </w:r>
          </w:p>
        </w:tc>
        <w:tc>
          <w:tcPr>
            <w:tcW w:w="0" w:type="auto"/>
            <w:shd w:val="clear" w:color="auto" w:fill="00B050"/>
          </w:tcPr>
          <w:p w14:paraId="6998B596" w14:textId="77777777" w:rsidR="00911A19" w:rsidRPr="00911A19" w:rsidRDefault="00911A19" w:rsidP="009720FA">
            <w:pPr>
              <w:spacing w:line="259" w:lineRule="auto"/>
            </w:pPr>
            <w:r w:rsidRPr="00911A19">
              <w:t>0.572–0.915</w:t>
            </w:r>
          </w:p>
        </w:tc>
        <w:tc>
          <w:tcPr>
            <w:tcW w:w="0" w:type="auto"/>
          </w:tcPr>
          <w:p w14:paraId="227B3148" w14:textId="77777777" w:rsidR="00911A19" w:rsidRPr="00911A19" w:rsidRDefault="00911A19" w:rsidP="009720FA">
            <w:pPr>
              <w:spacing w:line="259" w:lineRule="auto"/>
            </w:pPr>
          </w:p>
        </w:tc>
        <w:tc>
          <w:tcPr>
            <w:tcW w:w="0" w:type="auto"/>
            <w:shd w:val="clear" w:color="auto" w:fill="FFFF00"/>
          </w:tcPr>
          <w:p w14:paraId="6B1E5F4F" w14:textId="77777777" w:rsidR="00911A19" w:rsidRPr="00911A19" w:rsidRDefault="00911A19" w:rsidP="009720FA">
            <w:pPr>
              <w:spacing w:line="259" w:lineRule="auto"/>
            </w:pPr>
            <w:r w:rsidRPr="00911A19">
              <w:t>0.241–0.821</w:t>
            </w:r>
          </w:p>
        </w:tc>
        <w:tc>
          <w:tcPr>
            <w:tcW w:w="0" w:type="auto"/>
            <w:shd w:val="clear" w:color="auto" w:fill="00B050"/>
          </w:tcPr>
          <w:p w14:paraId="073B56D5" w14:textId="77777777" w:rsidR="00911A19" w:rsidRPr="00911A19" w:rsidRDefault="00911A19" w:rsidP="009720FA">
            <w:pPr>
              <w:spacing w:line="259" w:lineRule="auto"/>
            </w:pPr>
            <w:r w:rsidRPr="00911A19">
              <w:t>0.669–0.937</w:t>
            </w:r>
          </w:p>
        </w:tc>
        <w:tc>
          <w:tcPr>
            <w:tcW w:w="0" w:type="auto"/>
            <w:shd w:val="clear" w:color="auto" w:fill="FFFF00"/>
          </w:tcPr>
          <w:p w14:paraId="0A7EEA0C" w14:textId="77777777" w:rsidR="00911A19" w:rsidRPr="00911A19" w:rsidRDefault="00911A19" w:rsidP="009720FA">
            <w:pPr>
              <w:spacing w:line="259" w:lineRule="auto"/>
            </w:pPr>
            <w:r w:rsidRPr="00911A19">
              <w:t>0.397–0.869</w:t>
            </w:r>
          </w:p>
        </w:tc>
        <w:tc>
          <w:tcPr>
            <w:tcW w:w="0" w:type="auto"/>
            <w:shd w:val="clear" w:color="auto" w:fill="FFFF00"/>
          </w:tcPr>
          <w:p w14:paraId="41E57878" w14:textId="77777777" w:rsidR="00911A19" w:rsidRPr="00911A19" w:rsidRDefault="00911A19" w:rsidP="009720FA">
            <w:pPr>
              <w:spacing w:line="259" w:lineRule="auto"/>
            </w:pPr>
            <w:r w:rsidRPr="00911A19">
              <w:t>0.467–0.886</w:t>
            </w:r>
          </w:p>
        </w:tc>
        <w:tc>
          <w:tcPr>
            <w:tcW w:w="0" w:type="auto"/>
          </w:tcPr>
          <w:p w14:paraId="1B4B7095" w14:textId="77777777" w:rsidR="00911A19" w:rsidRPr="00911A19" w:rsidRDefault="00911A19" w:rsidP="009720FA">
            <w:pPr>
              <w:spacing w:line="259" w:lineRule="auto"/>
            </w:pPr>
          </w:p>
        </w:tc>
      </w:tr>
      <w:tr w:rsidR="000911CB" w:rsidRPr="00A16981" w14:paraId="3CF32C6D" w14:textId="77777777" w:rsidTr="007A266B">
        <w:trPr>
          <w:trHeight w:val="210"/>
        </w:trPr>
        <w:tc>
          <w:tcPr>
            <w:tcW w:w="0" w:type="auto"/>
          </w:tcPr>
          <w:p w14:paraId="5C36CB6F" w14:textId="77777777" w:rsidR="00911A19" w:rsidRPr="00911A19" w:rsidRDefault="00911A19" w:rsidP="009720FA">
            <w:pPr>
              <w:spacing w:line="259" w:lineRule="auto"/>
            </w:pPr>
            <w:r w:rsidRPr="00911A19">
              <w:t>Left hemisphere</w:t>
            </w:r>
          </w:p>
        </w:tc>
        <w:tc>
          <w:tcPr>
            <w:tcW w:w="0" w:type="auto"/>
            <w:shd w:val="clear" w:color="auto" w:fill="FFFF00"/>
          </w:tcPr>
          <w:p w14:paraId="3D273F49" w14:textId="77777777" w:rsidR="00911A19" w:rsidRPr="00911A19" w:rsidRDefault="00911A19" w:rsidP="009720FA">
            <w:pPr>
              <w:spacing w:line="259" w:lineRule="auto"/>
            </w:pPr>
            <w:r w:rsidRPr="00911A19">
              <w:t>0.548</w:t>
            </w:r>
          </w:p>
        </w:tc>
        <w:tc>
          <w:tcPr>
            <w:tcW w:w="0" w:type="auto"/>
            <w:shd w:val="clear" w:color="auto" w:fill="FFFF00"/>
          </w:tcPr>
          <w:p w14:paraId="25B3A4D2" w14:textId="77777777" w:rsidR="00911A19" w:rsidRPr="00911A19" w:rsidRDefault="00911A19" w:rsidP="009720FA">
            <w:pPr>
              <w:spacing w:line="259" w:lineRule="auto"/>
            </w:pPr>
            <w:r w:rsidRPr="00911A19">
              <w:t>0.570</w:t>
            </w:r>
          </w:p>
        </w:tc>
        <w:tc>
          <w:tcPr>
            <w:tcW w:w="0" w:type="auto"/>
            <w:shd w:val="clear" w:color="auto" w:fill="00B050"/>
          </w:tcPr>
          <w:p w14:paraId="77C6C2D5" w14:textId="77777777" w:rsidR="00911A19" w:rsidRPr="00911A19" w:rsidRDefault="00911A19" w:rsidP="009720FA">
            <w:pPr>
              <w:spacing w:line="259" w:lineRule="auto"/>
            </w:pPr>
            <w:r w:rsidRPr="00911A19">
              <w:t>0.800</w:t>
            </w:r>
          </w:p>
        </w:tc>
        <w:tc>
          <w:tcPr>
            <w:tcW w:w="0" w:type="auto"/>
            <w:shd w:val="clear" w:color="auto" w:fill="00B050"/>
          </w:tcPr>
          <w:p w14:paraId="1F2D6E93" w14:textId="77777777" w:rsidR="00911A19" w:rsidRPr="00911A19" w:rsidRDefault="00911A19" w:rsidP="009720FA">
            <w:pPr>
              <w:spacing w:line="259" w:lineRule="auto"/>
            </w:pPr>
            <w:r w:rsidRPr="00911A19">
              <w:t>0.786</w:t>
            </w:r>
          </w:p>
        </w:tc>
        <w:tc>
          <w:tcPr>
            <w:tcW w:w="0" w:type="auto"/>
            <w:shd w:val="clear" w:color="auto" w:fill="FFFF00"/>
          </w:tcPr>
          <w:p w14:paraId="2CF7C75C" w14:textId="77777777" w:rsidR="00911A19" w:rsidRPr="00911A19" w:rsidRDefault="00911A19" w:rsidP="009720FA">
            <w:pPr>
              <w:spacing w:line="259" w:lineRule="auto"/>
              <w:rPr>
                <w:i/>
                <w:iCs/>
              </w:rPr>
            </w:pPr>
            <w:r w:rsidRPr="00911A19">
              <w:rPr>
                <w:i/>
                <w:iCs/>
              </w:rPr>
              <w:t>0.676</w:t>
            </w:r>
          </w:p>
        </w:tc>
        <w:tc>
          <w:tcPr>
            <w:tcW w:w="0" w:type="auto"/>
            <w:shd w:val="clear" w:color="auto" w:fill="FF0000"/>
          </w:tcPr>
          <w:p w14:paraId="38A7D29D" w14:textId="77777777" w:rsidR="00911A19" w:rsidRPr="00911A19" w:rsidRDefault="00911A19" w:rsidP="009720FA">
            <w:pPr>
              <w:spacing w:line="259" w:lineRule="auto"/>
            </w:pPr>
            <w:r w:rsidRPr="00911A19">
              <w:t>0.469</w:t>
            </w:r>
          </w:p>
        </w:tc>
        <w:tc>
          <w:tcPr>
            <w:tcW w:w="0" w:type="auto"/>
            <w:shd w:val="clear" w:color="auto" w:fill="FFFF00"/>
          </w:tcPr>
          <w:p w14:paraId="1947A1BC" w14:textId="77777777" w:rsidR="00911A19" w:rsidRPr="00911A19" w:rsidRDefault="00911A19" w:rsidP="009720FA">
            <w:pPr>
              <w:spacing w:line="259" w:lineRule="auto"/>
            </w:pPr>
            <w:r w:rsidRPr="00911A19">
              <w:t>0.746</w:t>
            </w:r>
          </w:p>
        </w:tc>
        <w:tc>
          <w:tcPr>
            <w:tcW w:w="0" w:type="auto"/>
            <w:shd w:val="clear" w:color="auto" w:fill="FFFF00"/>
          </w:tcPr>
          <w:p w14:paraId="6C1474D2" w14:textId="77777777" w:rsidR="00911A19" w:rsidRPr="00911A19" w:rsidRDefault="00911A19" w:rsidP="009720FA">
            <w:pPr>
              <w:spacing w:line="259" w:lineRule="auto"/>
            </w:pPr>
            <w:r w:rsidRPr="00911A19">
              <w:t>0.652</w:t>
            </w:r>
          </w:p>
        </w:tc>
        <w:tc>
          <w:tcPr>
            <w:tcW w:w="0" w:type="auto"/>
            <w:shd w:val="clear" w:color="auto" w:fill="FFFF00"/>
          </w:tcPr>
          <w:p w14:paraId="67D2A016" w14:textId="77777777" w:rsidR="00911A19" w:rsidRPr="00911A19" w:rsidRDefault="00911A19" w:rsidP="009720FA">
            <w:pPr>
              <w:spacing w:line="259" w:lineRule="auto"/>
            </w:pPr>
            <w:r w:rsidRPr="00911A19">
              <w:t>0.655</w:t>
            </w:r>
          </w:p>
        </w:tc>
        <w:tc>
          <w:tcPr>
            <w:tcW w:w="0" w:type="auto"/>
            <w:shd w:val="clear" w:color="auto" w:fill="FFFF00"/>
          </w:tcPr>
          <w:p w14:paraId="16545951" w14:textId="77777777" w:rsidR="00911A19" w:rsidRPr="00911A19" w:rsidRDefault="00911A19" w:rsidP="009720FA">
            <w:pPr>
              <w:spacing w:line="259" w:lineRule="auto"/>
              <w:rPr>
                <w:i/>
                <w:iCs/>
              </w:rPr>
            </w:pPr>
            <w:r w:rsidRPr="00911A19">
              <w:rPr>
                <w:i/>
                <w:iCs/>
              </w:rPr>
              <w:t>0.631</w:t>
            </w:r>
          </w:p>
        </w:tc>
      </w:tr>
      <w:tr w:rsidR="00D878FD" w:rsidRPr="00A16981" w14:paraId="4BABAE56" w14:textId="77777777" w:rsidTr="007A266B">
        <w:trPr>
          <w:trHeight w:val="210"/>
        </w:trPr>
        <w:tc>
          <w:tcPr>
            <w:tcW w:w="0" w:type="auto"/>
          </w:tcPr>
          <w:p w14:paraId="57FC2DAF" w14:textId="77777777" w:rsidR="00911A19" w:rsidRPr="00911A19" w:rsidRDefault="00911A19" w:rsidP="009720FA">
            <w:pPr>
              <w:spacing w:line="259" w:lineRule="auto"/>
            </w:pPr>
          </w:p>
        </w:tc>
        <w:tc>
          <w:tcPr>
            <w:tcW w:w="0" w:type="auto"/>
            <w:shd w:val="clear" w:color="auto" w:fill="FFFF00"/>
          </w:tcPr>
          <w:p w14:paraId="0071757C" w14:textId="77777777" w:rsidR="00911A19" w:rsidRPr="00911A19" w:rsidRDefault="00911A19" w:rsidP="009720FA">
            <w:pPr>
              <w:spacing w:line="259" w:lineRule="auto"/>
            </w:pPr>
            <w:r w:rsidRPr="00911A19">
              <w:t>0.164–0.788</w:t>
            </w:r>
          </w:p>
        </w:tc>
        <w:tc>
          <w:tcPr>
            <w:tcW w:w="0" w:type="auto"/>
            <w:shd w:val="clear" w:color="auto" w:fill="FFFF00"/>
          </w:tcPr>
          <w:p w14:paraId="1BB4C089" w14:textId="77777777" w:rsidR="00911A19" w:rsidRPr="00911A19" w:rsidRDefault="00911A19" w:rsidP="009720FA">
            <w:pPr>
              <w:spacing w:line="259" w:lineRule="auto"/>
            </w:pPr>
            <w:r w:rsidRPr="00911A19">
              <w:t>0.190–0.801</w:t>
            </w:r>
          </w:p>
        </w:tc>
        <w:tc>
          <w:tcPr>
            <w:tcW w:w="0" w:type="auto"/>
            <w:shd w:val="clear" w:color="auto" w:fill="00B050"/>
          </w:tcPr>
          <w:p w14:paraId="004AFAE0" w14:textId="77777777" w:rsidR="00911A19" w:rsidRPr="00911A19" w:rsidRDefault="00911A19" w:rsidP="009720FA">
            <w:pPr>
              <w:spacing w:line="259" w:lineRule="auto"/>
            </w:pPr>
            <w:r w:rsidRPr="00911A19">
              <w:t>0.576–0.913</w:t>
            </w:r>
          </w:p>
        </w:tc>
        <w:tc>
          <w:tcPr>
            <w:tcW w:w="0" w:type="auto"/>
            <w:shd w:val="clear" w:color="auto" w:fill="00B050"/>
          </w:tcPr>
          <w:p w14:paraId="57871DB5" w14:textId="77777777" w:rsidR="00911A19" w:rsidRPr="00911A19" w:rsidRDefault="00911A19" w:rsidP="009720FA">
            <w:pPr>
              <w:spacing w:line="259" w:lineRule="auto"/>
            </w:pPr>
            <w:r w:rsidRPr="00911A19">
              <w:t>0.541–0.908</w:t>
            </w:r>
          </w:p>
        </w:tc>
        <w:tc>
          <w:tcPr>
            <w:tcW w:w="0" w:type="auto"/>
          </w:tcPr>
          <w:p w14:paraId="758B7F08" w14:textId="77777777" w:rsidR="00911A19" w:rsidRPr="00911A19" w:rsidRDefault="00911A19" w:rsidP="009720FA">
            <w:pPr>
              <w:spacing w:line="259" w:lineRule="auto"/>
            </w:pPr>
          </w:p>
        </w:tc>
        <w:tc>
          <w:tcPr>
            <w:tcW w:w="0" w:type="auto"/>
            <w:shd w:val="clear" w:color="auto" w:fill="FF0000"/>
          </w:tcPr>
          <w:p w14:paraId="03955763" w14:textId="77777777" w:rsidR="00911A19" w:rsidRPr="00911A19" w:rsidRDefault="00911A19" w:rsidP="009720FA">
            <w:pPr>
              <w:spacing w:line="259" w:lineRule="auto"/>
            </w:pPr>
            <w:r w:rsidRPr="00911A19">
              <w:t>0.045–0.746</w:t>
            </w:r>
          </w:p>
        </w:tc>
        <w:tc>
          <w:tcPr>
            <w:tcW w:w="0" w:type="auto"/>
            <w:shd w:val="clear" w:color="auto" w:fill="FFFF00"/>
          </w:tcPr>
          <w:p w14:paraId="13461FA6" w14:textId="77777777" w:rsidR="00911A19" w:rsidRPr="00911A19" w:rsidRDefault="00911A19" w:rsidP="009720FA">
            <w:pPr>
              <w:spacing w:line="259" w:lineRule="auto"/>
            </w:pPr>
            <w:r w:rsidRPr="00911A19">
              <w:t>0.471–0.889</w:t>
            </w:r>
          </w:p>
        </w:tc>
        <w:tc>
          <w:tcPr>
            <w:tcW w:w="0" w:type="auto"/>
            <w:shd w:val="clear" w:color="auto" w:fill="FFFF00"/>
          </w:tcPr>
          <w:p w14:paraId="0438DD01" w14:textId="77777777" w:rsidR="00911A19" w:rsidRPr="00911A19" w:rsidRDefault="00911A19" w:rsidP="009720FA">
            <w:pPr>
              <w:spacing w:line="259" w:lineRule="auto"/>
            </w:pPr>
            <w:r w:rsidRPr="00911A19">
              <w:t>0.309–0.843</w:t>
            </w:r>
          </w:p>
        </w:tc>
        <w:tc>
          <w:tcPr>
            <w:tcW w:w="0" w:type="auto"/>
            <w:shd w:val="clear" w:color="auto" w:fill="FFFF00"/>
          </w:tcPr>
          <w:p w14:paraId="14831D99" w14:textId="77777777" w:rsidR="00911A19" w:rsidRPr="00911A19" w:rsidRDefault="00911A19" w:rsidP="009720FA">
            <w:pPr>
              <w:spacing w:line="259" w:lineRule="auto"/>
            </w:pPr>
            <w:r w:rsidRPr="00911A19">
              <w:t>0.314–0.845</w:t>
            </w:r>
          </w:p>
        </w:tc>
        <w:tc>
          <w:tcPr>
            <w:tcW w:w="0" w:type="auto"/>
          </w:tcPr>
          <w:p w14:paraId="05132CD6" w14:textId="77777777" w:rsidR="00911A19" w:rsidRPr="00911A19" w:rsidRDefault="00911A19" w:rsidP="009720FA">
            <w:pPr>
              <w:spacing w:line="259" w:lineRule="auto"/>
            </w:pPr>
          </w:p>
        </w:tc>
      </w:tr>
      <w:tr w:rsidR="000911CB" w:rsidRPr="00A16981" w14:paraId="42625CA8" w14:textId="77777777" w:rsidTr="007A266B">
        <w:trPr>
          <w:trHeight w:val="210"/>
        </w:trPr>
        <w:tc>
          <w:tcPr>
            <w:tcW w:w="0" w:type="auto"/>
          </w:tcPr>
          <w:p w14:paraId="144BF39C" w14:textId="77777777" w:rsidR="00911A19" w:rsidRPr="00911A19" w:rsidRDefault="00911A19" w:rsidP="009720FA">
            <w:pPr>
              <w:spacing w:line="259" w:lineRule="auto"/>
            </w:pPr>
            <w:r w:rsidRPr="00911A19">
              <w:t>Right hemisphere</w:t>
            </w:r>
          </w:p>
        </w:tc>
        <w:tc>
          <w:tcPr>
            <w:tcW w:w="0" w:type="auto"/>
            <w:shd w:val="clear" w:color="auto" w:fill="FF0000"/>
          </w:tcPr>
          <w:p w14:paraId="40CD5D65" w14:textId="77777777" w:rsidR="00911A19" w:rsidRPr="00911A19" w:rsidRDefault="00911A19" w:rsidP="009720FA">
            <w:pPr>
              <w:spacing w:line="259" w:lineRule="auto"/>
            </w:pPr>
            <w:r w:rsidRPr="00911A19">
              <w:t>0.434</w:t>
            </w:r>
          </w:p>
        </w:tc>
        <w:tc>
          <w:tcPr>
            <w:tcW w:w="0" w:type="auto"/>
            <w:shd w:val="clear" w:color="auto" w:fill="FF0000"/>
          </w:tcPr>
          <w:p w14:paraId="2184CE99" w14:textId="77777777" w:rsidR="00911A19" w:rsidRPr="00911A19" w:rsidRDefault="00911A19" w:rsidP="009720FA">
            <w:pPr>
              <w:spacing w:line="259" w:lineRule="auto"/>
            </w:pPr>
            <w:r w:rsidRPr="00911A19">
              <w:t>0.439</w:t>
            </w:r>
          </w:p>
        </w:tc>
        <w:tc>
          <w:tcPr>
            <w:tcW w:w="0" w:type="auto"/>
            <w:shd w:val="clear" w:color="auto" w:fill="FFFF00"/>
          </w:tcPr>
          <w:p w14:paraId="7EF6946D" w14:textId="77777777" w:rsidR="00911A19" w:rsidRPr="00911A19" w:rsidRDefault="00911A19" w:rsidP="009720FA">
            <w:pPr>
              <w:spacing w:line="259" w:lineRule="auto"/>
            </w:pPr>
            <w:r w:rsidRPr="00911A19">
              <w:t>0.624</w:t>
            </w:r>
          </w:p>
        </w:tc>
        <w:tc>
          <w:tcPr>
            <w:tcW w:w="0" w:type="auto"/>
            <w:shd w:val="clear" w:color="auto" w:fill="FFFF00"/>
          </w:tcPr>
          <w:p w14:paraId="54A9196D" w14:textId="77777777" w:rsidR="00911A19" w:rsidRPr="00911A19" w:rsidRDefault="00911A19" w:rsidP="009720FA">
            <w:pPr>
              <w:spacing w:line="259" w:lineRule="auto"/>
            </w:pPr>
            <w:r w:rsidRPr="00911A19">
              <w:t>0.674</w:t>
            </w:r>
          </w:p>
        </w:tc>
        <w:tc>
          <w:tcPr>
            <w:tcW w:w="0" w:type="auto"/>
            <w:shd w:val="clear" w:color="auto" w:fill="FFFF00"/>
          </w:tcPr>
          <w:p w14:paraId="76413FF0" w14:textId="77777777" w:rsidR="00911A19" w:rsidRPr="00911A19" w:rsidRDefault="00911A19" w:rsidP="009720FA">
            <w:pPr>
              <w:spacing w:line="259" w:lineRule="auto"/>
              <w:rPr>
                <w:i/>
                <w:iCs/>
              </w:rPr>
            </w:pPr>
            <w:r w:rsidRPr="00911A19">
              <w:rPr>
                <w:i/>
                <w:iCs/>
              </w:rPr>
              <w:t>0.543</w:t>
            </w:r>
          </w:p>
        </w:tc>
        <w:tc>
          <w:tcPr>
            <w:tcW w:w="0" w:type="auto"/>
            <w:shd w:val="clear" w:color="auto" w:fill="FFFF00"/>
          </w:tcPr>
          <w:p w14:paraId="403ED61F" w14:textId="77777777" w:rsidR="00911A19" w:rsidRPr="00911A19" w:rsidRDefault="00911A19" w:rsidP="009720FA">
            <w:pPr>
              <w:spacing w:line="259" w:lineRule="auto"/>
            </w:pPr>
            <w:r w:rsidRPr="00911A19">
              <w:t>0.602</w:t>
            </w:r>
          </w:p>
        </w:tc>
        <w:tc>
          <w:tcPr>
            <w:tcW w:w="0" w:type="auto"/>
            <w:shd w:val="clear" w:color="auto" w:fill="00B050"/>
          </w:tcPr>
          <w:p w14:paraId="45A92785" w14:textId="77777777" w:rsidR="00911A19" w:rsidRPr="00911A19" w:rsidRDefault="00911A19" w:rsidP="009720FA">
            <w:pPr>
              <w:spacing w:line="259" w:lineRule="auto"/>
            </w:pPr>
            <w:r w:rsidRPr="00911A19">
              <w:t>0.782</w:t>
            </w:r>
          </w:p>
        </w:tc>
        <w:tc>
          <w:tcPr>
            <w:tcW w:w="0" w:type="auto"/>
            <w:shd w:val="clear" w:color="auto" w:fill="00B050"/>
          </w:tcPr>
          <w:p w14:paraId="055E055E" w14:textId="77777777" w:rsidR="00911A19" w:rsidRPr="00911A19" w:rsidRDefault="00911A19" w:rsidP="009720FA">
            <w:pPr>
              <w:spacing w:line="259" w:lineRule="auto"/>
            </w:pPr>
            <w:r w:rsidRPr="00911A19">
              <w:t>0.790</w:t>
            </w:r>
          </w:p>
        </w:tc>
        <w:tc>
          <w:tcPr>
            <w:tcW w:w="0" w:type="auto"/>
            <w:shd w:val="clear" w:color="auto" w:fill="00B050"/>
          </w:tcPr>
          <w:p w14:paraId="030097C8" w14:textId="77777777" w:rsidR="00911A19" w:rsidRPr="00911A19" w:rsidRDefault="00911A19" w:rsidP="009720FA">
            <w:pPr>
              <w:spacing w:line="259" w:lineRule="auto"/>
            </w:pPr>
            <w:r w:rsidRPr="00911A19">
              <w:t>0.778</w:t>
            </w:r>
          </w:p>
        </w:tc>
        <w:tc>
          <w:tcPr>
            <w:tcW w:w="0" w:type="auto"/>
            <w:shd w:val="clear" w:color="auto" w:fill="FFFF00"/>
          </w:tcPr>
          <w:p w14:paraId="48CB82B6" w14:textId="77777777" w:rsidR="00911A19" w:rsidRPr="00911A19" w:rsidRDefault="00911A19" w:rsidP="009720FA">
            <w:pPr>
              <w:spacing w:line="259" w:lineRule="auto"/>
              <w:rPr>
                <w:i/>
                <w:iCs/>
              </w:rPr>
            </w:pPr>
            <w:r w:rsidRPr="00911A19">
              <w:rPr>
                <w:i/>
                <w:iCs/>
              </w:rPr>
              <w:t>0.738</w:t>
            </w:r>
          </w:p>
        </w:tc>
      </w:tr>
      <w:tr w:rsidR="00327DA2" w:rsidRPr="00A16981" w14:paraId="0864BE82" w14:textId="77777777" w:rsidTr="007A266B">
        <w:trPr>
          <w:trHeight w:val="210"/>
        </w:trPr>
        <w:tc>
          <w:tcPr>
            <w:tcW w:w="0" w:type="auto"/>
          </w:tcPr>
          <w:p w14:paraId="52897006" w14:textId="77777777" w:rsidR="00911A19" w:rsidRPr="00911A19" w:rsidRDefault="00911A19" w:rsidP="009720FA">
            <w:pPr>
              <w:spacing w:line="259" w:lineRule="auto"/>
            </w:pPr>
          </w:p>
        </w:tc>
        <w:tc>
          <w:tcPr>
            <w:tcW w:w="0" w:type="auto"/>
            <w:shd w:val="clear" w:color="auto" w:fill="FF0000"/>
          </w:tcPr>
          <w:p w14:paraId="7D9B6B98" w14:textId="77777777" w:rsidR="00911A19" w:rsidRPr="00911A19" w:rsidRDefault="00911A19" w:rsidP="009720FA">
            <w:pPr>
              <w:spacing w:line="259" w:lineRule="auto"/>
            </w:pPr>
            <w:r w:rsidRPr="00911A19">
              <w:t>0.003–0.726</w:t>
            </w:r>
          </w:p>
        </w:tc>
        <w:tc>
          <w:tcPr>
            <w:tcW w:w="0" w:type="auto"/>
            <w:shd w:val="clear" w:color="auto" w:fill="FF0000"/>
          </w:tcPr>
          <w:p w14:paraId="4E7BA91E" w14:textId="77777777" w:rsidR="00911A19" w:rsidRPr="00911A19" w:rsidRDefault="00911A19" w:rsidP="009720FA">
            <w:pPr>
              <w:spacing w:line="259" w:lineRule="auto"/>
            </w:pPr>
            <w:r w:rsidRPr="00911A19">
              <w:t>0.024–0.726</w:t>
            </w:r>
          </w:p>
        </w:tc>
        <w:tc>
          <w:tcPr>
            <w:tcW w:w="0" w:type="auto"/>
            <w:shd w:val="clear" w:color="auto" w:fill="FFFF00"/>
          </w:tcPr>
          <w:p w14:paraId="7913CA52" w14:textId="77777777" w:rsidR="00911A19" w:rsidRPr="00911A19" w:rsidRDefault="00911A19" w:rsidP="009720FA">
            <w:pPr>
              <w:spacing w:line="259" w:lineRule="auto"/>
            </w:pPr>
            <w:r w:rsidRPr="00911A19">
              <w:t>0.286–0.826</w:t>
            </w:r>
          </w:p>
        </w:tc>
        <w:tc>
          <w:tcPr>
            <w:tcW w:w="0" w:type="auto"/>
            <w:shd w:val="clear" w:color="auto" w:fill="FFFF00"/>
          </w:tcPr>
          <w:p w14:paraId="0745B79C" w14:textId="77777777" w:rsidR="00911A19" w:rsidRPr="00911A19" w:rsidRDefault="00911A19" w:rsidP="009720FA">
            <w:pPr>
              <w:spacing w:line="259" w:lineRule="auto"/>
            </w:pPr>
            <w:r w:rsidRPr="00911A19">
              <w:t>0.346–0.854</w:t>
            </w:r>
          </w:p>
        </w:tc>
        <w:tc>
          <w:tcPr>
            <w:tcW w:w="0" w:type="auto"/>
          </w:tcPr>
          <w:p w14:paraId="18A18D0D" w14:textId="77777777" w:rsidR="00911A19" w:rsidRPr="00911A19" w:rsidRDefault="00911A19" w:rsidP="009720FA">
            <w:pPr>
              <w:spacing w:line="259" w:lineRule="auto"/>
            </w:pPr>
          </w:p>
        </w:tc>
        <w:tc>
          <w:tcPr>
            <w:tcW w:w="0" w:type="auto"/>
            <w:shd w:val="clear" w:color="auto" w:fill="FFFF00"/>
          </w:tcPr>
          <w:p w14:paraId="08ACFA1A" w14:textId="77777777" w:rsidR="00911A19" w:rsidRPr="00911A19" w:rsidRDefault="00911A19" w:rsidP="009720FA">
            <w:pPr>
              <w:spacing w:line="259" w:lineRule="auto"/>
            </w:pPr>
            <w:r w:rsidRPr="00911A19">
              <w:t>0.241–0.817</w:t>
            </w:r>
          </w:p>
        </w:tc>
        <w:tc>
          <w:tcPr>
            <w:tcW w:w="0" w:type="auto"/>
            <w:shd w:val="clear" w:color="auto" w:fill="00B050"/>
          </w:tcPr>
          <w:p w14:paraId="6F036AC5" w14:textId="77777777" w:rsidR="00911A19" w:rsidRPr="00911A19" w:rsidRDefault="00911A19" w:rsidP="009720FA">
            <w:pPr>
              <w:spacing w:line="259" w:lineRule="auto"/>
            </w:pPr>
            <w:r w:rsidRPr="00911A19">
              <w:t>0.537–0.906</w:t>
            </w:r>
          </w:p>
        </w:tc>
        <w:tc>
          <w:tcPr>
            <w:tcW w:w="0" w:type="auto"/>
            <w:shd w:val="clear" w:color="auto" w:fill="00B050"/>
          </w:tcPr>
          <w:p w14:paraId="7123F1AA" w14:textId="77777777" w:rsidR="00911A19" w:rsidRPr="00911A19" w:rsidRDefault="00911A19" w:rsidP="009720FA">
            <w:pPr>
              <w:spacing w:line="259" w:lineRule="auto"/>
            </w:pPr>
            <w:r w:rsidRPr="00911A19">
              <w:t>0.550–0.90</w:t>
            </w:r>
          </w:p>
        </w:tc>
        <w:tc>
          <w:tcPr>
            <w:tcW w:w="0" w:type="auto"/>
            <w:shd w:val="clear" w:color="auto" w:fill="00B050"/>
          </w:tcPr>
          <w:p w14:paraId="0AFAE865" w14:textId="77777777" w:rsidR="00911A19" w:rsidRPr="00911A19" w:rsidRDefault="00911A19" w:rsidP="009720FA">
            <w:pPr>
              <w:spacing w:line="259" w:lineRule="auto"/>
            </w:pPr>
            <w:r w:rsidRPr="00911A19">
              <w:t>0.532–0.904</w:t>
            </w:r>
          </w:p>
        </w:tc>
        <w:tc>
          <w:tcPr>
            <w:tcW w:w="0" w:type="auto"/>
          </w:tcPr>
          <w:p w14:paraId="56B211E1" w14:textId="77777777" w:rsidR="00911A19" w:rsidRPr="00911A19" w:rsidRDefault="00911A19" w:rsidP="009720FA">
            <w:pPr>
              <w:spacing w:line="259" w:lineRule="auto"/>
            </w:pPr>
          </w:p>
        </w:tc>
      </w:tr>
      <w:tr w:rsidR="00327DA2" w:rsidRPr="00A16981" w14:paraId="3DA18C4B" w14:textId="77777777" w:rsidTr="007A266B">
        <w:trPr>
          <w:trHeight w:val="220"/>
        </w:trPr>
        <w:tc>
          <w:tcPr>
            <w:tcW w:w="0" w:type="auto"/>
          </w:tcPr>
          <w:p w14:paraId="1BED2592" w14:textId="77777777" w:rsidR="00911A19" w:rsidRPr="00911A19" w:rsidRDefault="00911A19" w:rsidP="009720FA">
            <w:pPr>
              <w:spacing w:line="259" w:lineRule="auto"/>
            </w:pPr>
            <w:r w:rsidRPr="00911A19">
              <w:t>Average</w:t>
            </w:r>
          </w:p>
        </w:tc>
        <w:tc>
          <w:tcPr>
            <w:tcW w:w="0" w:type="auto"/>
            <w:shd w:val="clear" w:color="auto" w:fill="FFFF00"/>
          </w:tcPr>
          <w:p w14:paraId="73C7092F" w14:textId="77777777" w:rsidR="00911A19" w:rsidRPr="00911A19" w:rsidRDefault="00911A19" w:rsidP="009720FA">
            <w:pPr>
              <w:spacing w:line="259" w:lineRule="auto"/>
              <w:rPr>
                <w:i/>
                <w:iCs/>
              </w:rPr>
            </w:pPr>
            <w:r w:rsidRPr="00911A19">
              <w:rPr>
                <w:i/>
                <w:iCs/>
              </w:rPr>
              <w:t>0.552</w:t>
            </w:r>
          </w:p>
        </w:tc>
        <w:tc>
          <w:tcPr>
            <w:tcW w:w="0" w:type="auto"/>
            <w:shd w:val="clear" w:color="auto" w:fill="FFFF00"/>
          </w:tcPr>
          <w:p w14:paraId="35B8444A" w14:textId="77777777" w:rsidR="00911A19" w:rsidRPr="00911A19" w:rsidRDefault="00911A19" w:rsidP="009720FA">
            <w:pPr>
              <w:spacing w:line="259" w:lineRule="auto"/>
              <w:rPr>
                <w:i/>
                <w:iCs/>
              </w:rPr>
            </w:pPr>
            <w:r w:rsidRPr="00911A19">
              <w:rPr>
                <w:i/>
                <w:iCs/>
              </w:rPr>
              <w:t>0.519</w:t>
            </w:r>
          </w:p>
        </w:tc>
        <w:tc>
          <w:tcPr>
            <w:tcW w:w="0" w:type="auto"/>
            <w:shd w:val="clear" w:color="auto" w:fill="FFFF00"/>
          </w:tcPr>
          <w:p w14:paraId="79209A3B" w14:textId="77777777" w:rsidR="00911A19" w:rsidRPr="00911A19" w:rsidRDefault="00911A19" w:rsidP="009720FA">
            <w:pPr>
              <w:spacing w:line="259" w:lineRule="auto"/>
              <w:rPr>
                <w:i/>
                <w:iCs/>
              </w:rPr>
            </w:pPr>
            <w:r w:rsidRPr="00911A19">
              <w:rPr>
                <w:i/>
                <w:iCs/>
              </w:rPr>
              <w:t>0.721</w:t>
            </w:r>
          </w:p>
        </w:tc>
        <w:tc>
          <w:tcPr>
            <w:tcW w:w="0" w:type="auto"/>
            <w:shd w:val="clear" w:color="auto" w:fill="00B050"/>
          </w:tcPr>
          <w:p w14:paraId="72C9B0FB" w14:textId="77777777" w:rsidR="00911A19" w:rsidRPr="00911A19" w:rsidRDefault="00911A19" w:rsidP="009720FA">
            <w:pPr>
              <w:spacing w:line="259" w:lineRule="auto"/>
              <w:rPr>
                <w:i/>
                <w:iCs/>
              </w:rPr>
            </w:pPr>
            <w:r w:rsidRPr="00911A19">
              <w:rPr>
                <w:i/>
                <w:iCs/>
              </w:rPr>
              <w:t>0.769</w:t>
            </w:r>
          </w:p>
        </w:tc>
        <w:tc>
          <w:tcPr>
            <w:tcW w:w="0" w:type="auto"/>
          </w:tcPr>
          <w:p w14:paraId="3E978E96" w14:textId="77777777" w:rsidR="00911A19" w:rsidRPr="00911A19" w:rsidRDefault="00911A19" w:rsidP="009720FA">
            <w:pPr>
              <w:spacing w:line="259" w:lineRule="auto"/>
            </w:pPr>
          </w:p>
        </w:tc>
        <w:tc>
          <w:tcPr>
            <w:tcW w:w="0" w:type="auto"/>
            <w:shd w:val="clear" w:color="auto" w:fill="FFFF00"/>
          </w:tcPr>
          <w:p w14:paraId="5745DEA4" w14:textId="77777777" w:rsidR="00911A19" w:rsidRPr="00911A19" w:rsidRDefault="00911A19" w:rsidP="009720FA">
            <w:pPr>
              <w:spacing w:line="259" w:lineRule="auto"/>
              <w:rPr>
                <w:i/>
                <w:iCs/>
              </w:rPr>
            </w:pPr>
            <w:r w:rsidRPr="00911A19">
              <w:rPr>
                <w:i/>
                <w:iCs/>
              </w:rPr>
              <w:t>0.561</w:t>
            </w:r>
          </w:p>
        </w:tc>
        <w:tc>
          <w:tcPr>
            <w:tcW w:w="0" w:type="auto"/>
            <w:shd w:val="clear" w:color="auto" w:fill="00B050"/>
          </w:tcPr>
          <w:p w14:paraId="2E7B24BA" w14:textId="77777777" w:rsidR="00911A19" w:rsidRPr="00911A19" w:rsidRDefault="00911A19" w:rsidP="009720FA">
            <w:pPr>
              <w:spacing w:line="259" w:lineRule="auto"/>
              <w:rPr>
                <w:i/>
                <w:iCs/>
              </w:rPr>
            </w:pPr>
            <w:r w:rsidRPr="00911A19">
              <w:rPr>
                <w:i/>
                <w:iCs/>
              </w:rPr>
              <w:t>0.815</w:t>
            </w:r>
          </w:p>
        </w:tc>
        <w:tc>
          <w:tcPr>
            <w:tcW w:w="0" w:type="auto"/>
            <w:shd w:val="clear" w:color="auto" w:fill="FFFF00"/>
          </w:tcPr>
          <w:p w14:paraId="453CC3AB" w14:textId="77777777" w:rsidR="00911A19" w:rsidRPr="00911A19" w:rsidRDefault="00911A19" w:rsidP="009720FA">
            <w:pPr>
              <w:spacing w:line="259" w:lineRule="auto"/>
              <w:rPr>
                <w:i/>
                <w:iCs/>
              </w:rPr>
            </w:pPr>
            <w:r w:rsidRPr="00911A19">
              <w:rPr>
                <w:i/>
                <w:iCs/>
              </w:rPr>
              <w:t>0.718</w:t>
            </w:r>
          </w:p>
        </w:tc>
        <w:tc>
          <w:tcPr>
            <w:tcW w:w="0" w:type="auto"/>
            <w:shd w:val="clear" w:color="auto" w:fill="FFFF00"/>
          </w:tcPr>
          <w:p w14:paraId="472B57A1" w14:textId="77777777" w:rsidR="00911A19" w:rsidRPr="00911A19" w:rsidRDefault="00911A19" w:rsidP="009720FA">
            <w:pPr>
              <w:spacing w:line="259" w:lineRule="auto"/>
              <w:rPr>
                <w:i/>
                <w:iCs/>
              </w:rPr>
            </w:pPr>
            <w:r w:rsidRPr="00911A19">
              <w:rPr>
                <w:i/>
                <w:iCs/>
              </w:rPr>
              <w:t>0.731</w:t>
            </w:r>
          </w:p>
        </w:tc>
        <w:tc>
          <w:tcPr>
            <w:tcW w:w="0" w:type="auto"/>
          </w:tcPr>
          <w:p w14:paraId="64CD9387" w14:textId="77777777" w:rsidR="00911A19" w:rsidRPr="00911A19" w:rsidRDefault="00911A19" w:rsidP="009720FA">
            <w:pPr>
              <w:spacing w:line="259" w:lineRule="auto"/>
            </w:pPr>
          </w:p>
        </w:tc>
      </w:tr>
      <w:tr w:rsidR="00CA343C" w:rsidRPr="00A16981" w14:paraId="689FA9D3" w14:textId="77777777" w:rsidTr="007A266B">
        <w:trPr>
          <w:trHeight w:val="220"/>
        </w:trPr>
        <w:tc>
          <w:tcPr>
            <w:tcW w:w="0" w:type="auto"/>
          </w:tcPr>
          <w:p w14:paraId="56951B47" w14:textId="77777777" w:rsidR="00CA343C" w:rsidRPr="00911A19" w:rsidRDefault="00CA343C" w:rsidP="009720FA">
            <w:pPr>
              <w:spacing w:line="259" w:lineRule="auto"/>
            </w:pPr>
            <w:r w:rsidRPr="00911A19">
              <w:t>Persons with aphasia</w:t>
            </w:r>
          </w:p>
          <w:p w14:paraId="42D2011E" w14:textId="77777777" w:rsidR="00CA343C" w:rsidRPr="00A16981" w:rsidRDefault="00CA343C" w:rsidP="009720FA"/>
        </w:tc>
        <w:tc>
          <w:tcPr>
            <w:tcW w:w="0" w:type="auto"/>
          </w:tcPr>
          <w:p w14:paraId="0D81A315" w14:textId="77777777" w:rsidR="00CA343C" w:rsidRPr="00A16981" w:rsidRDefault="00CA343C" w:rsidP="009720FA">
            <w:pPr>
              <w:rPr>
                <w:i/>
                <w:iCs/>
              </w:rPr>
            </w:pPr>
          </w:p>
        </w:tc>
        <w:tc>
          <w:tcPr>
            <w:tcW w:w="0" w:type="auto"/>
          </w:tcPr>
          <w:p w14:paraId="415A2589" w14:textId="77777777" w:rsidR="00CA343C" w:rsidRPr="00A16981" w:rsidRDefault="00CA343C" w:rsidP="009720FA">
            <w:pPr>
              <w:rPr>
                <w:i/>
                <w:iCs/>
              </w:rPr>
            </w:pPr>
          </w:p>
        </w:tc>
        <w:tc>
          <w:tcPr>
            <w:tcW w:w="0" w:type="auto"/>
          </w:tcPr>
          <w:p w14:paraId="3A5EC87E" w14:textId="77777777" w:rsidR="00CA343C" w:rsidRPr="00A16981" w:rsidRDefault="00CA343C" w:rsidP="009720FA">
            <w:pPr>
              <w:rPr>
                <w:i/>
                <w:iCs/>
              </w:rPr>
            </w:pPr>
          </w:p>
        </w:tc>
        <w:tc>
          <w:tcPr>
            <w:tcW w:w="0" w:type="auto"/>
          </w:tcPr>
          <w:p w14:paraId="613E6DCD" w14:textId="77777777" w:rsidR="00CA343C" w:rsidRPr="00A16981" w:rsidRDefault="00CA343C" w:rsidP="009720FA">
            <w:pPr>
              <w:rPr>
                <w:i/>
                <w:iCs/>
              </w:rPr>
            </w:pPr>
          </w:p>
        </w:tc>
        <w:tc>
          <w:tcPr>
            <w:tcW w:w="0" w:type="auto"/>
          </w:tcPr>
          <w:p w14:paraId="33073E1F" w14:textId="77777777" w:rsidR="00CA343C" w:rsidRPr="00A16981" w:rsidRDefault="00CA343C" w:rsidP="009720FA"/>
        </w:tc>
        <w:tc>
          <w:tcPr>
            <w:tcW w:w="0" w:type="auto"/>
          </w:tcPr>
          <w:p w14:paraId="37E6ED46" w14:textId="77777777" w:rsidR="00CA343C" w:rsidRPr="00A16981" w:rsidRDefault="00CA343C" w:rsidP="009720FA">
            <w:pPr>
              <w:rPr>
                <w:i/>
                <w:iCs/>
              </w:rPr>
            </w:pPr>
          </w:p>
        </w:tc>
        <w:tc>
          <w:tcPr>
            <w:tcW w:w="0" w:type="auto"/>
          </w:tcPr>
          <w:p w14:paraId="3129713E" w14:textId="77777777" w:rsidR="00CA343C" w:rsidRPr="00A16981" w:rsidRDefault="00CA343C" w:rsidP="009720FA">
            <w:pPr>
              <w:rPr>
                <w:i/>
                <w:iCs/>
              </w:rPr>
            </w:pPr>
          </w:p>
        </w:tc>
        <w:tc>
          <w:tcPr>
            <w:tcW w:w="0" w:type="auto"/>
          </w:tcPr>
          <w:p w14:paraId="1DEA370F" w14:textId="77777777" w:rsidR="00CA343C" w:rsidRPr="00A16981" w:rsidRDefault="00CA343C" w:rsidP="009720FA">
            <w:pPr>
              <w:rPr>
                <w:i/>
                <w:iCs/>
              </w:rPr>
            </w:pPr>
          </w:p>
        </w:tc>
        <w:tc>
          <w:tcPr>
            <w:tcW w:w="0" w:type="auto"/>
          </w:tcPr>
          <w:p w14:paraId="3D4F04A1" w14:textId="77777777" w:rsidR="00CA343C" w:rsidRPr="00A16981" w:rsidRDefault="00CA343C" w:rsidP="009720FA">
            <w:pPr>
              <w:rPr>
                <w:i/>
                <w:iCs/>
              </w:rPr>
            </w:pPr>
          </w:p>
        </w:tc>
        <w:tc>
          <w:tcPr>
            <w:tcW w:w="0" w:type="auto"/>
          </w:tcPr>
          <w:p w14:paraId="1B716796" w14:textId="77777777" w:rsidR="00CA343C" w:rsidRPr="00A16981" w:rsidRDefault="00CA343C" w:rsidP="009720FA"/>
        </w:tc>
      </w:tr>
      <w:tr w:rsidR="00327DA2" w:rsidRPr="00A16981" w14:paraId="10AEC3CF" w14:textId="77777777" w:rsidTr="007A266B">
        <w:trPr>
          <w:trHeight w:val="220"/>
        </w:trPr>
        <w:tc>
          <w:tcPr>
            <w:tcW w:w="0" w:type="auto"/>
          </w:tcPr>
          <w:p w14:paraId="17E2D135" w14:textId="77777777" w:rsidR="00327DA2" w:rsidRPr="00A16981" w:rsidRDefault="00327DA2" w:rsidP="009720FA"/>
        </w:tc>
        <w:tc>
          <w:tcPr>
            <w:tcW w:w="0" w:type="auto"/>
          </w:tcPr>
          <w:p w14:paraId="73809207" w14:textId="66EA0B16" w:rsidR="00327DA2" w:rsidRPr="00A16981" w:rsidRDefault="00327DA2" w:rsidP="009720FA">
            <w:r w:rsidRPr="00A16981">
              <w:t>Eyes open rest</w:t>
            </w:r>
          </w:p>
        </w:tc>
        <w:tc>
          <w:tcPr>
            <w:tcW w:w="0" w:type="auto"/>
          </w:tcPr>
          <w:p w14:paraId="266F0417" w14:textId="77777777" w:rsidR="00327DA2" w:rsidRPr="00A16981" w:rsidRDefault="00327DA2" w:rsidP="009720FA">
            <w:pPr>
              <w:rPr>
                <w:i/>
                <w:iCs/>
              </w:rPr>
            </w:pPr>
          </w:p>
        </w:tc>
        <w:tc>
          <w:tcPr>
            <w:tcW w:w="0" w:type="auto"/>
          </w:tcPr>
          <w:p w14:paraId="0BFCAF6A" w14:textId="77777777" w:rsidR="00327DA2" w:rsidRPr="00A16981" w:rsidRDefault="00327DA2" w:rsidP="009720FA">
            <w:pPr>
              <w:rPr>
                <w:i/>
                <w:iCs/>
              </w:rPr>
            </w:pPr>
          </w:p>
        </w:tc>
        <w:tc>
          <w:tcPr>
            <w:tcW w:w="0" w:type="auto"/>
          </w:tcPr>
          <w:p w14:paraId="77E22CCD" w14:textId="77777777" w:rsidR="00327DA2" w:rsidRPr="00A16981" w:rsidRDefault="00327DA2" w:rsidP="009720FA">
            <w:pPr>
              <w:rPr>
                <w:i/>
                <w:iCs/>
              </w:rPr>
            </w:pPr>
          </w:p>
        </w:tc>
        <w:tc>
          <w:tcPr>
            <w:tcW w:w="0" w:type="auto"/>
          </w:tcPr>
          <w:p w14:paraId="3ADDB6A0" w14:textId="77777777" w:rsidR="00327DA2" w:rsidRPr="00A16981" w:rsidRDefault="00327DA2" w:rsidP="009720FA"/>
        </w:tc>
        <w:tc>
          <w:tcPr>
            <w:tcW w:w="0" w:type="auto"/>
          </w:tcPr>
          <w:p w14:paraId="66B3DF3B" w14:textId="07ABAD46" w:rsidR="00327DA2" w:rsidRPr="00A16981" w:rsidRDefault="009720FA" w:rsidP="009720FA">
            <w:r w:rsidRPr="00A16981">
              <w:t>Eyes closed rest</w:t>
            </w:r>
          </w:p>
        </w:tc>
        <w:tc>
          <w:tcPr>
            <w:tcW w:w="0" w:type="auto"/>
          </w:tcPr>
          <w:p w14:paraId="1D87C2BC" w14:textId="77777777" w:rsidR="00327DA2" w:rsidRPr="00A16981" w:rsidRDefault="00327DA2" w:rsidP="009720FA">
            <w:pPr>
              <w:rPr>
                <w:i/>
                <w:iCs/>
              </w:rPr>
            </w:pPr>
          </w:p>
        </w:tc>
        <w:tc>
          <w:tcPr>
            <w:tcW w:w="0" w:type="auto"/>
          </w:tcPr>
          <w:p w14:paraId="7C467A23" w14:textId="77777777" w:rsidR="00327DA2" w:rsidRPr="00A16981" w:rsidRDefault="00327DA2" w:rsidP="009720FA">
            <w:pPr>
              <w:rPr>
                <w:i/>
                <w:iCs/>
              </w:rPr>
            </w:pPr>
          </w:p>
        </w:tc>
        <w:tc>
          <w:tcPr>
            <w:tcW w:w="0" w:type="auto"/>
          </w:tcPr>
          <w:p w14:paraId="36C89ABC" w14:textId="77777777" w:rsidR="00327DA2" w:rsidRPr="00A16981" w:rsidRDefault="00327DA2" w:rsidP="009720FA">
            <w:pPr>
              <w:rPr>
                <w:i/>
                <w:iCs/>
              </w:rPr>
            </w:pPr>
          </w:p>
        </w:tc>
        <w:tc>
          <w:tcPr>
            <w:tcW w:w="0" w:type="auto"/>
          </w:tcPr>
          <w:p w14:paraId="48E4E840" w14:textId="77777777" w:rsidR="00327DA2" w:rsidRPr="00A16981" w:rsidRDefault="00327DA2" w:rsidP="009720FA"/>
        </w:tc>
      </w:tr>
      <w:tr w:rsidR="009720FA" w:rsidRPr="00A16981" w14:paraId="32CCF038" w14:textId="77777777" w:rsidTr="007A266B">
        <w:trPr>
          <w:trHeight w:val="220"/>
        </w:trPr>
        <w:tc>
          <w:tcPr>
            <w:tcW w:w="0" w:type="auto"/>
          </w:tcPr>
          <w:p w14:paraId="443F5BD2" w14:textId="77777777" w:rsidR="009720FA" w:rsidRPr="00A16981" w:rsidRDefault="009720FA" w:rsidP="009720FA"/>
        </w:tc>
        <w:tc>
          <w:tcPr>
            <w:tcW w:w="0" w:type="auto"/>
          </w:tcPr>
          <w:p w14:paraId="4DB260D4" w14:textId="13A971B4" w:rsidR="009720FA" w:rsidRPr="00A16981" w:rsidRDefault="009720FA" w:rsidP="009720FA">
            <w:r w:rsidRPr="00911A19">
              <w:t>Delta</w:t>
            </w:r>
          </w:p>
        </w:tc>
        <w:tc>
          <w:tcPr>
            <w:tcW w:w="0" w:type="auto"/>
          </w:tcPr>
          <w:p w14:paraId="4F39812D" w14:textId="667BCEFE" w:rsidR="009720FA" w:rsidRPr="00A16981" w:rsidRDefault="009720FA" w:rsidP="009720FA">
            <w:pPr>
              <w:rPr>
                <w:i/>
                <w:iCs/>
              </w:rPr>
            </w:pPr>
            <w:r w:rsidRPr="00911A19">
              <w:t>Theta</w:t>
            </w:r>
          </w:p>
        </w:tc>
        <w:tc>
          <w:tcPr>
            <w:tcW w:w="0" w:type="auto"/>
          </w:tcPr>
          <w:p w14:paraId="6C1D8538" w14:textId="36C0E6DA" w:rsidR="009720FA" w:rsidRPr="00A16981" w:rsidRDefault="009720FA" w:rsidP="009720FA">
            <w:pPr>
              <w:rPr>
                <w:i/>
                <w:iCs/>
              </w:rPr>
            </w:pPr>
            <w:r w:rsidRPr="00911A19">
              <w:t>Alpha</w:t>
            </w:r>
          </w:p>
        </w:tc>
        <w:tc>
          <w:tcPr>
            <w:tcW w:w="0" w:type="auto"/>
          </w:tcPr>
          <w:p w14:paraId="438CA86F" w14:textId="21650759" w:rsidR="009720FA" w:rsidRPr="00A16981" w:rsidRDefault="009720FA" w:rsidP="009720FA">
            <w:pPr>
              <w:rPr>
                <w:i/>
                <w:iCs/>
              </w:rPr>
            </w:pPr>
            <w:r w:rsidRPr="00911A19">
              <w:t>Beta</w:t>
            </w:r>
          </w:p>
        </w:tc>
        <w:tc>
          <w:tcPr>
            <w:tcW w:w="0" w:type="auto"/>
          </w:tcPr>
          <w:p w14:paraId="0626842B" w14:textId="3BD7A61E" w:rsidR="009720FA" w:rsidRPr="00A16981" w:rsidRDefault="009720FA" w:rsidP="009720FA">
            <w:r w:rsidRPr="00911A19">
              <w:t>Average</w:t>
            </w:r>
          </w:p>
        </w:tc>
        <w:tc>
          <w:tcPr>
            <w:tcW w:w="0" w:type="auto"/>
          </w:tcPr>
          <w:p w14:paraId="0EA910EF" w14:textId="5B0C9CFF" w:rsidR="009720FA" w:rsidRPr="00A16981" w:rsidRDefault="009720FA" w:rsidP="009720FA">
            <w:r w:rsidRPr="00911A19">
              <w:t>Delta</w:t>
            </w:r>
          </w:p>
        </w:tc>
        <w:tc>
          <w:tcPr>
            <w:tcW w:w="0" w:type="auto"/>
          </w:tcPr>
          <w:p w14:paraId="06FB53DB" w14:textId="0DEFC326" w:rsidR="009720FA" w:rsidRPr="00A16981" w:rsidRDefault="009720FA" w:rsidP="009720FA">
            <w:pPr>
              <w:rPr>
                <w:i/>
                <w:iCs/>
              </w:rPr>
            </w:pPr>
            <w:r w:rsidRPr="00911A19">
              <w:t>Theta</w:t>
            </w:r>
          </w:p>
        </w:tc>
        <w:tc>
          <w:tcPr>
            <w:tcW w:w="0" w:type="auto"/>
          </w:tcPr>
          <w:p w14:paraId="72CCA06B" w14:textId="421E3A7B" w:rsidR="009720FA" w:rsidRPr="00A16981" w:rsidRDefault="009720FA" w:rsidP="009720FA">
            <w:pPr>
              <w:rPr>
                <w:i/>
                <w:iCs/>
              </w:rPr>
            </w:pPr>
            <w:r w:rsidRPr="00911A19">
              <w:t>Alpha</w:t>
            </w:r>
          </w:p>
        </w:tc>
        <w:tc>
          <w:tcPr>
            <w:tcW w:w="0" w:type="auto"/>
          </w:tcPr>
          <w:p w14:paraId="2F331AFD" w14:textId="1CB66AEF" w:rsidR="009720FA" w:rsidRPr="00A16981" w:rsidRDefault="009720FA" w:rsidP="009720FA">
            <w:pPr>
              <w:rPr>
                <w:i/>
                <w:iCs/>
              </w:rPr>
            </w:pPr>
            <w:r w:rsidRPr="00911A19">
              <w:t>Beta</w:t>
            </w:r>
          </w:p>
        </w:tc>
        <w:tc>
          <w:tcPr>
            <w:tcW w:w="0" w:type="auto"/>
          </w:tcPr>
          <w:p w14:paraId="569F27F6" w14:textId="1D311C08" w:rsidR="009720FA" w:rsidRPr="00A16981" w:rsidRDefault="009720FA" w:rsidP="009720FA">
            <w:r w:rsidRPr="00911A19">
              <w:t>Average</w:t>
            </w:r>
          </w:p>
        </w:tc>
      </w:tr>
      <w:tr w:rsidR="009720FA" w:rsidRPr="00A16981" w14:paraId="3C7E3B65" w14:textId="77777777" w:rsidTr="007A266B">
        <w:trPr>
          <w:trHeight w:val="220"/>
        </w:trPr>
        <w:tc>
          <w:tcPr>
            <w:tcW w:w="0" w:type="auto"/>
          </w:tcPr>
          <w:p w14:paraId="21D8AE81" w14:textId="51B9678F" w:rsidR="009720FA" w:rsidRPr="00A16981" w:rsidRDefault="009720FA" w:rsidP="009720FA">
            <w:r w:rsidRPr="00911A19">
              <w:t>Whole brain</w:t>
            </w:r>
          </w:p>
        </w:tc>
        <w:tc>
          <w:tcPr>
            <w:tcW w:w="0" w:type="auto"/>
            <w:shd w:val="clear" w:color="auto" w:fill="FFFF00"/>
          </w:tcPr>
          <w:p w14:paraId="10AB3CC5" w14:textId="50C6B8EF" w:rsidR="009720FA" w:rsidRPr="00A16981" w:rsidRDefault="009720FA" w:rsidP="009720FA">
            <w:r w:rsidRPr="00911A19">
              <w:t>0.551</w:t>
            </w:r>
          </w:p>
        </w:tc>
        <w:tc>
          <w:tcPr>
            <w:tcW w:w="0" w:type="auto"/>
            <w:shd w:val="clear" w:color="auto" w:fill="00B050"/>
          </w:tcPr>
          <w:p w14:paraId="144703FF" w14:textId="72B17672" w:rsidR="009720FA" w:rsidRPr="00A16981" w:rsidRDefault="009720FA" w:rsidP="009720FA">
            <w:r w:rsidRPr="00911A19">
              <w:t>0.861</w:t>
            </w:r>
          </w:p>
        </w:tc>
        <w:tc>
          <w:tcPr>
            <w:tcW w:w="0" w:type="auto"/>
            <w:shd w:val="clear" w:color="auto" w:fill="00B050"/>
          </w:tcPr>
          <w:p w14:paraId="03710A7C" w14:textId="1D19FA83" w:rsidR="009720FA" w:rsidRPr="00A16981" w:rsidRDefault="009720FA" w:rsidP="009720FA">
            <w:r w:rsidRPr="00911A19">
              <w:t>0.860</w:t>
            </w:r>
          </w:p>
        </w:tc>
        <w:tc>
          <w:tcPr>
            <w:tcW w:w="0" w:type="auto"/>
            <w:shd w:val="clear" w:color="auto" w:fill="FFFF00"/>
          </w:tcPr>
          <w:p w14:paraId="22ABD70B" w14:textId="08AC3A40" w:rsidR="009720FA" w:rsidRPr="00A16981" w:rsidRDefault="009720FA" w:rsidP="009720FA">
            <w:r w:rsidRPr="00911A19">
              <w:t>0.721</w:t>
            </w:r>
          </w:p>
        </w:tc>
        <w:tc>
          <w:tcPr>
            <w:tcW w:w="0" w:type="auto"/>
            <w:shd w:val="clear" w:color="auto" w:fill="FFFF00"/>
          </w:tcPr>
          <w:p w14:paraId="356589FA" w14:textId="524367BD" w:rsidR="009720FA" w:rsidRPr="00A16981" w:rsidRDefault="009720FA" w:rsidP="009720FA">
            <w:r w:rsidRPr="00911A19">
              <w:rPr>
                <w:i/>
                <w:iCs/>
              </w:rPr>
              <w:t>0.748</w:t>
            </w:r>
          </w:p>
        </w:tc>
        <w:tc>
          <w:tcPr>
            <w:tcW w:w="0" w:type="auto"/>
            <w:shd w:val="clear" w:color="auto" w:fill="FFFF00"/>
          </w:tcPr>
          <w:p w14:paraId="136B1284" w14:textId="7EEFAA3A" w:rsidR="009720FA" w:rsidRPr="00A16981" w:rsidRDefault="009720FA" w:rsidP="009720FA">
            <w:r w:rsidRPr="00911A19">
              <w:t>0.626</w:t>
            </w:r>
          </w:p>
        </w:tc>
        <w:tc>
          <w:tcPr>
            <w:tcW w:w="0" w:type="auto"/>
            <w:shd w:val="clear" w:color="auto" w:fill="00B050"/>
          </w:tcPr>
          <w:p w14:paraId="0DB20B80" w14:textId="4B627AD7" w:rsidR="009720FA" w:rsidRPr="00A16981" w:rsidRDefault="009720FA" w:rsidP="009720FA">
            <w:r w:rsidRPr="00911A19">
              <w:t>0.807</w:t>
            </w:r>
          </w:p>
        </w:tc>
        <w:tc>
          <w:tcPr>
            <w:tcW w:w="0" w:type="auto"/>
            <w:shd w:val="clear" w:color="auto" w:fill="00B050"/>
          </w:tcPr>
          <w:p w14:paraId="026FF429" w14:textId="1C0F690B" w:rsidR="009720FA" w:rsidRPr="00A16981" w:rsidRDefault="009720FA" w:rsidP="009720FA">
            <w:r w:rsidRPr="00911A19">
              <w:t>0.817</w:t>
            </w:r>
          </w:p>
        </w:tc>
        <w:tc>
          <w:tcPr>
            <w:tcW w:w="0" w:type="auto"/>
            <w:shd w:val="clear" w:color="auto" w:fill="FFFF00"/>
          </w:tcPr>
          <w:p w14:paraId="1BF68763" w14:textId="163D83CB" w:rsidR="009720FA" w:rsidRPr="00A16981" w:rsidRDefault="009720FA" w:rsidP="009720FA">
            <w:r w:rsidRPr="00911A19">
              <w:t>0.667</w:t>
            </w:r>
          </w:p>
        </w:tc>
        <w:tc>
          <w:tcPr>
            <w:tcW w:w="0" w:type="auto"/>
            <w:shd w:val="clear" w:color="auto" w:fill="FFFF00"/>
          </w:tcPr>
          <w:p w14:paraId="5BB4A72C" w14:textId="50F5D072" w:rsidR="009720FA" w:rsidRPr="00A16981" w:rsidRDefault="009720FA" w:rsidP="009720FA">
            <w:r w:rsidRPr="00911A19">
              <w:rPr>
                <w:i/>
                <w:iCs/>
              </w:rPr>
              <w:t>0.729</w:t>
            </w:r>
          </w:p>
        </w:tc>
      </w:tr>
      <w:tr w:rsidR="009720FA" w:rsidRPr="00A16981" w14:paraId="0E87B3DC" w14:textId="77777777" w:rsidTr="007A266B">
        <w:trPr>
          <w:trHeight w:val="220"/>
        </w:trPr>
        <w:tc>
          <w:tcPr>
            <w:tcW w:w="0" w:type="auto"/>
          </w:tcPr>
          <w:p w14:paraId="0D489EDF" w14:textId="77777777" w:rsidR="009720FA" w:rsidRPr="00A16981" w:rsidRDefault="009720FA" w:rsidP="009720FA"/>
        </w:tc>
        <w:tc>
          <w:tcPr>
            <w:tcW w:w="0" w:type="auto"/>
            <w:shd w:val="clear" w:color="auto" w:fill="FFFF00"/>
          </w:tcPr>
          <w:p w14:paraId="36038DA1" w14:textId="070BB121" w:rsidR="009720FA" w:rsidRPr="00A16981" w:rsidRDefault="009720FA" w:rsidP="009720FA">
            <w:r w:rsidRPr="00911A19">
              <w:t>0.132–0.801</w:t>
            </w:r>
          </w:p>
        </w:tc>
        <w:tc>
          <w:tcPr>
            <w:tcW w:w="0" w:type="auto"/>
            <w:shd w:val="clear" w:color="auto" w:fill="00B050"/>
          </w:tcPr>
          <w:p w14:paraId="415D314E" w14:textId="6696E6EC" w:rsidR="009720FA" w:rsidRPr="00A16981" w:rsidRDefault="009720FA" w:rsidP="009720FA">
            <w:r w:rsidRPr="00911A19">
              <w:t>0.674–0.944</w:t>
            </w:r>
          </w:p>
        </w:tc>
        <w:tc>
          <w:tcPr>
            <w:tcW w:w="0" w:type="auto"/>
            <w:shd w:val="clear" w:color="auto" w:fill="00B050"/>
          </w:tcPr>
          <w:p w14:paraId="2F3952AE" w14:textId="4625E4D2" w:rsidR="009720FA" w:rsidRPr="00A16981" w:rsidRDefault="009720FA" w:rsidP="009720FA">
            <w:r w:rsidRPr="00911A19">
              <w:t>0.666–0.944</w:t>
            </w:r>
          </w:p>
        </w:tc>
        <w:tc>
          <w:tcPr>
            <w:tcW w:w="0" w:type="auto"/>
            <w:shd w:val="clear" w:color="auto" w:fill="FFFF00"/>
          </w:tcPr>
          <w:p w14:paraId="4525B2C7" w14:textId="36C81425" w:rsidR="009720FA" w:rsidRPr="00A16981" w:rsidRDefault="009720FA" w:rsidP="009720FA">
            <w:r w:rsidRPr="00911A19">
              <w:t>0.409–0.882</w:t>
            </w:r>
          </w:p>
        </w:tc>
        <w:tc>
          <w:tcPr>
            <w:tcW w:w="0" w:type="auto"/>
          </w:tcPr>
          <w:p w14:paraId="524866C4" w14:textId="77777777" w:rsidR="009720FA" w:rsidRPr="00A16981" w:rsidRDefault="009720FA" w:rsidP="009720FA">
            <w:pPr>
              <w:rPr>
                <w:i/>
                <w:iCs/>
              </w:rPr>
            </w:pPr>
          </w:p>
        </w:tc>
        <w:tc>
          <w:tcPr>
            <w:tcW w:w="0" w:type="auto"/>
            <w:shd w:val="clear" w:color="auto" w:fill="FFFF00"/>
          </w:tcPr>
          <w:p w14:paraId="3E9B4B50" w14:textId="34B9B0B3" w:rsidR="009720FA" w:rsidRPr="00A16981" w:rsidRDefault="009720FA" w:rsidP="009720FA">
            <w:r w:rsidRPr="00911A19">
              <w:t>0.255–0.837</w:t>
            </w:r>
          </w:p>
        </w:tc>
        <w:tc>
          <w:tcPr>
            <w:tcW w:w="0" w:type="auto"/>
            <w:shd w:val="clear" w:color="auto" w:fill="00B050"/>
          </w:tcPr>
          <w:p w14:paraId="66A51B4B" w14:textId="52BC9406" w:rsidR="009720FA" w:rsidRPr="00A16981" w:rsidRDefault="009720FA" w:rsidP="009720FA">
            <w:r w:rsidRPr="00911A19">
              <w:t>0.564–0.921</w:t>
            </w:r>
          </w:p>
        </w:tc>
        <w:tc>
          <w:tcPr>
            <w:tcW w:w="0" w:type="auto"/>
            <w:shd w:val="clear" w:color="auto" w:fill="00B050"/>
          </w:tcPr>
          <w:p w14:paraId="67150747" w14:textId="27879195" w:rsidR="009720FA" w:rsidRPr="00A16981" w:rsidRDefault="009720FA" w:rsidP="009720FA">
            <w:r w:rsidRPr="00911A19">
              <w:t>0.583–0.926</w:t>
            </w:r>
          </w:p>
        </w:tc>
        <w:tc>
          <w:tcPr>
            <w:tcW w:w="0" w:type="auto"/>
            <w:shd w:val="clear" w:color="auto" w:fill="FFFF00"/>
          </w:tcPr>
          <w:p w14:paraId="2CC51260" w14:textId="16E8CE15" w:rsidR="009720FA" w:rsidRPr="00A16981" w:rsidRDefault="009720FA" w:rsidP="009720FA">
            <w:r w:rsidRPr="00911A19">
              <w:t>0.331–0.856</w:t>
            </w:r>
          </w:p>
        </w:tc>
        <w:tc>
          <w:tcPr>
            <w:tcW w:w="0" w:type="auto"/>
          </w:tcPr>
          <w:p w14:paraId="1F5EAFB7" w14:textId="77777777" w:rsidR="009720FA" w:rsidRPr="00A16981" w:rsidRDefault="009720FA" w:rsidP="009720FA">
            <w:pPr>
              <w:rPr>
                <w:i/>
                <w:iCs/>
              </w:rPr>
            </w:pPr>
          </w:p>
        </w:tc>
      </w:tr>
      <w:tr w:rsidR="009720FA" w:rsidRPr="00A16981" w14:paraId="614633FD" w14:textId="77777777" w:rsidTr="007A266B">
        <w:trPr>
          <w:trHeight w:val="220"/>
        </w:trPr>
        <w:tc>
          <w:tcPr>
            <w:tcW w:w="0" w:type="auto"/>
          </w:tcPr>
          <w:p w14:paraId="738A9F3E" w14:textId="5D4549A0" w:rsidR="009720FA" w:rsidRPr="00A16981" w:rsidRDefault="009720FA" w:rsidP="009720FA">
            <w:r w:rsidRPr="00911A19">
              <w:t>Clinical</w:t>
            </w:r>
          </w:p>
        </w:tc>
        <w:tc>
          <w:tcPr>
            <w:tcW w:w="0" w:type="auto"/>
            <w:shd w:val="clear" w:color="auto" w:fill="FFFF00"/>
          </w:tcPr>
          <w:p w14:paraId="280C0FD3" w14:textId="46265B5D" w:rsidR="009720FA" w:rsidRPr="00A16981" w:rsidRDefault="009720FA" w:rsidP="009720FA">
            <w:r w:rsidRPr="00911A19">
              <w:t>0.546</w:t>
            </w:r>
          </w:p>
        </w:tc>
        <w:tc>
          <w:tcPr>
            <w:tcW w:w="0" w:type="auto"/>
            <w:shd w:val="clear" w:color="auto" w:fill="00B050"/>
          </w:tcPr>
          <w:p w14:paraId="71C7E6B1" w14:textId="488BC944" w:rsidR="009720FA" w:rsidRPr="00A16981" w:rsidRDefault="009720FA" w:rsidP="009720FA">
            <w:r w:rsidRPr="00911A19">
              <w:t>0.832</w:t>
            </w:r>
          </w:p>
        </w:tc>
        <w:tc>
          <w:tcPr>
            <w:tcW w:w="0" w:type="auto"/>
            <w:shd w:val="clear" w:color="auto" w:fill="00B050"/>
          </w:tcPr>
          <w:p w14:paraId="1CEA1ABA" w14:textId="35B4FE4F" w:rsidR="009720FA" w:rsidRPr="00A16981" w:rsidRDefault="009720FA" w:rsidP="009720FA">
            <w:r w:rsidRPr="00911A19">
              <w:t>0.851</w:t>
            </w:r>
          </w:p>
        </w:tc>
        <w:tc>
          <w:tcPr>
            <w:tcW w:w="0" w:type="auto"/>
            <w:shd w:val="clear" w:color="auto" w:fill="FFFF00"/>
          </w:tcPr>
          <w:p w14:paraId="5C0FFFF3" w14:textId="7B8CF6E9" w:rsidR="009720FA" w:rsidRPr="00A16981" w:rsidRDefault="009720FA" w:rsidP="009720FA">
            <w:r w:rsidRPr="00911A19">
              <w:t>0.722</w:t>
            </w:r>
          </w:p>
        </w:tc>
        <w:tc>
          <w:tcPr>
            <w:tcW w:w="0" w:type="auto"/>
            <w:shd w:val="clear" w:color="auto" w:fill="FFFF00"/>
          </w:tcPr>
          <w:p w14:paraId="6CDAF7D3" w14:textId="69E93D28" w:rsidR="009720FA" w:rsidRPr="00A16981" w:rsidRDefault="009720FA" w:rsidP="009720FA">
            <w:pPr>
              <w:rPr>
                <w:i/>
                <w:iCs/>
              </w:rPr>
            </w:pPr>
            <w:r w:rsidRPr="00911A19">
              <w:rPr>
                <w:i/>
                <w:iCs/>
              </w:rPr>
              <w:t>0.738</w:t>
            </w:r>
          </w:p>
        </w:tc>
        <w:tc>
          <w:tcPr>
            <w:tcW w:w="0" w:type="auto"/>
            <w:shd w:val="clear" w:color="auto" w:fill="FFFF00"/>
          </w:tcPr>
          <w:p w14:paraId="27623EBC" w14:textId="33DC12C1" w:rsidR="009720FA" w:rsidRPr="00A16981" w:rsidRDefault="009720FA" w:rsidP="009720FA">
            <w:r w:rsidRPr="00911A19">
              <w:t>0.593</w:t>
            </w:r>
          </w:p>
        </w:tc>
        <w:tc>
          <w:tcPr>
            <w:tcW w:w="0" w:type="auto"/>
            <w:shd w:val="clear" w:color="auto" w:fill="00B050"/>
          </w:tcPr>
          <w:p w14:paraId="7F0D671E" w14:textId="1CC84D2F" w:rsidR="009720FA" w:rsidRPr="00A16981" w:rsidRDefault="009720FA" w:rsidP="009720FA">
            <w:r w:rsidRPr="00911A19">
              <w:t>0.793</w:t>
            </w:r>
          </w:p>
        </w:tc>
        <w:tc>
          <w:tcPr>
            <w:tcW w:w="0" w:type="auto"/>
            <w:shd w:val="clear" w:color="auto" w:fill="00B050"/>
          </w:tcPr>
          <w:p w14:paraId="4039EC46" w14:textId="4B45BA19" w:rsidR="009720FA" w:rsidRPr="00A16981" w:rsidRDefault="009720FA" w:rsidP="009720FA">
            <w:r w:rsidRPr="00911A19">
              <w:t>0.792</w:t>
            </w:r>
          </w:p>
        </w:tc>
        <w:tc>
          <w:tcPr>
            <w:tcW w:w="0" w:type="auto"/>
            <w:shd w:val="clear" w:color="auto" w:fill="FFFF00"/>
          </w:tcPr>
          <w:p w14:paraId="092A155F" w14:textId="4D01297F" w:rsidR="009720FA" w:rsidRPr="00A16981" w:rsidRDefault="009720FA" w:rsidP="009720FA">
            <w:r w:rsidRPr="00911A19">
              <w:t>0.665</w:t>
            </w:r>
          </w:p>
        </w:tc>
        <w:tc>
          <w:tcPr>
            <w:tcW w:w="0" w:type="auto"/>
            <w:shd w:val="clear" w:color="auto" w:fill="FFFF00"/>
          </w:tcPr>
          <w:p w14:paraId="2E828C1E" w14:textId="40A1D3DD" w:rsidR="009720FA" w:rsidRPr="00A16981" w:rsidRDefault="009720FA" w:rsidP="009720FA">
            <w:pPr>
              <w:rPr>
                <w:i/>
                <w:iCs/>
              </w:rPr>
            </w:pPr>
            <w:r w:rsidRPr="00911A19">
              <w:rPr>
                <w:i/>
                <w:iCs/>
              </w:rPr>
              <w:t>0.711</w:t>
            </w:r>
          </w:p>
        </w:tc>
      </w:tr>
      <w:tr w:rsidR="009720FA" w:rsidRPr="00A16981" w14:paraId="00B13BED" w14:textId="77777777" w:rsidTr="007A266B">
        <w:trPr>
          <w:trHeight w:val="220"/>
        </w:trPr>
        <w:tc>
          <w:tcPr>
            <w:tcW w:w="0" w:type="auto"/>
          </w:tcPr>
          <w:p w14:paraId="6E4763A8" w14:textId="77777777" w:rsidR="009720FA" w:rsidRPr="00A16981" w:rsidRDefault="009720FA" w:rsidP="009720FA"/>
        </w:tc>
        <w:tc>
          <w:tcPr>
            <w:tcW w:w="0" w:type="auto"/>
            <w:shd w:val="clear" w:color="auto" w:fill="FFFF00"/>
          </w:tcPr>
          <w:p w14:paraId="43C70D28" w14:textId="2A549784" w:rsidR="009720FA" w:rsidRPr="00A16981" w:rsidRDefault="009720FA" w:rsidP="009720FA">
            <w:r w:rsidRPr="00911A19">
              <w:t>0.125–0.798</w:t>
            </w:r>
          </w:p>
        </w:tc>
        <w:tc>
          <w:tcPr>
            <w:tcW w:w="0" w:type="auto"/>
            <w:shd w:val="clear" w:color="auto" w:fill="00B050"/>
          </w:tcPr>
          <w:p w14:paraId="46508B60" w14:textId="0A456113" w:rsidR="009720FA" w:rsidRPr="00A16981" w:rsidRDefault="009720FA" w:rsidP="009720FA">
            <w:r w:rsidRPr="00911A19">
              <w:t>0.615–0.932</w:t>
            </w:r>
          </w:p>
        </w:tc>
        <w:tc>
          <w:tcPr>
            <w:tcW w:w="0" w:type="auto"/>
            <w:shd w:val="clear" w:color="auto" w:fill="00B050"/>
          </w:tcPr>
          <w:p w14:paraId="1AFFC588" w14:textId="22A9C4C6" w:rsidR="009720FA" w:rsidRPr="00A16981" w:rsidRDefault="009720FA" w:rsidP="009720FA">
            <w:r w:rsidRPr="00911A19">
              <w:t>0.652–0.940</w:t>
            </w:r>
          </w:p>
        </w:tc>
        <w:tc>
          <w:tcPr>
            <w:tcW w:w="0" w:type="auto"/>
            <w:shd w:val="clear" w:color="auto" w:fill="FFFF00"/>
          </w:tcPr>
          <w:p w14:paraId="6149BC35" w14:textId="65EE97DD" w:rsidR="009720FA" w:rsidRPr="00A16981" w:rsidRDefault="009720FA" w:rsidP="009720FA">
            <w:r w:rsidRPr="00911A19">
              <w:t>0.413–0.883</w:t>
            </w:r>
          </w:p>
        </w:tc>
        <w:tc>
          <w:tcPr>
            <w:tcW w:w="0" w:type="auto"/>
          </w:tcPr>
          <w:p w14:paraId="64C63A3B" w14:textId="77777777" w:rsidR="009720FA" w:rsidRPr="00A16981" w:rsidRDefault="009720FA" w:rsidP="009720FA">
            <w:pPr>
              <w:rPr>
                <w:i/>
                <w:iCs/>
              </w:rPr>
            </w:pPr>
          </w:p>
        </w:tc>
        <w:tc>
          <w:tcPr>
            <w:tcW w:w="0" w:type="auto"/>
            <w:shd w:val="clear" w:color="auto" w:fill="FFFF00"/>
          </w:tcPr>
          <w:p w14:paraId="23B4E8BD" w14:textId="0D44D6C3" w:rsidR="009720FA" w:rsidRPr="00A16981" w:rsidRDefault="009720FA" w:rsidP="009720FA">
            <w:r w:rsidRPr="00911A19">
              <w:t>0.195–0.822</w:t>
            </w:r>
          </w:p>
        </w:tc>
        <w:tc>
          <w:tcPr>
            <w:tcW w:w="0" w:type="auto"/>
            <w:shd w:val="clear" w:color="auto" w:fill="00B050"/>
          </w:tcPr>
          <w:p w14:paraId="6E516570" w14:textId="24EFADFD" w:rsidR="009720FA" w:rsidRPr="00A16981" w:rsidRDefault="009720FA" w:rsidP="009720FA">
            <w:r w:rsidRPr="00911A19">
              <w:t>0.535–0.915</w:t>
            </w:r>
          </w:p>
        </w:tc>
        <w:tc>
          <w:tcPr>
            <w:tcW w:w="0" w:type="auto"/>
            <w:shd w:val="clear" w:color="auto" w:fill="00B050"/>
          </w:tcPr>
          <w:p w14:paraId="43AD5E2B" w14:textId="19F290C3" w:rsidR="009720FA" w:rsidRPr="00A16981" w:rsidRDefault="009720FA" w:rsidP="009720FA">
            <w:r w:rsidRPr="00911A19">
              <w:t>0.533–0.915</w:t>
            </w:r>
          </w:p>
        </w:tc>
        <w:tc>
          <w:tcPr>
            <w:tcW w:w="0" w:type="auto"/>
            <w:shd w:val="clear" w:color="auto" w:fill="FFFF00"/>
          </w:tcPr>
          <w:p w14:paraId="6D02616C" w14:textId="09A8581E" w:rsidR="009720FA" w:rsidRPr="00A16981" w:rsidRDefault="009720FA" w:rsidP="009720FA">
            <w:r w:rsidRPr="00911A19">
              <w:t>0.327–0.855</w:t>
            </w:r>
          </w:p>
        </w:tc>
        <w:tc>
          <w:tcPr>
            <w:tcW w:w="0" w:type="auto"/>
          </w:tcPr>
          <w:p w14:paraId="0F606938" w14:textId="77777777" w:rsidR="009720FA" w:rsidRPr="00A16981" w:rsidRDefault="009720FA" w:rsidP="009720FA">
            <w:pPr>
              <w:rPr>
                <w:i/>
                <w:iCs/>
              </w:rPr>
            </w:pPr>
          </w:p>
        </w:tc>
      </w:tr>
      <w:tr w:rsidR="009720FA" w:rsidRPr="00A16981" w14:paraId="05CA2742" w14:textId="77777777" w:rsidTr="007A266B">
        <w:trPr>
          <w:trHeight w:val="220"/>
        </w:trPr>
        <w:tc>
          <w:tcPr>
            <w:tcW w:w="0" w:type="auto"/>
          </w:tcPr>
          <w:p w14:paraId="0ACACA30" w14:textId="3750BFD5" w:rsidR="009720FA" w:rsidRPr="00A16981" w:rsidRDefault="009720FA" w:rsidP="009720FA">
            <w:r w:rsidRPr="00911A19">
              <w:t>Left hemisphere</w:t>
            </w:r>
          </w:p>
        </w:tc>
        <w:tc>
          <w:tcPr>
            <w:tcW w:w="0" w:type="auto"/>
            <w:shd w:val="clear" w:color="auto" w:fill="FFFF00"/>
          </w:tcPr>
          <w:p w14:paraId="20BB584D" w14:textId="2FDC1257" w:rsidR="009720FA" w:rsidRPr="00A16981" w:rsidRDefault="009720FA" w:rsidP="009720FA">
            <w:r w:rsidRPr="00911A19">
              <w:t>0.539</w:t>
            </w:r>
          </w:p>
        </w:tc>
        <w:tc>
          <w:tcPr>
            <w:tcW w:w="0" w:type="auto"/>
            <w:shd w:val="clear" w:color="auto" w:fill="00B050"/>
          </w:tcPr>
          <w:p w14:paraId="4E3732AD" w14:textId="28B863C8" w:rsidR="009720FA" w:rsidRPr="00A16981" w:rsidRDefault="009720FA" w:rsidP="009720FA">
            <w:r w:rsidRPr="00911A19">
              <w:t>0.821</w:t>
            </w:r>
          </w:p>
        </w:tc>
        <w:tc>
          <w:tcPr>
            <w:tcW w:w="0" w:type="auto"/>
            <w:shd w:val="clear" w:color="auto" w:fill="00B050"/>
          </w:tcPr>
          <w:p w14:paraId="369FF33C" w14:textId="44D8B0C5" w:rsidR="009720FA" w:rsidRPr="00A16981" w:rsidRDefault="009720FA" w:rsidP="009720FA">
            <w:r w:rsidRPr="00911A19">
              <w:t>0.860</w:t>
            </w:r>
          </w:p>
        </w:tc>
        <w:tc>
          <w:tcPr>
            <w:tcW w:w="0" w:type="auto"/>
            <w:shd w:val="clear" w:color="auto" w:fill="00B050"/>
          </w:tcPr>
          <w:p w14:paraId="31431D37" w14:textId="4802497C" w:rsidR="009720FA" w:rsidRPr="00A16981" w:rsidRDefault="009720FA" w:rsidP="009720FA">
            <w:r w:rsidRPr="00911A19">
              <w:t>0.794</w:t>
            </w:r>
          </w:p>
        </w:tc>
        <w:tc>
          <w:tcPr>
            <w:tcW w:w="0" w:type="auto"/>
            <w:shd w:val="clear" w:color="auto" w:fill="00B050"/>
          </w:tcPr>
          <w:p w14:paraId="76C48757" w14:textId="1ACA04AC" w:rsidR="009720FA" w:rsidRPr="00A16981" w:rsidRDefault="009720FA" w:rsidP="009720FA">
            <w:pPr>
              <w:rPr>
                <w:i/>
                <w:iCs/>
              </w:rPr>
            </w:pPr>
            <w:r w:rsidRPr="00911A19">
              <w:rPr>
                <w:i/>
                <w:iCs/>
              </w:rPr>
              <w:t>0.754</w:t>
            </w:r>
          </w:p>
        </w:tc>
        <w:tc>
          <w:tcPr>
            <w:tcW w:w="0" w:type="auto"/>
            <w:shd w:val="clear" w:color="auto" w:fill="FF0000"/>
          </w:tcPr>
          <w:p w14:paraId="6C8915EE" w14:textId="5322002B" w:rsidR="009720FA" w:rsidRPr="00A16981" w:rsidRDefault="009720FA" w:rsidP="009720FA">
            <w:r w:rsidRPr="00911A19">
              <w:t>0.491</w:t>
            </w:r>
          </w:p>
        </w:tc>
        <w:tc>
          <w:tcPr>
            <w:tcW w:w="0" w:type="auto"/>
            <w:shd w:val="clear" w:color="auto" w:fill="00B050"/>
          </w:tcPr>
          <w:p w14:paraId="621B3914" w14:textId="5A6D489D" w:rsidR="009720FA" w:rsidRPr="00A16981" w:rsidRDefault="009720FA" w:rsidP="009720FA">
            <w:r w:rsidRPr="00911A19">
              <w:t>0.819</w:t>
            </w:r>
          </w:p>
        </w:tc>
        <w:tc>
          <w:tcPr>
            <w:tcW w:w="0" w:type="auto"/>
            <w:shd w:val="clear" w:color="auto" w:fill="00B050"/>
          </w:tcPr>
          <w:p w14:paraId="4969AA94" w14:textId="2D878474" w:rsidR="009720FA" w:rsidRPr="00A16981" w:rsidRDefault="009720FA" w:rsidP="009720FA">
            <w:r w:rsidRPr="00911A19">
              <w:t>0.796</w:t>
            </w:r>
          </w:p>
        </w:tc>
        <w:tc>
          <w:tcPr>
            <w:tcW w:w="0" w:type="auto"/>
            <w:shd w:val="clear" w:color="auto" w:fill="FFFF00"/>
          </w:tcPr>
          <w:p w14:paraId="75C1C255" w14:textId="42F132AD" w:rsidR="009720FA" w:rsidRPr="00A16981" w:rsidRDefault="009720FA" w:rsidP="009720FA">
            <w:r w:rsidRPr="00911A19">
              <w:t>0.714</w:t>
            </w:r>
          </w:p>
        </w:tc>
        <w:tc>
          <w:tcPr>
            <w:tcW w:w="0" w:type="auto"/>
            <w:shd w:val="clear" w:color="auto" w:fill="FFFF00"/>
          </w:tcPr>
          <w:p w14:paraId="25493D87" w14:textId="3A31FD33" w:rsidR="009720FA" w:rsidRPr="00A16981" w:rsidRDefault="009720FA" w:rsidP="009720FA">
            <w:pPr>
              <w:rPr>
                <w:i/>
                <w:iCs/>
              </w:rPr>
            </w:pPr>
            <w:r w:rsidRPr="00911A19">
              <w:rPr>
                <w:i/>
                <w:iCs/>
              </w:rPr>
              <w:t>0.705</w:t>
            </w:r>
          </w:p>
        </w:tc>
      </w:tr>
      <w:tr w:rsidR="009720FA" w:rsidRPr="00A16981" w14:paraId="56110864" w14:textId="77777777" w:rsidTr="007A266B">
        <w:trPr>
          <w:trHeight w:val="220"/>
        </w:trPr>
        <w:tc>
          <w:tcPr>
            <w:tcW w:w="0" w:type="auto"/>
          </w:tcPr>
          <w:p w14:paraId="13DD7CB6" w14:textId="77777777" w:rsidR="009720FA" w:rsidRPr="00A16981" w:rsidRDefault="009720FA" w:rsidP="009720FA"/>
        </w:tc>
        <w:tc>
          <w:tcPr>
            <w:tcW w:w="0" w:type="auto"/>
            <w:shd w:val="clear" w:color="auto" w:fill="FFFF00"/>
          </w:tcPr>
          <w:p w14:paraId="330615B4" w14:textId="667BC5BC" w:rsidR="009720FA" w:rsidRPr="00A16981" w:rsidRDefault="009720FA" w:rsidP="009720FA">
            <w:r w:rsidRPr="00911A19">
              <w:t>0.123–0.793</w:t>
            </w:r>
          </w:p>
        </w:tc>
        <w:tc>
          <w:tcPr>
            <w:tcW w:w="0" w:type="auto"/>
            <w:shd w:val="clear" w:color="auto" w:fill="00B050"/>
          </w:tcPr>
          <w:p w14:paraId="0B7B6E17" w14:textId="355D9C3B" w:rsidR="009720FA" w:rsidRPr="00A16981" w:rsidRDefault="009720FA" w:rsidP="009720FA">
            <w:r w:rsidRPr="00911A19">
              <w:t>0.592–0.927</w:t>
            </w:r>
          </w:p>
        </w:tc>
        <w:tc>
          <w:tcPr>
            <w:tcW w:w="0" w:type="auto"/>
            <w:shd w:val="clear" w:color="auto" w:fill="00B050"/>
          </w:tcPr>
          <w:p w14:paraId="193B17B6" w14:textId="633F6297" w:rsidR="009720FA" w:rsidRPr="00A16981" w:rsidRDefault="009720FA" w:rsidP="009720FA">
            <w:r w:rsidRPr="00911A19">
              <w:t>0.679–0.943</w:t>
            </w:r>
          </w:p>
        </w:tc>
        <w:tc>
          <w:tcPr>
            <w:tcW w:w="0" w:type="auto"/>
            <w:shd w:val="clear" w:color="auto" w:fill="00B050"/>
          </w:tcPr>
          <w:p w14:paraId="0B09732B" w14:textId="11B62EEC" w:rsidR="009720FA" w:rsidRPr="00A16981" w:rsidRDefault="009720FA" w:rsidP="009720FA">
            <w:r w:rsidRPr="00911A19">
              <w:t>0.539–0.916</w:t>
            </w:r>
          </w:p>
        </w:tc>
        <w:tc>
          <w:tcPr>
            <w:tcW w:w="0" w:type="auto"/>
          </w:tcPr>
          <w:p w14:paraId="0493E821" w14:textId="77777777" w:rsidR="009720FA" w:rsidRPr="00A16981" w:rsidRDefault="009720FA" w:rsidP="009720FA">
            <w:pPr>
              <w:rPr>
                <w:i/>
                <w:iCs/>
              </w:rPr>
            </w:pPr>
          </w:p>
        </w:tc>
        <w:tc>
          <w:tcPr>
            <w:tcW w:w="0" w:type="auto"/>
            <w:shd w:val="clear" w:color="auto" w:fill="FF0000"/>
          </w:tcPr>
          <w:p w14:paraId="393CF39C" w14:textId="1532D513" w:rsidR="009720FA" w:rsidRPr="00A16981" w:rsidRDefault="009720FA" w:rsidP="009720FA">
            <w:r w:rsidRPr="00911A19">
              <w:t>0.061–0.767</w:t>
            </w:r>
          </w:p>
        </w:tc>
        <w:tc>
          <w:tcPr>
            <w:tcW w:w="0" w:type="auto"/>
            <w:shd w:val="clear" w:color="auto" w:fill="00B050"/>
          </w:tcPr>
          <w:p w14:paraId="725A754B" w14:textId="5A24FC5D" w:rsidR="009720FA" w:rsidRPr="00A16981" w:rsidRDefault="009720FA" w:rsidP="009720FA">
            <w:r w:rsidRPr="00911A19">
              <w:t>0.596–0.926</w:t>
            </w:r>
          </w:p>
        </w:tc>
        <w:tc>
          <w:tcPr>
            <w:tcW w:w="0" w:type="auto"/>
            <w:shd w:val="clear" w:color="auto" w:fill="00B050"/>
          </w:tcPr>
          <w:p w14:paraId="1352C558" w14:textId="57F25A0B" w:rsidR="009720FA" w:rsidRPr="00A16981" w:rsidRDefault="009720FA" w:rsidP="009720FA">
            <w:r w:rsidRPr="00911A19">
              <w:t>0.540–0.916</w:t>
            </w:r>
          </w:p>
        </w:tc>
        <w:tc>
          <w:tcPr>
            <w:tcW w:w="0" w:type="auto"/>
            <w:shd w:val="clear" w:color="auto" w:fill="FFFF00"/>
          </w:tcPr>
          <w:p w14:paraId="696987A0" w14:textId="0775452C" w:rsidR="009720FA" w:rsidRPr="00A16981" w:rsidRDefault="009720FA" w:rsidP="009720FA">
            <w:r w:rsidRPr="00911A19">
              <w:t>0.404–0.878</w:t>
            </w:r>
          </w:p>
        </w:tc>
        <w:tc>
          <w:tcPr>
            <w:tcW w:w="0" w:type="auto"/>
          </w:tcPr>
          <w:p w14:paraId="1084E9FB" w14:textId="77777777" w:rsidR="009720FA" w:rsidRPr="00A16981" w:rsidRDefault="009720FA" w:rsidP="009720FA">
            <w:pPr>
              <w:rPr>
                <w:i/>
                <w:iCs/>
              </w:rPr>
            </w:pPr>
          </w:p>
        </w:tc>
      </w:tr>
      <w:tr w:rsidR="009720FA" w:rsidRPr="00A16981" w14:paraId="17B6EAD9" w14:textId="77777777" w:rsidTr="007A266B">
        <w:trPr>
          <w:trHeight w:val="220"/>
        </w:trPr>
        <w:tc>
          <w:tcPr>
            <w:tcW w:w="0" w:type="auto"/>
          </w:tcPr>
          <w:p w14:paraId="18A5E9D2" w14:textId="5F5C5608" w:rsidR="009720FA" w:rsidRPr="00A16981" w:rsidRDefault="009720FA" w:rsidP="009720FA">
            <w:r w:rsidRPr="00911A19">
              <w:t>Right hemisphere</w:t>
            </w:r>
          </w:p>
        </w:tc>
        <w:tc>
          <w:tcPr>
            <w:tcW w:w="0" w:type="auto"/>
            <w:shd w:val="clear" w:color="auto" w:fill="FFFF00"/>
          </w:tcPr>
          <w:p w14:paraId="3007EB37" w14:textId="745D4A85" w:rsidR="009720FA" w:rsidRPr="00A16981" w:rsidRDefault="009720FA" w:rsidP="009720FA">
            <w:r w:rsidRPr="00911A19">
              <w:t>0.584</w:t>
            </w:r>
          </w:p>
        </w:tc>
        <w:tc>
          <w:tcPr>
            <w:tcW w:w="0" w:type="auto"/>
            <w:shd w:val="clear" w:color="auto" w:fill="00B050"/>
          </w:tcPr>
          <w:p w14:paraId="3AD77339" w14:textId="3A00B372" w:rsidR="009720FA" w:rsidRPr="00A16981" w:rsidRDefault="009720FA" w:rsidP="009720FA">
            <w:r w:rsidRPr="00911A19">
              <w:t>0.778</w:t>
            </w:r>
          </w:p>
        </w:tc>
        <w:tc>
          <w:tcPr>
            <w:tcW w:w="0" w:type="auto"/>
            <w:shd w:val="clear" w:color="auto" w:fill="00B050"/>
          </w:tcPr>
          <w:p w14:paraId="766C2E2A" w14:textId="47F1023E" w:rsidR="009720FA" w:rsidRPr="00A16981" w:rsidRDefault="009720FA" w:rsidP="009720FA">
            <w:r w:rsidRPr="00911A19">
              <w:t>0.791</w:t>
            </w:r>
          </w:p>
        </w:tc>
        <w:tc>
          <w:tcPr>
            <w:tcW w:w="0" w:type="auto"/>
            <w:shd w:val="clear" w:color="auto" w:fill="FFFF00"/>
          </w:tcPr>
          <w:p w14:paraId="2F340702" w14:textId="03EFD899" w:rsidR="009720FA" w:rsidRPr="00A16981" w:rsidRDefault="009720FA" w:rsidP="009720FA">
            <w:r w:rsidRPr="00911A19">
              <w:t>0.689</w:t>
            </w:r>
          </w:p>
        </w:tc>
        <w:tc>
          <w:tcPr>
            <w:tcW w:w="0" w:type="auto"/>
            <w:shd w:val="clear" w:color="auto" w:fill="FFFF00"/>
          </w:tcPr>
          <w:p w14:paraId="79FD940A" w14:textId="2355116B" w:rsidR="009720FA" w:rsidRPr="00A16981" w:rsidRDefault="009720FA" w:rsidP="009720FA">
            <w:pPr>
              <w:rPr>
                <w:i/>
                <w:iCs/>
              </w:rPr>
            </w:pPr>
            <w:r w:rsidRPr="00911A19">
              <w:rPr>
                <w:i/>
                <w:iCs/>
              </w:rPr>
              <w:t>0.711</w:t>
            </w:r>
          </w:p>
        </w:tc>
        <w:tc>
          <w:tcPr>
            <w:tcW w:w="0" w:type="auto"/>
            <w:shd w:val="clear" w:color="auto" w:fill="00B050"/>
          </w:tcPr>
          <w:p w14:paraId="10254C4E" w14:textId="1189F351" w:rsidR="009720FA" w:rsidRPr="00A16981" w:rsidRDefault="009720FA" w:rsidP="009720FA">
            <w:r w:rsidRPr="00911A19">
              <w:t>0.768</w:t>
            </w:r>
          </w:p>
        </w:tc>
        <w:tc>
          <w:tcPr>
            <w:tcW w:w="0" w:type="auto"/>
            <w:shd w:val="clear" w:color="auto" w:fill="FFFF00"/>
          </w:tcPr>
          <w:p w14:paraId="01ED0BCE" w14:textId="74481BCD" w:rsidR="009720FA" w:rsidRPr="00A16981" w:rsidRDefault="009720FA" w:rsidP="009720FA">
            <w:r w:rsidRPr="00911A19">
              <w:t>0.734</w:t>
            </w:r>
          </w:p>
        </w:tc>
        <w:tc>
          <w:tcPr>
            <w:tcW w:w="0" w:type="auto"/>
            <w:shd w:val="clear" w:color="auto" w:fill="FFFF00"/>
          </w:tcPr>
          <w:p w14:paraId="7DEA8B8A" w14:textId="0D5F7C37" w:rsidR="009720FA" w:rsidRPr="00A16981" w:rsidRDefault="009720FA" w:rsidP="009720FA">
            <w:r w:rsidRPr="00911A19">
              <w:t>0.695</w:t>
            </w:r>
          </w:p>
        </w:tc>
        <w:tc>
          <w:tcPr>
            <w:tcW w:w="0" w:type="auto"/>
            <w:shd w:val="clear" w:color="auto" w:fill="FFFF00"/>
          </w:tcPr>
          <w:p w14:paraId="29F825B2" w14:textId="232CFD75" w:rsidR="009720FA" w:rsidRPr="00A16981" w:rsidRDefault="009720FA" w:rsidP="009720FA">
            <w:r w:rsidRPr="00911A19">
              <w:t>0.674</w:t>
            </w:r>
          </w:p>
        </w:tc>
        <w:tc>
          <w:tcPr>
            <w:tcW w:w="0" w:type="auto"/>
            <w:shd w:val="clear" w:color="auto" w:fill="FFFF00"/>
          </w:tcPr>
          <w:p w14:paraId="2FCAF21C" w14:textId="1004432E" w:rsidR="009720FA" w:rsidRPr="00A16981" w:rsidRDefault="009720FA" w:rsidP="009720FA">
            <w:pPr>
              <w:rPr>
                <w:i/>
                <w:iCs/>
              </w:rPr>
            </w:pPr>
            <w:r w:rsidRPr="00911A19">
              <w:rPr>
                <w:i/>
                <w:iCs/>
              </w:rPr>
              <w:t>0.604</w:t>
            </w:r>
          </w:p>
        </w:tc>
      </w:tr>
      <w:tr w:rsidR="009720FA" w:rsidRPr="00A16981" w14:paraId="34D38EAD" w14:textId="77777777" w:rsidTr="007A266B">
        <w:trPr>
          <w:trHeight w:val="220"/>
        </w:trPr>
        <w:tc>
          <w:tcPr>
            <w:tcW w:w="0" w:type="auto"/>
          </w:tcPr>
          <w:p w14:paraId="0DA34D8B" w14:textId="77777777" w:rsidR="009720FA" w:rsidRPr="00A16981" w:rsidRDefault="009720FA" w:rsidP="009720FA"/>
        </w:tc>
        <w:tc>
          <w:tcPr>
            <w:tcW w:w="0" w:type="auto"/>
            <w:shd w:val="clear" w:color="auto" w:fill="FFFF00"/>
          </w:tcPr>
          <w:p w14:paraId="4CE28099" w14:textId="33155F89" w:rsidR="009720FA" w:rsidRPr="00A16981" w:rsidRDefault="009720FA" w:rsidP="009720FA">
            <w:r w:rsidRPr="00911A19">
              <w:t>0.185–0.817</w:t>
            </w:r>
          </w:p>
        </w:tc>
        <w:tc>
          <w:tcPr>
            <w:tcW w:w="0" w:type="auto"/>
            <w:shd w:val="clear" w:color="auto" w:fill="00B050"/>
          </w:tcPr>
          <w:p w14:paraId="286C42C7" w14:textId="55FED8B2" w:rsidR="009720FA" w:rsidRPr="00A16981" w:rsidRDefault="009720FA" w:rsidP="009720FA">
            <w:r w:rsidRPr="00911A19">
              <w:t>0.507–0.909</w:t>
            </w:r>
          </w:p>
        </w:tc>
        <w:tc>
          <w:tcPr>
            <w:tcW w:w="0" w:type="auto"/>
            <w:shd w:val="clear" w:color="auto" w:fill="00B050"/>
          </w:tcPr>
          <w:p w14:paraId="5C4A93EC" w14:textId="2CCBFAE8" w:rsidR="009720FA" w:rsidRPr="00A16981" w:rsidRDefault="009720FA" w:rsidP="009720FA">
            <w:r w:rsidRPr="00911A19">
              <w:t>0.522–0.915</w:t>
            </w:r>
          </w:p>
        </w:tc>
        <w:tc>
          <w:tcPr>
            <w:tcW w:w="0" w:type="auto"/>
            <w:shd w:val="clear" w:color="auto" w:fill="FFFF00"/>
          </w:tcPr>
          <w:p w14:paraId="3419B773" w14:textId="286572BF" w:rsidR="009720FA" w:rsidRPr="00A16981" w:rsidRDefault="009720FA" w:rsidP="009720FA">
            <w:r w:rsidRPr="00911A19">
              <w:t>0.360–0.867</w:t>
            </w:r>
          </w:p>
        </w:tc>
        <w:tc>
          <w:tcPr>
            <w:tcW w:w="0" w:type="auto"/>
          </w:tcPr>
          <w:p w14:paraId="599F9423" w14:textId="77777777" w:rsidR="009720FA" w:rsidRPr="00A16981" w:rsidRDefault="009720FA" w:rsidP="009720FA">
            <w:pPr>
              <w:rPr>
                <w:i/>
                <w:iCs/>
              </w:rPr>
            </w:pPr>
          </w:p>
        </w:tc>
        <w:tc>
          <w:tcPr>
            <w:tcW w:w="0" w:type="auto"/>
            <w:shd w:val="clear" w:color="auto" w:fill="00B050"/>
          </w:tcPr>
          <w:p w14:paraId="5A02E8FE" w14:textId="56EFC268" w:rsidR="009720FA" w:rsidRPr="00A16981" w:rsidRDefault="009720FA" w:rsidP="009720FA">
            <w:r w:rsidRPr="00911A19">
              <w:t>0.490–0.904</w:t>
            </w:r>
          </w:p>
        </w:tc>
        <w:tc>
          <w:tcPr>
            <w:tcW w:w="0" w:type="auto"/>
            <w:shd w:val="clear" w:color="auto" w:fill="FFFF00"/>
          </w:tcPr>
          <w:p w14:paraId="3CB12FCA" w14:textId="4701F263" w:rsidR="009720FA" w:rsidRPr="00A16981" w:rsidRDefault="009720FA" w:rsidP="009720FA">
            <w:r w:rsidRPr="00911A19">
              <w:t>0.437–0.888</w:t>
            </w:r>
          </w:p>
        </w:tc>
        <w:tc>
          <w:tcPr>
            <w:tcW w:w="0" w:type="auto"/>
            <w:shd w:val="clear" w:color="auto" w:fill="FFFF00"/>
          </w:tcPr>
          <w:p w14:paraId="74833837" w14:textId="30BC9B4E" w:rsidR="009720FA" w:rsidRPr="00A16981" w:rsidRDefault="009720FA" w:rsidP="009720FA">
            <w:r w:rsidRPr="00911A19">
              <w:t>0.369–0.870</w:t>
            </w:r>
          </w:p>
        </w:tc>
        <w:tc>
          <w:tcPr>
            <w:tcW w:w="0" w:type="auto"/>
            <w:shd w:val="clear" w:color="auto" w:fill="FFFF00"/>
          </w:tcPr>
          <w:p w14:paraId="69107C08" w14:textId="4E9EC2EC" w:rsidR="009720FA" w:rsidRPr="00A16981" w:rsidRDefault="009720FA" w:rsidP="009720FA">
            <w:r w:rsidRPr="00911A19">
              <w:t>0.339–0.859</w:t>
            </w:r>
          </w:p>
        </w:tc>
        <w:tc>
          <w:tcPr>
            <w:tcW w:w="0" w:type="auto"/>
          </w:tcPr>
          <w:p w14:paraId="38732808" w14:textId="77777777" w:rsidR="009720FA" w:rsidRPr="00A16981" w:rsidRDefault="009720FA" w:rsidP="009720FA">
            <w:pPr>
              <w:rPr>
                <w:i/>
                <w:iCs/>
              </w:rPr>
            </w:pPr>
          </w:p>
        </w:tc>
      </w:tr>
      <w:tr w:rsidR="009720FA" w:rsidRPr="00A16981" w14:paraId="5866B207" w14:textId="77777777" w:rsidTr="007A266B">
        <w:trPr>
          <w:trHeight w:val="220"/>
        </w:trPr>
        <w:tc>
          <w:tcPr>
            <w:tcW w:w="0" w:type="auto"/>
          </w:tcPr>
          <w:p w14:paraId="5F436ABC" w14:textId="76C8988C" w:rsidR="009720FA" w:rsidRPr="00A16981" w:rsidRDefault="009720FA" w:rsidP="009720FA">
            <w:r w:rsidRPr="00911A19">
              <w:t>Average</w:t>
            </w:r>
          </w:p>
        </w:tc>
        <w:tc>
          <w:tcPr>
            <w:tcW w:w="0" w:type="auto"/>
            <w:shd w:val="clear" w:color="auto" w:fill="FFFF00"/>
          </w:tcPr>
          <w:p w14:paraId="38629074" w14:textId="0891232E" w:rsidR="009720FA" w:rsidRPr="00A16981" w:rsidRDefault="009720FA" w:rsidP="009720FA">
            <w:r w:rsidRPr="00911A19">
              <w:rPr>
                <w:i/>
                <w:iCs/>
              </w:rPr>
              <w:t>0.555</w:t>
            </w:r>
          </w:p>
        </w:tc>
        <w:tc>
          <w:tcPr>
            <w:tcW w:w="0" w:type="auto"/>
            <w:shd w:val="clear" w:color="auto" w:fill="00B050"/>
          </w:tcPr>
          <w:p w14:paraId="384C8A08" w14:textId="42FF59FA" w:rsidR="009720FA" w:rsidRPr="00A16981" w:rsidRDefault="009720FA" w:rsidP="009720FA">
            <w:r w:rsidRPr="00911A19">
              <w:rPr>
                <w:i/>
                <w:iCs/>
              </w:rPr>
              <w:t>0.823</w:t>
            </w:r>
          </w:p>
        </w:tc>
        <w:tc>
          <w:tcPr>
            <w:tcW w:w="0" w:type="auto"/>
            <w:shd w:val="clear" w:color="auto" w:fill="00B050"/>
          </w:tcPr>
          <w:p w14:paraId="6B583137" w14:textId="592BA37C" w:rsidR="009720FA" w:rsidRPr="00A16981" w:rsidRDefault="009720FA" w:rsidP="009720FA">
            <w:r w:rsidRPr="00911A19">
              <w:rPr>
                <w:i/>
                <w:iCs/>
              </w:rPr>
              <w:t>0.841</w:t>
            </w:r>
          </w:p>
        </w:tc>
        <w:tc>
          <w:tcPr>
            <w:tcW w:w="0" w:type="auto"/>
            <w:shd w:val="clear" w:color="auto" w:fill="FFFF00"/>
          </w:tcPr>
          <w:p w14:paraId="316502CB" w14:textId="7A2BB9D0" w:rsidR="009720FA" w:rsidRPr="00A16981" w:rsidRDefault="009720FA" w:rsidP="009720FA">
            <w:r w:rsidRPr="00911A19">
              <w:rPr>
                <w:i/>
                <w:iCs/>
              </w:rPr>
              <w:t>0.719</w:t>
            </w:r>
          </w:p>
        </w:tc>
        <w:tc>
          <w:tcPr>
            <w:tcW w:w="0" w:type="auto"/>
          </w:tcPr>
          <w:p w14:paraId="0B28EA4F" w14:textId="77777777" w:rsidR="009720FA" w:rsidRPr="00A16981" w:rsidRDefault="009720FA" w:rsidP="009720FA">
            <w:pPr>
              <w:rPr>
                <w:i/>
                <w:iCs/>
              </w:rPr>
            </w:pPr>
          </w:p>
        </w:tc>
        <w:tc>
          <w:tcPr>
            <w:tcW w:w="0" w:type="auto"/>
            <w:shd w:val="clear" w:color="auto" w:fill="FFFF00"/>
          </w:tcPr>
          <w:p w14:paraId="3BB193E5" w14:textId="7A8464BC" w:rsidR="009720FA" w:rsidRPr="00A16981" w:rsidRDefault="009720FA" w:rsidP="009720FA">
            <w:r w:rsidRPr="00911A19">
              <w:rPr>
                <w:i/>
                <w:iCs/>
              </w:rPr>
              <w:t>0.62</w:t>
            </w:r>
          </w:p>
        </w:tc>
        <w:tc>
          <w:tcPr>
            <w:tcW w:w="0" w:type="auto"/>
            <w:shd w:val="clear" w:color="auto" w:fill="00B050"/>
          </w:tcPr>
          <w:p w14:paraId="26837EB3" w14:textId="44196A05" w:rsidR="009720FA" w:rsidRPr="00A16981" w:rsidRDefault="009720FA" w:rsidP="009720FA">
            <w:r w:rsidRPr="00911A19">
              <w:rPr>
                <w:i/>
                <w:iCs/>
              </w:rPr>
              <w:t>0.788</w:t>
            </w:r>
          </w:p>
        </w:tc>
        <w:tc>
          <w:tcPr>
            <w:tcW w:w="0" w:type="auto"/>
            <w:shd w:val="clear" w:color="auto" w:fill="00B050"/>
          </w:tcPr>
          <w:p w14:paraId="1DA06FF2" w14:textId="1E05270C" w:rsidR="009720FA" w:rsidRPr="00A16981" w:rsidRDefault="009720FA" w:rsidP="009720FA">
            <w:r w:rsidRPr="00911A19">
              <w:rPr>
                <w:i/>
                <w:iCs/>
              </w:rPr>
              <w:t>0.775</w:t>
            </w:r>
          </w:p>
        </w:tc>
        <w:tc>
          <w:tcPr>
            <w:tcW w:w="0" w:type="auto"/>
            <w:shd w:val="clear" w:color="auto" w:fill="FFFF00"/>
          </w:tcPr>
          <w:p w14:paraId="2EF3655E" w14:textId="46B7BA0C" w:rsidR="009720FA" w:rsidRPr="00A16981" w:rsidRDefault="009720FA" w:rsidP="009720FA">
            <w:r w:rsidRPr="00911A19">
              <w:rPr>
                <w:i/>
                <w:iCs/>
              </w:rPr>
              <w:t>0.68</w:t>
            </w:r>
          </w:p>
        </w:tc>
        <w:tc>
          <w:tcPr>
            <w:tcW w:w="0" w:type="auto"/>
          </w:tcPr>
          <w:p w14:paraId="4A848171" w14:textId="77777777" w:rsidR="009720FA" w:rsidRPr="00A16981" w:rsidRDefault="009720FA" w:rsidP="009720FA">
            <w:pPr>
              <w:rPr>
                <w:i/>
                <w:iCs/>
              </w:rPr>
            </w:pPr>
          </w:p>
        </w:tc>
      </w:tr>
    </w:tbl>
    <w:p w14:paraId="73971787" w14:textId="77777777" w:rsidR="00911A19" w:rsidRPr="00911A19" w:rsidRDefault="00911A19" w:rsidP="00911A19"/>
    <w:p w14:paraId="6BA650C1" w14:textId="221F2D87" w:rsidR="004D443D" w:rsidRPr="004D443D" w:rsidRDefault="004D443D" w:rsidP="0032252B">
      <w:pPr>
        <w:pStyle w:val="NoSpacing"/>
      </w:pPr>
      <w:bookmarkStart w:id="10" w:name="figure2"/>
      <w:r w:rsidRPr="004D443D">
        <w:rPr>
          <w:noProof/>
        </w:rPr>
        <w:drawing>
          <wp:inline distT="0" distB="0" distL="0" distR="0" wp14:anchorId="1D5487E1" wp14:editId="4C56343F">
            <wp:extent cx="1424940" cy="840105"/>
            <wp:effectExtent l="0" t="0" r="3810" b="0"/>
            <wp:docPr id="5" name="Picture 5" descr="www.frontiersin.or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4940" cy="840105"/>
                    </a:xfrm>
                    <a:prstGeom prst="rect">
                      <a:avLst/>
                    </a:prstGeom>
                    <a:noFill/>
                    <a:ln>
                      <a:noFill/>
                    </a:ln>
                  </pic:spPr>
                </pic:pic>
              </a:graphicData>
            </a:graphic>
          </wp:inline>
        </w:drawing>
      </w:r>
      <w:bookmarkEnd w:id="10"/>
    </w:p>
    <w:p w14:paraId="6674DF64" w14:textId="4EAC04E3" w:rsidR="004D443D" w:rsidRPr="004D443D" w:rsidRDefault="004D443D" w:rsidP="0032252B">
      <w:pPr>
        <w:pStyle w:val="NoSpacing"/>
      </w:pPr>
      <w:r w:rsidRPr="004D443D">
        <w:rPr>
          <w:b/>
          <w:bCs/>
        </w:rPr>
        <w:t>Figure 2.</w:t>
      </w:r>
      <w:r w:rsidRPr="004D443D">
        <w:t> Intra-class correlations by group and frequency band for the eyes open rest condition in </w:t>
      </w:r>
      <w:r w:rsidRPr="004D443D">
        <w:rPr>
          <w:b/>
          <w:bCs/>
        </w:rPr>
        <w:t>(A)</w:t>
      </w:r>
      <w:r w:rsidRPr="004D443D">
        <w:t> the whole brain montage; </w:t>
      </w:r>
      <w:r w:rsidRPr="004D443D">
        <w:rPr>
          <w:b/>
          <w:bCs/>
        </w:rPr>
        <w:t>(B)</w:t>
      </w:r>
      <w:r w:rsidRPr="004D443D">
        <w:t> the clinical montage; </w:t>
      </w:r>
      <w:r w:rsidRPr="004D443D">
        <w:rPr>
          <w:b/>
          <w:bCs/>
        </w:rPr>
        <w:t>(C)</w:t>
      </w:r>
      <w:r w:rsidRPr="004D443D">
        <w:t> the left hemisphere montage; and </w:t>
      </w:r>
      <w:r w:rsidRPr="004D443D">
        <w:rPr>
          <w:b/>
          <w:bCs/>
        </w:rPr>
        <w:t>(D)</w:t>
      </w:r>
      <w:r w:rsidRPr="004D443D">
        <w:t> the right hemisphere montage. Error bars represent the 95% confidence interval of the point estimates reported in </w:t>
      </w:r>
      <w:r w:rsidRPr="00C05BF0">
        <w:t>Table 3</w:t>
      </w:r>
      <w:r w:rsidRPr="004D443D">
        <w:t>.</w:t>
      </w:r>
    </w:p>
    <w:p w14:paraId="4C2EED0A" w14:textId="77777777" w:rsidR="0032252B" w:rsidRDefault="0032252B" w:rsidP="0039027F">
      <w:pPr>
        <w:pStyle w:val="Heading3"/>
        <w:rPr>
          <w:i/>
          <w:iCs/>
        </w:rPr>
        <w:sectPr w:rsidR="0032252B" w:rsidSect="00911A19">
          <w:pgSz w:w="15840" w:h="12240" w:orient="landscape"/>
          <w:pgMar w:top="1080" w:right="1080" w:bottom="1080" w:left="1080" w:header="720" w:footer="720" w:gutter="0"/>
          <w:cols w:space="720"/>
          <w:docGrid w:linePitch="360"/>
        </w:sectPr>
      </w:pPr>
    </w:p>
    <w:p w14:paraId="2CAAF318" w14:textId="77777777" w:rsidR="004D443D" w:rsidRPr="0039027F" w:rsidRDefault="004D443D" w:rsidP="0039027F">
      <w:pPr>
        <w:pStyle w:val="Heading3"/>
        <w:rPr>
          <w:i/>
          <w:iCs/>
        </w:rPr>
      </w:pPr>
      <w:r w:rsidRPr="0039027F">
        <w:rPr>
          <w:i/>
          <w:iCs/>
        </w:rPr>
        <w:t>Eyes-Closed Rest</w:t>
      </w:r>
    </w:p>
    <w:p w14:paraId="353CAB8C" w14:textId="670E8D74" w:rsidR="004D443D" w:rsidRPr="004D443D" w:rsidRDefault="004D443D" w:rsidP="004D443D">
      <w:r w:rsidRPr="004D443D">
        <w:t>Reliability in the eyes-closed condition was similar across groups, with better reliability for PWAs than controls (</w:t>
      </w:r>
      <w:r w:rsidRPr="00C05BF0">
        <w:t>Table 3</w:t>
      </w:r>
      <w:r w:rsidRPr="004D443D">
        <w:t> and </w:t>
      </w:r>
      <w:r w:rsidRPr="00C05BF0">
        <w:t>Figure 3</w:t>
      </w:r>
      <w:r w:rsidRPr="004D443D">
        <w:t>). For PWAs, moderate-good reliability was demonstrated in 15/16 montage + spectral band combinations (good reliability in 7/16 and moderate reliability in 8/16). Controls also demonstrated moderate-good reliability in 15/16 montage + spectral band combinations (good reliability in 5/16 and moderate reliability in 10/16). Both groups demonstrated poor reliability of delta power in the left hemisphere. For PWAs, highest reliability was observed for theta and alpha power, then beta, and finally delta. For healthy controls, highest reliability was observed for theta power, followed by alpha and beta, and finally delta power.</w:t>
      </w:r>
    </w:p>
    <w:p w14:paraId="26C27799" w14:textId="6377D418" w:rsidR="004D443D" w:rsidRPr="004D443D" w:rsidRDefault="004D443D" w:rsidP="0032252B">
      <w:pPr>
        <w:pStyle w:val="NoSpacing"/>
      </w:pPr>
      <w:bookmarkStart w:id="11" w:name="figure3"/>
      <w:r w:rsidRPr="004D443D">
        <w:rPr>
          <w:noProof/>
        </w:rPr>
        <w:drawing>
          <wp:inline distT="0" distB="0" distL="0" distR="0" wp14:anchorId="4EED7AC9" wp14:editId="6EE85E55">
            <wp:extent cx="1424940" cy="829310"/>
            <wp:effectExtent l="0" t="0" r="3810" b="8890"/>
            <wp:docPr id="4" name="Picture 4" descr="www.frontiersin.or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 descr="www.frontiersin.or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4940" cy="829310"/>
                    </a:xfrm>
                    <a:prstGeom prst="rect">
                      <a:avLst/>
                    </a:prstGeom>
                    <a:noFill/>
                    <a:ln>
                      <a:noFill/>
                    </a:ln>
                  </pic:spPr>
                </pic:pic>
              </a:graphicData>
            </a:graphic>
          </wp:inline>
        </w:drawing>
      </w:r>
      <w:bookmarkEnd w:id="11"/>
    </w:p>
    <w:p w14:paraId="0D72FDA1" w14:textId="23D879E8" w:rsidR="004D443D" w:rsidRDefault="004D443D" w:rsidP="0032252B">
      <w:pPr>
        <w:pStyle w:val="NoSpacing"/>
      </w:pPr>
      <w:r w:rsidRPr="004D443D">
        <w:rPr>
          <w:b/>
          <w:bCs/>
        </w:rPr>
        <w:t>Figure 3.</w:t>
      </w:r>
      <w:r w:rsidRPr="004D443D">
        <w:t> Intra-class correlations by group and frequency band for the eyes closed rest condition in </w:t>
      </w:r>
      <w:r w:rsidRPr="004D443D">
        <w:rPr>
          <w:b/>
          <w:bCs/>
        </w:rPr>
        <w:t>(A)</w:t>
      </w:r>
      <w:r w:rsidRPr="004D443D">
        <w:t> the whole brain montage; </w:t>
      </w:r>
      <w:r w:rsidRPr="004D443D">
        <w:rPr>
          <w:b/>
          <w:bCs/>
        </w:rPr>
        <w:t>(B)</w:t>
      </w:r>
      <w:r w:rsidRPr="004D443D">
        <w:t> the clinical montage; </w:t>
      </w:r>
      <w:r w:rsidRPr="004D443D">
        <w:rPr>
          <w:b/>
          <w:bCs/>
        </w:rPr>
        <w:t>(C)</w:t>
      </w:r>
      <w:r w:rsidRPr="004D443D">
        <w:t> the left hemisphere montage; and </w:t>
      </w:r>
      <w:r w:rsidRPr="004D443D">
        <w:rPr>
          <w:b/>
          <w:bCs/>
        </w:rPr>
        <w:t>(D)</w:t>
      </w:r>
      <w:r w:rsidRPr="004D443D">
        <w:t> the right hemisphere montage. Error bars represent the 95% confidence interval of the point estimates reported in </w:t>
      </w:r>
      <w:r w:rsidRPr="00C05BF0">
        <w:t>Table 3</w:t>
      </w:r>
      <w:r w:rsidRPr="004D443D">
        <w:t>.</w:t>
      </w:r>
    </w:p>
    <w:p w14:paraId="0B0E5BE6" w14:textId="77777777" w:rsidR="0032252B" w:rsidRPr="004D443D" w:rsidRDefault="0032252B" w:rsidP="004D443D"/>
    <w:p w14:paraId="0F78C330" w14:textId="77777777" w:rsidR="004D443D" w:rsidRPr="004D443D" w:rsidRDefault="004D443D" w:rsidP="0032252B">
      <w:pPr>
        <w:pStyle w:val="Heading2"/>
      </w:pPr>
      <w:r w:rsidRPr="004D443D">
        <w:t>Aim 2 - Group Differences</w:t>
      </w:r>
    </w:p>
    <w:p w14:paraId="26E4B6AC" w14:textId="47AEF87D" w:rsidR="004D443D" w:rsidRPr="004D443D" w:rsidRDefault="004D443D" w:rsidP="004D443D">
      <w:r w:rsidRPr="004D443D">
        <w:t xml:space="preserve">A repeated measures ANOVA was conducted to investigate potential differences in spectral </w:t>
      </w:r>
      <w:proofErr w:type="spellStart"/>
      <w:r w:rsidRPr="004D443D">
        <w:t>rsEEG</w:t>
      </w:r>
      <w:proofErr w:type="spellEnd"/>
      <w:r w:rsidRPr="004D443D">
        <w:t xml:space="preserve"> over time. The results of this analysis revealed that neither the main effect [</w:t>
      </w:r>
      <w:proofErr w:type="gramStart"/>
      <w:r w:rsidRPr="004D443D">
        <w:rPr>
          <w:i/>
          <w:iCs/>
        </w:rPr>
        <w:t>F</w:t>
      </w:r>
      <w:r w:rsidRPr="004D443D">
        <w:t>(</w:t>
      </w:r>
      <w:proofErr w:type="gramEnd"/>
      <w:r w:rsidRPr="004D443D">
        <w:t>1,1278) = 0.130, </w:t>
      </w:r>
      <w:r w:rsidRPr="004D443D">
        <w:rPr>
          <w:i/>
          <w:iCs/>
        </w:rPr>
        <w:t>p</w:t>
      </w:r>
      <w:r w:rsidRPr="004D443D">
        <w:t> = 0.718] nor the interaction term [</w:t>
      </w:r>
      <w:r w:rsidRPr="004D443D">
        <w:rPr>
          <w:i/>
          <w:iCs/>
        </w:rPr>
        <w:t>F</w:t>
      </w:r>
      <w:r w:rsidRPr="004D443D">
        <w:t>(1,1278) = 1.267, </w:t>
      </w:r>
      <w:r w:rsidRPr="004D443D">
        <w:rPr>
          <w:i/>
          <w:iCs/>
        </w:rPr>
        <w:t>p</w:t>
      </w:r>
      <w:r w:rsidRPr="004D443D">
        <w:t> = 0.261] were statistically significant, indicating that spectral power in the first and second session did not significantly differ. For this reason, only data from the first session was used in the following analyses. Descriptive statistics for both groups are reported in </w:t>
      </w:r>
      <w:r w:rsidRPr="00C05BF0">
        <w:t>Table 4</w:t>
      </w:r>
      <w:r w:rsidRPr="004D443D">
        <w:t>, with boxplots providing a visual representation of the data in </w:t>
      </w:r>
      <w:r w:rsidRPr="00C05BF0">
        <w:t>Figure 4</w:t>
      </w:r>
      <w:r w:rsidRPr="004D443D">
        <w:t>. Examination of skew and kurtosis values indicated that parametric </w:t>
      </w:r>
      <w:r w:rsidRPr="004D443D">
        <w:rPr>
          <w:i/>
          <w:iCs/>
        </w:rPr>
        <w:t>t</w:t>
      </w:r>
      <w:r w:rsidRPr="004D443D">
        <w:t>-tests were acceptable for all montages and frequencies except alpha power during the eyes-open condition (please see </w:t>
      </w:r>
      <w:r w:rsidRPr="00C05BF0">
        <w:t>Supplementary Table 2</w:t>
      </w:r>
      <w:r w:rsidRPr="004D443D">
        <w:t> for skew and kurtosis values for all measures). Therefore, Mann–Whitney </w:t>
      </w:r>
      <w:r w:rsidRPr="004D443D">
        <w:rPr>
          <w:i/>
          <w:iCs/>
        </w:rPr>
        <w:t>U</w:t>
      </w:r>
      <w:r w:rsidRPr="004D443D">
        <w:t> tests were conducted for alpha power comparisons.</w:t>
      </w:r>
    </w:p>
    <w:p w14:paraId="5C7CE541" w14:textId="14F1B363" w:rsidR="004D443D" w:rsidRPr="004D443D" w:rsidRDefault="004D443D" w:rsidP="004D443D"/>
    <w:p w14:paraId="3BD29E11" w14:textId="77777777" w:rsidR="0032252B" w:rsidRDefault="0032252B" w:rsidP="004D443D">
      <w:pPr>
        <w:rPr>
          <w:b/>
          <w:bCs/>
        </w:rPr>
        <w:sectPr w:rsidR="0032252B" w:rsidSect="0032252B">
          <w:pgSz w:w="12240" w:h="15840"/>
          <w:pgMar w:top="1080" w:right="1080" w:bottom="1080" w:left="1080" w:header="720" w:footer="720" w:gutter="0"/>
          <w:cols w:space="720"/>
          <w:docGrid w:linePitch="360"/>
        </w:sectPr>
      </w:pPr>
    </w:p>
    <w:p w14:paraId="73890773" w14:textId="60D3A55C" w:rsidR="00A82E23" w:rsidRPr="00A82E23" w:rsidRDefault="004D443D" w:rsidP="00D00C10">
      <w:pPr>
        <w:pStyle w:val="NoSpacing"/>
      </w:pPr>
      <w:r w:rsidRPr="004D443D">
        <w:rPr>
          <w:b/>
          <w:bCs/>
        </w:rPr>
        <w:t>Table 4.</w:t>
      </w:r>
      <w:r w:rsidRPr="004D443D">
        <w:t> Mean (top number) and standard deviation (bottom number) of frequency bands in each montage during eyes open and eyes closed rest for controls and PWAs.</w:t>
      </w:r>
      <w:bookmarkStart w:id="12" w:name="Aim_3_-_Functional_Relationship"/>
      <w:bookmarkStart w:id="13" w:name="Eyes-Closed_Rest"/>
      <w:bookmarkStart w:id="14" w:name="Aim_2_-_Group_Differences"/>
      <w:bookmarkEnd w:id="12"/>
      <w:bookmarkEnd w:id="13"/>
      <w:bookmarkEnd w:id="14"/>
    </w:p>
    <w:tbl>
      <w:tblPr>
        <w:tblStyle w:val="TableGrid"/>
        <w:tblW w:w="0" w:type="auto"/>
        <w:tblLook w:val="0000" w:firstRow="0" w:lastRow="0" w:firstColumn="0" w:lastColumn="0" w:noHBand="0" w:noVBand="0"/>
      </w:tblPr>
      <w:tblGrid>
        <w:gridCol w:w="2100"/>
        <w:gridCol w:w="1586"/>
        <w:gridCol w:w="834"/>
        <w:gridCol w:w="839"/>
        <w:gridCol w:w="780"/>
        <w:gridCol w:w="1711"/>
        <w:gridCol w:w="834"/>
        <w:gridCol w:w="837"/>
        <w:gridCol w:w="692"/>
      </w:tblGrid>
      <w:tr w:rsidR="00672FD8" w:rsidRPr="00A82E23" w14:paraId="790DF70D" w14:textId="77777777" w:rsidTr="003843EA">
        <w:trPr>
          <w:trHeight w:val="288"/>
        </w:trPr>
        <w:tc>
          <w:tcPr>
            <w:tcW w:w="0" w:type="auto"/>
          </w:tcPr>
          <w:p w14:paraId="459D85EE" w14:textId="5396C670" w:rsidR="00672FD8" w:rsidRPr="00A82E23" w:rsidRDefault="00672FD8" w:rsidP="00A82E23">
            <w:pPr>
              <w:kinsoku w:val="0"/>
              <w:overflowPunct w:val="0"/>
              <w:autoSpaceDE w:val="0"/>
              <w:autoSpaceDN w:val="0"/>
              <w:adjustRightInd w:val="0"/>
              <w:rPr>
                <w:rFonts w:cstheme="minorHAnsi"/>
              </w:rPr>
            </w:pPr>
            <w:r>
              <w:rPr>
                <w:rFonts w:cstheme="minorHAnsi"/>
              </w:rPr>
              <w:t>Control</w:t>
            </w:r>
          </w:p>
        </w:tc>
        <w:tc>
          <w:tcPr>
            <w:tcW w:w="0" w:type="auto"/>
          </w:tcPr>
          <w:p w14:paraId="4727E423" w14:textId="77777777" w:rsidR="00672FD8" w:rsidRPr="00A82E23" w:rsidRDefault="00672FD8" w:rsidP="00A82E23">
            <w:pPr>
              <w:kinsoku w:val="0"/>
              <w:overflowPunct w:val="0"/>
              <w:autoSpaceDE w:val="0"/>
              <w:autoSpaceDN w:val="0"/>
              <w:adjustRightInd w:val="0"/>
              <w:spacing w:before="99"/>
              <w:rPr>
                <w:rFonts w:cstheme="minorHAnsi"/>
                <w:color w:val="231F20"/>
                <w:w w:val="105"/>
              </w:rPr>
            </w:pPr>
          </w:p>
        </w:tc>
        <w:tc>
          <w:tcPr>
            <w:tcW w:w="0" w:type="auto"/>
          </w:tcPr>
          <w:p w14:paraId="6067EE80" w14:textId="77777777" w:rsidR="00672FD8" w:rsidRPr="00A82E23" w:rsidRDefault="00672FD8" w:rsidP="00A82E23">
            <w:pPr>
              <w:kinsoku w:val="0"/>
              <w:overflowPunct w:val="0"/>
              <w:autoSpaceDE w:val="0"/>
              <w:autoSpaceDN w:val="0"/>
              <w:adjustRightInd w:val="0"/>
              <w:spacing w:before="99"/>
              <w:ind w:left="41" w:right="40"/>
              <w:jc w:val="center"/>
              <w:rPr>
                <w:rFonts w:cstheme="minorHAnsi"/>
                <w:color w:val="231F20"/>
                <w:w w:val="105"/>
              </w:rPr>
            </w:pPr>
          </w:p>
        </w:tc>
        <w:tc>
          <w:tcPr>
            <w:tcW w:w="0" w:type="auto"/>
          </w:tcPr>
          <w:p w14:paraId="0E3591E6" w14:textId="77777777" w:rsidR="00672FD8" w:rsidRPr="00A82E23" w:rsidRDefault="00672FD8" w:rsidP="00A82E23">
            <w:pPr>
              <w:kinsoku w:val="0"/>
              <w:overflowPunct w:val="0"/>
              <w:autoSpaceDE w:val="0"/>
              <w:autoSpaceDN w:val="0"/>
              <w:adjustRightInd w:val="0"/>
              <w:spacing w:before="99"/>
              <w:ind w:left="43" w:right="40"/>
              <w:jc w:val="center"/>
              <w:rPr>
                <w:rFonts w:cstheme="minorHAnsi"/>
                <w:color w:val="231F20"/>
                <w:w w:val="105"/>
              </w:rPr>
            </w:pPr>
          </w:p>
        </w:tc>
        <w:tc>
          <w:tcPr>
            <w:tcW w:w="0" w:type="auto"/>
          </w:tcPr>
          <w:p w14:paraId="382ADF86" w14:textId="77777777" w:rsidR="00672FD8" w:rsidRPr="00A82E23" w:rsidRDefault="00672FD8" w:rsidP="00A82E23">
            <w:pPr>
              <w:kinsoku w:val="0"/>
              <w:overflowPunct w:val="0"/>
              <w:autoSpaceDE w:val="0"/>
              <w:autoSpaceDN w:val="0"/>
              <w:adjustRightInd w:val="0"/>
              <w:spacing w:before="99"/>
              <w:ind w:left="83"/>
              <w:rPr>
                <w:rFonts w:cstheme="minorHAnsi"/>
                <w:color w:val="231F20"/>
                <w:w w:val="105"/>
              </w:rPr>
            </w:pPr>
          </w:p>
        </w:tc>
        <w:tc>
          <w:tcPr>
            <w:tcW w:w="0" w:type="auto"/>
          </w:tcPr>
          <w:p w14:paraId="7A6F7038" w14:textId="77777777" w:rsidR="00672FD8" w:rsidRPr="00A82E23" w:rsidRDefault="00672FD8" w:rsidP="00A82E23">
            <w:pPr>
              <w:kinsoku w:val="0"/>
              <w:overflowPunct w:val="0"/>
              <w:autoSpaceDE w:val="0"/>
              <w:autoSpaceDN w:val="0"/>
              <w:adjustRightInd w:val="0"/>
              <w:spacing w:before="99"/>
              <w:ind w:left="5"/>
              <w:rPr>
                <w:rFonts w:cstheme="minorHAnsi"/>
                <w:color w:val="231F20"/>
                <w:w w:val="105"/>
              </w:rPr>
            </w:pPr>
          </w:p>
        </w:tc>
        <w:tc>
          <w:tcPr>
            <w:tcW w:w="0" w:type="auto"/>
          </w:tcPr>
          <w:p w14:paraId="6F0F0FEF" w14:textId="77777777" w:rsidR="00672FD8" w:rsidRPr="00A82E23" w:rsidRDefault="00672FD8" w:rsidP="00A82E23">
            <w:pPr>
              <w:kinsoku w:val="0"/>
              <w:overflowPunct w:val="0"/>
              <w:autoSpaceDE w:val="0"/>
              <w:autoSpaceDN w:val="0"/>
              <w:adjustRightInd w:val="0"/>
              <w:spacing w:before="99"/>
              <w:ind w:left="66"/>
              <w:rPr>
                <w:rFonts w:cstheme="minorHAnsi"/>
                <w:color w:val="231F20"/>
                <w:w w:val="105"/>
              </w:rPr>
            </w:pPr>
          </w:p>
        </w:tc>
        <w:tc>
          <w:tcPr>
            <w:tcW w:w="0" w:type="auto"/>
          </w:tcPr>
          <w:p w14:paraId="20310809" w14:textId="25B36AA5" w:rsidR="00672FD8" w:rsidRPr="00A82E23" w:rsidRDefault="00672FD8" w:rsidP="00A82E23">
            <w:pPr>
              <w:kinsoku w:val="0"/>
              <w:overflowPunct w:val="0"/>
              <w:autoSpaceDE w:val="0"/>
              <w:autoSpaceDN w:val="0"/>
              <w:adjustRightInd w:val="0"/>
              <w:spacing w:before="99"/>
              <w:ind w:left="66"/>
              <w:rPr>
                <w:rFonts w:cstheme="minorHAnsi"/>
                <w:color w:val="231F20"/>
                <w:w w:val="105"/>
              </w:rPr>
            </w:pPr>
          </w:p>
        </w:tc>
        <w:tc>
          <w:tcPr>
            <w:tcW w:w="0" w:type="auto"/>
          </w:tcPr>
          <w:p w14:paraId="140E0622" w14:textId="77777777" w:rsidR="00672FD8" w:rsidRPr="00A82E23" w:rsidRDefault="00672FD8" w:rsidP="00A82E23">
            <w:pPr>
              <w:kinsoku w:val="0"/>
              <w:overflowPunct w:val="0"/>
              <w:autoSpaceDE w:val="0"/>
              <w:autoSpaceDN w:val="0"/>
              <w:adjustRightInd w:val="0"/>
              <w:spacing w:before="99"/>
              <w:ind w:right="10"/>
              <w:jc w:val="right"/>
              <w:rPr>
                <w:rFonts w:cstheme="minorHAnsi"/>
                <w:color w:val="231F20"/>
                <w:w w:val="105"/>
              </w:rPr>
            </w:pPr>
          </w:p>
        </w:tc>
      </w:tr>
      <w:tr w:rsidR="00672FD8" w:rsidRPr="00A82E23" w14:paraId="500749E0" w14:textId="77777777" w:rsidTr="003843EA">
        <w:trPr>
          <w:trHeight w:val="288"/>
        </w:trPr>
        <w:tc>
          <w:tcPr>
            <w:tcW w:w="0" w:type="auto"/>
          </w:tcPr>
          <w:p w14:paraId="3C5D7E6D"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69C7EA45" w14:textId="6874EEDB" w:rsidR="00672FD8" w:rsidRPr="00A82E23" w:rsidRDefault="00672FD8" w:rsidP="00A82E23">
            <w:pPr>
              <w:kinsoku w:val="0"/>
              <w:overflowPunct w:val="0"/>
              <w:autoSpaceDE w:val="0"/>
              <w:autoSpaceDN w:val="0"/>
              <w:adjustRightInd w:val="0"/>
              <w:spacing w:before="99"/>
              <w:rPr>
                <w:rFonts w:cstheme="minorHAnsi"/>
                <w:color w:val="231F20"/>
                <w:w w:val="105"/>
              </w:rPr>
            </w:pPr>
            <w:r>
              <w:rPr>
                <w:rFonts w:cstheme="minorHAnsi"/>
                <w:color w:val="231F20"/>
                <w:w w:val="105"/>
              </w:rPr>
              <w:t>Eyes open rest</w:t>
            </w:r>
          </w:p>
        </w:tc>
        <w:tc>
          <w:tcPr>
            <w:tcW w:w="0" w:type="auto"/>
          </w:tcPr>
          <w:p w14:paraId="35734EA1" w14:textId="77777777" w:rsidR="00672FD8" w:rsidRPr="00A82E23" w:rsidRDefault="00672FD8" w:rsidP="00A82E23">
            <w:pPr>
              <w:kinsoku w:val="0"/>
              <w:overflowPunct w:val="0"/>
              <w:autoSpaceDE w:val="0"/>
              <w:autoSpaceDN w:val="0"/>
              <w:adjustRightInd w:val="0"/>
              <w:spacing w:before="99"/>
              <w:ind w:left="41" w:right="40"/>
              <w:jc w:val="center"/>
              <w:rPr>
                <w:rFonts w:cstheme="minorHAnsi"/>
                <w:color w:val="231F20"/>
                <w:w w:val="105"/>
              </w:rPr>
            </w:pPr>
          </w:p>
        </w:tc>
        <w:tc>
          <w:tcPr>
            <w:tcW w:w="0" w:type="auto"/>
          </w:tcPr>
          <w:p w14:paraId="239C501B" w14:textId="77777777" w:rsidR="00672FD8" w:rsidRPr="00A82E23" w:rsidRDefault="00672FD8" w:rsidP="00A82E23">
            <w:pPr>
              <w:kinsoku w:val="0"/>
              <w:overflowPunct w:val="0"/>
              <w:autoSpaceDE w:val="0"/>
              <w:autoSpaceDN w:val="0"/>
              <w:adjustRightInd w:val="0"/>
              <w:spacing w:before="99"/>
              <w:ind w:left="43" w:right="40"/>
              <w:jc w:val="center"/>
              <w:rPr>
                <w:rFonts w:cstheme="minorHAnsi"/>
                <w:color w:val="231F20"/>
                <w:w w:val="105"/>
              </w:rPr>
            </w:pPr>
          </w:p>
        </w:tc>
        <w:tc>
          <w:tcPr>
            <w:tcW w:w="0" w:type="auto"/>
          </w:tcPr>
          <w:p w14:paraId="3EB9D893" w14:textId="77777777" w:rsidR="00672FD8" w:rsidRPr="00A82E23" w:rsidRDefault="00672FD8" w:rsidP="00A82E23">
            <w:pPr>
              <w:kinsoku w:val="0"/>
              <w:overflowPunct w:val="0"/>
              <w:autoSpaceDE w:val="0"/>
              <w:autoSpaceDN w:val="0"/>
              <w:adjustRightInd w:val="0"/>
              <w:spacing w:before="99"/>
              <w:ind w:left="83"/>
              <w:rPr>
                <w:rFonts w:cstheme="minorHAnsi"/>
                <w:color w:val="231F20"/>
                <w:w w:val="105"/>
              </w:rPr>
            </w:pPr>
          </w:p>
        </w:tc>
        <w:tc>
          <w:tcPr>
            <w:tcW w:w="0" w:type="auto"/>
          </w:tcPr>
          <w:p w14:paraId="42537CA2" w14:textId="19F91B1A" w:rsidR="00672FD8" w:rsidRPr="00A82E23" w:rsidRDefault="00672FD8" w:rsidP="00A82E23">
            <w:pPr>
              <w:kinsoku w:val="0"/>
              <w:overflowPunct w:val="0"/>
              <w:autoSpaceDE w:val="0"/>
              <w:autoSpaceDN w:val="0"/>
              <w:adjustRightInd w:val="0"/>
              <w:spacing w:before="99"/>
              <w:ind w:left="5"/>
              <w:rPr>
                <w:rFonts w:cstheme="minorHAnsi"/>
                <w:color w:val="231F20"/>
                <w:w w:val="105"/>
              </w:rPr>
            </w:pPr>
            <w:r>
              <w:rPr>
                <w:rFonts w:cstheme="minorHAnsi"/>
                <w:color w:val="231F20"/>
                <w:w w:val="105"/>
              </w:rPr>
              <w:t>Eyes closed rest</w:t>
            </w:r>
          </w:p>
        </w:tc>
        <w:tc>
          <w:tcPr>
            <w:tcW w:w="0" w:type="auto"/>
          </w:tcPr>
          <w:p w14:paraId="3566F033" w14:textId="77777777" w:rsidR="00672FD8" w:rsidRPr="00A82E23" w:rsidRDefault="00672FD8" w:rsidP="00A82E23">
            <w:pPr>
              <w:kinsoku w:val="0"/>
              <w:overflowPunct w:val="0"/>
              <w:autoSpaceDE w:val="0"/>
              <w:autoSpaceDN w:val="0"/>
              <w:adjustRightInd w:val="0"/>
              <w:spacing w:before="99"/>
              <w:ind w:left="66"/>
              <w:rPr>
                <w:rFonts w:cstheme="minorHAnsi"/>
                <w:color w:val="231F20"/>
                <w:w w:val="105"/>
              </w:rPr>
            </w:pPr>
          </w:p>
        </w:tc>
        <w:tc>
          <w:tcPr>
            <w:tcW w:w="0" w:type="auto"/>
          </w:tcPr>
          <w:p w14:paraId="17E1293F" w14:textId="1D1478B1" w:rsidR="00672FD8" w:rsidRPr="00A82E23" w:rsidRDefault="00672FD8" w:rsidP="00A82E23">
            <w:pPr>
              <w:kinsoku w:val="0"/>
              <w:overflowPunct w:val="0"/>
              <w:autoSpaceDE w:val="0"/>
              <w:autoSpaceDN w:val="0"/>
              <w:adjustRightInd w:val="0"/>
              <w:spacing w:before="99"/>
              <w:ind w:left="66"/>
              <w:rPr>
                <w:rFonts w:cstheme="minorHAnsi"/>
                <w:color w:val="231F20"/>
                <w:w w:val="105"/>
              </w:rPr>
            </w:pPr>
          </w:p>
        </w:tc>
        <w:tc>
          <w:tcPr>
            <w:tcW w:w="0" w:type="auto"/>
          </w:tcPr>
          <w:p w14:paraId="33F819EC" w14:textId="77777777" w:rsidR="00672FD8" w:rsidRPr="00A82E23" w:rsidRDefault="00672FD8" w:rsidP="00A82E23">
            <w:pPr>
              <w:kinsoku w:val="0"/>
              <w:overflowPunct w:val="0"/>
              <w:autoSpaceDE w:val="0"/>
              <w:autoSpaceDN w:val="0"/>
              <w:adjustRightInd w:val="0"/>
              <w:spacing w:before="99"/>
              <w:ind w:right="10"/>
              <w:jc w:val="right"/>
              <w:rPr>
                <w:rFonts w:cstheme="minorHAnsi"/>
                <w:color w:val="231F20"/>
                <w:w w:val="105"/>
              </w:rPr>
            </w:pPr>
          </w:p>
        </w:tc>
      </w:tr>
      <w:tr w:rsidR="00672FD8" w:rsidRPr="00A82E23" w14:paraId="7E810DC2" w14:textId="77777777" w:rsidTr="003843EA">
        <w:trPr>
          <w:trHeight w:val="288"/>
        </w:trPr>
        <w:tc>
          <w:tcPr>
            <w:tcW w:w="0" w:type="auto"/>
          </w:tcPr>
          <w:p w14:paraId="6AEFB5BE"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091C3AAE" w14:textId="77777777" w:rsidR="00672FD8" w:rsidRPr="00A82E23" w:rsidRDefault="00672FD8" w:rsidP="00A82E23">
            <w:pPr>
              <w:kinsoku w:val="0"/>
              <w:overflowPunct w:val="0"/>
              <w:autoSpaceDE w:val="0"/>
              <w:autoSpaceDN w:val="0"/>
              <w:adjustRightInd w:val="0"/>
              <w:spacing w:before="99"/>
              <w:rPr>
                <w:rFonts w:cstheme="minorHAnsi"/>
                <w:color w:val="231F20"/>
                <w:w w:val="105"/>
              </w:rPr>
            </w:pPr>
            <w:r w:rsidRPr="00A82E23">
              <w:rPr>
                <w:rFonts w:cstheme="minorHAnsi"/>
                <w:color w:val="231F20"/>
                <w:w w:val="105"/>
              </w:rPr>
              <w:t>Delta</w:t>
            </w:r>
          </w:p>
        </w:tc>
        <w:tc>
          <w:tcPr>
            <w:tcW w:w="0" w:type="auto"/>
          </w:tcPr>
          <w:p w14:paraId="1B03D40B" w14:textId="77777777" w:rsidR="00672FD8" w:rsidRPr="00A82E23" w:rsidRDefault="00672FD8" w:rsidP="00A82E23">
            <w:pPr>
              <w:kinsoku w:val="0"/>
              <w:overflowPunct w:val="0"/>
              <w:autoSpaceDE w:val="0"/>
              <w:autoSpaceDN w:val="0"/>
              <w:adjustRightInd w:val="0"/>
              <w:spacing w:before="99"/>
              <w:ind w:left="41" w:right="40"/>
              <w:jc w:val="center"/>
              <w:rPr>
                <w:rFonts w:cstheme="minorHAnsi"/>
                <w:color w:val="231F20"/>
                <w:w w:val="105"/>
              </w:rPr>
            </w:pPr>
            <w:r w:rsidRPr="00A82E23">
              <w:rPr>
                <w:rFonts w:cstheme="minorHAnsi"/>
                <w:color w:val="231F20"/>
                <w:w w:val="105"/>
              </w:rPr>
              <w:t>Theta</w:t>
            </w:r>
          </w:p>
        </w:tc>
        <w:tc>
          <w:tcPr>
            <w:tcW w:w="0" w:type="auto"/>
          </w:tcPr>
          <w:p w14:paraId="7CEA71A0" w14:textId="77777777" w:rsidR="00672FD8" w:rsidRPr="00A82E23" w:rsidRDefault="00672FD8" w:rsidP="00A82E23">
            <w:pPr>
              <w:kinsoku w:val="0"/>
              <w:overflowPunct w:val="0"/>
              <w:autoSpaceDE w:val="0"/>
              <w:autoSpaceDN w:val="0"/>
              <w:adjustRightInd w:val="0"/>
              <w:spacing w:before="99"/>
              <w:ind w:left="43" w:right="40"/>
              <w:jc w:val="center"/>
              <w:rPr>
                <w:rFonts w:cstheme="minorHAnsi"/>
                <w:color w:val="231F20"/>
                <w:w w:val="105"/>
              </w:rPr>
            </w:pPr>
            <w:r w:rsidRPr="00A82E23">
              <w:rPr>
                <w:rFonts w:cstheme="minorHAnsi"/>
                <w:color w:val="231F20"/>
                <w:w w:val="105"/>
              </w:rPr>
              <w:t>Alpha</w:t>
            </w:r>
          </w:p>
        </w:tc>
        <w:tc>
          <w:tcPr>
            <w:tcW w:w="0" w:type="auto"/>
          </w:tcPr>
          <w:p w14:paraId="4915F9D7" w14:textId="77777777" w:rsidR="00672FD8" w:rsidRPr="00A82E23" w:rsidRDefault="00672FD8" w:rsidP="00A82E23">
            <w:pPr>
              <w:kinsoku w:val="0"/>
              <w:overflowPunct w:val="0"/>
              <w:autoSpaceDE w:val="0"/>
              <w:autoSpaceDN w:val="0"/>
              <w:adjustRightInd w:val="0"/>
              <w:spacing w:before="99"/>
              <w:ind w:left="83"/>
              <w:rPr>
                <w:rFonts w:cstheme="minorHAnsi"/>
                <w:color w:val="231F20"/>
                <w:w w:val="105"/>
              </w:rPr>
            </w:pPr>
            <w:r w:rsidRPr="00A82E23">
              <w:rPr>
                <w:rFonts w:cstheme="minorHAnsi"/>
                <w:color w:val="231F20"/>
                <w:w w:val="105"/>
              </w:rPr>
              <w:t>Beta</w:t>
            </w:r>
          </w:p>
        </w:tc>
        <w:tc>
          <w:tcPr>
            <w:tcW w:w="0" w:type="auto"/>
          </w:tcPr>
          <w:p w14:paraId="0DB5BD62" w14:textId="20AC24CB" w:rsidR="00672FD8" w:rsidRPr="00A82E23" w:rsidRDefault="00672FD8" w:rsidP="00A82E23">
            <w:pPr>
              <w:kinsoku w:val="0"/>
              <w:overflowPunct w:val="0"/>
              <w:autoSpaceDE w:val="0"/>
              <w:autoSpaceDN w:val="0"/>
              <w:adjustRightInd w:val="0"/>
              <w:spacing w:before="99"/>
              <w:ind w:left="5"/>
              <w:rPr>
                <w:rFonts w:cstheme="minorHAnsi"/>
                <w:color w:val="231F20"/>
                <w:w w:val="105"/>
              </w:rPr>
            </w:pPr>
            <w:r w:rsidRPr="00A82E23">
              <w:rPr>
                <w:rFonts w:cstheme="minorHAnsi"/>
                <w:color w:val="231F20"/>
                <w:w w:val="105"/>
              </w:rPr>
              <w:t xml:space="preserve">Delta </w:t>
            </w:r>
          </w:p>
        </w:tc>
        <w:tc>
          <w:tcPr>
            <w:tcW w:w="0" w:type="auto"/>
          </w:tcPr>
          <w:p w14:paraId="5F223320" w14:textId="070C3061" w:rsidR="00672FD8" w:rsidRPr="00A82E23" w:rsidRDefault="00672FD8" w:rsidP="000918DB">
            <w:pPr>
              <w:kinsoku w:val="0"/>
              <w:overflowPunct w:val="0"/>
              <w:autoSpaceDE w:val="0"/>
              <w:autoSpaceDN w:val="0"/>
              <w:adjustRightInd w:val="0"/>
              <w:spacing w:before="99"/>
              <w:rPr>
                <w:rFonts w:cstheme="minorHAnsi"/>
                <w:color w:val="231F20"/>
                <w:w w:val="105"/>
              </w:rPr>
            </w:pPr>
            <w:r w:rsidRPr="00A82E23">
              <w:rPr>
                <w:rFonts w:cstheme="minorHAnsi"/>
                <w:color w:val="231F20"/>
                <w:w w:val="105"/>
              </w:rPr>
              <w:t>Theta</w:t>
            </w:r>
          </w:p>
        </w:tc>
        <w:tc>
          <w:tcPr>
            <w:tcW w:w="0" w:type="auto"/>
          </w:tcPr>
          <w:p w14:paraId="102F05C9" w14:textId="2B1EFED0" w:rsidR="00672FD8" w:rsidRPr="00A82E23" w:rsidRDefault="00672FD8" w:rsidP="00A82E23">
            <w:pPr>
              <w:kinsoku w:val="0"/>
              <w:overflowPunct w:val="0"/>
              <w:autoSpaceDE w:val="0"/>
              <w:autoSpaceDN w:val="0"/>
              <w:adjustRightInd w:val="0"/>
              <w:spacing w:before="99"/>
              <w:ind w:left="66"/>
              <w:rPr>
                <w:rFonts w:cstheme="minorHAnsi"/>
                <w:color w:val="231F20"/>
                <w:w w:val="105"/>
              </w:rPr>
            </w:pPr>
            <w:r w:rsidRPr="00A82E23">
              <w:rPr>
                <w:rFonts w:cstheme="minorHAnsi"/>
                <w:color w:val="231F20"/>
                <w:w w:val="105"/>
              </w:rPr>
              <w:t>Alpha</w:t>
            </w:r>
          </w:p>
        </w:tc>
        <w:tc>
          <w:tcPr>
            <w:tcW w:w="0" w:type="auto"/>
          </w:tcPr>
          <w:p w14:paraId="76FDB7CC" w14:textId="77777777" w:rsidR="00672FD8" w:rsidRPr="00A82E23" w:rsidRDefault="00672FD8" w:rsidP="00A82E23">
            <w:pPr>
              <w:kinsoku w:val="0"/>
              <w:overflowPunct w:val="0"/>
              <w:autoSpaceDE w:val="0"/>
              <w:autoSpaceDN w:val="0"/>
              <w:adjustRightInd w:val="0"/>
              <w:spacing w:before="99"/>
              <w:ind w:right="10"/>
              <w:jc w:val="right"/>
              <w:rPr>
                <w:rFonts w:cstheme="minorHAnsi"/>
                <w:color w:val="231F20"/>
                <w:w w:val="105"/>
              </w:rPr>
            </w:pPr>
            <w:r w:rsidRPr="00A82E23">
              <w:rPr>
                <w:rFonts w:cstheme="minorHAnsi"/>
                <w:color w:val="231F20"/>
                <w:w w:val="105"/>
              </w:rPr>
              <w:t>Beta</w:t>
            </w:r>
          </w:p>
        </w:tc>
      </w:tr>
      <w:tr w:rsidR="00672FD8" w:rsidRPr="00A82E23" w14:paraId="7E2178F5" w14:textId="77777777" w:rsidTr="003843EA">
        <w:trPr>
          <w:trHeight w:val="288"/>
        </w:trPr>
        <w:tc>
          <w:tcPr>
            <w:tcW w:w="0" w:type="auto"/>
          </w:tcPr>
          <w:p w14:paraId="37F9C709" w14:textId="77777777" w:rsidR="00672FD8" w:rsidRPr="00A82E23" w:rsidRDefault="00672FD8" w:rsidP="00A82E23">
            <w:pPr>
              <w:kinsoku w:val="0"/>
              <w:overflowPunct w:val="0"/>
              <w:autoSpaceDE w:val="0"/>
              <w:autoSpaceDN w:val="0"/>
              <w:adjustRightInd w:val="0"/>
              <w:spacing w:before="64"/>
              <w:rPr>
                <w:rFonts w:cstheme="minorHAnsi"/>
                <w:color w:val="231F20"/>
              </w:rPr>
            </w:pPr>
            <w:r w:rsidRPr="00A82E23">
              <w:rPr>
                <w:rFonts w:cstheme="minorHAnsi"/>
                <w:color w:val="231F20"/>
              </w:rPr>
              <w:t>Whole brain</w:t>
            </w:r>
          </w:p>
        </w:tc>
        <w:tc>
          <w:tcPr>
            <w:tcW w:w="0" w:type="auto"/>
          </w:tcPr>
          <w:p w14:paraId="04556BFB" w14:textId="77777777" w:rsidR="00672FD8" w:rsidRPr="00A82E23" w:rsidRDefault="00672FD8" w:rsidP="00A82E23">
            <w:pPr>
              <w:kinsoku w:val="0"/>
              <w:overflowPunct w:val="0"/>
              <w:autoSpaceDE w:val="0"/>
              <w:autoSpaceDN w:val="0"/>
              <w:adjustRightInd w:val="0"/>
              <w:spacing w:before="64"/>
              <w:rPr>
                <w:rFonts w:cstheme="minorHAnsi"/>
                <w:color w:val="231F20"/>
              </w:rPr>
            </w:pPr>
            <w:r w:rsidRPr="00A82E23">
              <w:rPr>
                <w:rFonts w:cstheme="minorHAnsi"/>
                <w:color w:val="231F20"/>
              </w:rPr>
              <w:t>2.165</w:t>
            </w:r>
          </w:p>
        </w:tc>
        <w:tc>
          <w:tcPr>
            <w:tcW w:w="0" w:type="auto"/>
          </w:tcPr>
          <w:p w14:paraId="5C1C2924" w14:textId="77777777" w:rsidR="00672FD8" w:rsidRPr="00A82E23" w:rsidRDefault="00672FD8" w:rsidP="00A82E23">
            <w:pPr>
              <w:kinsoku w:val="0"/>
              <w:overflowPunct w:val="0"/>
              <w:autoSpaceDE w:val="0"/>
              <w:autoSpaceDN w:val="0"/>
              <w:adjustRightInd w:val="0"/>
              <w:spacing w:before="64"/>
              <w:ind w:left="41" w:right="40"/>
              <w:jc w:val="center"/>
              <w:rPr>
                <w:rFonts w:cstheme="minorHAnsi"/>
                <w:color w:val="231F20"/>
              </w:rPr>
            </w:pPr>
            <w:r w:rsidRPr="00A82E23">
              <w:rPr>
                <w:rFonts w:cstheme="minorHAnsi"/>
                <w:color w:val="231F20"/>
              </w:rPr>
              <w:t>0.286</w:t>
            </w:r>
          </w:p>
        </w:tc>
        <w:tc>
          <w:tcPr>
            <w:tcW w:w="0" w:type="auto"/>
          </w:tcPr>
          <w:p w14:paraId="3F632351" w14:textId="77777777" w:rsidR="00672FD8" w:rsidRPr="00A82E23" w:rsidRDefault="00672FD8" w:rsidP="00A82E23">
            <w:pPr>
              <w:kinsoku w:val="0"/>
              <w:overflowPunct w:val="0"/>
              <w:autoSpaceDE w:val="0"/>
              <w:autoSpaceDN w:val="0"/>
              <w:adjustRightInd w:val="0"/>
              <w:spacing w:before="64"/>
              <w:ind w:left="43" w:right="40"/>
              <w:jc w:val="center"/>
              <w:rPr>
                <w:rFonts w:cstheme="minorHAnsi"/>
                <w:color w:val="231F20"/>
              </w:rPr>
            </w:pPr>
            <w:r w:rsidRPr="00A82E23">
              <w:rPr>
                <w:rFonts w:cstheme="minorHAnsi"/>
                <w:color w:val="231F20"/>
              </w:rPr>
              <w:t>0.231</w:t>
            </w:r>
          </w:p>
        </w:tc>
        <w:tc>
          <w:tcPr>
            <w:tcW w:w="0" w:type="auto"/>
          </w:tcPr>
          <w:p w14:paraId="594EC114" w14:textId="77777777" w:rsidR="00672FD8" w:rsidRPr="00A82E23" w:rsidRDefault="00672FD8" w:rsidP="00A82E23">
            <w:pPr>
              <w:kinsoku w:val="0"/>
              <w:overflowPunct w:val="0"/>
              <w:autoSpaceDE w:val="0"/>
              <w:autoSpaceDN w:val="0"/>
              <w:adjustRightInd w:val="0"/>
              <w:spacing w:before="64"/>
              <w:ind w:left="62" w:right="-15"/>
              <w:rPr>
                <w:rFonts w:cstheme="minorHAnsi"/>
                <w:color w:val="231F20"/>
              </w:rPr>
            </w:pPr>
            <w:r w:rsidRPr="00A82E23">
              <w:rPr>
                <w:rFonts w:cstheme="minorHAnsi"/>
                <w:color w:val="231F20"/>
              </w:rPr>
              <w:t>0.127</w:t>
            </w:r>
          </w:p>
        </w:tc>
        <w:tc>
          <w:tcPr>
            <w:tcW w:w="0" w:type="auto"/>
          </w:tcPr>
          <w:p w14:paraId="0B7B0592" w14:textId="4BF33955" w:rsidR="00672FD8" w:rsidRPr="00A82E23" w:rsidRDefault="00672FD8" w:rsidP="00A82E23">
            <w:pPr>
              <w:kinsoku w:val="0"/>
              <w:overflowPunct w:val="0"/>
              <w:autoSpaceDE w:val="0"/>
              <w:autoSpaceDN w:val="0"/>
              <w:adjustRightInd w:val="0"/>
              <w:spacing w:before="64"/>
              <w:ind w:left="4"/>
              <w:rPr>
                <w:rFonts w:cstheme="minorHAnsi"/>
                <w:color w:val="231F20"/>
              </w:rPr>
            </w:pPr>
            <w:r w:rsidRPr="00A82E23">
              <w:rPr>
                <w:rFonts w:cstheme="minorHAnsi"/>
                <w:color w:val="231F20"/>
              </w:rPr>
              <w:t xml:space="preserve">1.885 </w:t>
            </w:r>
          </w:p>
        </w:tc>
        <w:tc>
          <w:tcPr>
            <w:tcW w:w="0" w:type="auto"/>
          </w:tcPr>
          <w:p w14:paraId="7C79BB3B" w14:textId="4CEB3DA2" w:rsidR="00672FD8" w:rsidRPr="00A82E23" w:rsidRDefault="00672FD8" w:rsidP="00A82E23">
            <w:pPr>
              <w:kinsoku w:val="0"/>
              <w:overflowPunct w:val="0"/>
              <w:autoSpaceDE w:val="0"/>
              <w:autoSpaceDN w:val="0"/>
              <w:adjustRightInd w:val="0"/>
              <w:spacing w:before="64"/>
              <w:ind w:left="81"/>
              <w:rPr>
                <w:rFonts w:cstheme="minorHAnsi"/>
                <w:color w:val="231F20"/>
              </w:rPr>
            </w:pPr>
            <w:r w:rsidRPr="00A82E23">
              <w:rPr>
                <w:rFonts w:cstheme="minorHAnsi"/>
                <w:color w:val="231F20"/>
              </w:rPr>
              <w:t>0.253</w:t>
            </w:r>
          </w:p>
        </w:tc>
        <w:tc>
          <w:tcPr>
            <w:tcW w:w="0" w:type="auto"/>
          </w:tcPr>
          <w:p w14:paraId="0991739B" w14:textId="4A10AAEA" w:rsidR="00672FD8" w:rsidRPr="00A82E23" w:rsidRDefault="00672FD8" w:rsidP="00A82E23">
            <w:pPr>
              <w:kinsoku w:val="0"/>
              <w:overflowPunct w:val="0"/>
              <w:autoSpaceDE w:val="0"/>
              <w:autoSpaceDN w:val="0"/>
              <w:adjustRightInd w:val="0"/>
              <w:spacing w:before="64"/>
              <w:ind w:left="81"/>
              <w:rPr>
                <w:rFonts w:cstheme="minorHAnsi"/>
                <w:color w:val="231F20"/>
              </w:rPr>
            </w:pPr>
            <w:r w:rsidRPr="00A82E23">
              <w:rPr>
                <w:rFonts w:cstheme="minorHAnsi"/>
                <w:color w:val="231F20"/>
              </w:rPr>
              <w:t>0.404</w:t>
            </w:r>
          </w:p>
        </w:tc>
        <w:tc>
          <w:tcPr>
            <w:tcW w:w="0" w:type="auto"/>
          </w:tcPr>
          <w:p w14:paraId="2C0CB250" w14:textId="77777777" w:rsidR="00672FD8" w:rsidRPr="00A82E23" w:rsidRDefault="00672FD8" w:rsidP="00A82E23">
            <w:pPr>
              <w:kinsoku w:val="0"/>
              <w:overflowPunct w:val="0"/>
              <w:autoSpaceDE w:val="0"/>
              <w:autoSpaceDN w:val="0"/>
              <w:adjustRightInd w:val="0"/>
              <w:spacing w:before="64"/>
              <w:ind w:right="-15"/>
              <w:jc w:val="right"/>
              <w:rPr>
                <w:rFonts w:cstheme="minorHAnsi"/>
                <w:color w:val="231F20"/>
                <w:w w:val="95"/>
              </w:rPr>
            </w:pPr>
            <w:r w:rsidRPr="00A82E23">
              <w:rPr>
                <w:rFonts w:cstheme="minorHAnsi"/>
                <w:color w:val="231F20"/>
                <w:w w:val="95"/>
              </w:rPr>
              <w:t>0.111</w:t>
            </w:r>
          </w:p>
        </w:tc>
      </w:tr>
      <w:tr w:rsidR="00672FD8" w:rsidRPr="00A82E23" w14:paraId="54A193EE" w14:textId="77777777" w:rsidTr="003843EA">
        <w:trPr>
          <w:trHeight w:val="288"/>
        </w:trPr>
        <w:tc>
          <w:tcPr>
            <w:tcW w:w="0" w:type="auto"/>
          </w:tcPr>
          <w:p w14:paraId="652A3D4C"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207E74D6"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0.647</w:t>
            </w:r>
          </w:p>
        </w:tc>
        <w:tc>
          <w:tcPr>
            <w:tcW w:w="0" w:type="auto"/>
          </w:tcPr>
          <w:p w14:paraId="2E55029F"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0.064</w:t>
            </w:r>
          </w:p>
        </w:tc>
        <w:tc>
          <w:tcPr>
            <w:tcW w:w="0" w:type="auto"/>
          </w:tcPr>
          <w:p w14:paraId="0E524F2D"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0.141</w:t>
            </w:r>
          </w:p>
        </w:tc>
        <w:tc>
          <w:tcPr>
            <w:tcW w:w="0" w:type="auto"/>
          </w:tcPr>
          <w:p w14:paraId="06B43AC8"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0.034</w:t>
            </w:r>
          </w:p>
        </w:tc>
        <w:tc>
          <w:tcPr>
            <w:tcW w:w="0" w:type="auto"/>
          </w:tcPr>
          <w:p w14:paraId="67796F81" w14:textId="3FFA3783"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0.845 </w:t>
            </w:r>
          </w:p>
        </w:tc>
        <w:tc>
          <w:tcPr>
            <w:tcW w:w="0" w:type="auto"/>
          </w:tcPr>
          <w:p w14:paraId="6904157C" w14:textId="7D30765A"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0.081</w:t>
            </w:r>
          </w:p>
        </w:tc>
        <w:tc>
          <w:tcPr>
            <w:tcW w:w="0" w:type="auto"/>
          </w:tcPr>
          <w:p w14:paraId="38B79722" w14:textId="6FB40A82"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0.192</w:t>
            </w:r>
          </w:p>
        </w:tc>
        <w:tc>
          <w:tcPr>
            <w:tcW w:w="0" w:type="auto"/>
          </w:tcPr>
          <w:p w14:paraId="762DC313"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0.029</w:t>
            </w:r>
          </w:p>
        </w:tc>
      </w:tr>
      <w:tr w:rsidR="00672FD8" w:rsidRPr="00A82E23" w14:paraId="7A973913" w14:textId="77777777" w:rsidTr="003843EA">
        <w:trPr>
          <w:trHeight w:val="288"/>
        </w:trPr>
        <w:tc>
          <w:tcPr>
            <w:tcW w:w="0" w:type="auto"/>
          </w:tcPr>
          <w:p w14:paraId="55B4FE2E"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Clinical</w:t>
            </w:r>
          </w:p>
        </w:tc>
        <w:tc>
          <w:tcPr>
            <w:tcW w:w="0" w:type="auto"/>
          </w:tcPr>
          <w:p w14:paraId="1B881A0F"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2.192</w:t>
            </w:r>
          </w:p>
        </w:tc>
        <w:tc>
          <w:tcPr>
            <w:tcW w:w="0" w:type="auto"/>
          </w:tcPr>
          <w:p w14:paraId="4F5C61C7"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0.284</w:t>
            </w:r>
          </w:p>
        </w:tc>
        <w:tc>
          <w:tcPr>
            <w:tcW w:w="0" w:type="auto"/>
          </w:tcPr>
          <w:p w14:paraId="261FEF34"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0.226</w:t>
            </w:r>
          </w:p>
        </w:tc>
        <w:tc>
          <w:tcPr>
            <w:tcW w:w="0" w:type="auto"/>
          </w:tcPr>
          <w:p w14:paraId="3228648D"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0.127</w:t>
            </w:r>
          </w:p>
        </w:tc>
        <w:tc>
          <w:tcPr>
            <w:tcW w:w="0" w:type="auto"/>
          </w:tcPr>
          <w:p w14:paraId="4D1AB9B0" w14:textId="2BEC2243"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1.935 </w:t>
            </w:r>
          </w:p>
        </w:tc>
        <w:tc>
          <w:tcPr>
            <w:tcW w:w="0" w:type="auto"/>
          </w:tcPr>
          <w:p w14:paraId="7DFABA97" w14:textId="1CEB260E"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0.252</w:t>
            </w:r>
          </w:p>
        </w:tc>
        <w:tc>
          <w:tcPr>
            <w:tcW w:w="0" w:type="auto"/>
          </w:tcPr>
          <w:p w14:paraId="15527659" w14:textId="1496F326"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0.404</w:t>
            </w:r>
          </w:p>
        </w:tc>
        <w:tc>
          <w:tcPr>
            <w:tcW w:w="0" w:type="auto"/>
          </w:tcPr>
          <w:p w14:paraId="1792ECE8"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0.110</w:t>
            </w:r>
          </w:p>
        </w:tc>
      </w:tr>
      <w:tr w:rsidR="00672FD8" w:rsidRPr="00A82E23" w14:paraId="0EDF90D9" w14:textId="77777777" w:rsidTr="003843EA">
        <w:trPr>
          <w:trHeight w:val="288"/>
        </w:trPr>
        <w:tc>
          <w:tcPr>
            <w:tcW w:w="0" w:type="auto"/>
          </w:tcPr>
          <w:p w14:paraId="167581F8"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3507C882"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0.711</w:t>
            </w:r>
          </w:p>
        </w:tc>
        <w:tc>
          <w:tcPr>
            <w:tcW w:w="0" w:type="auto"/>
          </w:tcPr>
          <w:p w14:paraId="06A3ECA9"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0.061</w:t>
            </w:r>
          </w:p>
        </w:tc>
        <w:tc>
          <w:tcPr>
            <w:tcW w:w="0" w:type="auto"/>
          </w:tcPr>
          <w:p w14:paraId="59BAC32B"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0.132</w:t>
            </w:r>
          </w:p>
        </w:tc>
        <w:tc>
          <w:tcPr>
            <w:tcW w:w="0" w:type="auto"/>
          </w:tcPr>
          <w:p w14:paraId="6CDE362A"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0.033</w:t>
            </w:r>
          </w:p>
        </w:tc>
        <w:tc>
          <w:tcPr>
            <w:tcW w:w="0" w:type="auto"/>
          </w:tcPr>
          <w:p w14:paraId="1E0F82D8" w14:textId="2B9551FF"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0.883 </w:t>
            </w:r>
          </w:p>
        </w:tc>
        <w:tc>
          <w:tcPr>
            <w:tcW w:w="0" w:type="auto"/>
          </w:tcPr>
          <w:p w14:paraId="229306DA" w14:textId="1A7760A2"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0.084</w:t>
            </w:r>
          </w:p>
        </w:tc>
        <w:tc>
          <w:tcPr>
            <w:tcW w:w="0" w:type="auto"/>
          </w:tcPr>
          <w:p w14:paraId="541B5D1A" w14:textId="77F58F9A"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0.193</w:t>
            </w:r>
          </w:p>
        </w:tc>
        <w:tc>
          <w:tcPr>
            <w:tcW w:w="0" w:type="auto"/>
          </w:tcPr>
          <w:p w14:paraId="38CF96F9"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0.028</w:t>
            </w:r>
          </w:p>
        </w:tc>
      </w:tr>
      <w:tr w:rsidR="00672FD8" w:rsidRPr="00A82E23" w14:paraId="1D187A75" w14:textId="77777777" w:rsidTr="003843EA">
        <w:trPr>
          <w:trHeight w:val="288"/>
        </w:trPr>
        <w:tc>
          <w:tcPr>
            <w:tcW w:w="0" w:type="auto"/>
          </w:tcPr>
          <w:p w14:paraId="31C485C3"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Left hemisphere</w:t>
            </w:r>
          </w:p>
        </w:tc>
        <w:tc>
          <w:tcPr>
            <w:tcW w:w="0" w:type="auto"/>
          </w:tcPr>
          <w:p w14:paraId="5B4C54C4"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2.300</w:t>
            </w:r>
          </w:p>
        </w:tc>
        <w:tc>
          <w:tcPr>
            <w:tcW w:w="0" w:type="auto"/>
          </w:tcPr>
          <w:p w14:paraId="1A5CD59F"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0.276</w:t>
            </w:r>
          </w:p>
        </w:tc>
        <w:tc>
          <w:tcPr>
            <w:tcW w:w="0" w:type="auto"/>
          </w:tcPr>
          <w:p w14:paraId="767BF63F"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0.213</w:t>
            </w:r>
          </w:p>
        </w:tc>
        <w:tc>
          <w:tcPr>
            <w:tcW w:w="0" w:type="auto"/>
          </w:tcPr>
          <w:p w14:paraId="0CA2C5A7"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0.124</w:t>
            </w:r>
          </w:p>
        </w:tc>
        <w:tc>
          <w:tcPr>
            <w:tcW w:w="0" w:type="auto"/>
          </w:tcPr>
          <w:p w14:paraId="2310E295" w14:textId="3C855D47"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2.003 </w:t>
            </w:r>
          </w:p>
        </w:tc>
        <w:tc>
          <w:tcPr>
            <w:tcW w:w="0" w:type="auto"/>
          </w:tcPr>
          <w:p w14:paraId="72CC2130" w14:textId="63584475"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0.255</w:t>
            </w:r>
          </w:p>
        </w:tc>
        <w:tc>
          <w:tcPr>
            <w:tcW w:w="0" w:type="auto"/>
          </w:tcPr>
          <w:p w14:paraId="59D12F64" w14:textId="6E093892"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0.376</w:t>
            </w:r>
          </w:p>
        </w:tc>
        <w:tc>
          <w:tcPr>
            <w:tcW w:w="0" w:type="auto"/>
          </w:tcPr>
          <w:p w14:paraId="4913F12F"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0.110</w:t>
            </w:r>
          </w:p>
        </w:tc>
      </w:tr>
      <w:tr w:rsidR="00672FD8" w:rsidRPr="00A82E23" w14:paraId="5D98C483" w14:textId="77777777" w:rsidTr="003843EA">
        <w:trPr>
          <w:trHeight w:val="288"/>
        </w:trPr>
        <w:tc>
          <w:tcPr>
            <w:tcW w:w="0" w:type="auto"/>
          </w:tcPr>
          <w:p w14:paraId="4F1EA0F0"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6510E722"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0.775</w:t>
            </w:r>
          </w:p>
        </w:tc>
        <w:tc>
          <w:tcPr>
            <w:tcW w:w="0" w:type="auto"/>
          </w:tcPr>
          <w:p w14:paraId="547FFC49"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0.063</w:t>
            </w:r>
          </w:p>
        </w:tc>
        <w:tc>
          <w:tcPr>
            <w:tcW w:w="0" w:type="auto"/>
          </w:tcPr>
          <w:p w14:paraId="4CFE5CCD"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0.128</w:t>
            </w:r>
          </w:p>
        </w:tc>
        <w:tc>
          <w:tcPr>
            <w:tcW w:w="0" w:type="auto"/>
          </w:tcPr>
          <w:p w14:paraId="553B0DF9"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0.032</w:t>
            </w:r>
          </w:p>
        </w:tc>
        <w:tc>
          <w:tcPr>
            <w:tcW w:w="0" w:type="auto"/>
          </w:tcPr>
          <w:p w14:paraId="2413BCD6" w14:textId="0D0FAFF1"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0.869 </w:t>
            </w:r>
          </w:p>
        </w:tc>
        <w:tc>
          <w:tcPr>
            <w:tcW w:w="0" w:type="auto"/>
          </w:tcPr>
          <w:p w14:paraId="4007F92A" w14:textId="2DDD56D7"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0.083</w:t>
            </w:r>
          </w:p>
        </w:tc>
        <w:tc>
          <w:tcPr>
            <w:tcW w:w="0" w:type="auto"/>
          </w:tcPr>
          <w:p w14:paraId="24402D8B" w14:textId="70DBEC5F"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0.186</w:t>
            </w:r>
          </w:p>
        </w:tc>
        <w:tc>
          <w:tcPr>
            <w:tcW w:w="0" w:type="auto"/>
          </w:tcPr>
          <w:p w14:paraId="4D1FF221"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0.027</w:t>
            </w:r>
          </w:p>
        </w:tc>
      </w:tr>
      <w:tr w:rsidR="00672FD8" w:rsidRPr="00A82E23" w14:paraId="52661D6C" w14:textId="77777777" w:rsidTr="003843EA">
        <w:trPr>
          <w:trHeight w:val="288"/>
        </w:trPr>
        <w:tc>
          <w:tcPr>
            <w:tcW w:w="0" w:type="auto"/>
          </w:tcPr>
          <w:p w14:paraId="48B7BE57"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Right hemisphere</w:t>
            </w:r>
          </w:p>
        </w:tc>
        <w:tc>
          <w:tcPr>
            <w:tcW w:w="0" w:type="auto"/>
          </w:tcPr>
          <w:p w14:paraId="4C0DE6E6"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2.288</w:t>
            </w:r>
          </w:p>
        </w:tc>
        <w:tc>
          <w:tcPr>
            <w:tcW w:w="0" w:type="auto"/>
          </w:tcPr>
          <w:p w14:paraId="4C5FD07C"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0.265</w:t>
            </w:r>
          </w:p>
        </w:tc>
        <w:tc>
          <w:tcPr>
            <w:tcW w:w="0" w:type="auto"/>
          </w:tcPr>
          <w:p w14:paraId="12CDF11A"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0.213</w:t>
            </w:r>
          </w:p>
        </w:tc>
        <w:tc>
          <w:tcPr>
            <w:tcW w:w="0" w:type="auto"/>
          </w:tcPr>
          <w:p w14:paraId="01A733F0"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0.124</w:t>
            </w:r>
          </w:p>
        </w:tc>
        <w:tc>
          <w:tcPr>
            <w:tcW w:w="0" w:type="auto"/>
          </w:tcPr>
          <w:p w14:paraId="7D93E8B9" w14:textId="2579BF49"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2.067 </w:t>
            </w:r>
          </w:p>
        </w:tc>
        <w:tc>
          <w:tcPr>
            <w:tcW w:w="0" w:type="auto"/>
          </w:tcPr>
          <w:p w14:paraId="61595984" w14:textId="4AAC26EA"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0.240</w:t>
            </w:r>
          </w:p>
        </w:tc>
        <w:tc>
          <w:tcPr>
            <w:tcW w:w="0" w:type="auto"/>
          </w:tcPr>
          <w:p w14:paraId="2E53FAA0" w14:textId="65895A48"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0.395</w:t>
            </w:r>
          </w:p>
        </w:tc>
        <w:tc>
          <w:tcPr>
            <w:tcW w:w="0" w:type="auto"/>
          </w:tcPr>
          <w:p w14:paraId="66C298A0"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0.105</w:t>
            </w:r>
          </w:p>
        </w:tc>
      </w:tr>
      <w:tr w:rsidR="00672FD8" w:rsidRPr="00A82E23" w14:paraId="5A554A9A" w14:textId="77777777" w:rsidTr="003843EA">
        <w:trPr>
          <w:trHeight w:val="288"/>
        </w:trPr>
        <w:tc>
          <w:tcPr>
            <w:tcW w:w="0" w:type="auto"/>
          </w:tcPr>
          <w:p w14:paraId="32839645"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7D28AD54" w14:textId="77777777" w:rsidR="00672FD8" w:rsidRPr="00A82E23" w:rsidRDefault="00672FD8" w:rsidP="00A82E23">
            <w:pPr>
              <w:kinsoku w:val="0"/>
              <w:overflowPunct w:val="0"/>
              <w:autoSpaceDE w:val="0"/>
              <w:autoSpaceDN w:val="0"/>
              <w:adjustRightInd w:val="0"/>
              <w:spacing w:before="29"/>
              <w:rPr>
                <w:rFonts w:cstheme="minorHAnsi"/>
                <w:color w:val="231F20"/>
              </w:rPr>
            </w:pPr>
            <w:r w:rsidRPr="00A82E23">
              <w:rPr>
                <w:rFonts w:cstheme="minorHAnsi"/>
                <w:color w:val="231F20"/>
              </w:rPr>
              <w:t>0.727</w:t>
            </w:r>
          </w:p>
        </w:tc>
        <w:tc>
          <w:tcPr>
            <w:tcW w:w="0" w:type="auto"/>
          </w:tcPr>
          <w:p w14:paraId="1C8E6EAC"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0.063</w:t>
            </w:r>
          </w:p>
        </w:tc>
        <w:tc>
          <w:tcPr>
            <w:tcW w:w="0" w:type="auto"/>
          </w:tcPr>
          <w:p w14:paraId="1F387967"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0.140</w:t>
            </w:r>
          </w:p>
        </w:tc>
        <w:tc>
          <w:tcPr>
            <w:tcW w:w="0" w:type="auto"/>
          </w:tcPr>
          <w:p w14:paraId="549631BE"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0.035</w:t>
            </w:r>
          </w:p>
        </w:tc>
        <w:tc>
          <w:tcPr>
            <w:tcW w:w="0" w:type="auto"/>
          </w:tcPr>
          <w:p w14:paraId="791114F3" w14:textId="4E6EA45D" w:rsidR="00672FD8" w:rsidRPr="00A82E23" w:rsidRDefault="00672FD8" w:rsidP="00A82E23">
            <w:pPr>
              <w:kinsoku w:val="0"/>
              <w:overflowPunct w:val="0"/>
              <w:autoSpaceDE w:val="0"/>
              <w:autoSpaceDN w:val="0"/>
              <w:adjustRightInd w:val="0"/>
              <w:spacing w:before="29"/>
              <w:ind w:left="4"/>
              <w:rPr>
                <w:rFonts w:cstheme="minorHAnsi"/>
                <w:color w:val="231F20"/>
              </w:rPr>
            </w:pPr>
            <w:r w:rsidRPr="00A82E23">
              <w:rPr>
                <w:rFonts w:cstheme="minorHAnsi"/>
                <w:color w:val="231F20"/>
              </w:rPr>
              <w:t xml:space="preserve">0.999 </w:t>
            </w:r>
          </w:p>
        </w:tc>
        <w:tc>
          <w:tcPr>
            <w:tcW w:w="0" w:type="auto"/>
          </w:tcPr>
          <w:p w14:paraId="6AC4A739" w14:textId="05A455D6"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0.082</w:t>
            </w:r>
          </w:p>
        </w:tc>
        <w:tc>
          <w:tcPr>
            <w:tcW w:w="0" w:type="auto"/>
          </w:tcPr>
          <w:p w14:paraId="1F5DB108" w14:textId="784ADB1C" w:rsidR="00672FD8" w:rsidRPr="00A82E23" w:rsidRDefault="00672FD8" w:rsidP="00A82E23">
            <w:pPr>
              <w:kinsoku w:val="0"/>
              <w:overflowPunct w:val="0"/>
              <w:autoSpaceDE w:val="0"/>
              <w:autoSpaceDN w:val="0"/>
              <w:adjustRightInd w:val="0"/>
              <w:spacing w:before="29"/>
              <w:ind w:left="81"/>
              <w:rPr>
                <w:rFonts w:cstheme="minorHAnsi"/>
                <w:color w:val="231F20"/>
              </w:rPr>
            </w:pPr>
            <w:r w:rsidRPr="00A82E23">
              <w:rPr>
                <w:rFonts w:cstheme="minorHAnsi"/>
                <w:color w:val="231F20"/>
              </w:rPr>
              <w:t>0.197</w:t>
            </w:r>
          </w:p>
        </w:tc>
        <w:tc>
          <w:tcPr>
            <w:tcW w:w="0" w:type="auto"/>
          </w:tcPr>
          <w:p w14:paraId="685D3208"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0.030</w:t>
            </w:r>
          </w:p>
        </w:tc>
      </w:tr>
      <w:tr w:rsidR="00672FD8" w:rsidRPr="00A82E23" w14:paraId="6E9DBBBC" w14:textId="77777777" w:rsidTr="003843EA">
        <w:trPr>
          <w:trHeight w:val="288"/>
        </w:trPr>
        <w:tc>
          <w:tcPr>
            <w:tcW w:w="0" w:type="auto"/>
          </w:tcPr>
          <w:p w14:paraId="4E07F596" w14:textId="00D884E8" w:rsidR="00672FD8" w:rsidRPr="00A82E23" w:rsidRDefault="00672FD8" w:rsidP="00A82E23">
            <w:pPr>
              <w:kinsoku w:val="0"/>
              <w:overflowPunct w:val="0"/>
              <w:autoSpaceDE w:val="0"/>
              <w:autoSpaceDN w:val="0"/>
              <w:adjustRightInd w:val="0"/>
              <w:rPr>
                <w:rFonts w:cstheme="minorHAnsi"/>
              </w:rPr>
            </w:pPr>
            <w:r>
              <w:rPr>
                <w:rFonts w:cstheme="minorHAnsi"/>
              </w:rPr>
              <w:t>Persons with aphasia</w:t>
            </w:r>
          </w:p>
        </w:tc>
        <w:tc>
          <w:tcPr>
            <w:tcW w:w="0" w:type="auto"/>
          </w:tcPr>
          <w:p w14:paraId="226568F7" w14:textId="77777777" w:rsidR="00672FD8" w:rsidRPr="00A82E23" w:rsidRDefault="00672FD8" w:rsidP="00A82E23">
            <w:pPr>
              <w:kinsoku w:val="0"/>
              <w:overflowPunct w:val="0"/>
              <w:autoSpaceDE w:val="0"/>
              <w:autoSpaceDN w:val="0"/>
              <w:adjustRightInd w:val="0"/>
              <w:spacing w:before="29"/>
              <w:rPr>
                <w:rFonts w:cstheme="minorHAnsi"/>
                <w:color w:val="231F20"/>
              </w:rPr>
            </w:pPr>
          </w:p>
        </w:tc>
        <w:tc>
          <w:tcPr>
            <w:tcW w:w="0" w:type="auto"/>
          </w:tcPr>
          <w:p w14:paraId="27788DAB"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p>
        </w:tc>
        <w:tc>
          <w:tcPr>
            <w:tcW w:w="0" w:type="auto"/>
          </w:tcPr>
          <w:p w14:paraId="56DFACF7"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p>
        </w:tc>
        <w:tc>
          <w:tcPr>
            <w:tcW w:w="0" w:type="auto"/>
          </w:tcPr>
          <w:p w14:paraId="5DFB6362"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p>
        </w:tc>
        <w:tc>
          <w:tcPr>
            <w:tcW w:w="0" w:type="auto"/>
          </w:tcPr>
          <w:p w14:paraId="4D44DA2F" w14:textId="77777777" w:rsidR="00672FD8" w:rsidRPr="00A82E23" w:rsidRDefault="00672FD8" w:rsidP="00A82E23">
            <w:pPr>
              <w:kinsoku w:val="0"/>
              <w:overflowPunct w:val="0"/>
              <w:autoSpaceDE w:val="0"/>
              <w:autoSpaceDN w:val="0"/>
              <w:adjustRightInd w:val="0"/>
              <w:spacing w:before="29"/>
              <w:ind w:left="4"/>
              <w:rPr>
                <w:rFonts w:cstheme="minorHAnsi"/>
                <w:color w:val="231F20"/>
              </w:rPr>
            </w:pPr>
          </w:p>
        </w:tc>
        <w:tc>
          <w:tcPr>
            <w:tcW w:w="0" w:type="auto"/>
          </w:tcPr>
          <w:p w14:paraId="65731603" w14:textId="77777777" w:rsidR="00672FD8" w:rsidRPr="00A82E23" w:rsidRDefault="00672FD8" w:rsidP="00A82E23">
            <w:pPr>
              <w:kinsoku w:val="0"/>
              <w:overflowPunct w:val="0"/>
              <w:autoSpaceDE w:val="0"/>
              <w:autoSpaceDN w:val="0"/>
              <w:adjustRightInd w:val="0"/>
              <w:spacing w:before="29"/>
              <w:ind w:left="81"/>
              <w:rPr>
                <w:rFonts w:cstheme="minorHAnsi"/>
                <w:color w:val="231F20"/>
              </w:rPr>
            </w:pPr>
          </w:p>
        </w:tc>
        <w:tc>
          <w:tcPr>
            <w:tcW w:w="0" w:type="auto"/>
          </w:tcPr>
          <w:p w14:paraId="0B20623C" w14:textId="77777777" w:rsidR="00672FD8" w:rsidRPr="00A82E23" w:rsidRDefault="00672FD8" w:rsidP="00A82E23">
            <w:pPr>
              <w:kinsoku w:val="0"/>
              <w:overflowPunct w:val="0"/>
              <w:autoSpaceDE w:val="0"/>
              <w:autoSpaceDN w:val="0"/>
              <w:adjustRightInd w:val="0"/>
              <w:spacing w:before="29"/>
              <w:ind w:left="81"/>
              <w:rPr>
                <w:rFonts w:cstheme="minorHAnsi"/>
                <w:color w:val="231F20"/>
              </w:rPr>
            </w:pPr>
          </w:p>
        </w:tc>
        <w:tc>
          <w:tcPr>
            <w:tcW w:w="0" w:type="auto"/>
          </w:tcPr>
          <w:p w14:paraId="746555E9"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p>
        </w:tc>
      </w:tr>
      <w:tr w:rsidR="00672FD8" w:rsidRPr="00A82E23" w14:paraId="6C68B41E" w14:textId="77777777" w:rsidTr="003843EA">
        <w:trPr>
          <w:trHeight w:val="288"/>
        </w:trPr>
        <w:tc>
          <w:tcPr>
            <w:tcW w:w="0" w:type="auto"/>
          </w:tcPr>
          <w:p w14:paraId="024AAC8A" w14:textId="77777777" w:rsidR="00672FD8" w:rsidRPr="00A82E23" w:rsidRDefault="00672FD8" w:rsidP="00A82E23">
            <w:pPr>
              <w:kinsoku w:val="0"/>
              <w:overflowPunct w:val="0"/>
              <w:autoSpaceDE w:val="0"/>
              <w:autoSpaceDN w:val="0"/>
              <w:adjustRightInd w:val="0"/>
              <w:rPr>
                <w:rFonts w:cstheme="minorHAnsi"/>
              </w:rPr>
            </w:pPr>
          </w:p>
        </w:tc>
        <w:tc>
          <w:tcPr>
            <w:tcW w:w="0" w:type="auto"/>
          </w:tcPr>
          <w:p w14:paraId="05C9C975" w14:textId="780C7056" w:rsidR="00672FD8" w:rsidRPr="00A82E23" w:rsidRDefault="00672FD8" w:rsidP="00A82E23">
            <w:pPr>
              <w:kinsoku w:val="0"/>
              <w:overflowPunct w:val="0"/>
              <w:autoSpaceDE w:val="0"/>
              <w:autoSpaceDN w:val="0"/>
              <w:adjustRightInd w:val="0"/>
              <w:spacing w:before="29"/>
              <w:rPr>
                <w:rFonts w:cstheme="minorHAnsi"/>
                <w:color w:val="231F20"/>
              </w:rPr>
            </w:pPr>
            <w:r>
              <w:rPr>
                <w:rFonts w:cstheme="minorHAnsi"/>
                <w:color w:val="231F20"/>
              </w:rPr>
              <w:t>Eyes open rest</w:t>
            </w:r>
          </w:p>
        </w:tc>
        <w:tc>
          <w:tcPr>
            <w:tcW w:w="0" w:type="auto"/>
          </w:tcPr>
          <w:p w14:paraId="29423E23" w14:textId="77777777" w:rsidR="00672FD8" w:rsidRPr="00A82E23" w:rsidRDefault="00672FD8" w:rsidP="00A82E23">
            <w:pPr>
              <w:kinsoku w:val="0"/>
              <w:overflowPunct w:val="0"/>
              <w:autoSpaceDE w:val="0"/>
              <w:autoSpaceDN w:val="0"/>
              <w:adjustRightInd w:val="0"/>
              <w:spacing w:before="29"/>
              <w:ind w:left="41" w:right="40"/>
              <w:jc w:val="center"/>
              <w:rPr>
                <w:rFonts w:cstheme="minorHAnsi"/>
                <w:color w:val="231F20"/>
              </w:rPr>
            </w:pPr>
          </w:p>
        </w:tc>
        <w:tc>
          <w:tcPr>
            <w:tcW w:w="0" w:type="auto"/>
          </w:tcPr>
          <w:p w14:paraId="6D568AC3" w14:textId="77777777" w:rsidR="00672FD8" w:rsidRPr="00A82E23" w:rsidRDefault="00672FD8" w:rsidP="00A82E23">
            <w:pPr>
              <w:kinsoku w:val="0"/>
              <w:overflowPunct w:val="0"/>
              <w:autoSpaceDE w:val="0"/>
              <w:autoSpaceDN w:val="0"/>
              <w:adjustRightInd w:val="0"/>
              <w:spacing w:before="29"/>
              <w:ind w:left="43" w:right="40"/>
              <w:jc w:val="center"/>
              <w:rPr>
                <w:rFonts w:cstheme="minorHAnsi"/>
                <w:color w:val="231F20"/>
              </w:rPr>
            </w:pPr>
          </w:p>
        </w:tc>
        <w:tc>
          <w:tcPr>
            <w:tcW w:w="0" w:type="auto"/>
          </w:tcPr>
          <w:p w14:paraId="2C16456D" w14:textId="77777777" w:rsidR="00672FD8" w:rsidRPr="00A82E23" w:rsidRDefault="00672FD8" w:rsidP="00A82E23">
            <w:pPr>
              <w:kinsoku w:val="0"/>
              <w:overflowPunct w:val="0"/>
              <w:autoSpaceDE w:val="0"/>
              <w:autoSpaceDN w:val="0"/>
              <w:adjustRightInd w:val="0"/>
              <w:spacing w:before="29"/>
              <w:ind w:left="62" w:right="-15"/>
              <w:rPr>
                <w:rFonts w:cstheme="minorHAnsi"/>
                <w:color w:val="231F20"/>
              </w:rPr>
            </w:pPr>
          </w:p>
        </w:tc>
        <w:tc>
          <w:tcPr>
            <w:tcW w:w="0" w:type="auto"/>
          </w:tcPr>
          <w:p w14:paraId="527821DC" w14:textId="337D1013" w:rsidR="00672FD8" w:rsidRPr="00A82E23" w:rsidRDefault="00672FD8" w:rsidP="00A82E23">
            <w:pPr>
              <w:kinsoku w:val="0"/>
              <w:overflowPunct w:val="0"/>
              <w:autoSpaceDE w:val="0"/>
              <w:autoSpaceDN w:val="0"/>
              <w:adjustRightInd w:val="0"/>
              <w:spacing w:before="29"/>
              <w:ind w:left="4"/>
              <w:rPr>
                <w:rFonts w:cstheme="minorHAnsi"/>
                <w:color w:val="231F20"/>
              </w:rPr>
            </w:pPr>
            <w:r>
              <w:rPr>
                <w:rFonts w:cstheme="minorHAnsi"/>
                <w:color w:val="231F20"/>
              </w:rPr>
              <w:t>Eyes closed rest</w:t>
            </w:r>
          </w:p>
        </w:tc>
        <w:tc>
          <w:tcPr>
            <w:tcW w:w="0" w:type="auto"/>
          </w:tcPr>
          <w:p w14:paraId="65B7D727" w14:textId="77777777" w:rsidR="00672FD8" w:rsidRPr="00A82E23" w:rsidRDefault="00672FD8" w:rsidP="00A82E23">
            <w:pPr>
              <w:kinsoku w:val="0"/>
              <w:overflowPunct w:val="0"/>
              <w:autoSpaceDE w:val="0"/>
              <w:autoSpaceDN w:val="0"/>
              <w:adjustRightInd w:val="0"/>
              <w:spacing w:before="29"/>
              <w:ind w:left="81"/>
              <w:rPr>
                <w:rFonts w:cstheme="minorHAnsi"/>
                <w:color w:val="231F20"/>
              </w:rPr>
            </w:pPr>
          </w:p>
        </w:tc>
        <w:tc>
          <w:tcPr>
            <w:tcW w:w="0" w:type="auto"/>
          </w:tcPr>
          <w:p w14:paraId="58C5D207" w14:textId="77777777" w:rsidR="00672FD8" w:rsidRPr="00A82E23" w:rsidRDefault="00672FD8" w:rsidP="00A82E23">
            <w:pPr>
              <w:kinsoku w:val="0"/>
              <w:overflowPunct w:val="0"/>
              <w:autoSpaceDE w:val="0"/>
              <w:autoSpaceDN w:val="0"/>
              <w:adjustRightInd w:val="0"/>
              <w:spacing w:before="29"/>
              <w:ind w:left="81"/>
              <w:rPr>
                <w:rFonts w:cstheme="minorHAnsi"/>
                <w:color w:val="231F20"/>
              </w:rPr>
            </w:pPr>
          </w:p>
        </w:tc>
        <w:tc>
          <w:tcPr>
            <w:tcW w:w="0" w:type="auto"/>
          </w:tcPr>
          <w:p w14:paraId="38172EBC" w14:textId="77777777" w:rsidR="00672FD8" w:rsidRPr="00A82E23" w:rsidRDefault="00672FD8" w:rsidP="00A82E23">
            <w:pPr>
              <w:kinsoku w:val="0"/>
              <w:overflowPunct w:val="0"/>
              <w:autoSpaceDE w:val="0"/>
              <w:autoSpaceDN w:val="0"/>
              <w:adjustRightInd w:val="0"/>
              <w:spacing w:before="29"/>
              <w:ind w:right="-15"/>
              <w:jc w:val="right"/>
              <w:rPr>
                <w:rFonts w:cstheme="minorHAnsi"/>
                <w:color w:val="231F20"/>
                <w:w w:val="95"/>
              </w:rPr>
            </w:pPr>
          </w:p>
        </w:tc>
      </w:tr>
      <w:tr w:rsidR="00EB3808" w:rsidRPr="00A82E23" w14:paraId="76A9D18E" w14:textId="77777777" w:rsidTr="003843EA">
        <w:trPr>
          <w:trHeight w:val="288"/>
        </w:trPr>
        <w:tc>
          <w:tcPr>
            <w:tcW w:w="0" w:type="auto"/>
          </w:tcPr>
          <w:p w14:paraId="53A5034A" w14:textId="77777777" w:rsidR="00EB3808" w:rsidRPr="00A82E23" w:rsidRDefault="00EB3808" w:rsidP="00EB3808">
            <w:pPr>
              <w:kinsoku w:val="0"/>
              <w:overflowPunct w:val="0"/>
              <w:autoSpaceDE w:val="0"/>
              <w:autoSpaceDN w:val="0"/>
              <w:adjustRightInd w:val="0"/>
              <w:rPr>
                <w:rFonts w:cstheme="minorHAnsi"/>
              </w:rPr>
            </w:pPr>
          </w:p>
        </w:tc>
        <w:tc>
          <w:tcPr>
            <w:tcW w:w="0" w:type="auto"/>
          </w:tcPr>
          <w:p w14:paraId="7C7C0A1E" w14:textId="47E611E9" w:rsidR="00EB3808"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w w:val="105"/>
              </w:rPr>
              <w:t>Delta</w:t>
            </w:r>
          </w:p>
        </w:tc>
        <w:tc>
          <w:tcPr>
            <w:tcW w:w="0" w:type="auto"/>
          </w:tcPr>
          <w:p w14:paraId="3D9D11BE" w14:textId="6049F96D"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w w:val="105"/>
              </w:rPr>
              <w:t>Theta</w:t>
            </w:r>
          </w:p>
        </w:tc>
        <w:tc>
          <w:tcPr>
            <w:tcW w:w="0" w:type="auto"/>
          </w:tcPr>
          <w:p w14:paraId="4DBE6EC7" w14:textId="10F2A603"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w w:val="105"/>
              </w:rPr>
              <w:t>Alpha</w:t>
            </w:r>
          </w:p>
        </w:tc>
        <w:tc>
          <w:tcPr>
            <w:tcW w:w="0" w:type="auto"/>
          </w:tcPr>
          <w:p w14:paraId="1DACB072" w14:textId="47D78BA5"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w w:val="105"/>
              </w:rPr>
              <w:t>Beta</w:t>
            </w:r>
          </w:p>
        </w:tc>
        <w:tc>
          <w:tcPr>
            <w:tcW w:w="0" w:type="auto"/>
          </w:tcPr>
          <w:p w14:paraId="04F9CB53" w14:textId="33150884" w:rsidR="00EB3808"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w w:val="105"/>
              </w:rPr>
              <w:t>Delta</w:t>
            </w:r>
          </w:p>
        </w:tc>
        <w:tc>
          <w:tcPr>
            <w:tcW w:w="0" w:type="auto"/>
          </w:tcPr>
          <w:p w14:paraId="7DF9F4AF" w14:textId="48F4860C"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w w:val="105"/>
              </w:rPr>
              <w:t>Theta</w:t>
            </w:r>
          </w:p>
        </w:tc>
        <w:tc>
          <w:tcPr>
            <w:tcW w:w="0" w:type="auto"/>
          </w:tcPr>
          <w:p w14:paraId="792CCCFD" w14:textId="67C748E2"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w w:val="105"/>
              </w:rPr>
              <w:t>Alpha</w:t>
            </w:r>
          </w:p>
        </w:tc>
        <w:tc>
          <w:tcPr>
            <w:tcW w:w="0" w:type="auto"/>
          </w:tcPr>
          <w:p w14:paraId="46C10A02" w14:textId="6343EDBA"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105"/>
              </w:rPr>
              <w:t>Beta</w:t>
            </w:r>
          </w:p>
        </w:tc>
      </w:tr>
      <w:tr w:rsidR="00EB3808" w:rsidRPr="00A82E23" w14:paraId="5FFAD381" w14:textId="77777777" w:rsidTr="003843EA">
        <w:trPr>
          <w:trHeight w:val="288"/>
        </w:trPr>
        <w:tc>
          <w:tcPr>
            <w:tcW w:w="0" w:type="auto"/>
          </w:tcPr>
          <w:p w14:paraId="6C0EC0AF" w14:textId="3490D8C6" w:rsidR="00EB3808" w:rsidRPr="00A82E23" w:rsidRDefault="00EB3808" w:rsidP="00EB3808">
            <w:pPr>
              <w:kinsoku w:val="0"/>
              <w:overflowPunct w:val="0"/>
              <w:autoSpaceDE w:val="0"/>
              <w:autoSpaceDN w:val="0"/>
              <w:adjustRightInd w:val="0"/>
              <w:rPr>
                <w:rFonts w:cstheme="minorHAnsi"/>
              </w:rPr>
            </w:pPr>
            <w:r w:rsidRPr="00A82E23">
              <w:rPr>
                <w:rFonts w:cstheme="minorHAnsi"/>
                <w:color w:val="231F20"/>
              </w:rPr>
              <w:t>Whole brain</w:t>
            </w:r>
          </w:p>
        </w:tc>
        <w:tc>
          <w:tcPr>
            <w:tcW w:w="0" w:type="auto"/>
          </w:tcPr>
          <w:p w14:paraId="0D02E09B" w14:textId="33D906C3" w:rsidR="00EB3808" w:rsidRPr="00A82E23" w:rsidRDefault="00EB3808" w:rsidP="00EB3808">
            <w:pPr>
              <w:kinsoku w:val="0"/>
              <w:overflowPunct w:val="0"/>
              <w:autoSpaceDE w:val="0"/>
              <w:autoSpaceDN w:val="0"/>
              <w:adjustRightInd w:val="0"/>
              <w:spacing w:before="29"/>
              <w:rPr>
                <w:rFonts w:cstheme="minorHAnsi"/>
                <w:color w:val="231F20"/>
                <w:w w:val="105"/>
              </w:rPr>
            </w:pPr>
            <w:r w:rsidRPr="00A82E23">
              <w:rPr>
                <w:rFonts w:cstheme="minorHAnsi"/>
                <w:color w:val="231F20"/>
              </w:rPr>
              <w:t>1.653</w:t>
            </w:r>
          </w:p>
        </w:tc>
        <w:tc>
          <w:tcPr>
            <w:tcW w:w="0" w:type="auto"/>
          </w:tcPr>
          <w:p w14:paraId="426F447E" w14:textId="27E530B9" w:rsidR="00EB3808" w:rsidRPr="00A82E23" w:rsidRDefault="00EB3808" w:rsidP="00EB3808">
            <w:pPr>
              <w:kinsoku w:val="0"/>
              <w:overflowPunct w:val="0"/>
              <w:autoSpaceDE w:val="0"/>
              <w:autoSpaceDN w:val="0"/>
              <w:adjustRightInd w:val="0"/>
              <w:spacing w:before="29"/>
              <w:ind w:left="41" w:right="40"/>
              <w:jc w:val="center"/>
              <w:rPr>
                <w:rFonts w:cstheme="minorHAnsi"/>
                <w:color w:val="231F20"/>
                <w:w w:val="105"/>
              </w:rPr>
            </w:pPr>
            <w:r w:rsidRPr="00A82E23">
              <w:rPr>
                <w:rFonts w:cstheme="minorHAnsi"/>
                <w:color w:val="231F20"/>
              </w:rPr>
              <w:t>0.361</w:t>
            </w:r>
          </w:p>
        </w:tc>
        <w:tc>
          <w:tcPr>
            <w:tcW w:w="0" w:type="auto"/>
          </w:tcPr>
          <w:p w14:paraId="41A379BA" w14:textId="1E8AE06E" w:rsidR="00EB3808" w:rsidRPr="00A82E23" w:rsidRDefault="00EB3808" w:rsidP="00EB3808">
            <w:pPr>
              <w:kinsoku w:val="0"/>
              <w:overflowPunct w:val="0"/>
              <w:autoSpaceDE w:val="0"/>
              <w:autoSpaceDN w:val="0"/>
              <w:adjustRightInd w:val="0"/>
              <w:spacing w:before="29"/>
              <w:ind w:left="43" w:right="40"/>
              <w:jc w:val="center"/>
              <w:rPr>
                <w:rFonts w:cstheme="minorHAnsi"/>
                <w:color w:val="231F20"/>
                <w:w w:val="105"/>
              </w:rPr>
            </w:pPr>
            <w:r w:rsidRPr="00A82E23">
              <w:rPr>
                <w:rFonts w:cstheme="minorHAnsi"/>
                <w:color w:val="231F20"/>
              </w:rPr>
              <w:t>0.306</w:t>
            </w:r>
          </w:p>
        </w:tc>
        <w:tc>
          <w:tcPr>
            <w:tcW w:w="0" w:type="auto"/>
          </w:tcPr>
          <w:p w14:paraId="3781BA40" w14:textId="50D0B0C7" w:rsidR="00EB3808" w:rsidRPr="00A82E23" w:rsidRDefault="00EB3808" w:rsidP="00EB3808">
            <w:pPr>
              <w:kinsoku w:val="0"/>
              <w:overflowPunct w:val="0"/>
              <w:autoSpaceDE w:val="0"/>
              <w:autoSpaceDN w:val="0"/>
              <w:adjustRightInd w:val="0"/>
              <w:spacing w:before="29"/>
              <w:ind w:left="62" w:right="-15"/>
              <w:rPr>
                <w:rFonts w:cstheme="minorHAnsi"/>
                <w:color w:val="231F20"/>
                <w:w w:val="105"/>
              </w:rPr>
            </w:pPr>
            <w:r w:rsidRPr="00A82E23">
              <w:rPr>
                <w:rFonts w:cstheme="minorHAnsi"/>
                <w:color w:val="231F20"/>
              </w:rPr>
              <w:t>0.097</w:t>
            </w:r>
          </w:p>
        </w:tc>
        <w:tc>
          <w:tcPr>
            <w:tcW w:w="0" w:type="auto"/>
          </w:tcPr>
          <w:p w14:paraId="06D2EF63" w14:textId="711AB3CF" w:rsidR="00EB3808" w:rsidRPr="00A82E23" w:rsidRDefault="00EB3808" w:rsidP="00EB3808">
            <w:pPr>
              <w:kinsoku w:val="0"/>
              <w:overflowPunct w:val="0"/>
              <w:autoSpaceDE w:val="0"/>
              <w:autoSpaceDN w:val="0"/>
              <w:adjustRightInd w:val="0"/>
              <w:spacing w:before="29"/>
              <w:ind w:left="4"/>
              <w:rPr>
                <w:rFonts w:cstheme="minorHAnsi"/>
                <w:color w:val="231F20"/>
                <w:w w:val="105"/>
              </w:rPr>
            </w:pPr>
            <w:r w:rsidRPr="00A82E23">
              <w:rPr>
                <w:rFonts w:cstheme="minorHAnsi"/>
                <w:color w:val="231F20"/>
              </w:rPr>
              <w:t>1.526</w:t>
            </w:r>
          </w:p>
        </w:tc>
        <w:tc>
          <w:tcPr>
            <w:tcW w:w="0" w:type="auto"/>
          </w:tcPr>
          <w:p w14:paraId="65365D0A" w14:textId="2870ED29" w:rsidR="00EB3808" w:rsidRPr="00A82E23" w:rsidRDefault="00EB3808" w:rsidP="00EB3808">
            <w:pPr>
              <w:kinsoku w:val="0"/>
              <w:overflowPunct w:val="0"/>
              <w:autoSpaceDE w:val="0"/>
              <w:autoSpaceDN w:val="0"/>
              <w:adjustRightInd w:val="0"/>
              <w:spacing w:before="29"/>
              <w:ind w:left="81"/>
              <w:rPr>
                <w:rFonts w:cstheme="minorHAnsi"/>
                <w:color w:val="231F20"/>
                <w:w w:val="105"/>
              </w:rPr>
            </w:pPr>
            <w:r w:rsidRPr="00A82E23">
              <w:rPr>
                <w:rFonts w:cstheme="minorHAnsi"/>
                <w:color w:val="231F20"/>
              </w:rPr>
              <w:t>0.364</w:t>
            </w:r>
          </w:p>
        </w:tc>
        <w:tc>
          <w:tcPr>
            <w:tcW w:w="0" w:type="auto"/>
          </w:tcPr>
          <w:p w14:paraId="719C2BAF" w14:textId="0F46F32C" w:rsidR="00EB3808" w:rsidRPr="00A82E23" w:rsidRDefault="00EB3808" w:rsidP="00EB3808">
            <w:pPr>
              <w:kinsoku w:val="0"/>
              <w:overflowPunct w:val="0"/>
              <w:autoSpaceDE w:val="0"/>
              <w:autoSpaceDN w:val="0"/>
              <w:adjustRightInd w:val="0"/>
              <w:spacing w:before="29"/>
              <w:ind w:left="81"/>
              <w:rPr>
                <w:rFonts w:cstheme="minorHAnsi"/>
                <w:color w:val="231F20"/>
                <w:w w:val="105"/>
              </w:rPr>
            </w:pPr>
            <w:r w:rsidRPr="00A82E23">
              <w:rPr>
                <w:rFonts w:cstheme="minorHAnsi"/>
                <w:color w:val="231F20"/>
              </w:rPr>
              <w:t>0.441</w:t>
            </w:r>
          </w:p>
        </w:tc>
        <w:tc>
          <w:tcPr>
            <w:tcW w:w="0" w:type="auto"/>
          </w:tcPr>
          <w:p w14:paraId="0F44DDBA" w14:textId="2FEB9815" w:rsidR="00EB3808" w:rsidRPr="00A82E23" w:rsidRDefault="00EB3808" w:rsidP="00EB3808">
            <w:pPr>
              <w:kinsoku w:val="0"/>
              <w:overflowPunct w:val="0"/>
              <w:autoSpaceDE w:val="0"/>
              <w:autoSpaceDN w:val="0"/>
              <w:adjustRightInd w:val="0"/>
              <w:spacing w:before="29"/>
              <w:ind w:right="-15"/>
              <w:jc w:val="right"/>
              <w:rPr>
                <w:rFonts w:cstheme="minorHAnsi"/>
                <w:color w:val="231F20"/>
                <w:w w:val="105"/>
              </w:rPr>
            </w:pPr>
            <w:r w:rsidRPr="00A82E23">
              <w:rPr>
                <w:rFonts w:cstheme="minorHAnsi"/>
                <w:color w:val="231F20"/>
                <w:w w:val="95"/>
              </w:rPr>
              <w:t>0.076</w:t>
            </w:r>
          </w:p>
        </w:tc>
      </w:tr>
      <w:tr w:rsidR="00EB3808" w:rsidRPr="00A82E23" w14:paraId="647E8F2A" w14:textId="77777777" w:rsidTr="003843EA">
        <w:trPr>
          <w:trHeight w:val="288"/>
        </w:trPr>
        <w:tc>
          <w:tcPr>
            <w:tcW w:w="0" w:type="auto"/>
          </w:tcPr>
          <w:p w14:paraId="5AA9DC96" w14:textId="77777777" w:rsidR="00EB3808" w:rsidRPr="00A82E23" w:rsidRDefault="00EB3808" w:rsidP="00EB3808">
            <w:pPr>
              <w:kinsoku w:val="0"/>
              <w:overflowPunct w:val="0"/>
              <w:autoSpaceDE w:val="0"/>
              <w:autoSpaceDN w:val="0"/>
              <w:adjustRightInd w:val="0"/>
              <w:rPr>
                <w:rFonts w:cstheme="minorHAnsi"/>
                <w:color w:val="231F20"/>
              </w:rPr>
            </w:pPr>
          </w:p>
        </w:tc>
        <w:tc>
          <w:tcPr>
            <w:tcW w:w="0" w:type="auto"/>
          </w:tcPr>
          <w:p w14:paraId="41804367" w14:textId="66473012"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0.599</w:t>
            </w:r>
          </w:p>
        </w:tc>
        <w:tc>
          <w:tcPr>
            <w:tcW w:w="0" w:type="auto"/>
          </w:tcPr>
          <w:p w14:paraId="70A6A93F" w14:textId="540C1F5E"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0.138</w:t>
            </w:r>
          </w:p>
        </w:tc>
        <w:tc>
          <w:tcPr>
            <w:tcW w:w="0" w:type="auto"/>
          </w:tcPr>
          <w:p w14:paraId="44B7C621" w14:textId="701C4A83"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0.164</w:t>
            </w:r>
          </w:p>
        </w:tc>
        <w:tc>
          <w:tcPr>
            <w:tcW w:w="0" w:type="auto"/>
          </w:tcPr>
          <w:p w14:paraId="5938BDB9" w14:textId="08637CFA"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0.036</w:t>
            </w:r>
          </w:p>
        </w:tc>
        <w:tc>
          <w:tcPr>
            <w:tcW w:w="0" w:type="auto"/>
          </w:tcPr>
          <w:p w14:paraId="70D344F6" w14:textId="6BBE402F"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0.510</w:t>
            </w:r>
          </w:p>
        </w:tc>
        <w:tc>
          <w:tcPr>
            <w:tcW w:w="0" w:type="auto"/>
          </w:tcPr>
          <w:p w14:paraId="74097AA3" w14:textId="7CB14235"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0.136</w:t>
            </w:r>
          </w:p>
        </w:tc>
        <w:tc>
          <w:tcPr>
            <w:tcW w:w="0" w:type="auto"/>
          </w:tcPr>
          <w:p w14:paraId="2AB2C75C" w14:textId="3745E444"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0.219</w:t>
            </w:r>
          </w:p>
        </w:tc>
        <w:tc>
          <w:tcPr>
            <w:tcW w:w="0" w:type="auto"/>
          </w:tcPr>
          <w:p w14:paraId="2796EFE9" w14:textId="0F52C5AB"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0.027</w:t>
            </w:r>
          </w:p>
        </w:tc>
      </w:tr>
      <w:tr w:rsidR="00EB3808" w:rsidRPr="00A82E23" w14:paraId="014401CF" w14:textId="77777777" w:rsidTr="003843EA">
        <w:trPr>
          <w:trHeight w:val="288"/>
        </w:trPr>
        <w:tc>
          <w:tcPr>
            <w:tcW w:w="0" w:type="auto"/>
          </w:tcPr>
          <w:p w14:paraId="3EC700F5" w14:textId="290609C3" w:rsidR="00EB3808" w:rsidRPr="00A82E23" w:rsidRDefault="00EB3808" w:rsidP="00EB3808">
            <w:pPr>
              <w:kinsoku w:val="0"/>
              <w:overflowPunct w:val="0"/>
              <w:autoSpaceDE w:val="0"/>
              <w:autoSpaceDN w:val="0"/>
              <w:adjustRightInd w:val="0"/>
              <w:rPr>
                <w:rFonts w:cstheme="minorHAnsi"/>
                <w:color w:val="231F20"/>
              </w:rPr>
            </w:pPr>
            <w:r w:rsidRPr="00A82E23">
              <w:rPr>
                <w:rFonts w:cstheme="minorHAnsi"/>
                <w:color w:val="231F20"/>
              </w:rPr>
              <w:t>Clinical</w:t>
            </w:r>
          </w:p>
        </w:tc>
        <w:tc>
          <w:tcPr>
            <w:tcW w:w="0" w:type="auto"/>
          </w:tcPr>
          <w:p w14:paraId="737C9DBA" w14:textId="67B15415"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1.697</w:t>
            </w:r>
          </w:p>
        </w:tc>
        <w:tc>
          <w:tcPr>
            <w:tcW w:w="0" w:type="auto"/>
          </w:tcPr>
          <w:p w14:paraId="0EBBE9E6" w14:textId="18F39198"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0.354</w:t>
            </w:r>
          </w:p>
        </w:tc>
        <w:tc>
          <w:tcPr>
            <w:tcW w:w="0" w:type="auto"/>
          </w:tcPr>
          <w:p w14:paraId="5A08E3CF" w14:textId="53253BD9"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0.298</w:t>
            </w:r>
          </w:p>
        </w:tc>
        <w:tc>
          <w:tcPr>
            <w:tcW w:w="0" w:type="auto"/>
          </w:tcPr>
          <w:p w14:paraId="22187270" w14:textId="5675E68C"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0.098</w:t>
            </w:r>
          </w:p>
        </w:tc>
        <w:tc>
          <w:tcPr>
            <w:tcW w:w="0" w:type="auto"/>
          </w:tcPr>
          <w:p w14:paraId="1EEAFE4B" w14:textId="041A6639"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1.569</w:t>
            </w:r>
          </w:p>
        </w:tc>
        <w:tc>
          <w:tcPr>
            <w:tcW w:w="0" w:type="auto"/>
          </w:tcPr>
          <w:p w14:paraId="382A414A" w14:textId="03D058A0"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0.358</w:t>
            </w:r>
          </w:p>
        </w:tc>
        <w:tc>
          <w:tcPr>
            <w:tcW w:w="0" w:type="auto"/>
          </w:tcPr>
          <w:p w14:paraId="481776A5" w14:textId="6AE4A347"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0.434</w:t>
            </w:r>
          </w:p>
        </w:tc>
        <w:tc>
          <w:tcPr>
            <w:tcW w:w="0" w:type="auto"/>
          </w:tcPr>
          <w:p w14:paraId="472F6BB6" w14:textId="6058BAA0"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0.077</w:t>
            </w:r>
          </w:p>
        </w:tc>
      </w:tr>
      <w:tr w:rsidR="00EB3808" w:rsidRPr="00A82E23" w14:paraId="3EAA9E1D" w14:textId="77777777" w:rsidTr="003843EA">
        <w:trPr>
          <w:trHeight w:val="288"/>
        </w:trPr>
        <w:tc>
          <w:tcPr>
            <w:tcW w:w="0" w:type="auto"/>
          </w:tcPr>
          <w:p w14:paraId="0692C441" w14:textId="77777777" w:rsidR="00EB3808" w:rsidRPr="00A82E23" w:rsidRDefault="00EB3808" w:rsidP="00EB3808">
            <w:pPr>
              <w:kinsoku w:val="0"/>
              <w:overflowPunct w:val="0"/>
              <w:autoSpaceDE w:val="0"/>
              <w:autoSpaceDN w:val="0"/>
              <w:adjustRightInd w:val="0"/>
              <w:rPr>
                <w:rFonts w:cstheme="minorHAnsi"/>
                <w:color w:val="231F20"/>
              </w:rPr>
            </w:pPr>
          </w:p>
        </w:tc>
        <w:tc>
          <w:tcPr>
            <w:tcW w:w="0" w:type="auto"/>
          </w:tcPr>
          <w:p w14:paraId="477F9727" w14:textId="3280A62A"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0.650</w:t>
            </w:r>
          </w:p>
        </w:tc>
        <w:tc>
          <w:tcPr>
            <w:tcW w:w="0" w:type="auto"/>
          </w:tcPr>
          <w:p w14:paraId="04D69B75" w14:textId="0C7354C1"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0.140</w:t>
            </w:r>
          </w:p>
        </w:tc>
        <w:tc>
          <w:tcPr>
            <w:tcW w:w="0" w:type="auto"/>
          </w:tcPr>
          <w:p w14:paraId="3816947F" w14:textId="3F872C22"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0.162</w:t>
            </w:r>
          </w:p>
        </w:tc>
        <w:tc>
          <w:tcPr>
            <w:tcW w:w="0" w:type="auto"/>
          </w:tcPr>
          <w:p w14:paraId="554BA06E" w14:textId="3FB4DAC9"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0.036</w:t>
            </w:r>
          </w:p>
        </w:tc>
        <w:tc>
          <w:tcPr>
            <w:tcW w:w="0" w:type="auto"/>
          </w:tcPr>
          <w:p w14:paraId="51568310" w14:textId="183A20F9"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0.529</w:t>
            </w:r>
          </w:p>
        </w:tc>
        <w:tc>
          <w:tcPr>
            <w:tcW w:w="0" w:type="auto"/>
          </w:tcPr>
          <w:p w14:paraId="7EEED440" w14:textId="090F9CAB"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0.135</w:t>
            </w:r>
          </w:p>
        </w:tc>
        <w:tc>
          <w:tcPr>
            <w:tcW w:w="0" w:type="auto"/>
          </w:tcPr>
          <w:p w14:paraId="2B519A7B" w14:textId="36FA060B"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0.215</w:t>
            </w:r>
          </w:p>
        </w:tc>
        <w:tc>
          <w:tcPr>
            <w:tcW w:w="0" w:type="auto"/>
          </w:tcPr>
          <w:p w14:paraId="74A024A4" w14:textId="30C69722"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0.027</w:t>
            </w:r>
          </w:p>
        </w:tc>
      </w:tr>
      <w:tr w:rsidR="00EB3808" w:rsidRPr="00A82E23" w14:paraId="456CEFB4" w14:textId="77777777" w:rsidTr="003843EA">
        <w:trPr>
          <w:trHeight w:val="288"/>
        </w:trPr>
        <w:tc>
          <w:tcPr>
            <w:tcW w:w="0" w:type="auto"/>
          </w:tcPr>
          <w:p w14:paraId="406C77C1" w14:textId="7F34B297" w:rsidR="00EB3808" w:rsidRPr="00A82E23" w:rsidRDefault="00EB3808" w:rsidP="00EB3808">
            <w:pPr>
              <w:kinsoku w:val="0"/>
              <w:overflowPunct w:val="0"/>
              <w:autoSpaceDE w:val="0"/>
              <w:autoSpaceDN w:val="0"/>
              <w:adjustRightInd w:val="0"/>
              <w:rPr>
                <w:rFonts w:cstheme="minorHAnsi"/>
                <w:color w:val="231F20"/>
              </w:rPr>
            </w:pPr>
            <w:r w:rsidRPr="00A82E23">
              <w:rPr>
                <w:rFonts w:cstheme="minorHAnsi"/>
                <w:color w:val="231F20"/>
              </w:rPr>
              <w:t>Left hemisphere</w:t>
            </w:r>
          </w:p>
        </w:tc>
        <w:tc>
          <w:tcPr>
            <w:tcW w:w="0" w:type="auto"/>
          </w:tcPr>
          <w:p w14:paraId="1C3AEE73" w14:textId="23B458C6"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1.776</w:t>
            </w:r>
          </w:p>
        </w:tc>
        <w:tc>
          <w:tcPr>
            <w:tcW w:w="0" w:type="auto"/>
          </w:tcPr>
          <w:p w14:paraId="1BDA6242" w14:textId="58BE589A"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0.358</w:t>
            </w:r>
          </w:p>
        </w:tc>
        <w:tc>
          <w:tcPr>
            <w:tcW w:w="0" w:type="auto"/>
          </w:tcPr>
          <w:p w14:paraId="23F84576" w14:textId="195A0063"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0.267</w:t>
            </w:r>
          </w:p>
        </w:tc>
        <w:tc>
          <w:tcPr>
            <w:tcW w:w="0" w:type="auto"/>
          </w:tcPr>
          <w:p w14:paraId="068D7E49" w14:textId="2CCD93C8"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0.093</w:t>
            </w:r>
          </w:p>
        </w:tc>
        <w:tc>
          <w:tcPr>
            <w:tcW w:w="0" w:type="auto"/>
          </w:tcPr>
          <w:p w14:paraId="7D3275C1" w14:textId="65AB33E0"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1.660</w:t>
            </w:r>
          </w:p>
        </w:tc>
        <w:tc>
          <w:tcPr>
            <w:tcW w:w="0" w:type="auto"/>
          </w:tcPr>
          <w:p w14:paraId="13DC7902" w14:textId="73F1F881"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0.365</w:t>
            </w:r>
          </w:p>
        </w:tc>
        <w:tc>
          <w:tcPr>
            <w:tcW w:w="0" w:type="auto"/>
          </w:tcPr>
          <w:p w14:paraId="0C1AFA00" w14:textId="24D76ECA"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0.389</w:t>
            </w:r>
          </w:p>
        </w:tc>
        <w:tc>
          <w:tcPr>
            <w:tcW w:w="0" w:type="auto"/>
          </w:tcPr>
          <w:p w14:paraId="01F5954A" w14:textId="77C21405"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0.071</w:t>
            </w:r>
          </w:p>
        </w:tc>
      </w:tr>
      <w:tr w:rsidR="00EB3808" w:rsidRPr="00A82E23" w14:paraId="5B29A567" w14:textId="77777777" w:rsidTr="003843EA">
        <w:trPr>
          <w:trHeight w:val="288"/>
        </w:trPr>
        <w:tc>
          <w:tcPr>
            <w:tcW w:w="0" w:type="auto"/>
          </w:tcPr>
          <w:p w14:paraId="16CF02A4" w14:textId="77777777" w:rsidR="00EB3808" w:rsidRPr="00A82E23" w:rsidRDefault="00EB3808" w:rsidP="00EB3808">
            <w:pPr>
              <w:kinsoku w:val="0"/>
              <w:overflowPunct w:val="0"/>
              <w:autoSpaceDE w:val="0"/>
              <w:autoSpaceDN w:val="0"/>
              <w:adjustRightInd w:val="0"/>
              <w:rPr>
                <w:rFonts w:cstheme="minorHAnsi"/>
                <w:color w:val="231F20"/>
              </w:rPr>
            </w:pPr>
          </w:p>
        </w:tc>
        <w:tc>
          <w:tcPr>
            <w:tcW w:w="0" w:type="auto"/>
          </w:tcPr>
          <w:p w14:paraId="1EA504BA" w14:textId="67BB52AE"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0.663</w:t>
            </w:r>
          </w:p>
        </w:tc>
        <w:tc>
          <w:tcPr>
            <w:tcW w:w="0" w:type="auto"/>
          </w:tcPr>
          <w:p w14:paraId="3BB3216C" w14:textId="185FDD7E"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0.146</w:t>
            </w:r>
          </w:p>
        </w:tc>
        <w:tc>
          <w:tcPr>
            <w:tcW w:w="0" w:type="auto"/>
          </w:tcPr>
          <w:p w14:paraId="6215FB82" w14:textId="30C0DD0D"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0.134</w:t>
            </w:r>
          </w:p>
        </w:tc>
        <w:tc>
          <w:tcPr>
            <w:tcW w:w="0" w:type="auto"/>
          </w:tcPr>
          <w:p w14:paraId="005E8AD0" w14:textId="71ED10FD"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0.037</w:t>
            </w:r>
          </w:p>
        </w:tc>
        <w:tc>
          <w:tcPr>
            <w:tcW w:w="0" w:type="auto"/>
          </w:tcPr>
          <w:p w14:paraId="46000635" w14:textId="2EB1AEE0"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0.577</w:t>
            </w:r>
          </w:p>
        </w:tc>
        <w:tc>
          <w:tcPr>
            <w:tcW w:w="0" w:type="auto"/>
          </w:tcPr>
          <w:p w14:paraId="09FB0563" w14:textId="718E8FAE"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0.147</w:t>
            </w:r>
          </w:p>
        </w:tc>
        <w:tc>
          <w:tcPr>
            <w:tcW w:w="0" w:type="auto"/>
          </w:tcPr>
          <w:p w14:paraId="7E0A5890" w14:textId="052AEAEB"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0.189</w:t>
            </w:r>
          </w:p>
        </w:tc>
        <w:tc>
          <w:tcPr>
            <w:tcW w:w="0" w:type="auto"/>
          </w:tcPr>
          <w:p w14:paraId="6DF495F4" w14:textId="5A82F1A4"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0.029</w:t>
            </w:r>
          </w:p>
        </w:tc>
      </w:tr>
      <w:tr w:rsidR="00EB3808" w:rsidRPr="00A82E23" w14:paraId="6505F4A7" w14:textId="77777777" w:rsidTr="003843EA">
        <w:trPr>
          <w:trHeight w:val="288"/>
        </w:trPr>
        <w:tc>
          <w:tcPr>
            <w:tcW w:w="0" w:type="auto"/>
          </w:tcPr>
          <w:p w14:paraId="217EF890" w14:textId="3087A6E6" w:rsidR="00EB3808" w:rsidRPr="00A82E23" w:rsidRDefault="00EB3808" w:rsidP="00EB3808">
            <w:pPr>
              <w:kinsoku w:val="0"/>
              <w:overflowPunct w:val="0"/>
              <w:autoSpaceDE w:val="0"/>
              <w:autoSpaceDN w:val="0"/>
              <w:adjustRightInd w:val="0"/>
              <w:rPr>
                <w:rFonts w:cstheme="minorHAnsi"/>
                <w:color w:val="231F20"/>
              </w:rPr>
            </w:pPr>
            <w:r w:rsidRPr="00A82E23">
              <w:rPr>
                <w:rFonts w:cstheme="minorHAnsi"/>
                <w:color w:val="231F20"/>
              </w:rPr>
              <w:t>Right hemisphere</w:t>
            </w:r>
          </w:p>
        </w:tc>
        <w:tc>
          <w:tcPr>
            <w:tcW w:w="0" w:type="auto"/>
          </w:tcPr>
          <w:p w14:paraId="1F12828F" w14:textId="5F1AA589"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1.652</w:t>
            </w:r>
          </w:p>
        </w:tc>
        <w:tc>
          <w:tcPr>
            <w:tcW w:w="0" w:type="auto"/>
          </w:tcPr>
          <w:p w14:paraId="24275E0D" w14:textId="1C4D6CC3"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0.314</w:t>
            </w:r>
          </w:p>
        </w:tc>
        <w:tc>
          <w:tcPr>
            <w:tcW w:w="0" w:type="auto"/>
          </w:tcPr>
          <w:p w14:paraId="154FD1BF" w14:textId="61522F35"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0.281</w:t>
            </w:r>
          </w:p>
        </w:tc>
        <w:tc>
          <w:tcPr>
            <w:tcW w:w="0" w:type="auto"/>
          </w:tcPr>
          <w:p w14:paraId="322E48A1" w14:textId="28E9F134"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0.104</w:t>
            </w:r>
          </w:p>
        </w:tc>
        <w:tc>
          <w:tcPr>
            <w:tcW w:w="0" w:type="auto"/>
          </w:tcPr>
          <w:p w14:paraId="34A523D4" w14:textId="31D70F6A"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1.579</w:t>
            </w:r>
          </w:p>
        </w:tc>
        <w:tc>
          <w:tcPr>
            <w:tcW w:w="0" w:type="auto"/>
          </w:tcPr>
          <w:p w14:paraId="3E5C3F9A" w14:textId="22771FD7"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0.323</w:t>
            </w:r>
          </w:p>
        </w:tc>
        <w:tc>
          <w:tcPr>
            <w:tcW w:w="0" w:type="auto"/>
          </w:tcPr>
          <w:p w14:paraId="7400CAA3" w14:textId="4F0D35C6"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0.418</w:t>
            </w:r>
          </w:p>
        </w:tc>
        <w:tc>
          <w:tcPr>
            <w:tcW w:w="0" w:type="auto"/>
          </w:tcPr>
          <w:p w14:paraId="5D6ACB4B" w14:textId="48D4CF63"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0.084</w:t>
            </w:r>
          </w:p>
        </w:tc>
      </w:tr>
      <w:tr w:rsidR="00EB3808" w:rsidRPr="00A82E23" w14:paraId="5D39BFF5" w14:textId="77777777" w:rsidTr="003843EA">
        <w:trPr>
          <w:trHeight w:val="288"/>
        </w:trPr>
        <w:tc>
          <w:tcPr>
            <w:tcW w:w="0" w:type="auto"/>
          </w:tcPr>
          <w:p w14:paraId="289ECC58" w14:textId="77777777" w:rsidR="00EB3808" w:rsidRPr="00A82E23" w:rsidRDefault="00EB3808" w:rsidP="00EB3808">
            <w:pPr>
              <w:kinsoku w:val="0"/>
              <w:overflowPunct w:val="0"/>
              <w:autoSpaceDE w:val="0"/>
              <w:autoSpaceDN w:val="0"/>
              <w:adjustRightInd w:val="0"/>
              <w:rPr>
                <w:rFonts w:cstheme="minorHAnsi"/>
                <w:color w:val="231F20"/>
              </w:rPr>
            </w:pPr>
          </w:p>
        </w:tc>
        <w:tc>
          <w:tcPr>
            <w:tcW w:w="0" w:type="auto"/>
          </w:tcPr>
          <w:p w14:paraId="6F12244F" w14:textId="0B861317" w:rsidR="00EB3808" w:rsidRPr="00A82E23" w:rsidRDefault="00EB3808" w:rsidP="00EB3808">
            <w:pPr>
              <w:kinsoku w:val="0"/>
              <w:overflowPunct w:val="0"/>
              <w:autoSpaceDE w:val="0"/>
              <w:autoSpaceDN w:val="0"/>
              <w:adjustRightInd w:val="0"/>
              <w:spacing w:before="29"/>
              <w:rPr>
                <w:rFonts w:cstheme="minorHAnsi"/>
                <w:color w:val="231F20"/>
              </w:rPr>
            </w:pPr>
            <w:r w:rsidRPr="00A82E23">
              <w:rPr>
                <w:rFonts w:cstheme="minorHAnsi"/>
                <w:color w:val="231F20"/>
              </w:rPr>
              <w:t>0.656</w:t>
            </w:r>
          </w:p>
        </w:tc>
        <w:tc>
          <w:tcPr>
            <w:tcW w:w="0" w:type="auto"/>
          </w:tcPr>
          <w:p w14:paraId="2607CA76" w14:textId="31972137" w:rsidR="00EB3808" w:rsidRPr="00A82E23" w:rsidRDefault="00EB3808" w:rsidP="00EB3808">
            <w:pPr>
              <w:kinsoku w:val="0"/>
              <w:overflowPunct w:val="0"/>
              <w:autoSpaceDE w:val="0"/>
              <w:autoSpaceDN w:val="0"/>
              <w:adjustRightInd w:val="0"/>
              <w:spacing w:before="29"/>
              <w:ind w:left="41" w:right="40"/>
              <w:jc w:val="center"/>
              <w:rPr>
                <w:rFonts w:cstheme="minorHAnsi"/>
                <w:color w:val="231F20"/>
              </w:rPr>
            </w:pPr>
            <w:r w:rsidRPr="00A82E23">
              <w:rPr>
                <w:rFonts w:cstheme="minorHAnsi"/>
                <w:color w:val="231F20"/>
              </w:rPr>
              <w:t>0.130</w:t>
            </w:r>
          </w:p>
        </w:tc>
        <w:tc>
          <w:tcPr>
            <w:tcW w:w="0" w:type="auto"/>
          </w:tcPr>
          <w:p w14:paraId="13EEC9BE" w14:textId="0DE1F5E1" w:rsidR="00EB3808" w:rsidRPr="00A82E23" w:rsidRDefault="00EB3808" w:rsidP="00EB3808">
            <w:pPr>
              <w:kinsoku w:val="0"/>
              <w:overflowPunct w:val="0"/>
              <w:autoSpaceDE w:val="0"/>
              <w:autoSpaceDN w:val="0"/>
              <w:adjustRightInd w:val="0"/>
              <w:spacing w:before="29"/>
              <w:ind w:left="43" w:right="40"/>
              <w:jc w:val="center"/>
              <w:rPr>
                <w:rFonts w:cstheme="minorHAnsi"/>
                <w:color w:val="231F20"/>
              </w:rPr>
            </w:pPr>
            <w:r w:rsidRPr="00A82E23">
              <w:rPr>
                <w:rFonts w:cstheme="minorHAnsi"/>
                <w:color w:val="231F20"/>
              </w:rPr>
              <w:t>0.158</w:t>
            </w:r>
          </w:p>
        </w:tc>
        <w:tc>
          <w:tcPr>
            <w:tcW w:w="0" w:type="auto"/>
          </w:tcPr>
          <w:p w14:paraId="4ABE2C54" w14:textId="30A26360" w:rsidR="00EB3808" w:rsidRPr="00A82E23" w:rsidRDefault="00EB3808" w:rsidP="00EB3808">
            <w:pPr>
              <w:kinsoku w:val="0"/>
              <w:overflowPunct w:val="0"/>
              <w:autoSpaceDE w:val="0"/>
              <w:autoSpaceDN w:val="0"/>
              <w:adjustRightInd w:val="0"/>
              <w:spacing w:before="29"/>
              <w:ind w:left="62" w:right="-15"/>
              <w:rPr>
                <w:rFonts w:cstheme="minorHAnsi"/>
                <w:color w:val="231F20"/>
              </w:rPr>
            </w:pPr>
            <w:r w:rsidRPr="00A82E23">
              <w:rPr>
                <w:rFonts w:cstheme="minorHAnsi"/>
                <w:color w:val="231F20"/>
              </w:rPr>
              <w:t>0.031</w:t>
            </w:r>
          </w:p>
        </w:tc>
        <w:tc>
          <w:tcPr>
            <w:tcW w:w="0" w:type="auto"/>
          </w:tcPr>
          <w:p w14:paraId="7CB77618" w14:textId="60CB1AE9" w:rsidR="00EB3808" w:rsidRPr="00A82E23" w:rsidRDefault="00EB3808" w:rsidP="00EB3808">
            <w:pPr>
              <w:kinsoku w:val="0"/>
              <w:overflowPunct w:val="0"/>
              <w:autoSpaceDE w:val="0"/>
              <w:autoSpaceDN w:val="0"/>
              <w:adjustRightInd w:val="0"/>
              <w:spacing w:before="29"/>
              <w:ind w:left="4"/>
              <w:rPr>
                <w:rFonts w:cstheme="minorHAnsi"/>
                <w:color w:val="231F20"/>
              </w:rPr>
            </w:pPr>
            <w:r w:rsidRPr="00A82E23">
              <w:rPr>
                <w:rFonts w:cstheme="minorHAnsi"/>
                <w:color w:val="231F20"/>
              </w:rPr>
              <w:t>0.590</w:t>
            </w:r>
          </w:p>
        </w:tc>
        <w:tc>
          <w:tcPr>
            <w:tcW w:w="0" w:type="auto"/>
          </w:tcPr>
          <w:p w14:paraId="253A5FEC" w14:textId="6AD44FF5"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0.121</w:t>
            </w:r>
          </w:p>
        </w:tc>
        <w:tc>
          <w:tcPr>
            <w:tcW w:w="0" w:type="auto"/>
          </w:tcPr>
          <w:p w14:paraId="4B7E951C" w14:textId="6E0C58BF" w:rsidR="00EB3808" w:rsidRPr="00A82E23" w:rsidRDefault="00EB3808" w:rsidP="00EB3808">
            <w:pPr>
              <w:kinsoku w:val="0"/>
              <w:overflowPunct w:val="0"/>
              <w:autoSpaceDE w:val="0"/>
              <w:autoSpaceDN w:val="0"/>
              <w:adjustRightInd w:val="0"/>
              <w:spacing w:before="29"/>
              <w:ind w:left="81"/>
              <w:rPr>
                <w:rFonts w:cstheme="minorHAnsi"/>
                <w:color w:val="231F20"/>
              </w:rPr>
            </w:pPr>
            <w:r w:rsidRPr="00A82E23">
              <w:rPr>
                <w:rFonts w:cstheme="minorHAnsi"/>
                <w:color w:val="231F20"/>
              </w:rPr>
              <w:t>0.239</w:t>
            </w:r>
          </w:p>
        </w:tc>
        <w:tc>
          <w:tcPr>
            <w:tcW w:w="0" w:type="auto"/>
          </w:tcPr>
          <w:p w14:paraId="522B2BBD" w14:textId="6AB58335" w:rsidR="00EB3808" w:rsidRPr="00A82E23" w:rsidRDefault="00EB3808" w:rsidP="00EB3808">
            <w:pPr>
              <w:kinsoku w:val="0"/>
              <w:overflowPunct w:val="0"/>
              <w:autoSpaceDE w:val="0"/>
              <w:autoSpaceDN w:val="0"/>
              <w:adjustRightInd w:val="0"/>
              <w:spacing w:before="29"/>
              <w:ind w:right="-15"/>
              <w:jc w:val="right"/>
              <w:rPr>
                <w:rFonts w:cstheme="minorHAnsi"/>
                <w:color w:val="231F20"/>
                <w:w w:val="95"/>
              </w:rPr>
            </w:pPr>
            <w:r w:rsidRPr="00A82E23">
              <w:rPr>
                <w:rFonts w:cstheme="minorHAnsi"/>
                <w:color w:val="231F20"/>
                <w:w w:val="95"/>
              </w:rPr>
              <w:t>0.027</w:t>
            </w:r>
          </w:p>
        </w:tc>
      </w:tr>
    </w:tbl>
    <w:p w14:paraId="3544E2C9" w14:textId="77777777" w:rsidR="0019228D" w:rsidRDefault="0019228D" w:rsidP="004D443D">
      <w:pPr>
        <w:rPr>
          <w:b/>
          <w:bCs/>
        </w:rPr>
        <w:sectPr w:rsidR="0019228D" w:rsidSect="006B5CDC">
          <w:pgSz w:w="15840" w:h="12240" w:orient="landscape"/>
          <w:pgMar w:top="1080" w:right="1080" w:bottom="1080" w:left="1080" w:header="720" w:footer="720" w:gutter="0"/>
          <w:cols w:space="720"/>
          <w:docGrid w:linePitch="360"/>
        </w:sectPr>
      </w:pPr>
    </w:p>
    <w:p w14:paraId="66A9B8AD" w14:textId="77777777" w:rsidR="00D00C10" w:rsidRDefault="00D00C10" w:rsidP="004D443D">
      <w:pPr>
        <w:rPr>
          <w:b/>
          <w:bCs/>
        </w:rPr>
      </w:pPr>
    </w:p>
    <w:p w14:paraId="30337930" w14:textId="3A491CE5" w:rsidR="004D443D" w:rsidRPr="004D443D" w:rsidRDefault="004D443D" w:rsidP="003843EA">
      <w:pPr>
        <w:pStyle w:val="NoSpacing"/>
      </w:pPr>
      <w:bookmarkStart w:id="15" w:name="figure4"/>
      <w:r w:rsidRPr="004D443D">
        <w:rPr>
          <w:noProof/>
        </w:rPr>
        <w:drawing>
          <wp:inline distT="0" distB="0" distL="0" distR="0" wp14:anchorId="2B5D3464" wp14:editId="09EBE8A8">
            <wp:extent cx="1424940" cy="542290"/>
            <wp:effectExtent l="0" t="0" r="3810" b="0"/>
            <wp:docPr id="2" name="Picture 2" descr="www.frontiersin.or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 descr="www.frontiersin.or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4940" cy="542290"/>
                    </a:xfrm>
                    <a:prstGeom prst="rect">
                      <a:avLst/>
                    </a:prstGeom>
                    <a:noFill/>
                    <a:ln>
                      <a:noFill/>
                    </a:ln>
                  </pic:spPr>
                </pic:pic>
              </a:graphicData>
            </a:graphic>
          </wp:inline>
        </w:drawing>
      </w:r>
      <w:bookmarkEnd w:id="15"/>
    </w:p>
    <w:p w14:paraId="41BCF749" w14:textId="695B0056" w:rsidR="004D443D" w:rsidRDefault="004D443D" w:rsidP="003843EA">
      <w:pPr>
        <w:pStyle w:val="NoSpacing"/>
      </w:pPr>
      <w:r w:rsidRPr="004D443D">
        <w:rPr>
          <w:b/>
          <w:bCs/>
        </w:rPr>
        <w:t>Figure 4.</w:t>
      </w:r>
      <w:r w:rsidRPr="004D443D">
        <w:t> Boxplots display the absolute power (in microvolts) of each frequency band by group and montage for </w:t>
      </w:r>
      <w:r w:rsidRPr="004D443D">
        <w:rPr>
          <w:b/>
          <w:bCs/>
        </w:rPr>
        <w:t>(A)</w:t>
      </w:r>
      <w:r w:rsidRPr="004D443D">
        <w:t> the eyes open; and </w:t>
      </w:r>
      <w:r w:rsidRPr="004D443D">
        <w:rPr>
          <w:b/>
          <w:bCs/>
        </w:rPr>
        <w:t>(B)</w:t>
      </w:r>
      <w:r w:rsidRPr="004D443D">
        <w:t> the eyes closed condition. Black bars indicate statistically significant comparisons with large effects (corresponding to bolded cells in </w:t>
      </w:r>
      <w:r w:rsidRPr="00C05BF0">
        <w:t>Table 5</w:t>
      </w:r>
      <w:r w:rsidRPr="004D443D">
        <w:t>). Gray bars indicate comparisons that were not significant after corrections for multiple comparisons but that had medium to large effect sizes (corresponding to italicized cells in </w:t>
      </w:r>
      <w:r w:rsidRPr="00C05BF0">
        <w:t>Table 5</w:t>
      </w:r>
      <w:r w:rsidRPr="004D443D">
        <w:t>). (In a boxplot, data are split into quartiles and the figure attributes are as follows: the top of the box represents the third quartile; the bottom of the box represents the first quartile; the length of the box from the top to the bottom represents the interquartile range; the horizontal line within the box is the median of the dataset; the upper whisker is the line from the top of the box to the maximum value, or in the presence of an outlier, 1.5 times the interquartile range above the third quartile; the lower whisker is the line from the bottom of the box to the minimum value, or in the presence of an outlier, to 1.5 times the interquartile range below the first quartile; circles and stars represent outliers, defined as any point beyond 1.5 times the interquartile range either above the third quartile or below the first quartile).</w:t>
      </w:r>
    </w:p>
    <w:p w14:paraId="5F4E4AC3" w14:textId="77777777" w:rsidR="003843EA" w:rsidRDefault="003843EA" w:rsidP="004D443D"/>
    <w:p w14:paraId="6C7DA414" w14:textId="16B54A87" w:rsidR="006B5CDC" w:rsidRPr="004D443D" w:rsidRDefault="004D443D" w:rsidP="009A30E6">
      <w:pPr>
        <w:pStyle w:val="NoSpacing"/>
      </w:pPr>
      <w:r w:rsidRPr="004D443D">
        <w:rPr>
          <w:b/>
          <w:bCs/>
        </w:rPr>
        <w:t>Table 5.</w:t>
      </w:r>
      <w:r w:rsidRPr="004D443D">
        <w:t> Test statistic, </w:t>
      </w:r>
      <w:r w:rsidRPr="004D443D">
        <w:rPr>
          <w:i/>
          <w:iCs/>
        </w:rPr>
        <w:t>p</w:t>
      </w:r>
      <w:r w:rsidRPr="004D443D">
        <w:t>-value, and effect size for between group comparisons during eyes open and eyes closed rest.</w:t>
      </w:r>
    </w:p>
    <w:tbl>
      <w:tblPr>
        <w:tblStyle w:val="TableGrid"/>
        <w:tblW w:w="0" w:type="auto"/>
        <w:tblLook w:val="04A0" w:firstRow="1" w:lastRow="0" w:firstColumn="1" w:lastColumn="0" w:noHBand="0" w:noVBand="1"/>
      </w:tblPr>
      <w:tblGrid>
        <w:gridCol w:w="1185"/>
        <w:gridCol w:w="1111"/>
        <w:gridCol w:w="1111"/>
        <w:gridCol w:w="1110"/>
        <w:gridCol w:w="1110"/>
        <w:gridCol w:w="1111"/>
        <w:gridCol w:w="1112"/>
        <w:gridCol w:w="1110"/>
        <w:gridCol w:w="1110"/>
      </w:tblGrid>
      <w:tr w:rsidR="00EC54DF" w:rsidRPr="000975FA" w14:paraId="5F4BF6EC" w14:textId="77777777" w:rsidTr="00EC54DF">
        <w:tc>
          <w:tcPr>
            <w:tcW w:w="1118" w:type="dxa"/>
          </w:tcPr>
          <w:p w14:paraId="1A2D75DD" w14:textId="77777777" w:rsidR="00EC54DF" w:rsidRPr="000975FA" w:rsidRDefault="00EC54DF" w:rsidP="000975FA">
            <w:pPr>
              <w:pStyle w:val="NoSpacing"/>
              <w:rPr>
                <w:rFonts w:cstheme="minorHAnsi"/>
                <w:sz w:val="20"/>
                <w:szCs w:val="20"/>
              </w:rPr>
            </w:pPr>
          </w:p>
        </w:tc>
        <w:tc>
          <w:tcPr>
            <w:tcW w:w="1119" w:type="dxa"/>
          </w:tcPr>
          <w:p w14:paraId="5D0F6557" w14:textId="4059C1DC" w:rsidR="00EC54DF" w:rsidRPr="000975FA" w:rsidRDefault="00BE1610" w:rsidP="000975FA">
            <w:pPr>
              <w:pStyle w:val="NoSpacing"/>
              <w:rPr>
                <w:rFonts w:cstheme="minorHAnsi"/>
                <w:sz w:val="20"/>
                <w:szCs w:val="20"/>
              </w:rPr>
            </w:pPr>
            <w:r w:rsidRPr="000975FA">
              <w:rPr>
                <w:rFonts w:cstheme="minorHAnsi"/>
                <w:sz w:val="20"/>
                <w:szCs w:val="20"/>
              </w:rPr>
              <w:t>Eyes open rest</w:t>
            </w:r>
          </w:p>
        </w:tc>
        <w:tc>
          <w:tcPr>
            <w:tcW w:w="1119" w:type="dxa"/>
          </w:tcPr>
          <w:p w14:paraId="32AFB471" w14:textId="77777777" w:rsidR="00EC54DF" w:rsidRPr="000975FA" w:rsidRDefault="00EC54DF" w:rsidP="000975FA">
            <w:pPr>
              <w:pStyle w:val="NoSpacing"/>
              <w:rPr>
                <w:rFonts w:cstheme="minorHAnsi"/>
                <w:sz w:val="20"/>
                <w:szCs w:val="20"/>
              </w:rPr>
            </w:pPr>
          </w:p>
        </w:tc>
        <w:tc>
          <w:tcPr>
            <w:tcW w:w="1119" w:type="dxa"/>
          </w:tcPr>
          <w:p w14:paraId="19AA13DE" w14:textId="77777777" w:rsidR="00EC54DF" w:rsidRPr="000975FA" w:rsidRDefault="00EC54DF" w:rsidP="000975FA">
            <w:pPr>
              <w:pStyle w:val="NoSpacing"/>
              <w:rPr>
                <w:rFonts w:cstheme="minorHAnsi"/>
                <w:sz w:val="20"/>
                <w:szCs w:val="20"/>
              </w:rPr>
            </w:pPr>
          </w:p>
        </w:tc>
        <w:tc>
          <w:tcPr>
            <w:tcW w:w="1119" w:type="dxa"/>
          </w:tcPr>
          <w:p w14:paraId="2CC8E3B2" w14:textId="77777777" w:rsidR="00EC54DF" w:rsidRPr="000975FA" w:rsidRDefault="00EC54DF" w:rsidP="000975FA">
            <w:pPr>
              <w:pStyle w:val="NoSpacing"/>
              <w:rPr>
                <w:rFonts w:cstheme="minorHAnsi"/>
                <w:sz w:val="20"/>
                <w:szCs w:val="20"/>
              </w:rPr>
            </w:pPr>
          </w:p>
        </w:tc>
        <w:tc>
          <w:tcPr>
            <w:tcW w:w="1119" w:type="dxa"/>
          </w:tcPr>
          <w:p w14:paraId="31D3F869" w14:textId="62CD3B47" w:rsidR="00EC54DF" w:rsidRPr="000975FA" w:rsidRDefault="00BE1610" w:rsidP="000975FA">
            <w:pPr>
              <w:pStyle w:val="NoSpacing"/>
              <w:rPr>
                <w:rFonts w:cstheme="minorHAnsi"/>
                <w:sz w:val="20"/>
                <w:szCs w:val="20"/>
              </w:rPr>
            </w:pPr>
            <w:r w:rsidRPr="000975FA">
              <w:rPr>
                <w:rFonts w:cstheme="minorHAnsi"/>
                <w:sz w:val="20"/>
                <w:szCs w:val="20"/>
              </w:rPr>
              <w:t>Eyes closed rest</w:t>
            </w:r>
          </w:p>
        </w:tc>
        <w:tc>
          <w:tcPr>
            <w:tcW w:w="1119" w:type="dxa"/>
          </w:tcPr>
          <w:p w14:paraId="2BED9855" w14:textId="77777777" w:rsidR="00EC54DF" w:rsidRPr="000975FA" w:rsidRDefault="00EC54DF" w:rsidP="000975FA">
            <w:pPr>
              <w:pStyle w:val="NoSpacing"/>
              <w:rPr>
                <w:rFonts w:cstheme="minorHAnsi"/>
                <w:sz w:val="20"/>
                <w:szCs w:val="20"/>
              </w:rPr>
            </w:pPr>
          </w:p>
        </w:tc>
        <w:tc>
          <w:tcPr>
            <w:tcW w:w="1119" w:type="dxa"/>
          </w:tcPr>
          <w:p w14:paraId="54F9B398" w14:textId="77777777" w:rsidR="00EC54DF" w:rsidRPr="000975FA" w:rsidRDefault="00EC54DF" w:rsidP="000975FA">
            <w:pPr>
              <w:pStyle w:val="NoSpacing"/>
              <w:rPr>
                <w:rFonts w:cstheme="minorHAnsi"/>
                <w:sz w:val="20"/>
                <w:szCs w:val="20"/>
              </w:rPr>
            </w:pPr>
          </w:p>
        </w:tc>
        <w:tc>
          <w:tcPr>
            <w:tcW w:w="1119" w:type="dxa"/>
          </w:tcPr>
          <w:p w14:paraId="0A6BA956" w14:textId="77777777" w:rsidR="00EC54DF" w:rsidRPr="000975FA" w:rsidRDefault="00EC54DF" w:rsidP="000975FA">
            <w:pPr>
              <w:pStyle w:val="NoSpacing"/>
              <w:rPr>
                <w:rFonts w:cstheme="minorHAnsi"/>
                <w:sz w:val="20"/>
                <w:szCs w:val="20"/>
              </w:rPr>
            </w:pPr>
          </w:p>
        </w:tc>
      </w:tr>
      <w:tr w:rsidR="004A6E44" w:rsidRPr="000975FA" w14:paraId="3451D926" w14:textId="77777777" w:rsidTr="00EC54DF">
        <w:tc>
          <w:tcPr>
            <w:tcW w:w="1118" w:type="dxa"/>
          </w:tcPr>
          <w:p w14:paraId="004C9BCC" w14:textId="77777777" w:rsidR="004A6E44" w:rsidRPr="000975FA" w:rsidRDefault="004A6E44" w:rsidP="000975FA">
            <w:pPr>
              <w:pStyle w:val="NoSpacing"/>
              <w:rPr>
                <w:rFonts w:cstheme="minorHAnsi"/>
                <w:sz w:val="20"/>
                <w:szCs w:val="20"/>
              </w:rPr>
            </w:pPr>
            <w:bookmarkStart w:id="16" w:name="_Hlk92800854"/>
          </w:p>
        </w:tc>
        <w:tc>
          <w:tcPr>
            <w:tcW w:w="1119" w:type="dxa"/>
          </w:tcPr>
          <w:p w14:paraId="16018F58" w14:textId="69A8C97E" w:rsidR="004A6E44" w:rsidRPr="000975FA" w:rsidRDefault="004A6E44" w:rsidP="000975FA">
            <w:pPr>
              <w:pStyle w:val="NoSpacing"/>
              <w:rPr>
                <w:rFonts w:cstheme="minorHAnsi"/>
                <w:sz w:val="20"/>
                <w:szCs w:val="20"/>
              </w:rPr>
            </w:pPr>
            <w:r w:rsidRPr="000975FA">
              <w:rPr>
                <w:rFonts w:cstheme="minorHAnsi"/>
                <w:sz w:val="20"/>
                <w:szCs w:val="20"/>
              </w:rPr>
              <w:t>Delta</w:t>
            </w:r>
          </w:p>
        </w:tc>
        <w:tc>
          <w:tcPr>
            <w:tcW w:w="1119" w:type="dxa"/>
          </w:tcPr>
          <w:p w14:paraId="54E4D938" w14:textId="762C619E" w:rsidR="004A6E44" w:rsidRPr="000975FA" w:rsidRDefault="004A6E44" w:rsidP="000975FA">
            <w:pPr>
              <w:pStyle w:val="NoSpacing"/>
              <w:rPr>
                <w:rFonts w:cstheme="minorHAnsi"/>
                <w:sz w:val="20"/>
                <w:szCs w:val="20"/>
              </w:rPr>
            </w:pPr>
            <w:r w:rsidRPr="000975FA">
              <w:rPr>
                <w:rFonts w:cstheme="minorHAnsi"/>
                <w:sz w:val="20"/>
                <w:szCs w:val="20"/>
              </w:rPr>
              <w:t>Theta</w:t>
            </w:r>
          </w:p>
        </w:tc>
        <w:tc>
          <w:tcPr>
            <w:tcW w:w="1119" w:type="dxa"/>
          </w:tcPr>
          <w:p w14:paraId="6A6E0EAB" w14:textId="50D47490" w:rsidR="004A6E44" w:rsidRPr="000975FA" w:rsidRDefault="004A6E44" w:rsidP="000975FA">
            <w:pPr>
              <w:pStyle w:val="NoSpacing"/>
              <w:rPr>
                <w:rFonts w:cstheme="minorHAnsi"/>
                <w:sz w:val="20"/>
                <w:szCs w:val="20"/>
              </w:rPr>
            </w:pPr>
            <w:r w:rsidRPr="000975FA">
              <w:rPr>
                <w:rFonts w:cstheme="minorHAnsi"/>
                <w:sz w:val="20"/>
                <w:szCs w:val="20"/>
              </w:rPr>
              <w:t>Alpha</w:t>
            </w:r>
          </w:p>
        </w:tc>
        <w:tc>
          <w:tcPr>
            <w:tcW w:w="1119" w:type="dxa"/>
          </w:tcPr>
          <w:p w14:paraId="1B35938F" w14:textId="663EFD67" w:rsidR="004A6E44" w:rsidRPr="000975FA" w:rsidRDefault="004A6E44" w:rsidP="000975FA">
            <w:pPr>
              <w:pStyle w:val="NoSpacing"/>
              <w:rPr>
                <w:rFonts w:cstheme="minorHAnsi"/>
                <w:sz w:val="20"/>
                <w:szCs w:val="20"/>
              </w:rPr>
            </w:pPr>
            <w:r w:rsidRPr="000975FA">
              <w:rPr>
                <w:rFonts w:cstheme="minorHAnsi"/>
                <w:sz w:val="20"/>
                <w:szCs w:val="20"/>
              </w:rPr>
              <w:t>Beta</w:t>
            </w:r>
          </w:p>
        </w:tc>
        <w:tc>
          <w:tcPr>
            <w:tcW w:w="1119" w:type="dxa"/>
          </w:tcPr>
          <w:p w14:paraId="716A9BD4" w14:textId="5F7E26F4" w:rsidR="004A6E44" w:rsidRPr="000975FA" w:rsidRDefault="004A6E44" w:rsidP="000975FA">
            <w:pPr>
              <w:pStyle w:val="NoSpacing"/>
              <w:rPr>
                <w:rFonts w:cstheme="minorHAnsi"/>
                <w:sz w:val="20"/>
                <w:szCs w:val="20"/>
              </w:rPr>
            </w:pPr>
            <w:r w:rsidRPr="000975FA">
              <w:rPr>
                <w:rFonts w:cstheme="minorHAnsi"/>
                <w:sz w:val="20"/>
                <w:szCs w:val="20"/>
              </w:rPr>
              <w:t>Delta</w:t>
            </w:r>
          </w:p>
        </w:tc>
        <w:tc>
          <w:tcPr>
            <w:tcW w:w="1119" w:type="dxa"/>
          </w:tcPr>
          <w:p w14:paraId="21E90DC7" w14:textId="05A93FC0" w:rsidR="004A6E44" w:rsidRPr="000975FA" w:rsidRDefault="004A6E44" w:rsidP="000975FA">
            <w:pPr>
              <w:pStyle w:val="NoSpacing"/>
              <w:rPr>
                <w:rFonts w:cstheme="minorHAnsi"/>
                <w:sz w:val="20"/>
                <w:szCs w:val="20"/>
              </w:rPr>
            </w:pPr>
            <w:r w:rsidRPr="000975FA">
              <w:rPr>
                <w:rFonts w:cstheme="minorHAnsi"/>
                <w:sz w:val="20"/>
                <w:szCs w:val="20"/>
              </w:rPr>
              <w:t>Theta</w:t>
            </w:r>
          </w:p>
        </w:tc>
        <w:tc>
          <w:tcPr>
            <w:tcW w:w="1119" w:type="dxa"/>
          </w:tcPr>
          <w:p w14:paraId="04C24537" w14:textId="48FF6BD0" w:rsidR="004A6E44" w:rsidRPr="000975FA" w:rsidRDefault="004A6E44" w:rsidP="000975FA">
            <w:pPr>
              <w:pStyle w:val="NoSpacing"/>
              <w:rPr>
                <w:rFonts w:cstheme="minorHAnsi"/>
                <w:sz w:val="20"/>
                <w:szCs w:val="20"/>
              </w:rPr>
            </w:pPr>
            <w:r w:rsidRPr="000975FA">
              <w:rPr>
                <w:rFonts w:cstheme="minorHAnsi"/>
                <w:sz w:val="20"/>
                <w:szCs w:val="20"/>
              </w:rPr>
              <w:t>Alpha</w:t>
            </w:r>
          </w:p>
        </w:tc>
        <w:tc>
          <w:tcPr>
            <w:tcW w:w="1119" w:type="dxa"/>
          </w:tcPr>
          <w:p w14:paraId="2BE6121E" w14:textId="09D7D3D9" w:rsidR="004A6E44" w:rsidRPr="000975FA" w:rsidRDefault="004A6E44" w:rsidP="000975FA">
            <w:pPr>
              <w:pStyle w:val="NoSpacing"/>
              <w:rPr>
                <w:rFonts w:cstheme="minorHAnsi"/>
                <w:sz w:val="20"/>
                <w:szCs w:val="20"/>
              </w:rPr>
            </w:pPr>
            <w:r w:rsidRPr="000975FA">
              <w:rPr>
                <w:rFonts w:cstheme="minorHAnsi"/>
                <w:sz w:val="20"/>
                <w:szCs w:val="20"/>
              </w:rPr>
              <w:t>Beta</w:t>
            </w:r>
          </w:p>
        </w:tc>
      </w:tr>
      <w:bookmarkEnd w:id="16"/>
      <w:tr w:rsidR="00EC54DF" w:rsidRPr="000975FA" w14:paraId="7664738C" w14:textId="77777777" w:rsidTr="00EC54DF">
        <w:tc>
          <w:tcPr>
            <w:tcW w:w="1118" w:type="dxa"/>
          </w:tcPr>
          <w:p w14:paraId="43044EE3" w14:textId="61F150FB" w:rsidR="00EC54DF" w:rsidRPr="000975FA" w:rsidRDefault="00260D3C" w:rsidP="000975FA">
            <w:pPr>
              <w:pStyle w:val="NoSpacing"/>
              <w:rPr>
                <w:rFonts w:cstheme="minorHAnsi"/>
                <w:sz w:val="20"/>
                <w:szCs w:val="20"/>
              </w:rPr>
            </w:pPr>
            <w:r w:rsidRPr="000975FA">
              <w:rPr>
                <w:rFonts w:cstheme="minorHAnsi"/>
                <w:sz w:val="20"/>
                <w:szCs w:val="20"/>
              </w:rPr>
              <w:t>Whole brain</w:t>
            </w:r>
          </w:p>
        </w:tc>
        <w:tc>
          <w:tcPr>
            <w:tcW w:w="1119" w:type="dxa"/>
          </w:tcPr>
          <w:p w14:paraId="6D3D8552" w14:textId="77777777" w:rsidR="00260D3C" w:rsidRPr="000975FA" w:rsidRDefault="00260D3C" w:rsidP="000975FA">
            <w:pPr>
              <w:pStyle w:val="NoSpacing"/>
              <w:rPr>
                <w:rFonts w:cstheme="minorHAnsi"/>
                <w:sz w:val="20"/>
                <w:szCs w:val="20"/>
              </w:rPr>
            </w:pPr>
            <w:r w:rsidRPr="000975FA">
              <w:rPr>
                <w:rFonts w:cstheme="minorHAnsi"/>
                <w:sz w:val="20"/>
                <w:szCs w:val="20"/>
              </w:rPr>
              <w:t>t = 2.663</w:t>
            </w:r>
          </w:p>
          <w:p w14:paraId="6C308B41" w14:textId="77777777" w:rsidR="00260D3C" w:rsidRPr="000975FA" w:rsidRDefault="00260D3C" w:rsidP="000975FA">
            <w:pPr>
              <w:pStyle w:val="NoSpacing"/>
              <w:rPr>
                <w:rFonts w:cstheme="minorHAnsi"/>
                <w:sz w:val="20"/>
                <w:szCs w:val="20"/>
              </w:rPr>
            </w:pPr>
            <w:r w:rsidRPr="000975FA">
              <w:rPr>
                <w:rFonts w:cstheme="minorHAnsi"/>
                <w:sz w:val="20"/>
                <w:szCs w:val="20"/>
              </w:rPr>
              <w:t>p = 0.011</w:t>
            </w:r>
          </w:p>
          <w:p w14:paraId="17532A44" w14:textId="1D5B2F2E" w:rsidR="00EC54DF" w:rsidRPr="000975FA" w:rsidRDefault="00260D3C" w:rsidP="000975FA">
            <w:pPr>
              <w:pStyle w:val="NoSpacing"/>
              <w:rPr>
                <w:rFonts w:cstheme="minorHAnsi"/>
                <w:sz w:val="20"/>
                <w:szCs w:val="20"/>
              </w:rPr>
            </w:pPr>
            <w:r w:rsidRPr="000975FA">
              <w:rPr>
                <w:rFonts w:cstheme="minorHAnsi"/>
                <w:sz w:val="20"/>
                <w:szCs w:val="20"/>
              </w:rPr>
              <w:t>g = 0.81</w:t>
            </w:r>
          </w:p>
        </w:tc>
        <w:tc>
          <w:tcPr>
            <w:tcW w:w="1119" w:type="dxa"/>
          </w:tcPr>
          <w:p w14:paraId="037FFC01" w14:textId="0B84A156" w:rsidR="00260D3C" w:rsidRPr="000975FA" w:rsidRDefault="00260D3C"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2.188</w:t>
            </w:r>
          </w:p>
          <w:p w14:paraId="5FF368FC" w14:textId="77777777" w:rsidR="00260D3C" w:rsidRPr="000975FA" w:rsidRDefault="00260D3C" w:rsidP="000975FA">
            <w:pPr>
              <w:pStyle w:val="NoSpacing"/>
              <w:rPr>
                <w:rFonts w:cstheme="minorHAnsi"/>
                <w:sz w:val="20"/>
                <w:szCs w:val="20"/>
              </w:rPr>
            </w:pPr>
            <w:r w:rsidRPr="000975FA">
              <w:rPr>
                <w:rFonts w:cstheme="minorHAnsi"/>
                <w:sz w:val="20"/>
                <w:szCs w:val="20"/>
              </w:rPr>
              <w:t>p = 0.039</w:t>
            </w:r>
          </w:p>
          <w:p w14:paraId="6C893756" w14:textId="180F7559" w:rsidR="00EC54DF" w:rsidRPr="000975FA" w:rsidRDefault="00260D3C" w:rsidP="000975FA">
            <w:pPr>
              <w:pStyle w:val="NoSpacing"/>
              <w:rPr>
                <w:rFonts w:cstheme="minorHAnsi"/>
                <w:sz w:val="20"/>
                <w:szCs w:val="20"/>
              </w:rPr>
            </w:pPr>
            <w:r w:rsidRPr="000975FA">
              <w:rPr>
                <w:rFonts w:cstheme="minorHAnsi"/>
                <w:sz w:val="20"/>
                <w:szCs w:val="20"/>
              </w:rPr>
              <w:t>g = 0.73</w:t>
            </w:r>
          </w:p>
        </w:tc>
        <w:tc>
          <w:tcPr>
            <w:tcW w:w="1119" w:type="dxa"/>
          </w:tcPr>
          <w:p w14:paraId="1DF36638" w14:textId="77777777" w:rsidR="00260D3C" w:rsidRPr="000975FA" w:rsidRDefault="00260D3C" w:rsidP="000975FA">
            <w:pPr>
              <w:pStyle w:val="NoSpacing"/>
              <w:rPr>
                <w:rFonts w:cstheme="minorHAnsi"/>
                <w:sz w:val="20"/>
                <w:szCs w:val="20"/>
              </w:rPr>
            </w:pPr>
            <w:r w:rsidRPr="000975FA">
              <w:rPr>
                <w:rFonts w:cstheme="minorHAnsi"/>
                <w:sz w:val="20"/>
                <w:szCs w:val="20"/>
              </w:rPr>
              <w:t>U = 313</w:t>
            </w:r>
          </w:p>
          <w:p w14:paraId="1DA54451" w14:textId="343E8002" w:rsidR="00260D3C" w:rsidRPr="000975FA" w:rsidRDefault="00260D3C" w:rsidP="000975FA">
            <w:pPr>
              <w:pStyle w:val="NoSpacing"/>
              <w:rPr>
                <w:rFonts w:cstheme="minorHAnsi"/>
                <w:sz w:val="20"/>
                <w:szCs w:val="20"/>
              </w:rPr>
            </w:pPr>
            <w:r w:rsidRPr="000975FA">
              <w:rPr>
                <w:rFonts w:cstheme="minorHAnsi"/>
                <w:sz w:val="20"/>
                <w:szCs w:val="20"/>
              </w:rPr>
              <w:t xml:space="preserve">Z = </w:t>
            </w:r>
            <w:r w:rsidR="0087249E">
              <w:rPr>
                <w:rFonts w:cstheme="minorHAnsi"/>
                <w:sz w:val="20"/>
                <w:szCs w:val="20"/>
              </w:rPr>
              <w:t>-</w:t>
            </w:r>
            <w:r w:rsidRPr="000975FA">
              <w:rPr>
                <w:rFonts w:cstheme="minorHAnsi"/>
                <w:sz w:val="20"/>
                <w:szCs w:val="20"/>
              </w:rPr>
              <w:t>2.079</w:t>
            </w:r>
          </w:p>
          <w:p w14:paraId="683AA653" w14:textId="77777777" w:rsidR="00260D3C" w:rsidRPr="000975FA" w:rsidRDefault="00260D3C" w:rsidP="000975FA">
            <w:pPr>
              <w:pStyle w:val="NoSpacing"/>
              <w:rPr>
                <w:rFonts w:cstheme="minorHAnsi"/>
                <w:sz w:val="20"/>
                <w:szCs w:val="20"/>
              </w:rPr>
            </w:pPr>
            <w:r w:rsidRPr="000975FA">
              <w:rPr>
                <w:rFonts w:cstheme="minorHAnsi"/>
                <w:sz w:val="20"/>
                <w:szCs w:val="20"/>
              </w:rPr>
              <w:t>p = 0.038</w:t>
            </w:r>
          </w:p>
          <w:p w14:paraId="671CC6C4" w14:textId="18EB9C63" w:rsidR="00EC54DF" w:rsidRPr="000975FA" w:rsidRDefault="005A09B9" w:rsidP="000975FA">
            <w:pPr>
              <w:pStyle w:val="NoSpacing"/>
              <w:rPr>
                <w:rFonts w:cstheme="minorHAnsi"/>
                <w:sz w:val="20"/>
                <w:szCs w:val="20"/>
              </w:rPr>
            </w:pPr>
            <m:oMath>
              <m:sSup>
                <m:sSupPr>
                  <m:ctrlPr>
                    <w:rPr>
                      <w:rFonts w:ascii="Cambria Math" w:hAnsi="Cambria Math" w:cstheme="minorHAnsi"/>
                      <w:i/>
                      <w:sz w:val="20"/>
                      <w:szCs w:val="20"/>
                    </w:rPr>
                  </m:ctrlPr>
                </m:sSupPr>
                <m:e>
                  <m:r>
                    <w:rPr>
                      <w:rFonts w:ascii="Cambria Math" w:hAnsi="Cambria Math" w:cstheme="minorHAnsi"/>
                      <w:sz w:val="20"/>
                      <w:szCs w:val="20"/>
                    </w:rPr>
                    <m:t>η</m:t>
                  </m:r>
                </m:e>
                <m:sup>
                  <m:r>
                    <w:rPr>
                      <w:rFonts w:ascii="Cambria Math" w:hAnsi="Cambria Math" w:cstheme="minorHAnsi"/>
                      <w:sz w:val="20"/>
                      <w:szCs w:val="20"/>
                    </w:rPr>
                    <m:t>2</m:t>
                  </m:r>
                </m:sup>
              </m:sSup>
            </m:oMath>
            <w:r w:rsidR="00260D3C" w:rsidRPr="000975FA">
              <w:rPr>
                <w:rFonts w:cstheme="minorHAnsi"/>
                <w:sz w:val="20"/>
                <w:szCs w:val="20"/>
              </w:rPr>
              <w:t xml:space="preserve"> = 0.10</w:t>
            </w:r>
          </w:p>
        </w:tc>
        <w:tc>
          <w:tcPr>
            <w:tcW w:w="1119" w:type="dxa"/>
          </w:tcPr>
          <w:p w14:paraId="6FB7F78F" w14:textId="77777777" w:rsidR="007045DD" w:rsidRPr="001D217C" w:rsidRDefault="007045DD" w:rsidP="000975FA">
            <w:pPr>
              <w:pStyle w:val="NoSpacing"/>
              <w:rPr>
                <w:rFonts w:cstheme="minorHAnsi"/>
                <w:b/>
                <w:bCs/>
                <w:sz w:val="20"/>
                <w:szCs w:val="20"/>
              </w:rPr>
            </w:pPr>
            <w:r w:rsidRPr="001D217C">
              <w:rPr>
                <w:rFonts w:cstheme="minorHAnsi"/>
                <w:b/>
                <w:bCs/>
                <w:sz w:val="20"/>
                <w:szCs w:val="20"/>
              </w:rPr>
              <w:t>t = 2.818</w:t>
            </w:r>
          </w:p>
          <w:p w14:paraId="7FA12507" w14:textId="77777777" w:rsidR="007045DD" w:rsidRPr="001D217C" w:rsidRDefault="007045DD" w:rsidP="000975FA">
            <w:pPr>
              <w:pStyle w:val="NoSpacing"/>
              <w:rPr>
                <w:rFonts w:cstheme="minorHAnsi"/>
                <w:b/>
                <w:bCs/>
                <w:sz w:val="20"/>
                <w:szCs w:val="20"/>
              </w:rPr>
            </w:pPr>
            <w:r w:rsidRPr="001D217C">
              <w:rPr>
                <w:rFonts w:cstheme="minorHAnsi"/>
                <w:b/>
                <w:bCs/>
                <w:sz w:val="20"/>
                <w:szCs w:val="20"/>
              </w:rPr>
              <w:t>p = 0.007</w:t>
            </w:r>
          </w:p>
          <w:p w14:paraId="56023607" w14:textId="641675F3" w:rsidR="00EC54DF" w:rsidRPr="001D217C" w:rsidRDefault="007045DD" w:rsidP="000975FA">
            <w:pPr>
              <w:pStyle w:val="NoSpacing"/>
              <w:rPr>
                <w:rFonts w:cstheme="minorHAnsi"/>
                <w:b/>
                <w:bCs/>
                <w:sz w:val="20"/>
                <w:szCs w:val="20"/>
              </w:rPr>
            </w:pPr>
            <w:r w:rsidRPr="001D217C">
              <w:rPr>
                <w:rFonts w:cstheme="minorHAnsi"/>
                <w:b/>
                <w:bCs/>
                <w:sz w:val="20"/>
                <w:szCs w:val="20"/>
              </w:rPr>
              <w:t>g = 0.89</w:t>
            </w:r>
          </w:p>
        </w:tc>
        <w:tc>
          <w:tcPr>
            <w:tcW w:w="1119" w:type="dxa"/>
          </w:tcPr>
          <w:p w14:paraId="30328CF8" w14:textId="77777777" w:rsidR="007045DD" w:rsidRPr="000975FA" w:rsidRDefault="007045DD" w:rsidP="000975FA">
            <w:pPr>
              <w:pStyle w:val="NoSpacing"/>
              <w:rPr>
                <w:rFonts w:cstheme="minorHAnsi"/>
                <w:sz w:val="20"/>
                <w:szCs w:val="20"/>
              </w:rPr>
            </w:pPr>
            <w:r w:rsidRPr="000975FA">
              <w:rPr>
                <w:rFonts w:cstheme="minorHAnsi"/>
                <w:sz w:val="20"/>
                <w:szCs w:val="20"/>
              </w:rPr>
              <w:t>t = 1.626</w:t>
            </w:r>
          </w:p>
          <w:p w14:paraId="1E56C8A2" w14:textId="77777777" w:rsidR="007045DD" w:rsidRPr="000975FA" w:rsidRDefault="007045DD" w:rsidP="000975FA">
            <w:pPr>
              <w:pStyle w:val="NoSpacing"/>
              <w:rPr>
                <w:rFonts w:cstheme="minorHAnsi"/>
                <w:sz w:val="20"/>
                <w:szCs w:val="20"/>
              </w:rPr>
            </w:pPr>
            <w:r w:rsidRPr="000975FA">
              <w:rPr>
                <w:rFonts w:cstheme="minorHAnsi"/>
                <w:sz w:val="20"/>
                <w:szCs w:val="20"/>
              </w:rPr>
              <w:t>p = 0.112</w:t>
            </w:r>
          </w:p>
          <w:p w14:paraId="2DDF88CE" w14:textId="025BADB8" w:rsidR="00EC54DF" w:rsidRPr="000975FA" w:rsidRDefault="007045DD" w:rsidP="000975FA">
            <w:pPr>
              <w:pStyle w:val="NoSpacing"/>
              <w:rPr>
                <w:rFonts w:cstheme="minorHAnsi"/>
                <w:sz w:val="20"/>
                <w:szCs w:val="20"/>
              </w:rPr>
            </w:pPr>
            <w:r w:rsidRPr="000975FA">
              <w:rPr>
                <w:rFonts w:cstheme="minorHAnsi"/>
                <w:sz w:val="20"/>
                <w:szCs w:val="20"/>
              </w:rPr>
              <w:t>g = 0.49</w:t>
            </w:r>
          </w:p>
        </w:tc>
        <w:tc>
          <w:tcPr>
            <w:tcW w:w="1119" w:type="dxa"/>
          </w:tcPr>
          <w:p w14:paraId="778AF56E" w14:textId="34C75616" w:rsidR="007045DD" w:rsidRPr="001D217C" w:rsidRDefault="007045DD" w:rsidP="000975FA">
            <w:pPr>
              <w:pStyle w:val="NoSpacing"/>
              <w:rPr>
                <w:rFonts w:cstheme="minorHAnsi"/>
                <w:b/>
                <w:bCs/>
                <w:sz w:val="20"/>
                <w:szCs w:val="20"/>
              </w:rPr>
            </w:pPr>
            <w:r w:rsidRPr="001D217C">
              <w:rPr>
                <w:rFonts w:cstheme="minorHAnsi"/>
                <w:b/>
                <w:bCs/>
                <w:sz w:val="20"/>
                <w:szCs w:val="20"/>
              </w:rPr>
              <w:t xml:space="preserve">t = </w:t>
            </w:r>
            <w:r w:rsidR="0087249E" w:rsidRPr="001D217C">
              <w:rPr>
                <w:rFonts w:cstheme="minorHAnsi"/>
                <w:b/>
                <w:bCs/>
                <w:sz w:val="20"/>
                <w:szCs w:val="20"/>
              </w:rPr>
              <w:t>-</w:t>
            </w:r>
            <w:r w:rsidRPr="001D217C">
              <w:rPr>
                <w:rFonts w:cstheme="minorHAnsi"/>
                <w:b/>
                <w:bCs/>
                <w:sz w:val="20"/>
                <w:szCs w:val="20"/>
              </w:rPr>
              <w:t>3.122</w:t>
            </w:r>
          </w:p>
          <w:p w14:paraId="28F661F7" w14:textId="77777777" w:rsidR="007045DD" w:rsidRPr="001D217C" w:rsidRDefault="007045DD" w:rsidP="000975FA">
            <w:pPr>
              <w:pStyle w:val="NoSpacing"/>
              <w:rPr>
                <w:rFonts w:cstheme="minorHAnsi"/>
                <w:b/>
                <w:bCs/>
                <w:sz w:val="20"/>
                <w:szCs w:val="20"/>
              </w:rPr>
            </w:pPr>
            <w:r w:rsidRPr="001D217C">
              <w:rPr>
                <w:rFonts w:cstheme="minorHAnsi"/>
                <w:b/>
                <w:bCs/>
                <w:sz w:val="20"/>
                <w:szCs w:val="20"/>
              </w:rPr>
              <w:t>p = 0.004</w:t>
            </w:r>
          </w:p>
          <w:p w14:paraId="73900DA4" w14:textId="0F1914E1" w:rsidR="00EC54DF" w:rsidRPr="001D217C" w:rsidRDefault="007045DD" w:rsidP="000975FA">
            <w:pPr>
              <w:pStyle w:val="NoSpacing"/>
              <w:rPr>
                <w:rFonts w:cstheme="minorHAnsi"/>
                <w:b/>
                <w:bCs/>
                <w:sz w:val="20"/>
                <w:szCs w:val="20"/>
              </w:rPr>
            </w:pPr>
            <w:r w:rsidRPr="001D217C">
              <w:rPr>
                <w:rFonts w:cstheme="minorHAnsi"/>
                <w:b/>
                <w:bCs/>
                <w:sz w:val="20"/>
                <w:szCs w:val="20"/>
              </w:rPr>
              <w:t>g = 1.01</w:t>
            </w:r>
          </w:p>
        </w:tc>
        <w:tc>
          <w:tcPr>
            <w:tcW w:w="1119" w:type="dxa"/>
          </w:tcPr>
          <w:p w14:paraId="5FCA789E" w14:textId="732BDF60" w:rsidR="007045DD" w:rsidRPr="000975FA" w:rsidRDefault="007045DD"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1.612</w:t>
            </w:r>
          </w:p>
          <w:p w14:paraId="75821EDC" w14:textId="77777777" w:rsidR="007045DD" w:rsidRPr="000975FA" w:rsidRDefault="007045DD" w:rsidP="000975FA">
            <w:pPr>
              <w:pStyle w:val="NoSpacing"/>
              <w:rPr>
                <w:rFonts w:cstheme="minorHAnsi"/>
                <w:sz w:val="20"/>
                <w:szCs w:val="20"/>
              </w:rPr>
            </w:pPr>
            <w:r w:rsidRPr="000975FA">
              <w:rPr>
                <w:rFonts w:cstheme="minorHAnsi"/>
                <w:sz w:val="20"/>
                <w:szCs w:val="20"/>
              </w:rPr>
              <w:t>p = 0.115</w:t>
            </w:r>
          </w:p>
          <w:p w14:paraId="78683F5D" w14:textId="1BE6D97B" w:rsidR="00EC54DF" w:rsidRPr="000975FA" w:rsidRDefault="007045DD" w:rsidP="000975FA">
            <w:pPr>
              <w:pStyle w:val="NoSpacing"/>
              <w:rPr>
                <w:rFonts w:cstheme="minorHAnsi"/>
                <w:sz w:val="20"/>
                <w:szCs w:val="20"/>
              </w:rPr>
            </w:pPr>
            <w:r w:rsidRPr="000975FA">
              <w:rPr>
                <w:rFonts w:cstheme="minorHAnsi"/>
                <w:sz w:val="20"/>
                <w:szCs w:val="20"/>
              </w:rPr>
              <w:t>g = 0.18</w:t>
            </w:r>
          </w:p>
        </w:tc>
        <w:tc>
          <w:tcPr>
            <w:tcW w:w="1119" w:type="dxa"/>
          </w:tcPr>
          <w:p w14:paraId="171E94DC" w14:textId="77777777" w:rsidR="007045DD" w:rsidRPr="000975FA" w:rsidRDefault="007045DD" w:rsidP="000975FA">
            <w:pPr>
              <w:pStyle w:val="NoSpacing"/>
              <w:rPr>
                <w:rFonts w:cstheme="minorHAnsi"/>
                <w:sz w:val="20"/>
                <w:szCs w:val="20"/>
              </w:rPr>
            </w:pPr>
            <w:r w:rsidRPr="000975FA">
              <w:rPr>
                <w:rFonts w:cstheme="minorHAnsi"/>
                <w:sz w:val="20"/>
                <w:szCs w:val="20"/>
              </w:rPr>
              <w:t>t = 3.979</w:t>
            </w:r>
          </w:p>
          <w:p w14:paraId="0B418BCD" w14:textId="77777777" w:rsidR="007045DD" w:rsidRPr="000975FA" w:rsidRDefault="007045DD" w:rsidP="000975FA">
            <w:pPr>
              <w:pStyle w:val="NoSpacing"/>
              <w:rPr>
                <w:rFonts w:cstheme="minorHAnsi"/>
                <w:sz w:val="20"/>
                <w:szCs w:val="20"/>
              </w:rPr>
            </w:pPr>
            <w:r w:rsidRPr="000975FA">
              <w:rPr>
                <w:rFonts w:cstheme="minorHAnsi"/>
                <w:sz w:val="20"/>
                <w:szCs w:val="20"/>
              </w:rPr>
              <w:t>p _ 0.001</w:t>
            </w:r>
          </w:p>
          <w:p w14:paraId="5253DD7A" w14:textId="6C9CDCB6" w:rsidR="00EC54DF" w:rsidRPr="000975FA" w:rsidRDefault="007045DD" w:rsidP="000975FA">
            <w:pPr>
              <w:pStyle w:val="NoSpacing"/>
              <w:rPr>
                <w:rFonts w:cstheme="minorHAnsi"/>
                <w:sz w:val="20"/>
                <w:szCs w:val="20"/>
              </w:rPr>
            </w:pPr>
            <w:r w:rsidRPr="000975FA">
              <w:rPr>
                <w:rFonts w:cstheme="minorHAnsi"/>
                <w:sz w:val="20"/>
                <w:szCs w:val="20"/>
              </w:rPr>
              <w:t>g = 1.2</w:t>
            </w:r>
          </w:p>
        </w:tc>
      </w:tr>
      <w:tr w:rsidR="00EC54DF" w:rsidRPr="000975FA" w14:paraId="7A3D663F" w14:textId="77777777" w:rsidTr="00EC54DF">
        <w:tc>
          <w:tcPr>
            <w:tcW w:w="1118" w:type="dxa"/>
          </w:tcPr>
          <w:p w14:paraId="06B1C716" w14:textId="2ECC9300" w:rsidR="00EC54DF" w:rsidRPr="000975FA" w:rsidRDefault="007045DD" w:rsidP="000975FA">
            <w:pPr>
              <w:pStyle w:val="NoSpacing"/>
              <w:rPr>
                <w:rFonts w:cstheme="minorHAnsi"/>
                <w:sz w:val="20"/>
                <w:szCs w:val="20"/>
              </w:rPr>
            </w:pPr>
            <w:r w:rsidRPr="000975FA">
              <w:rPr>
                <w:rFonts w:cstheme="minorHAnsi"/>
                <w:sz w:val="20"/>
                <w:szCs w:val="20"/>
              </w:rPr>
              <w:t>Clinical</w:t>
            </w:r>
          </w:p>
        </w:tc>
        <w:tc>
          <w:tcPr>
            <w:tcW w:w="1119" w:type="dxa"/>
          </w:tcPr>
          <w:p w14:paraId="64CBBF11" w14:textId="77777777" w:rsidR="007045DD" w:rsidRPr="000975FA" w:rsidRDefault="007045DD" w:rsidP="000975FA">
            <w:pPr>
              <w:pStyle w:val="NoSpacing"/>
              <w:rPr>
                <w:rFonts w:cstheme="minorHAnsi"/>
                <w:sz w:val="20"/>
                <w:szCs w:val="20"/>
              </w:rPr>
            </w:pPr>
            <w:r w:rsidRPr="000975FA">
              <w:rPr>
                <w:rFonts w:cstheme="minorHAnsi"/>
                <w:sz w:val="20"/>
                <w:szCs w:val="20"/>
              </w:rPr>
              <w:t>t = 2.352</w:t>
            </w:r>
          </w:p>
          <w:p w14:paraId="776DE050" w14:textId="77777777" w:rsidR="007045DD" w:rsidRPr="000975FA" w:rsidRDefault="007045DD" w:rsidP="000975FA">
            <w:pPr>
              <w:pStyle w:val="NoSpacing"/>
              <w:rPr>
                <w:rFonts w:cstheme="minorHAnsi"/>
                <w:sz w:val="20"/>
                <w:szCs w:val="20"/>
              </w:rPr>
            </w:pPr>
            <w:r w:rsidRPr="000975FA">
              <w:rPr>
                <w:rFonts w:cstheme="minorHAnsi"/>
                <w:sz w:val="20"/>
                <w:szCs w:val="20"/>
              </w:rPr>
              <w:t>p = 0.024</w:t>
            </w:r>
          </w:p>
          <w:p w14:paraId="6D2F48F8" w14:textId="4D4367E7" w:rsidR="00EC54DF" w:rsidRPr="000975FA" w:rsidRDefault="007045DD" w:rsidP="000975FA">
            <w:pPr>
              <w:pStyle w:val="NoSpacing"/>
              <w:rPr>
                <w:rFonts w:cstheme="minorHAnsi"/>
                <w:sz w:val="20"/>
                <w:szCs w:val="20"/>
              </w:rPr>
            </w:pPr>
            <w:r w:rsidRPr="000975FA">
              <w:rPr>
                <w:rFonts w:cstheme="minorHAnsi"/>
                <w:sz w:val="20"/>
                <w:szCs w:val="20"/>
              </w:rPr>
              <w:t>g = 0.72</w:t>
            </w:r>
          </w:p>
        </w:tc>
        <w:tc>
          <w:tcPr>
            <w:tcW w:w="1119" w:type="dxa"/>
          </w:tcPr>
          <w:p w14:paraId="1F3B2EF5" w14:textId="5380D97B" w:rsidR="004829BB" w:rsidRPr="000975FA" w:rsidRDefault="004829BB"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2.034</w:t>
            </w:r>
          </w:p>
          <w:p w14:paraId="3C85304A" w14:textId="77777777" w:rsidR="004829BB" w:rsidRPr="000975FA" w:rsidRDefault="004829BB" w:rsidP="000975FA">
            <w:pPr>
              <w:pStyle w:val="NoSpacing"/>
              <w:rPr>
                <w:rFonts w:cstheme="minorHAnsi"/>
                <w:sz w:val="20"/>
                <w:szCs w:val="20"/>
              </w:rPr>
            </w:pPr>
            <w:r w:rsidRPr="000975FA">
              <w:rPr>
                <w:rFonts w:cstheme="minorHAnsi"/>
                <w:sz w:val="20"/>
                <w:szCs w:val="20"/>
              </w:rPr>
              <w:t>p = 0.053</w:t>
            </w:r>
          </w:p>
          <w:p w14:paraId="4A0F31DA" w14:textId="5C9A6511" w:rsidR="00EC54DF" w:rsidRPr="000975FA" w:rsidRDefault="004829BB" w:rsidP="000975FA">
            <w:pPr>
              <w:pStyle w:val="NoSpacing"/>
              <w:rPr>
                <w:rFonts w:cstheme="minorHAnsi"/>
                <w:sz w:val="20"/>
                <w:szCs w:val="20"/>
              </w:rPr>
            </w:pPr>
            <w:r w:rsidRPr="000975FA">
              <w:rPr>
                <w:rFonts w:cstheme="minorHAnsi"/>
                <w:sz w:val="20"/>
                <w:szCs w:val="20"/>
              </w:rPr>
              <w:t>g = 0.68</w:t>
            </w:r>
          </w:p>
        </w:tc>
        <w:tc>
          <w:tcPr>
            <w:tcW w:w="1119" w:type="dxa"/>
          </w:tcPr>
          <w:p w14:paraId="768DDC6D" w14:textId="77777777" w:rsidR="004829BB" w:rsidRPr="000975FA" w:rsidRDefault="004829BB" w:rsidP="000975FA">
            <w:pPr>
              <w:pStyle w:val="NoSpacing"/>
              <w:rPr>
                <w:rFonts w:cstheme="minorHAnsi"/>
                <w:sz w:val="20"/>
                <w:szCs w:val="20"/>
              </w:rPr>
            </w:pPr>
            <w:r w:rsidRPr="000975FA">
              <w:rPr>
                <w:rFonts w:cstheme="minorHAnsi"/>
                <w:sz w:val="20"/>
                <w:szCs w:val="20"/>
              </w:rPr>
              <w:t>U = 317</w:t>
            </w:r>
          </w:p>
          <w:p w14:paraId="3B4E30A4" w14:textId="0AF212B9" w:rsidR="004829BB" w:rsidRPr="000975FA" w:rsidRDefault="004829BB" w:rsidP="000975FA">
            <w:pPr>
              <w:pStyle w:val="NoSpacing"/>
              <w:rPr>
                <w:rFonts w:cstheme="minorHAnsi"/>
                <w:sz w:val="20"/>
                <w:szCs w:val="20"/>
              </w:rPr>
            </w:pPr>
            <w:r w:rsidRPr="000975FA">
              <w:rPr>
                <w:rFonts w:cstheme="minorHAnsi"/>
                <w:sz w:val="20"/>
                <w:szCs w:val="20"/>
              </w:rPr>
              <w:t xml:space="preserve">Z = </w:t>
            </w:r>
            <w:r w:rsidR="0087249E">
              <w:rPr>
                <w:rFonts w:cstheme="minorHAnsi"/>
                <w:sz w:val="20"/>
                <w:szCs w:val="20"/>
              </w:rPr>
              <w:t>-</w:t>
            </w:r>
            <w:r w:rsidRPr="000975FA">
              <w:rPr>
                <w:rFonts w:cstheme="minorHAnsi"/>
                <w:sz w:val="20"/>
                <w:szCs w:val="20"/>
              </w:rPr>
              <w:t>2.177</w:t>
            </w:r>
          </w:p>
          <w:p w14:paraId="41ACE4E9" w14:textId="77777777" w:rsidR="004829BB" w:rsidRPr="000975FA" w:rsidRDefault="004829BB" w:rsidP="000975FA">
            <w:pPr>
              <w:pStyle w:val="NoSpacing"/>
              <w:rPr>
                <w:rFonts w:cstheme="minorHAnsi"/>
                <w:sz w:val="20"/>
                <w:szCs w:val="20"/>
              </w:rPr>
            </w:pPr>
            <w:r w:rsidRPr="000975FA">
              <w:rPr>
                <w:rFonts w:cstheme="minorHAnsi"/>
                <w:sz w:val="20"/>
                <w:szCs w:val="20"/>
              </w:rPr>
              <w:t>p = 0.030</w:t>
            </w:r>
          </w:p>
          <w:p w14:paraId="43F8576E" w14:textId="2A7657CE" w:rsidR="00EC54DF" w:rsidRPr="000975FA" w:rsidRDefault="005A09B9" w:rsidP="000975FA">
            <w:pPr>
              <w:pStyle w:val="NoSpacing"/>
              <w:rPr>
                <w:rFonts w:cstheme="minorHAnsi"/>
                <w:sz w:val="20"/>
                <w:szCs w:val="20"/>
              </w:rPr>
            </w:pPr>
            <m:oMath>
              <m:sSup>
                <m:sSupPr>
                  <m:ctrlPr>
                    <w:rPr>
                      <w:rFonts w:ascii="Cambria Math" w:hAnsi="Cambria Math" w:cstheme="minorHAnsi"/>
                      <w:i/>
                      <w:sz w:val="20"/>
                      <w:szCs w:val="20"/>
                    </w:rPr>
                  </m:ctrlPr>
                </m:sSupPr>
                <m:e>
                  <m:r>
                    <w:rPr>
                      <w:rFonts w:ascii="Cambria Math" w:hAnsi="Cambria Math" w:cstheme="minorHAnsi"/>
                      <w:sz w:val="20"/>
                      <w:szCs w:val="20"/>
                    </w:rPr>
                    <m:t>η</m:t>
                  </m:r>
                </m:e>
                <m:sup>
                  <m:r>
                    <w:rPr>
                      <w:rFonts w:ascii="Cambria Math" w:hAnsi="Cambria Math" w:cstheme="minorHAnsi"/>
                      <w:sz w:val="20"/>
                      <w:szCs w:val="20"/>
                    </w:rPr>
                    <m:t>2</m:t>
                  </m:r>
                </m:sup>
              </m:sSup>
            </m:oMath>
            <w:r w:rsidR="004829BB" w:rsidRPr="000975FA">
              <w:rPr>
                <w:rFonts w:cstheme="minorHAnsi"/>
                <w:sz w:val="20"/>
                <w:szCs w:val="20"/>
              </w:rPr>
              <w:t xml:space="preserve"> = 0.11</w:t>
            </w:r>
          </w:p>
        </w:tc>
        <w:tc>
          <w:tcPr>
            <w:tcW w:w="1119" w:type="dxa"/>
          </w:tcPr>
          <w:p w14:paraId="3B104383" w14:textId="77777777" w:rsidR="004829BB" w:rsidRPr="001D217C" w:rsidRDefault="004829BB" w:rsidP="000975FA">
            <w:pPr>
              <w:pStyle w:val="NoSpacing"/>
              <w:rPr>
                <w:rFonts w:cstheme="minorHAnsi"/>
                <w:b/>
                <w:bCs/>
                <w:sz w:val="20"/>
                <w:szCs w:val="20"/>
              </w:rPr>
            </w:pPr>
            <w:r w:rsidRPr="001D217C">
              <w:rPr>
                <w:rFonts w:cstheme="minorHAnsi"/>
                <w:b/>
                <w:bCs/>
                <w:sz w:val="20"/>
                <w:szCs w:val="20"/>
              </w:rPr>
              <w:t>t = 2.729</w:t>
            </w:r>
          </w:p>
          <w:p w14:paraId="79FAC444" w14:textId="77777777" w:rsidR="004829BB" w:rsidRPr="001D217C" w:rsidRDefault="004829BB" w:rsidP="000975FA">
            <w:pPr>
              <w:pStyle w:val="NoSpacing"/>
              <w:rPr>
                <w:rFonts w:cstheme="minorHAnsi"/>
                <w:b/>
                <w:bCs/>
                <w:sz w:val="20"/>
                <w:szCs w:val="20"/>
              </w:rPr>
            </w:pPr>
            <w:r w:rsidRPr="001D217C">
              <w:rPr>
                <w:rFonts w:cstheme="minorHAnsi"/>
                <w:b/>
                <w:bCs/>
                <w:sz w:val="20"/>
                <w:szCs w:val="20"/>
              </w:rPr>
              <w:t>p = 0.009</w:t>
            </w:r>
          </w:p>
          <w:p w14:paraId="293EEBA2" w14:textId="24485014" w:rsidR="00EC54DF" w:rsidRPr="001D217C" w:rsidRDefault="004829BB" w:rsidP="000975FA">
            <w:pPr>
              <w:pStyle w:val="NoSpacing"/>
              <w:rPr>
                <w:rFonts w:cstheme="minorHAnsi"/>
                <w:b/>
                <w:bCs/>
                <w:sz w:val="20"/>
                <w:szCs w:val="20"/>
              </w:rPr>
            </w:pPr>
            <w:r w:rsidRPr="001D217C">
              <w:rPr>
                <w:rFonts w:cstheme="minorHAnsi"/>
                <w:b/>
                <w:bCs/>
                <w:sz w:val="20"/>
                <w:szCs w:val="20"/>
              </w:rPr>
              <w:t>g = 0.86</w:t>
            </w:r>
          </w:p>
        </w:tc>
        <w:tc>
          <w:tcPr>
            <w:tcW w:w="1119" w:type="dxa"/>
          </w:tcPr>
          <w:p w14:paraId="1C9B59C4" w14:textId="77777777" w:rsidR="004829BB" w:rsidRPr="000975FA" w:rsidRDefault="004829BB" w:rsidP="000975FA">
            <w:pPr>
              <w:pStyle w:val="NoSpacing"/>
              <w:rPr>
                <w:rFonts w:cstheme="minorHAnsi"/>
                <w:sz w:val="20"/>
                <w:szCs w:val="20"/>
              </w:rPr>
            </w:pPr>
            <w:r w:rsidRPr="000975FA">
              <w:rPr>
                <w:rFonts w:cstheme="minorHAnsi"/>
                <w:sz w:val="20"/>
                <w:szCs w:val="20"/>
              </w:rPr>
              <w:t>t = 1.592</w:t>
            </w:r>
          </w:p>
          <w:p w14:paraId="0ECF6403" w14:textId="77777777" w:rsidR="004829BB" w:rsidRPr="000975FA" w:rsidRDefault="004829BB" w:rsidP="000975FA">
            <w:pPr>
              <w:pStyle w:val="NoSpacing"/>
              <w:rPr>
                <w:rFonts w:cstheme="minorHAnsi"/>
                <w:sz w:val="20"/>
                <w:szCs w:val="20"/>
              </w:rPr>
            </w:pPr>
            <w:r w:rsidRPr="000975FA">
              <w:rPr>
                <w:rFonts w:cstheme="minorHAnsi"/>
                <w:sz w:val="20"/>
                <w:szCs w:val="20"/>
              </w:rPr>
              <w:t>p = 0.119</w:t>
            </w:r>
          </w:p>
          <w:p w14:paraId="6DE26311" w14:textId="453C7638" w:rsidR="00EC54DF" w:rsidRPr="000975FA" w:rsidRDefault="004829BB" w:rsidP="000975FA">
            <w:pPr>
              <w:pStyle w:val="NoSpacing"/>
              <w:rPr>
                <w:rFonts w:cstheme="minorHAnsi"/>
                <w:sz w:val="20"/>
                <w:szCs w:val="20"/>
              </w:rPr>
            </w:pPr>
            <w:r w:rsidRPr="000975FA">
              <w:rPr>
                <w:rFonts w:cstheme="minorHAnsi"/>
                <w:sz w:val="20"/>
                <w:szCs w:val="20"/>
              </w:rPr>
              <w:t>g = 0.48</w:t>
            </w:r>
          </w:p>
        </w:tc>
        <w:tc>
          <w:tcPr>
            <w:tcW w:w="1119" w:type="dxa"/>
          </w:tcPr>
          <w:p w14:paraId="7DE98D2E" w14:textId="77777777" w:rsidR="004829BB" w:rsidRPr="001D217C" w:rsidRDefault="004829BB" w:rsidP="000975FA">
            <w:pPr>
              <w:pStyle w:val="NoSpacing"/>
              <w:rPr>
                <w:rFonts w:cstheme="minorHAnsi"/>
                <w:b/>
                <w:bCs/>
                <w:sz w:val="20"/>
                <w:szCs w:val="20"/>
              </w:rPr>
            </w:pPr>
            <w:r w:rsidRPr="001D217C">
              <w:rPr>
                <w:rFonts w:cstheme="minorHAnsi"/>
                <w:b/>
                <w:bCs/>
                <w:sz w:val="20"/>
                <w:szCs w:val="20"/>
              </w:rPr>
              <w:t xml:space="preserve">t = </w:t>
            </w:r>
            <w:r w:rsidRPr="001D217C">
              <w:rPr>
                <w:rFonts w:ascii="Calibri" w:eastAsia="Calibri" w:hAnsi="Calibri" w:cs="Calibri" w:hint="eastAsia"/>
                <w:b/>
                <w:bCs/>
                <w:sz w:val="20"/>
                <w:szCs w:val="20"/>
              </w:rPr>
              <w:t>􀀀</w:t>
            </w:r>
            <w:r w:rsidRPr="001D217C">
              <w:rPr>
                <w:rFonts w:cstheme="minorHAnsi"/>
                <w:b/>
                <w:bCs/>
                <w:sz w:val="20"/>
                <w:szCs w:val="20"/>
              </w:rPr>
              <w:t>3.001</w:t>
            </w:r>
          </w:p>
          <w:p w14:paraId="03DA1C7E" w14:textId="77777777" w:rsidR="004829BB" w:rsidRPr="001D217C" w:rsidRDefault="004829BB" w:rsidP="000975FA">
            <w:pPr>
              <w:pStyle w:val="NoSpacing"/>
              <w:rPr>
                <w:rFonts w:cstheme="minorHAnsi"/>
                <w:b/>
                <w:bCs/>
                <w:sz w:val="20"/>
                <w:szCs w:val="20"/>
              </w:rPr>
            </w:pPr>
            <w:r w:rsidRPr="001D217C">
              <w:rPr>
                <w:rFonts w:cstheme="minorHAnsi"/>
                <w:b/>
                <w:bCs/>
                <w:sz w:val="20"/>
                <w:szCs w:val="20"/>
              </w:rPr>
              <w:t>p = 0.006</w:t>
            </w:r>
          </w:p>
          <w:p w14:paraId="20FF6C61" w14:textId="6183CE23" w:rsidR="00EC54DF" w:rsidRPr="001D217C" w:rsidRDefault="004829BB" w:rsidP="000975FA">
            <w:pPr>
              <w:pStyle w:val="NoSpacing"/>
              <w:rPr>
                <w:rFonts w:cstheme="minorHAnsi"/>
                <w:b/>
                <w:bCs/>
                <w:sz w:val="20"/>
                <w:szCs w:val="20"/>
              </w:rPr>
            </w:pPr>
            <w:r w:rsidRPr="001D217C">
              <w:rPr>
                <w:rFonts w:cstheme="minorHAnsi"/>
                <w:b/>
                <w:bCs/>
                <w:sz w:val="20"/>
                <w:szCs w:val="20"/>
              </w:rPr>
              <w:t>g = 0.96</w:t>
            </w:r>
          </w:p>
        </w:tc>
        <w:tc>
          <w:tcPr>
            <w:tcW w:w="1119" w:type="dxa"/>
          </w:tcPr>
          <w:p w14:paraId="76F3A9FB" w14:textId="3D19A7E3" w:rsidR="004829BB" w:rsidRPr="000975FA" w:rsidRDefault="004829BB"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0.590</w:t>
            </w:r>
          </w:p>
          <w:p w14:paraId="7CCCFBF0" w14:textId="77777777" w:rsidR="004829BB" w:rsidRPr="000975FA" w:rsidRDefault="004829BB" w:rsidP="000975FA">
            <w:pPr>
              <w:pStyle w:val="NoSpacing"/>
              <w:rPr>
                <w:rFonts w:cstheme="minorHAnsi"/>
                <w:sz w:val="20"/>
                <w:szCs w:val="20"/>
              </w:rPr>
            </w:pPr>
            <w:r w:rsidRPr="000975FA">
              <w:rPr>
                <w:rFonts w:cstheme="minorHAnsi"/>
                <w:sz w:val="20"/>
                <w:szCs w:val="20"/>
              </w:rPr>
              <w:t>p = 0.558</w:t>
            </w:r>
          </w:p>
          <w:p w14:paraId="01ED799E" w14:textId="5EEA2CD5" w:rsidR="00EC54DF" w:rsidRPr="000975FA" w:rsidRDefault="004829BB" w:rsidP="000975FA">
            <w:pPr>
              <w:pStyle w:val="NoSpacing"/>
              <w:rPr>
                <w:rFonts w:cstheme="minorHAnsi"/>
                <w:sz w:val="20"/>
                <w:szCs w:val="20"/>
              </w:rPr>
            </w:pPr>
            <w:r w:rsidRPr="000975FA">
              <w:rPr>
                <w:rFonts w:cstheme="minorHAnsi"/>
                <w:sz w:val="20"/>
                <w:szCs w:val="20"/>
              </w:rPr>
              <w:t>g = 0.15</w:t>
            </w:r>
          </w:p>
        </w:tc>
        <w:tc>
          <w:tcPr>
            <w:tcW w:w="1119" w:type="dxa"/>
          </w:tcPr>
          <w:p w14:paraId="1E1819CB" w14:textId="77777777" w:rsidR="004829BB" w:rsidRPr="000975FA" w:rsidRDefault="004829BB" w:rsidP="000975FA">
            <w:pPr>
              <w:pStyle w:val="NoSpacing"/>
              <w:rPr>
                <w:rFonts w:cstheme="minorHAnsi"/>
                <w:sz w:val="20"/>
                <w:szCs w:val="20"/>
              </w:rPr>
            </w:pPr>
            <w:r w:rsidRPr="000975FA">
              <w:rPr>
                <w:rFonts w:cstheme="minorHAnsi"/>
                <w:sz w:val="20"/>
                <w:szCs w:val="20"/>
              </w:rPr>
              <w:t>t = 3.890</w:t>
            </w:r>
          </w:p>
          <w:p w14:paraId="1DA245AF" w14:textId="77777777" w:rsidR="004829BB" w:rsidRPr="000975FA" w:rsidRDefault="004829BB" w:rsidP="000975FA">
            <w:pPr>
              <w:pStyle w:val="NoSpacing"/>
              <w:rPr>
                <w:rFonts w:cstheme="minorHAnsi"/>
                <w:sz w:val="20"/>
                <w:szCs w:val="20"/>
              </w:rPr>
            </w:pPr>
            <w:r w:rsidRPr="000975FA">
              <w:rPr>
                <w:rFonts w:cstheme="minorHAnsi"/>
                <w:sz w:val="20"/>
                <w:szCs w:val="20"/>
              </w:rPr>
              <w:t>p _ 0.001</w:t>
            </w:r>
          </w:p>
          <w:p w14:paraId="0E5F549B" w14:textId="7558023E" w:rsidR="00EC54DF" w:rsidRPr="000975FA" w:rsidRDefault="004829BB" w:rsidP="000975FA">
            <w:pPr>
              <w:pStyle w:val="NoSpacing"/>
              <w:rPr>
                <w:rFonts w:cstheme="minorHAnsi"/>
                <w:sz w:val="20"/>
                <w:szCs w:val="20"/>
              </w:rPr>
            </w:pPr>
            <w:r w:rsidRPr="000975FA">
              <w:rPr>
                <w:rFonts w:cstheme="minorHAnsi"/>
                <w:sz w:val="20"/>
                <w:szCs w:val="20"/>
              </w:rPr>
              <w:t>g = 1.23</w:t>
            </w:r>
          </w:p>
        </w:tc>
      </w:tr>
      <w:tr w:rsidR="00EC54DF" w:rsidRPr="000975FA" w14:paraId="1474E183" w14:textId="77777777" w:rsidTr="00EC54DF">
        <w:tc>
          <w:tcPr>
            <w:tcW w:w="1118" w:type="dxa"/>
          </w:tcPr>
          <w:p w14:paraId="2088689D" w14:textId="3C1983C9" w:rsidR="00EC54DF" w:rsidRPr="000975FA" w:rsidRDefault="004728BF" w:rsidP="000975FA">
            <w:pPr>
              <w:pStyle w:val="NoSpacing"/>
              <w:rPr>
                <w:rFonts w:cstheme="minorHAnsi"/>
                <w:sz w:val="20"/>
                <w:szCs w:val="20"/>
              </w:rPr>
            </w:pPr>
            <w:r w:rsidRPr="000975FA">
              <w:rPr>
                <w:rFonts w:cstheme="minorHAnsi"/>
                <w:sz w:val="20"/>
                <w:szCs w:val="20"/>
              </w:rPr>
              <w:t>Left hemisphere</w:t>
            </w:r>
          </w:p>
        </w:tc>
        <w:tc>
          <w:tcPr>
            <w:tcW w:w="1119" w:type="dxa"/>
          </w:tcPr>
          <w:p w14:paraId="7440735C" w14:textId="77777777" w:rsidR="00F551EB" w:rsidRPr="000975FA" w:rsidRDefault="00F551EB" w:rsidP="000975FA">
            <w:pPr>
              <w:pStyle w:val="NoSpacing"/>
              <w:rPr>
                <w:rFonts w:cstheme="minorHAnsi"/>
                <w:sz w:val="20"/>
                <w:szCs w:val="20"/>
              </w:rPr>
            </w:pPr>
            <w:r w:rsidRPr="000975FA">
              <w:rPr>
                <w:rFonts w:cstheme="minorHAnsi"/>
                <w:sz w:val="20"/>
                <w:szCs w:val="20"/>
              </w:rPr>
              <w:t>t = 2.344</w:t>
            </w:r>
          </w:p>
          <w:p w14:paraId="67967978" w14:textId="77777777" w:rsidR="00F551EB" w:rsidRPr="000975FA" w:rsidRDefault="00F551EB" w:rsidP="000975FA">
            <w:pPr>
              <w:pStyle w:val="NoSpacing"/>
              <w:rPr>
                <w:rFonts w:cstheme="minorHAnsi"/>
                <w:sz w:val="20"/>
                <w:szCs w:val="20"/>
              </w:rPr>
            </w:pPr>
            <w:r w:rsidRPr="000975FA">
              <w:rPr>
                <w:rFonts w:cstheme="minorHAnsi"/>
                <w:sz w:val="20"/>
                <w:szCs w:val="20"/>
              </w:rPr>
              <w:t>p = 0.024</w:t>
            </w:r>
          </w:p>
          <w:p w14:paraId="2C220DE7" w14:textId="12BEE3E9" w:rsidR="00EC54DF" w:rsidRPr="000975FA" w:rsidRDefault="00F551EB" w:rsidP="000975FA">
            <w:pPr>
              <w:pStyle w:val="NoSpacing"/>
              <w:rPr>
                <w:rFonts w:cstheme="minorHAnsi"/>
                <w:sz w:val="20"/>
                <w:szCs w:val="20"/>
              </w:rPr>
            </w:pPr>
            <w:r w:rsidRPr="000975FA">
              <w:rPr>
                <w:rFonts w:cstheme="minorHAnsi"/>
                <w:sz w:val="20"/>
                <w:szCs w:val="20"/>
              </w:rPr>
              <w:t>g = 0.72</w:t>
            </w:r>
          </w:p>
        </w:tc>
        <w:tc>
          <w:tcPr>
            <w:tcW w:w="1119" w:type="dxa"/>
          </w:tcPr>
          <w:p w14:paraId="41F351F8" w14:textId="34F7480A" w:rsidR="00F551EB" w:rsidRPr="000975FA" w:rsidRDefault="00F551EB"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2.280</w:t>
            </w:r>
          </w:p>
          <w:p w14:paraId="2E9C7953" w14:textId="77777777" w:rsidR="00F551EB" w:rsidRPr="000975FA" w:rsidRDefault="00F551EB" w:rsidP="000975FA">
            <w:pPr>
              <w:pStyle w:val="NoSpacing"/>
              <w:rPr>
                <w:rFonts w:cstheme="minorHAnsi"/>
                <w:sz w:val="20"/>
                <w:szCs w:val="20"/>
              </w:rPr>
            </w:pPr>
            <w:r w:rsidRPr="000975FA">
              <w:rPr>
                <w:rFonts w:cstheme="minorHAnsi"/>
                <w:sz w:val="20"/>
                <w:szCs w:val="20"/>
              </w:rPr>
              <w:t>p = 0.032</w:t>
            </w:r>
          </w:p>
          <w:p w14:paraId="317C199B" w14:textId="43E74403" w:rsidR="00EC54DF" w:rsidRPr="000975FA" w:rsidRDefault="00F551EB" w:rsidP="000975FA">
            <w:pPr>
              <w:pStyle w:val="NoSpacing"/>
              <w:rPr>
                <w:rFonts w:cstheme="minorHAnsi"/>
                <w:sz w:val="20"/>
                <w:szCs w:val="20"/>
              </w:rPr>
            </w:pPr>
            <w:r w:rsidRPr="000975FA">
              <w:rPr>
                <w:rFonts w:cstheme="minorHAnsi"/>
                <w:sz w:val="20"/>
                <w:szCs w:val="20"/>
              </w:rPr>
              <w:t>g = 0.77</w:t>
            </w:r>
          </w:p>
        </w:tc>
        <w:tc>
          <w:tcPr>
            <w:tcW w:w="1119" w:type="dxa"/>
          </w:tcPr>
          <w:p w14:paraId="1035D816" w14:textId="77777777" w:rsidR="00F551EB" w:rsidRPr="000975FA" w:rsidRDefault="00F551EB" w:rsidP="000975FA">
            <w:pPr>
              <w:pStyle w:val="NoSpacing"/>
              <w:rPr>
                <w:rFonts w:cstheme="minorHAnsi"/>
                <w:sz w:val="20"/>
                <w:szCs w:val="20"/>
              </w:rPr>
            </w:pPr>
            <w:r w:rsidRPr="000975FA">
              <w:rPr>
                <w:rFonts w:cstheme="minorHAnsi"/>
                <w:sz w:val="20"/>
                <w:szCs w:val="20"/>
              </w:rPr>
              <w:t>U = 304</w:t>
            </w:r>
          </w:p>
          <w:p w14:paraId="7CAF7045" w14:textId="2155AD79" w:rsidR="00F551EB" w:rsidRPr="000975FA" w:rsidRDefault="00F551EB" w:rsidP="000975FA">
            <w:pPr>
              <w:pStyle w:val="NoSpacing"/>
              <w:rPr>
                <w:rFonts w:cstheme="minorHAnsi"/>
                <w:sz w:val="20"/>
                <w:szCs w:val="20"/>
              </w:rPr>
            </w:pPr>
            <w:r w:rsidRPr="000975FA">
              <w:rPr>
                <w:rFonts w:cstheme="minorHAnsi"/>
                <w:sz w:val="20"/>
                <w:szCs w:val="20"/>
              </w:rPr>
              <w:t xml:space="preserve">Z = </w:t>
            </w:r>
            <w:r w:rsidR="0087249E">
              <w:rPr>
                <w:rFonts w:cstheme="minorHAnsi"/>
                <w:sz w:val="20"/>
                <w:szCs w:val="20"/>
              </w:rPr>
              <w:t>-</w:t>
            </w:r>
            <w:r w:rsidRPr="000975FA">
              <w:rPr>
                <w:rFonts w:cstheme="minorHAnsi"/>
                <w:sz w:val="20"/>
                <w:szCs w:val="20"/>
              </w:rPr>
              <w:t>1.859</w:t>
            </w:r>
          </w:p>
          <w:p w14:paraId="717314AE" w14:textId="77777777" w:rsidR="00F551EB" w:rsidRPr="000975FA" w:rsidRDefault="00F551EB" w:rsidP="000975FA">
            <w:pPr>
              <w:pStyle w:val="NoSpacing"/>
              <w:rPr>
                <w:rFonts w:cstheme="minorHAnsi"/>
                <w:sz w:val="20"/>
                <w:szCs w:val="20"/>
              </w:rPr>
            </w:pPr>
            <w:r w:rsidRPr="000975FA">
              <w:rPr>
                <w:rFonts w:cstheme="minorHAnsi"/>
                <w:sz w:val="20"/>
                <w:szCs w:val="20"/>
              </w:rPr>
              <w:t>p = 0.063</w:t>
            </w:r>
          </w:p>
          <w:p w14:paraId="00EF1C1D" w14:textId="053BFEAA" w:rsidR="00EC54DF" w:rsidRPr="000975FA" w:rsidRDefault="005A09B9" w:rsidP="000975FA">
            <w:pPr>
              <w:pStyle w:val="NoSpacing"/>
              <w:rPr>
                <w:rFonts w:cstheme="minorHAnsi"/>
                <w:sz w:val="20"/>
                <w:szCs w:val="20"/>
              </w:rPr>
            </w:pPr>
            <m:oMath>
              <m:sSup>
                <m:sSupPr>
                  <m:ctrlPr>
                    <w:rPr>
                      <w:rFonts w:ascii="Cambria Math" w:hAnsi="Cambria Math" w:cstheme="minorHAnsi"/>
                      <w:i/>
                      <w:sz w:val="20"/>
                      <w:szCs w:val="20"/>
                    </w:rPr>
                  </m:ctrlPr>
                </m:sSupPr>
                <m:e>
                  <m:r>
                    <w:rPr>
                      <w:rFonts w:ascii="Cambria Math" w:hAnsi="Cambria Math" w:cstheme="minorHAnsi"/>
                      <w:sz w:val="20"/>
                      <w:szCs w:val="20"/>
                    </w:rPr>
                    <m:t>η</m:t>
                  </m:r>
                </m:e>
                <m:sup>
                  <m:r>
                    <w:rPr>
                      <w:rFonts w:ascii="Cambria Math" w:hAnsi="Cambria Math" w:cstheme="minorHAnsi"/>
                      <w:sz w:val="20"/>
                      <w:szCs w:val="20"/>
                    </w:rPr>
                    <m:t>2</m:t>
                  </m:r>
                </m:sup>
              </m:sSup>
            </m:oMath>
            <w:r w:rsidR="00F551EB" w:rsidRPr="000975FA">
              <w:rPr>
                <w:rFonts w:cstheme="minorHAnsi"/>
                <w:sz w:val="20"/>
                <w:szCs w:val="20"/>
              </w:rPr>
              <w:t xml:space="preserve"> = 0.08</w:t>
            </w:r>
          </w:p>
        </w:tc>
        <w:tc>
          <w:tcPr>
            <w:tcW w:w="1119" w:type="dxa"/>
          </w:tcPr>
          <w:p w14:paraId="1BF156C6" w14:textId="77777777" w:rsidR="00F551EB" w:rsidRPr="001D217C" w:rsidRDefault="00F551EB" w:rsidP="000975FA">
            <w:pPr>
              <w:pStyle w:val="NoSpacing"/>
              <w:rPr>
                <w:rFonts w:cstheme="minorHAnsi"/>
                <w:b/>
                <w:bCs/>
                <w:sz w:val="20"/>
                <w:szCs w:val="20"/>
              </w:rPr>
            </w:pPr>
            <w:r w:rsidRPr="001D217C">
              <w:rPr>
                <w:rFonts w:cstheme="minorHAnsi"/>
                <w:b/>
                <w:bCs/>
                <w:sz w:val="20"/>
                <w:szCs w:val="20"/>
              </w:rPr>
              <w:t>t = 2.968</w:t>
            </w:r>
          </w:p>
          <w:p w14:paraId="149AAB58" w14:textId="77777777" w:rsidR="00F551EB" w:rsidRPr="001D217C" w:rsidRDefault="00F551EB" w:rsidP="000975FA">
            <w:pPr>
              <w:pStyle w:val="NoSpacing"/>
              <w:rPr>
                <w:rFonts w:cstheme="minorHAnsi"/>
                <w:b/>
                <w:bCs/>
                <w:sz w:val="20"/>
                <w:szCs w:val="20"/>
              </w:rPr>
            </w:pPr>
            <w:r w:rsidRPr="001D217C">
              <w:rPr>
                <w:rFonts w:cstheme="minorHAnsi"/>
                <w:b/>
                <w:bCs/>
                <w:sz w:val="20"/>
                <w:szCs w:val="20"/>
              </w:rPr>
              <w:t>p = 0.005</w:t>
            </w:r>
          </w:p>
          <w:p w14:paraId="70163EFA" w14:textId="0CAC1867" w:rsidR="00EC54DF" w:rsidRPr="001D217C" w:rsidRDefault="00F551EB" w:rsidP="000975FA">
            <w:pPr>
              <w:pStyle w:val="NoSpacing"/>
              <w:rPr>
                <w:rFonts w:cstheme="minorHAnsi"/>
                <w:b/>
                <w:bCs/>
                <w:sz w:val="20"/>
                <w:szCs w:val="20"/>
              </w:rPr>
            </w:pPr>
            <w:r w:rsidRPr="001D217C">
              <w:rPr>
                <w:rFonts w:cstheme="minorHAnsi"/>
                <w:b/>
                <w:bCs/>
                <w:sz w:val="20"/>
                <w:szCs w:val="20"/>
              </w:rPr>
              <w:t>g = 0.92</w:t>
            </w:r>
          </w:p>
        </w:tc>
        <w:tc>
          <w:tcPr>
            <w:tcW w:w="1119" w:type="dxa"/>
          </w:tcPr>
          <w:p w14:paraId="09A02429" w14:textId="77777777" w:rsidR="00F551EB" w:rsidRPr="000975FA" w:rsidRDefault="00F551EB" w:rsidP="000975FA">
            <w:pPr>
              <w:pStyle w:val="NoSpacing"/>
              <w:rPr>
                <w:rFonts w:cstheme="minorHAnsi"/>
                <w:sz w:val="20"/>
                <w:szCs w:val="20"/>
              </w:rPr>
            </w:pPr>
            <w:r w:rsidRPr="000975FA">
              <w:rPr>
                <w:rFonts w:cstheme="minorHAnsi"/>
                <w:sz w:val="20"/>
                <w:szCs w:val="20"/>
              </w:rPr>
              <w:t>t = 1.480</w:t>
            </w:r>
          </w:p>
          <w:p w14:paraId="5F97F715" w14:textId="77777777" w:rsidR="00F551EB" w:rsidRPr="000975FA" w:rsidRDefault="00F551EB" w:rsidP="000975FA">
            <w:pPr>
              <w:pStyle w:val="NoSpacing"/>
              <w:rPr>
                <w:rFonts w:cstheme="minorHAnsi"/>
                <w:sz w:val="20"/>
                <w:szCs w:val="20"/>
              </w:rPr>
            </w:pPr>
            <w:r w:rsidRPr="000975FA">
              <w:rPr>
                <w:rFonts w:cstheme="minorHAnsi"/>
                <w:sz w:val="20"/>
                <w:szCs w:val="20"/>
              </w:rPr>
              <w:t>p = 0.147</w:t>
            </w:r>
          </w:p>
          <w:p w14:paraId="207AF0BD" w14:textId="63EED7B0" w:rsidR="00EC54DF" w:rsidRPr="000975FA" w:rsidRDefault="00F551EB" w:rsidP="000975FA">
            <w:pPr>
              <w:pStyle w:val="NoSpacing"/>
              <w:rPr>
                <w:rFonts w:cstheme="minorHAnsi"/>
                <w:sz w:val="20"/>
                <w:szCs w:val="20"/>
              </w:rPr>
            </w:pPr>
            <w:r w:rsidRPr="000975FA">
              <w:rPr>
                <w:rFonts w:cstheme="minorHAnsi"/>
                <w:sz w:val="20"/>
                <w:szCs w:val="20"/>
              </w:rPr>
              <w:t>g = 0.45</w:t>
            </w:r>
          </w:p>
        </w:tc>
        <w:tc>
          <w:tcPr>
            <w:tcW w:w="1119" w:type="dxa"/>
          </w:tcPr>
          <w:p w14:paraId="4B55500D" w14:textId="77777777" w:rsidR="00F551EB" w:rsidRPr="001D217C" w:rsidRDefault="00F551EB" w:rsidP="000975FA">
            <w:pPr>
              <w:pStyle w:val="NoSpacing"/>
              <w:rPr>
                <w:rFonts w:cstheme="minorHAnsi"/>
                <w:b/>
                <w:bCs/>
                <w:sz w:val="20"/>
                <w:szCs w:val="20"/>
              </w:rPr>
            </w:pPr>
            <w:r w:rsidRPr="001D217C">
              <w:rPr>
                <w:rFonts w:cstheme="minorHAnsi"/>
                <w:b/>
                <w:bCs/>
                <w:sz w:val="20"/>
                <w:szCs w:val="20"/>
              </w:rPr>
              <w:t xml:space="preserve">t = </w:t>
            </w:r>
            <w:r w:rsidRPr="001D217C">
              <w:rPr>
                <w:rFonts w:ascii="Calibri" w:eastAsia="Calibri" w:hAnsi="Calibri" w:cs="Calibri" w:hint="eastAsia"/>
                <w:b/>
                <w:bCs/>
                <w:sz w:val="20"/>
                <w:szCs w:val="20"/>
              </w:rPr>
              <w:t>􀀀</w:t>
            </w:r>
            <w:r w:rsidRPr="001D217C">
              <w:rPr>
                <w:rFonts w:cstheme="minorHAnsi"/>
                <w:b/>
                <w:bCs/>
                <w:sz w:val="20"/>
                <w:szCs w:val="20"/>
              </w:rPr>
              <w:t>2.928</w:t>
            </w:r>
          </w:p>
          <w:p w14:paraId="22ECD6DF" w14:textId="77777777" w:rsidR="00F551EB" w:rsidRPr="001D217C" w:rsidRDefault="00F551EB" w:rsidP="000975FA">
            <w:pPr>
              <w:pStyle w:val="NoSpacing"/>
              <w:rPr>
                <w:rFonts w:cstheme="minorHAnsi"/>
                <w:b/>
                <w:bCs/>
                <w:sz w:val="20"/>
                <w:szCs w:val="20"/>
              </w:rPr>
            </w:pPr>
            <w:r w:rsidRPr="001D217C">
              <w:rPr>
                <w:rFonts w:cstheme="minorHAnsi"/>
                <w:b/>
                <w:bCs/>
                <w:sz w:val="20"/>
                <w:szCs w:val="20"/>
              </w:rPr>
              <w:t>p = 0.007</w:t>
            </w:r>
          </w:p>
          <w:p w14:paraId="277241AD" w14:textId="72FBDBCF" w:rsidR="00EC54DF" w:rsidRPr="001D217C" w:rsidRDefault="00F551EB" w:rsidP="000975FA">
            <w:pPr>
              <w:pStyle w:val="NoSpacing"/>
              <w:rPr>
                <w:rFonts w:cstheme="minorHAnsi"/>
                <w:b/>
                <w:bCs/>
                <w:sz w:val="20"/>
                <w:szCs w:val="20"/>
              </w:rPr>
            </w:pPr>
            <w:r w:rsidRPr="001D217C">
              <w:rPr>
                <w:rFonts w:cstheme="minorHAnsi"/>
                <w:b/>
                <w:bCs/>
                <w:sz w:val="20"/>
                <w:szCs w:val="20"/>
              </w:rPr>
              <w:t>g = 0.96</w:t>
            </w:r>
          </w:p>
        </w:tc>
        <w:tc>
          <w:tcPr>
            <w:tcW w:w="1119" w:type="dxa"/>
          </w:tcPr>
          <w:p w14:paraId="0E72D90A" w14:textId="7B16C941" w:rsidR="00F551EB" w:rsidRPr="000975FA" w:rsidRDefault="00F551EB"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0.023</w:t>
            </w:r>
          </w:p>
          <w:p w14:paraId="66FD1AFD" w14:textId="77777777" w:rsidR="00F551EB" w:rsidRPr="000975FA" w:rsidRDefault="00F551EB" w:rsidP="000975FA">
            <w:pPr>
              <w:pStyle w:val="NoSpacing"/>
              <w:rPr>
                <w:rFonts w:cstheme="minorHAnsi"/>
                <w:sz w:val="20"/>
                <w:szCs w:val="20"/>
              </w:rPr>
            </w:pPr>
            <w:r w:rsidRPr="000975FA">
              <w:rPr>
                <w:rFonts w:cstheme="minorHAnsi"/>
                <w:sz w:val="20"/>
                <w:szCs w:val="20"/>
              </w:rPr>
              <w:t>p = 0.820</w:t>
            </w:r>
          </w:p>
          <w:p w14:paraId="654E5A78" w14:textId="17014B42" w:rsidR="00EC54DF" w:rsidRPr="000975FA" w:rsidRDefault="00F551EB" w:rsidP="000975FA">
            <w:pPr>
              <w:pStyle w:val="NoSpacing"/>
              <w:rPr>
                <w:rFonts w:cstheme="minorHAnsi"/>
                <w:sz w:val="20"/>
                <w:szCs w:val="20"/>
              </w:rPr>
            </w:pPr>
            <w:r w:rsidRPr="000975FA">
              <w:rPr>
                <w:rFonts w:cstheme="minorHAnsi"/>
                <w:sz w:val="20"/>
                <w:szCs w:val="20"/>
              </w:rPr>
              <w:t>g = 0.07</w:t>
            </w:r>
          </w:p>
        </w:tc>
        <w:tc>
          <w:tcPr>
            <w:tcW w:w="1119" w:type="dxa"/>
          </w:tcPr>
          <w:p w14:paraId="41935232" w14:textId="77777777" w:rsidR="006533A0" w:rsidRPr="000975FA" w:rsidRDefault="006533A0" w:rsidP="000975FA">
            <w:pPr>
              <w:pStyle w:val="NoSpacing"/>
              <w:rPr>
                <w:rFonts w:cstheme="minorHAnsi"/>
                <w:sz w:val="20"/>
                <w:szCs w:val="20"/>
              </w:rPr>
            </w:pPr>
            <w:r w:rsidRPr="000975FA">
              <w:rPr>
                <w:rFonts w:cstheme="minorHAnsi"/>
                <w:sz w:val="20"/>
                <w:szCs w:val="20"/>
              </w:rPr>
              <w:t>t = 4.529</w:t>
            </w:r>
          </w:p>
          <w:p w14:paraId="4BC5212E" w14:textId="77777777" w:rsidR="006533A0" w:rsidRPr="000975FA" w:rsidRDefault="006533A0" w:rsidP="000975FA">
            <w:pPr>
              <w:pStyle w:val="NoSpacing"/>
              <w:rPr>
                <w:rFonts w:cstheme="minorHAnsi"/>
                <w:sz w:val="20"/>
                <w:szCs w:val="20"/>
              </w:rPr>
            </w:pPr>
            <w:r w:rsidRPr="000975FA">
              <w:rPr>
                <w:rFonts w:cstheme="minorHAnsi"/>
                <w:sz w:val="20"/>
                <w:szCs w:val="20"/>
              </w:rPr>
              <w:t>p _ 0.001</w:t>
            </w:r>
          </w:p>
          <w:p w14:paraId="09F19885" w14:textId="6496B375" w:rsidR="00EC54DF" w:rsidRPr="000975FA" w:rsidRDefault="006533A0" w:rsidP="000975FA">
            <w:pPr>
              <w:pStyle w:val="NoSpacing"/>
              <w:rPr>
                <w:rFonts w:cstheme="minorHAnsi"/>
                <w:sz w:val="20"/>
                <w:szCs w:val="20"/>
              </w:rPr>
            </w:pPr>
            <w:r w:rsidRPr="000975FA">
              <w:rPr>
                <w:rFonts w:cstheme="minorHAnsi"/>
                <w:sz w:val="20"/>
                <w:szCs w:val="20"/>
              </w:rPr>
              <w:t>g = 1.45</w:t>
            </w:r>
          </w:p>
        </w:tc>
      </w:tr>
      <w:tr w:rsidR="00EC54DF" w:rsidRPr="000975FA" w14:paraId="5991DFE2" w14:textId="77777777" w:rsidTr="00EC54DF">
        <w:tc>
          <w:tcPr>
            <w:tcW w:w="1118" w:type="dxa"/>
          </w:tcPr>
          <w:p w14:paraId="62FC2518" w14:textId="48285D2E" w:rsidR="00EC54DF" w:rsidRPr="000975FA" w:rsidRDefault="006533A0" w:rsidP="000975FA">
            <w:pPr>
              <w:pStyle w:val="NoSpacing"/>
              <w:rPr>
                <w:rFonts w:cstheme="minorHAnsi"/>
                <w:sz w:val="20"/>
                <w:szCs w:val="20"/>
              </w:rPr>
            </w:pPr>
            <w:r w:rsidRPr="000975FA">
              <w:rPr>
                <w:rFonts w:cstheme="minorHAnsi"/>
                <w:sz w:val="20"/>
                <w:szCs w:val="20"/>
              </w:rPr>
              <w:t>Right hemisphere</w:t>
            </w:r>
          </w:p>
        </w:tc>
        <w:tc>
          <w:tcPr>
            <w:tcW w:w="1119" w:type="dxa"/>
          </w:tcPr>
          <w:p w14:paraId="02D74997" w14:textId="77777777" w:rsidR="006533A0" w:rsidRPr="001D217C" w:rsidRDefault="006533A0" w:rsidP="000975FA">
            <w:pPr>
              <w:pStyle w:val="NoSpacing"/>
              <w:rPr>
                <w:rFonts w:cstheme="minorHAnsi"/>
                <w:b/>
                <w:bCs/>
                <w:sz w:val="20"/>
                <w:szCs w:val="20"/>
              </w:rPr>
            </w:pPr>
            <w:r w:rsidRPr="001D217C">
              <w:rPr>
                <w:rFonts w:cstheme="minorHAnsi"/>
                <w:b/>
                <w:bCs/>
                <w:sz w:val="20"/>
                <w:szCs w:val="20"/>
              </w:rPr>
              <w:t>t = 2.970</w:t>
            </w:r>
          </w:p>
          <w:p w14:paraId="182ED2BE" w14:textId="77777777" w:rsidR="006533A0" w:rsidRPr="001D217C" w:rsidRDefault="006533A0" w:rsidP="000975FA">
            <w:pPr>
              <w:pStyle w:val="NoSpacing"/>
              <w:rPr>
                <w:rFonts w:cstheme="minorHAnsi"/>
                <w:b/>
                <w:bCs/>
                <w:sz w:val="20"/>
                <w:szCs w:val="20"/>
              </w:rPr>
            </w:pPr>
            <w:r w:rsidRPr="001D217C">
              <w:rPr>
                <w:rFonts w:cstheme="minorHAnsi"/>
                <w:b/>
                <w:bCs/>
                <w:sz w:val="20"/>
                <w:szCs w:val="20"/>
              </w:rPr>
              <w:t>p = 0.005</w:t>
            </w:r>
          </w:p>
          <w:p w14:paraId="7E2806FF" w14:textId="57576EEF" w:rsidR="00EC54DF" w:rsidRPr="001D217C" w:rsidRDefault="006533A0" w:rsidP="000975FA">
            <w:pPr>
              <w:pStyle w:val="NoSpacing"/>
              <w:rPr>
                <w:rFonts w:cstheme="minorHAnsi"/>
                <w:b/>
                <w:bCs/>
                <w:sz w:val="20"/>
                <w:szCs w:val="20"/>
              </w:rPr>
            </w:pPr>
            <w:r w:rsidRPr="001D217C">
              <w:rPr>
                <w:rFonts w:cstheme="minorHAnsi"/>
                <w:b/>
                <w:bCs/>
                <w:sz w:val="20"/>
                <w:szCs w:val="20"/>
              </w:rPr>
              <w:t>g = 0.91</w:t>
            </w:r>
          </w:p>
        </w:tc>
        <w:tc>
          <w:tcPr>
            <w:tcW w:w="1119" w:type="dxa"/>
          </w:tcPr>
          <w:p w14:paraId="64C09BD8" w14:textId="6B03BCDB" w:rsidR="006533A0" w:rsidRPr="000975FA" w:rsidRDefault="006533A0"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1.485</w:t>
            </w:r>
          </w:p>
          <w:p w14:paraId="4C27A282" w14:textId="77777777" w:rsidR="006533A0" w:rsidRPr="000975FA" w:rsidRDefault="006533A0" w:rsidP="000975FA">
            <w:pPr>
              <w:pStyle w:val="NoSpacing"/>
              <w:rPr>
                <w:rFonts w:cstheme="minorHAnsi"/>
                <w:sz w:val="20"/>
                <w:szCs w:val="20"/>
              </w:rPr>
            </w:pPr>
            <w:r w:rsidRPr="000975FA">
              <w:rPr>
                <w:rFonts w:cstheme="minorHAnsi"/>
                <w:sz w:val="20"/>
                <w:szCs w:val="20"/>
              </w:rPr>
              <w:t>p = 0.150</w:t>
            </w:r>
          </w:p>
          <w:p w14:paraId="60A15973" w14:textId="2792246D" w:rsidR="00EC54DF" w:rsidRPr="000975FA" w:rsidRDefault="006533A0" w:rsidP="000975FA">
            <w:pPr>
              <w:pStyle w:val="NoSpacing"/>
              <w:rPr>
                <w:rFonts w:cstheme="minorHAnsi"/>
                <w:sz w:val="20"/>
                <w:szCs w:val="20"/>
              </w:rPr>
            </w:pPr>
            <w:r w:rsidRPr="000975FA">
              <w:rPr>
                <w:rFonts w:cstheme="minorHAnsi"/>
                <w:sz w:val="20"/>
                <w:szCs w:val="20"/>
              </w:rPr>
              <w:t>g = 0.49</w:t>
            </w:r>
          </w:p>
        </w:tc>
        <w:tc>
          <w:tcPr>
            <w:tcW w:w="1119" w:type="dxa"/>
          </w:tcPr>
          <w:p w14:paraId="59006D89" w14:textId="77777777" w:rsidR="006533A0" w:rsidRPr="000975FA" w:rsidRDefault="006533A0" w:rsidP="000975FA">
            <w:pPr>
              <w:pStyle w:val="NoSpacing"/>
              <w:rPr>
                <w:rFonts w:cstheme="minorHAnsi"/>
                <w:sz w:val="20"/>
                <w:szCs w:val="20"/>
              </w:rPr>
            </w:pPr>
            <w:r w:rsidRPr="000975FA">
              <w:rPr>
                <w:rFonts w:cstheme="minorHAnsi"/>
                <w:sz w:val="20"/>
                <w:szCs w:val="20"/>
              </w:rPr>
              <w:t>U = 299</w:t>
            </w:r>
          </w:p>
          <w:p w14:paraId="0076FA77" w14:textId="1BCAA592" w:rsidR="006533A0" w:rsidRPr="000975FA" w:rsidRDefault="006533A0" w:rsidP="000975FA">
            <w:pPr>
              <w:pStyle w:val="NoSpacing"/>
              <w:rPr>
                <w:rFonts w:cstheme="minorHAnsi"/>
                <w:sz w:val="20"/>
                <w:szCs w:val="20"/>
              </w:rPr>
            </w:pPr>
            <w:r w:rsidRPr="000975FA">
              <w:rPr>
                <w:rFonts w:cstheme="minorHAnsi"/>
                <w:sz w:val="20"/>
                <w:szCs w:val="20"/>
              </w:rPr>
              <w:t xml:space="preserve">Z = </w:t>
            </w:r>
            <w:r w:rsidR="0087249E">
              <w:rPr>
                <w:rFonts w:cstheme="minorHAnsi"/>
                <w:sz w:val="20"/>
                <w:szCs w:val="20"/>
              </w:rPr>
              <w:t>-</w:t>
            </w:r>
            <w:r w:rsidRPr="000975FA">
              <w:rPr>
                <w:rFonts w:cstheme="minorHAnsi"/>
                <w:sz w:val="20"/>
                <w:szCs w:val="20"/>
              </w:rPr>
              <w:t>1.736</w:t>
            </w:r>
          </w:p>
          <w:p w14:paraId="6F73449A" w14:textId="77777777" w:rsidR="006533A0" w:rsidRPr="000975FA" w:rsidRDefault="006533A0" w:rsidP="000975FA">
            <w:pPr>
              <w:pStyle w:val="NoSpacing"/>
              <w:rPr>
                <w:rFonts w:cstheme="minorHAnsi"/>
                <w:sz w:val="20"/>
                <w:szCs w:val="20"/>
              </w:rPr>
            </w:pPr>
            <w:r w:rsidRPr="000975FA">
              <w:rPr>
                <w:rFonts w:cstheme="minorHAnsi"/>
                <w:sz w:val="20"/>
                <w:szCs w:val="20"/>
              </w:rPr>
              <w:t>p = 0.082</w:t>
            </w:r>
          </w:p>
          <w:p w14:paraId="28F17183" w14:textId="3E02AADF" w:rsidR="00EC54DF" w:rsidRPr="000975FA" w:rsidRDefault="005A09B9" w:rsidP="000975FA">
            <w:pPr>
              <w:pStyle w:val="NoSpacing"/>
              <w:rPr>
                <w:rFonts w:cstheme="minorHAnsi"/>
                <w:sz w:val="20"/>
                <w:szCs w:val="20"/>
              </w:rPr>
            </w:pPr>
            <m:oMath>
              <m:sSup>
                <m:sSupPr>
                  <m:ctrlPr>
                    <w:rPr>
                      <w:rFonts w:ascii="Cambria Math" w:hAnsi="Cambria Math" w:cstheme="minorHAnsi"/>
                      <w:i/>
                      <w:sz w:val="20"/>
                      <w:szCs w:val="20"/>
                    </w:rPr>
                  </m:ctrlPr>
                </m:sSupPr>
                <m:e>
                  <m:r>
                    <w:rPr>
                      <w:rFonts w:ascii="Cambria Math" w:hAnsi="Cambria Math" w:cstheme="minorHAnsi"/>
                      <w:sz w:val="20"/>
                      <w:szCs w:val="20"/>
                    </w:rPr>
                    <m:t>η</m:t>
                  </m:r>
                </m:e>
                <m:sup>
                  <m:r>
                    <w:rPr>
                      <w:rFonts w:ascii="Cambria Math" w:hAnsi="Cambria Math" w:cstheme="minorHAnsi"/>
                      <w:sz w:val="20"/>
                      <w:szCs w:val="20"/>
                    </w:rPr>
                    <m:t>2</m:t>
                  </m:r>
                </m:sup>
              </m:sSup>
            </m:oMath>
            <w:r w:rsidR="006533A0" w:rsidRPr="000975FA">
              <w:rPr>
                <w:rFonts w:cstheme="minorHAnsi"/>
                <w:sz w:val="20"/>
                <w:szCs w:val="20"/>
              </w:rPr>
              <w:t xml:space="preserve"> = 0.07</w:t>
            </w:r>
          </w:p>
        </w:tc>
        <w:tc>
          <w:tcPr>
            <w:tcW w:w="1119" w:type="dxa"/>
          </w:tcPr>
          <w:p w14:paraId="47712F42" w14:textId="77777777" w:rsidR="006533A0" w:rsidRPr="000975FA" w:rsidRDefault="006533A0" w:rsidP="000975FA">
            <w:pPr>
              <w:pStyle w:val="NoSpacing"/>
              <w:rPr>
                <w:rFonts w:cstheme="minorHAnsi"/>
                <w:sz w:val="20"/>
                <w:szCs w:val="20"/>
              </w:rPr>
            </w:pPr>
            <w:r w:rsidRPr="000975FA">
              <w:rPr>
                <w:rFonts w:cstheme="minorHAnsi"/>
                <w:sz w:val="20"/>
                <w:szCs w:val="20"/>
              </w:rPr>
              <w:t>t = 1.858</w:t>
            </w:r>
          </w:p>
          <w:p w14:paraId="5C2EC846" w14:textId="77777777" w:rsidR="006533A0" w:rsidRPr="000975FA" w:rsidRDefault="006533A0" w:rsidP="000975FA">
            <w:pPr>
              <w:pStyle w:val="NoSpacing"/>
              <w:rPr>
                <w:rFonts w:cstheme="minorHAnsi"/>
                <w:sz w:val="20"/>
                <w:szCs w:val="20"/>
              </w:rPr>
            </w:pPr>
            <w:r w:rsidRPr="000975FA">
              <w:rPr>
                <w:rFonts w:cstheme="minorHAnsi"/>
                <w:sz w:val="20"/>
                <w:szCs w:val="20"/>
              </w:rPr>
              <w:t>p = 0.070</w:t>
            </w:r>
          </w:p>
          <w:p w14:paraId="519C752C" w14:textId="09C60258" w:rsidR="00EC54DF" w:rsidRPr="000975FA" w:rsidRDefault="006533A0" w:rsidP="000975FA">
            <w:pPr>
              <w:pStyle w:val="NoSpacing"/>
              <w:rPr>
                <w:rFonts w:cstheme="minorHAnsi"/>
                <w:sz w:val="20"/>
                <w:szCs w:val="20"/>
              </w:rPr>
            </w:pPr>
            <w:r w:rsidRPr="000975FA">
              <w:rPr>
                <w:rFonts w:cstheme="minorHAnsi"/>
                <w:sz w:val="20"/>
                <w:szCs w:val="20"/>
              </w:rPr>
              <w:t>g = 0.58</w:t>
            </w:r>
          </w:p>
        </w:tc>
        <w:tc>
          <w:tcPr>
            <w:tcW w:w="1119" w:type="dxa"/>
          </w:tcPr>
          <w:p w14:paraId="005B4FDB" w14:textId="77777777" w:rsidR="006533A0" w:rsidRPr="000975FA" w:rsidRDefault="006533A0" w:rsidP="000975FA">
            <w:pPr>
              <w:pStyle w:val="NoSpacing"/>
              <w:rPr>
                <w:rFonts w:cstheme="minorHAnsi"/>
                <w:sz w:val="20"/>
                <w:szCs w:val="20"/>
              </w:rPr>
            </w:pPr>
            <w:r w:rsidRPr="000975FA">
              <w:rPr>
                <w:rFonts w:cstheme="minorHAnsi"/>
                <w:sz w:val="20"/>
                <w:szCs w:val="20"/>
              </w:rPr>
              <w:t>t = 1.879</w:t>
            </w:r>
          </w:p>
          <w:p w14:paraId="4A132F1F" w14:textId="77777777" w:rsidR="006533A0" w:rsidRPr="000975FA" w:rsidRDefault="006533A0" w:rsidP="000975FA">
            <w:pPr>
              <w:pStyle w:val="NoSpacing"/>
              <w:rPr>
                <w:rFonts w:cstheme="minorHAnsi"/>
                <w:sz w:val="20"/>
                <w:szCs w:val="20"/>
              </w:rPr>
            </w:pPr>
            <w:r w:rsidRPr="000975FA">
              <w:rPr>
                <w:rFonts w:cstheme="minorHAnsi"/>
                <w:sz w:val="20"/>
                <w:szCs w:val="20"/>
              </w:rPr>
              <w:t>p = 0.067</w:t>
            </w:r>
          </w:p>
          <w:p w14:paraId="7A47F6DE" w14:textId="5D038954" w:rsidR="00EC54DF" w:rsidRPr="000975FA" w:rsidRDefault="006533A0" w:rsidP="000975FA">
            <w:pPr>
              <w:pStyle w:val="NoSpacing"/>
              <w:rPr>
                <w:rFonts w:cstheme="minorHAnsi"/>
                <w:sz w:val="20"/>
                <w:szCs w:val="20"/>
              </w:rPr>
            </w:pPr>
            <w:r w:rsidRPr="000975FA">
              <w:rPr>
                <w:rFonts w:cstheme="minorHAnsi"/>
                <w:sz w:val="20"/>
                <w:szCs w:val="20"/>
              </w:rPr>
              <w:t>g = 0.57</w:t>
            </w:r>
          </w:p>
        </w:tc>
        <w:tc>
          <w:tcPr>
            <w:tcW w:w="1119" w:type="dxa"/>
          </w:tcPr>
          <w:p w14:paraId="39C0BECF" w14:textId="7111E6FC" w:rsidR="00F158F3" w:rsidRPr="001D217C" w:rsidRDefault="00F158F3" w:rsidP="000975FA">
            <w:pPr>
              <w:pStyle w:val="NoSpacing"/>
              <w:rPr>
                <w:rFonts w:cstheme="minorHAnsi"/>
                <w:b/>
                <w:bCs/>
                <w:sz w:val="20"/>
                <w:szCs w:val="20"/>
              </w:rPr>
            </w:pPr>
            <w:r w:rsidRPr="001D217C">
              <w:rPr>
                <w:rFonts w:cstheme="minorHAnsi"/>
                <w:b/>
                <w:bCs/>
                <w:sz w:val="20"/>
                <w:szCs w:val="20"/>
              </w:rPr>
              <w:t xml:space="preserve">t = </w:t>
            </w:r>
            <w:r w:rsidR="0087249E" w:rsidRPr="001D217C">
              <w:rPr>
                <w:rFonts w:cstheme="minorHAnsi"/>
                <w:b/>
                <w:bCs/>
                <w:sz w:val="20"/>
                <w:szCs w:val="20"/>
              </w:rPr>
              <w:t>-</w:t>
            </w:r>
            <w:r w:rsidRPr="001D217C">
              <w:rPr>
                <w:rFonts w:cstheme="minorHAnsi"/>
                <w:b/>
                <w:bCs/>
                <w:sz w:val="20"/>
                <w:szCs w:val="20"/>
              </w:rPr>
              <w:t>2.673</w:t>
            </w:r>
          </w:p>
          <w:p w14:paraId="3264E185" w14:textId="77777777" w:rsidR="00F158F3" w:rsidRPr="001D217C" w:rsidRDefault="00F158F3" w:rsidP="000975FA">
            <w:pPr>
              <w:pStyle w:val="NoSpacing"/>
              <w:rPr>
                <w:rFonts w:cstheme="minorHAnsi"/>
                <w:b/>
                <w:bCs/>
                <w:sz w:val="20"/>
                <w:szCs w:val="20"/>
              </w:rPr>
            </w:pPr>
            <w:r w:rsidRPr="001D217C">
              <w:rPr>
                <w:rFonts w:cstheme="minorHAnsi"/>
                <w:b/>
                <w:bCs/>
                <w:sz w:val="20"/>
                <w:szCs w:val="20"/>
              </w:rPr>
              <w:t>p = 0.011</w:t>
            </w:r>
          </w:p>
          <w:p w14:paraId="35D69357" w14:textId="632C6862" w:rsidR="00EC54DF" w:rsidRPr="001D217C" w:rsidRDefault="00F158F3" w:rsidP="000975FA">
            <w:pPr>
              <w:pStyle w:val="NoSpacing"/>
              <w:rPr>
                <w:rFonts w:cstheme="minorHAnsi"/>
                <w:b/>
                <w:bCs/>
                <w:sz w:val="20"/>
                <w:szCs w:val="20"/>
              </w:rPr>
            </w:pPr>
            <w:r w:rsidRPr="001D217C">
              <w:rPr>
                <w:rFonts w:cstheme="minorHAnsi"/>
                <w:b/>
                <w:bCs/>
                <w:sz w:val="20"/>
                <w:szCs w:val="20"/>
              </w:rPr>
              <w:t>g = 0.82</w:t>
            </w:r>
          </w:p>
        </w:tc>
        <w:tc>
          <w:tcPr>
            <w:tcW w:w="1119" w:type="dxa"/>
          </w:tcPr>
          <w:p w14:paraId="1DDCB7E0" w14:textId="1909D6E2" w:rsidR="00F158F3" w:rsidRPr="000975FA" w:rsidRDefault="00F158F3" w:rsidP="000975FA">
            <w:pPr>
              <w:pStyle w:val="NoSpacing"/>
              <w:rPr>
                <w:rFonts w:cstheme="minorHAnsi"/>
                <w:sz w:val="20"/>
                <w:szCs w:val="20"/>
              </w:rPr>
            </w:pPr>
            <w:r w:rsidRPr="000975FA">
              <w:rPr>
                <w:rFonts w:cstheme="minorHAnsi"/>
                <w:sz w:val="20"/>
                <w:szCs w:val="20"/>
              </w:rPr>
              <w:t xml:space="preserve">t = </w:t>
            </w:r>
            <w:r w:rsidR="0087249E">
              <w:rPr>
                <w:rFonts w:cstheme="minorHAnsi"/>
                <w:sz w:val="20"/>
                <w:szCs w:val="20"/>
              </w:rPr>
              <w:t>-</w:t>
            </w:r>
            <w:r w:rsidRPr="000975FA">
              <w:rPr>
                <w:rFonts w:cstheme="minorHAnsi"/>
                <w:sz w:val="20"/>
                <w:szCs w:val="20"/>
              </w:rPr>
              <w:t>0.343</w:t>
            </w:r>
          </w:p>
          <w:p w14:paraId="3786CEFD" w14:textId="77777777" w:rsidR="00F158F3" w:rsidRPr="000975FA" w:rsidRDefault="00F158F3" w:rsidP="000975FA">
            <w:pPr>
              <w:pStyle w:val="NoSpacing"/>
              <w:rPr>
                <w:rFonts w:cstheme="minorHAnsi"/>
                <w:sz w:val="20"/>
                <w:szCs w:val="20"/>
              </w:rPr>
            </w:pPr>
            <w:r w:rsidRPr="000975FA">
              <w:rPr>
                <w:rFonts w:cstheme="minorHAnsi"/>
                <w:sz w:val="20"/>
                <w:szCs w:val="20"/>
              </w:rPr>
              <w:t>p = 0.733</w:t>
            </w:r>
          </w:p>
          <w:p w14:paraId="03DF51A4" w14:textId="49BF85BE" w:rsidR="00EC54DF" w:rsidRPr="000975FA" w:rsidRDefault="00F158F3" w:rsidP="000975FA">
            <w:pPr>
              <w:pStyle w:val="NoSpacing"/>
              <w:rPr>
                <w:rFonts w:cstheme="minorHAnsi"/>
                <w:sz w:val="20"/>
                <w:szCs w:val="20"/>
              </w:rPr>
            </w:pPr>
            <w:r w:rsidRPr="000975FA">
              <w:rPr>
                <w:rFonts w:cstheme="minorHAnsi"/>
                <w:sz w:val="20"/>
                <w:szCs w:val="20"/>
              </w:rPr>
              <w:t>g = 0.1</w:t>
            </w:r>
          </w:p>
        </w:tc>
        <w:tc>
          <w:tcPr>
            <w:tcW w:w="1119" w:type="dxa"/>
          </w:tcPr>
          <w:p w14:paraId="7362BC63" w14:textId="77777777" w:rsidR="00F158F3" w:rsidRPr="000975FA" w:rsidRDefault="00F158F3" w:rsidP="000975FA">
            <w:pPr>
              <w:pStyle w:val="NoSpacing"/>
              <w:rPr>
                <w:rFonts w:cstheme="minorHAnsi"/>
                <w:sz w:val="20"/>
                <w:szCs w:val="20"/>
              </w:rPr>
            </w:pPr>
            <w:r w:rsidRPr="000975FA">
              <w:rPr>
                <w:rFonts w:cstheme="minorHAnsi"/>
                <w:sz w:val="20"/>
                <w:szCs w:val="20"/>
              </w:rPr>
              <w:t>t = 2.440</w:t>
            </w:r>
          </w:p>
          <w:p w14:paraId="2DE21C40" w14:textId="77777777" w:rsidR="00F158F3" w:rsidRPr="000975FA" w:rsidRDefault="00F158F3" w:rsidP="000975FA">
            <w:pPr>
              <w:pStyle w:val="NoSpacing"/>
              <w:rPr>
                <w:rFonts w:cstheme="minorHAnsi"/>
                <w:sz w:val="20"/>
                <w:szCs w:val="20"/>
              </w:rPr>
            </w:pPr>
            <w:r w:rsidRPr="000975FA">
              <w:rPr>
                <w:rFonts w:cstheme="minorHAnsi"/>
                <w:sz w:val="20"/>
                <w:szCs w:val="20"/>
              </w:rPr>
              <w:t>p = 0.019</w:t>
            </w:r>
          </w:p>
          <w:p w14:paraId="294BBCAC" w14:textId="56628782" w:rsidR="00EC54DF" w:rsidRPr="000975FA" w:rsidRDefault="00F158F3" w:rsidP="000975FA">
            <w:pPr>
              <w:pStyle w:val="NoSpacing"/>
              <w:rPr>
                <w:rFonts w:cstheme="minorHAnsi"/>
                <w:sz w:val="20"/>
                <w:szCs w:val="20"/>
              </w:rPr>
            </w:pPr>
            <w:r w:rsidRPr="000975FA">
              <w:rPr>
                <w:rFonts w:cstheme="minorHAnsi"/>
                <w:sz w:val="20"/>
                <w:szCs w:val="20"/>
              </w:rPr>
              <w:t>g = 0.77</w:t>
            </w:r>
          </w:p>
        </w:tc>
      </w:tr>
    </w:tbl>
    <w:p w14:paraId="60B51247" w14:textId="60B0AEBE" w:rsidR="006942F7" w:rsidRPr="006942F7" w:rsidRDefault="006942F7" w:rsidP="006942F7">
      <w:pPr>
        <w:pStyle w:val="NoSpacing"/>
      </w:pPr>
      <w:bookmarkStart w:id="17" w:name="Discussion"/>
      <w:bookmarkStart w:id="18" w:name="Reliability_of_Spectral_rsEEG_for_Repeat"/>
      <w:bookmarkStart w:id="19" w:name="_bookmark1"/>
      <w:bookmarkEnd w:id="17"/>
      <w:bookmarkEnd w:id="18"/>
      <w:bookmarkEnd w:id="19"/>
      <w:r w:rsidRPr="006942F7">
        <w:t>Comparisons that survived correction for multiple comparisons are bolded. Comparisons that were not statistically significant but showed a medium or large effect size are italicized. For the Eyes Open Alpha comparison only, we report the Z statistic in addition to the Mann–Whitney U test statistic to allow a more direct comparison to the Eyes Closed Alpha condition t-test statistic results.</w:t>
      </w:r>
    </w:p>
    <w:p w14:paraId="74E4EA00" w14:textId="77777777" w:rsidR="006942F7" w:rsidRDefault="006942F7" w:rsidP="004D443D">
      <w:pPr>
        <w:rPr>
          <w:b/>
          <w:bCs/>
        </w:rPr>
      </w:pPr>
    </w:p>
    <w:p w14:paraId="0FB92563" w14:textId="77777777" w:rsidR="004D443D" w:rsidRPr="006942F7" w:rsidRDefault="004D443D" w:rsidP="006942F7">
      <w:pPr>
        <w:pStyle w:val="Heading3"/>
        <w:rPr>
          <w:i/>
          <w:iCs/>
        </w:rPr>
      </w:pPr>
      <w:r w:rsidRPr="006942F7">
        <w:rPr>
          <w:i/>
          <w:iCs/>
        </w:rPr>
        <w:t>Eyes-Open Rest</w:t>
      </w:r>
    </w:p>
    <w:p w14:paraId="4CDBFDF6" w14:textId="29B4B98F" w:rsidR="004D443D" w:rsidRPr="004D443D" w:rsidRDefault="004D443D" w:rsidP="004D443D">
      <w:r w:rsidRPr="004D443D">
        <w:t>Significant differences between controls and PWAs was observed for beta power in the whole brain (</w:t>
      </w:r>
      <w:r w:rsidRPr="004D443D">
        <w:rPr>
          <w:i/>
          <w:iCs/>
        </w:rPr>
        <w:t>t</w:t>
      </w:r>
      <w:r w:rsidRPr="004D443D">
        <w:t> = 2.818; </w:t>
      </w:r>
      <w:r w:rsidRPr="004D443D">
        <w:rPr>
          <w:i/>
          <w:iCs/>
        </w:rPr>
        <w:t>p</w:t>
      </w:r>
      <w:r w:rsidRPr="004D443D">
        <w:t> = 0.007), clinical (</w:t>
      </w:r>
      <w:r w:rsidRPr="004D443D">
        <w:rPr>
          <w:i/>
          <w:iCs/>
        </w:rPr>
        <w:t>t</w:t>
      </w:r>
      <w:r w:rsidRPr="004D443D">
        <w:t> = 2.729; </w:t>
      </w:r>
      <w:r w:rsidRPr="004D443D">
        <w:rPr>
          <w:i/>
          <w:iCs/>
        </w:rPr>
        <w:t>p</w:t>
      </w:r>
      <w:r w:rsidRPr="004D443D">
        <w:t> = 0.009), and left hemisphere (</w:t>
      </w:r>
      <w:r w:rsidRPr="004D443D">
        <w:rPr>
          <w:i/>
          <w:iCs/>
        </w:rPr>
        <w:t>t</w:t>
      </w:r>
      <w:r w:rsidRPr="004D443D">
        <w:t> = 2.968; </w:t>
      </w:r>
      <w:r w:rsidRPr="004D443D">
        <w:rPr>
          <w:i/>
          <w:iCs/>
        </w:rPr>
        <w:t>p</w:t>
      </w:r>
      <w:r w:rsidRPr="004D443D">
        <w:t> = 0.005) montages, and for delta power in the right hemisphere (</w:t>
      </w:r>
      <w:r w:rsidRPr="004D443D">
        <w:rPr>
          <w:i/>
          <w:iCs/>
        </w:rPr>
        <w:t>t</w:t>
      </w:r>
      <w:r w:rsidRPr="004D443D">
        <w:t> = 2.97; </w:t>
      </w:r>
      <w:r w:rsidRPr="004D443D">
        <w:rPr>
          <w:i/>
          <w:iCs/>
        </w:rPr>
        <w:t>p</w:t>
      </w:r>
      <w:r w:rsidRPr="004D443D">
        <w:t> = 0.005) montage. No significant between-group differences were observed in alpha or theta power, or for delta power in the remaining montages. For all significant comparisons, healthy controls demonstrated greater average power than PWAs. See </w:t>
      </w:r>
      <w:r w:rsidRPr="00C05BF0">
        <w:t>Table 5</w:t>
      </w:r>
      <w:r w:rsidRPr="004D443D">
        <w:t> for complete results.</w:t>
      </w:r>
    </w:p>
    <w:p w14:paraId="2EAAACA5" w14:textId="77777777" w:rsidR="004D443D" w:rsidRPr="006942F7" w:rsidRDefault="004D443D" w:rsidP="006942F7">
      <w:pPr>
        <w:pStyle w:val="Heading3"/>
        <w:rPr>
          <w:i/>
          <w:iCs/>
        </w:rPr>
      </w:pPr>
      <w:r w:rsidRPr="006942F7">
        <w:rPr>
          <w:i/>
          <w:iCs/>
        </w:rPr>
        <w:t>Eyes-Closed Rest</w:t>
      </w:r>
    </w:p>
    <w:p w14:paraId="64AE0D75" w14:textId="74EE4F1B" w:rsidR="004D443D" w:rsidRPr="004D443D" w:rsidRDefault="004D443D" w:rsidP="004D443D">
      <w:r w:rsidRPr="004D443D">
        <w:t>Significant differences between controls and PWAs was observed for beta (</w:t>
      </w:r>
      <w:r w:rsidRPr="004D443D">
        <w:rPr>
          <w:i/>
          <w:iCs/>
        </w:rPr>
        <w:t>t</w:t>
      </w:r>
      <w:r w:rsidRPr="004D443D">
        <w:t> between 2.44 and 4.529; </w:t>
      </w:r>
      <w:r w:rsidRPr="004D443D">
        <w:rPr>
          <w:i/>
          <w:iCs/>
        </w:rPr>
        <w:t>p</w:t>
      </w:r>
      <w:r w:rsidRPr="004D443D">
        <w:t> between 0.019 and &lt;0.001) and theta (</w:t>
      </w:r>
      <w:r w:rsidRPr="004D443D">
        <w:rPr>
          <w:i/>
          <w:iCs/>
        </w:rPr>
        <w:t>t</w:t>
      </w:r>
      <w:r w:rsidRPr="004D443D">
        <w:t> between −2.928 and −3.122; </w:t>
      </w:r>
      <w:r w:rsidRPr="004D443D">
        <w:rPr>
          <w:i/>
          <w:iCs/>
        </w:rPr>
        <w:t>p</w:t>
      </w:r>
      <w:r w:rsidRPr="004D443D">
        <w:t> between 0.011 and 0.004) power in all montages. No significant between-group differences were observed for alpha or delta power. Compared to PWAs, healthy controls demonstrated greater beta power and lower theta power. See </w:t>
      </w:r>
      <w:r w:rsidRPr="00C05BF0">
        <w:t>Table 5</w:t>
      </w:r>
      <w:r w:rsidRPr="004D443D">
        <w:t> for complete results.</w:t>
      </w:r>
    </w:p>
    <w:p w14:paraId="04472157" w14:textId="77777777" w:rsidR="004D443D" w:rsidRPr="004D443D" w:rsidRDefault="004D443D" w:rsidP="006942F7">
      <w:pPr>
        <w:pStyle w:val="Heading2"/>
      </w:pPr>
      <w:r w:rsidRPr="004D443D">
        <w:t>Aim 3 - Functional Relationship</w:t>
      </w:r>
    </w:p>
    <w:p w14:paraId="37D6C64C" w14:textId="77777777" w:rsidR="004D443D" w:rsidRPr="004D443D" w:rsidRDefault="004D443D" w:rsidP="004D443D">
      <w:r w:rsidRPr="004D443D">
        <w:t xml:space="preserve">Prior to computing correlations, data were checked for normality and linearity. Due to observations of non-normality in the data, non-parametric Spearman correlations were calculated. Additionally, when plotting data to determine linearity, both the BNT and WAB-R AQ (completed by PWAs only) were determined to be non-linearly related to </w:t>
      </w:r>
      <w:proofErr w:type="spellStart"/>
      <w:r w:rsidRPr="004D443D">
        <w:t>rsEEG</w:t>
      </w:r>
      <w:proofErr w:type="spellEnd"/>
      <w:r w:rsidRPr="004D443D">
        <w:t xml:space="preserve"> power, so correlations were only computed for the RBANS and Main Concept (MC) scores.</w:t>
      </w:r>
    </w:p>
    <w:p w14:paraId="45821438" w14:textId="77777777" w:rsidR="004D443D" w:rsidRPr="006942F7" w:rsidRDefault="004D443D" w:rsidP="006942F7">
      <w:pPr>
        <w:pStyle w:val="Heading3"/>
        <w:rPr>
          <w:i/>
          <w:iCs/>
        </w:rPr>
      </w:pPr>
      <w:r w:rsidRPr="006942F7">
        <w:rPr>
          <w:i/>
          <w:iCs/>
        </w:rPr>
        <w:t>Eyes-Open Rest</w:t>
      </w:r>
    </w:p>
    <w:p w14:paraId="2A4E948B" w14:textId="77777777" w:rsidR="004D443D" w:rsidRPr="004D443D" w:rsidRDefault="004D443D" w:rsidP="004D443D">
      <w:r w:rsidRPr="004D443D">
        <w:t>Moderate to strong negative correlations were observed between MC scores and theta power in the whole brain (rho = −0.5, </w:t>
      </w:r>
      <w:r w:rsidRPr="004D443D">
        <w:rPr>
          <w:i/>
          <w:iCs/>
        </w:rPr>
        <w:t>p</w:t>
      </w:r>
      <w:r w:rsidRPr="004D443D">
        <w:t> = 0.029), clinical (rho = −0.49, </w:t>
      </w:r>
      <w:r w:rsidRPr="004D443D">
        <w:rPr>
          <w:i/>
          <w:iCs/>
        </w:rPr>
        <w:t>p</w:t>
      </w:r>
      <w:r w:rsidRPr="004D443D">
        <w:t> = 0.033), and left hemisphere (rho = −0.48, </w:t>
      </w:r>
      <w:r w:rsidRPr="004D443D">
        <w:rPr>
          <w:i/>
          <w:iCs/>
        </w:rPr>
        <w:t>p</w:t>
      </w:r>
      <w:r w:rsidRPr="004D443D">
        <w:t> = 0.036) montages in PWAs. A moderate positive correlation (rho = 0.49, </w:t>
      </w:r>
      <w:r w:rsidRPr="004D443D">
        <w:rPr>
          <w:i/>
          <w:iCs/>
        </w:rPr>
        <w:t>p</w:t>
      </w:r>
      <w:r w:rsidRPr="004D443D">
        <w:t> = 0.039) was also observed between RBANS scores and beta power in the left hemisphere in PWAs. Finally, moderate to strong positive correlations between MC scores and beta power were observed in the whole brain (rho = 0.49, </w:t>
      </w:r>
      <w:r w:rsidRPr="004D443D">
        <w:rPr>
          <w:i/>
          <w:iCs/>
        </w:rPr>
        <w:t>p</w:t>
      </w:r>
      <w:r w:rsidRPr="004D443D">
        <w:t> = 0.033), clinical (rho = 0.48, </w:t>
      </w:r>
      <w:r w:rsidRPr="004D443D">
        <w:rPr>
          <w:i/>
          <w:iCs/>
        </w:rPr>
        <w:t>p</w:t>
      </w:r>
      <w:r w:rsidRPr="004D443D">
        <w:t> = 0.037), and left hemisphere (rho = 0.58, </w:t>
      </w:r>
      <w:r w:rsidRPr="004D443D">
        <w:rPr>
          <w:i/>
          <w:iCs/>
        </w:rPr>
        <w:t>p</w:t>
      </w:r>
      <w:r w:rsidRPr="004D443D">
        <w:t> = 0.009) montages in PWAs. No significant correlations were observed for healthy controls in the eyes-open condition.</w:t>
      </w:r>
    </w:p>
    <w:p w14:paraId="23A55710" w14:textId="77777777" w:rsidR="004D443D" w:rsidRPr="006942F7" w:rsidRDefault="004D443D" w:rsidP="006942F7">
      <w:pPr>
        <w:pStyle w:val="Heading3"/>
        <w:rPr>
          <w:i/>
          <w:iCs/>
        </w:rPr>
      </w:pPr>
      <w:r w:rsidRPr="006942F7">
        <w:rPr>
          <w:i/>
          <w:iCs/>
        </w:rPr>
        <w:t>Eyes-Closed Rest</w:t>
      </w:r>
    </w:p>
    <w:p w14:paraId="1909CDFE" w14:textId="77777777" w:rsidR="004D443D" w:rsidRPr="004D443D" w:rsidRDefault="004D443D" w:rsidP="004D443D">
      <w:r w:rsidRPr="004D443D">
        <w:t>Strong negative correlations were observed between MC scores and theta power in the whole brain (rho = −0.53, </w:t>
      </w:r>
      <w:r w:rsidRPr="004D443D">
        <w:rPr>
          <w:i/>
          <w:iCs/>
        </w:rPr>
        <w:t>p</w:t>
      </w:r>
      <w:r w:rsidRPr="004D443D">
        <w:t> = 0.02), clinical (rho = −0.53, </w:t>
      </w:r>
      <w:r w:rsidRPr="004D443D">
        <w:rPr>
          <w:i/>
          <w:iCs/>
        </w:rPr>
        <w:t>p</w:t>
      </w:r>
      <w:r w:rsidRPr="004D443D">
        <w:t> = 0.02), and left hemisphere (rho = −0.55, </w:t>
      </w:r>
      <w:r w:rsidRPr="004D443D">
        <w:rPr>
          <w:i/>
          <w:iCs/>
        </w:rPr>
        <w:t>p</w:t>
      </w:r>
      <w:r w:rsidRPr="004D443D">
        <w:t> = 0.014) montages in PWAs. Positive correlations were also observed between MC scores and alpha (rho = 0.59, </w:t>
      </w:r>
      <w:r w:rsidRPr="004D443D">
        <w:rPr>
          <w:i/>
          <w:iCs/>
        </w:rPr>
        <w:t>p</w:t>
      </w:r>
      <w:r w:rsidRPr="004D443D">
        <w:t> = 0.008) and beta power (rho = 0.48, </w:t>
      </w:r>
      <w:r w:rsidRPr="004D443D">
        <w:rPr>
          <w:i/>
          <w:iCs/>
        </w:rPr>
        <w:t>p</w:t>
      </w:r>
      <w:r w:rsidRPr="004D443D">
        <w:t> = 0.039) in the left hemisphere in PWAs. In healthy controls, strong positive correlations were observed between RBANS scores and theta power in all montages (rho between 0.56 and 0.6, </w:t>
      </w:r>
      <w:r w:rsidRPr="004D443D">
        <w:rPr>
          <w:i/>
          <w:iCs/>
        </w:rPr>
        <w:t>p</w:t>
      </w:r>
      <w:r w:rsidRPr="004D443D">
        <w:t> between 0.002 and 0.005).</w:t>
      </w:r>
    </w:p>
    <w:p w14:paraId="28304033" w14:textId="77777777" w:rsidR="004D443D" w:rsidRPr="004D443D" w:rsidRDefault="004D443D" w:rsidP="006942F7">
      <w:pPr>
        <w:pStyle w:val="Heading1"/>
      </w:pPr>
      <w:bookmarkStart w:id="20" w:name="h5"/>
      <w:bookmarkEnd w:id="20"/>
      <w:r w:rsidRPr="004D443D">
        <w:t>Discussion</w:t>
      </w:r>
    </w:p>
    <w:p w14:paraId="5E1B9D79" w14:textId="77777777" w:rsidR="004D443D" w:rsidRPr="004D443D" w:rsidRDefault="004D443D" w:rsidP="004D443D">
      <w:r w:rsidRPr="004D443D">
        <w:t xml:space="preserve">The results of this study suggest that spectral </w:t>
      </w:r>
      <w:proofErr w:type="spellStart"/>
      <w:r w:rsidRPr="004D443D">
        <w:t>rsEEG</w:t>
      </w:r>
      <w:proofErr w:type="spellEnd"/>
      <w:r w:rsidRPr="004D443D">
        <w:t xml:space="preserve"> is suitably reliable for use as a repeated measure in both controls and PWAs. Additionally, spectral </w:t>
      </w:r>
      <w:proofErr w:type="spellStart"/>
      <w:r w:rsidRPr="004D443D">
        <w:t>rsEEG</w:t>
      </w:r>
      <w:proofErr w:type="spellEnd"/>
      <w:r w:rsidRPr="004D443D">
        <w:t xml:space="preserve"> is sensitive to differences between controls and PWAs. Finally, spectral </w:t>
      </w:r>
      <w:proofErr w:type="spellStart"/>
      <w:r w:rsidRPr="004D443D">
        <w:t>rsEEG</w:t>
      </w:r>
      <w:proofErr w:type="spellEnd"/>
      <w:r w:rsidRPr="004D443D">
        <w:t xml:space="preserve"> measures were also related to behavioral measures of cognition and language.</w:t>
      </w:r>
    </w:p>
    <w:p w14:paraId="64750698" w14:textId="77777777" w:rsidR="004D443D" w:rsidRPr="004D443D" w:rsidRDefault="004D443D" w:rsidP="007F44FA">
      <w:pPr>
        <w:pStyle w:val="Heading2"/>
      </w:pPr>
      <w:r w:rsidRPr="004D443D">
        <w:t xml:space="preserve">Reliability of Spectral </w:t>
      </w:r>
      <w:proofErr w:type="spellStart"/>
      <w:r w:rsidRPr="004D443D">
        <w:t>rsEEG</w:t>
      </w:r>
      <w:proofErr w:type="spellEnd"/>
      <w:r w:rsidRPr="004D443D">
        <w:t xml:space="preserve"> for Repeated Measurement</w:t>
      </w:r>
    </w:p>
    <w:p w14:paraId="788AD4AD" w14:textId="27C51B37" w:rsidR="004D443D" w:rsidRPr="004D443D" w:rsidRDefault="004D443D" w:rsidP="004D443D">
      <w:r w:rsidRPr="004D443D">
        <w:t xml:space="preserve">To our knowledge, this is the first study to examine the reliability of spectral </w:t>
      </w:r>
      <w:proofErr w:type="spellStart"/>
      <w:r w:rsidRPr="004D443D">
        <w:t>rsEEG</w:t>
      </w:r>
      <w:proofErr w:type="spellEnd"/>
      <w:r w:rsidRPr="004D443D">
        <w:t xml:space="preserve"> in persons with chronic stroke-induced aphasia – an important step to ensuring these measures are viable for use as neurophysiological biomarkers of treatment response. We selected an approximately 1-month delay between the first and second recording sessions since many aphasia research studies involving a treatment component last approximately 1 month from pre-treatment assessment to post-treatment assessment. Our results demonstrated moderate to good reliability for healthy controls and PWAs in alpha, beta, and theta bands, with relatively poorer reliability in the delta band. Previous research has examined changes in spectral </w:t>
      </w:r>
      <w:proofErr w:type="spellStart"/>
      <w:r w:rsidRPr="004D443D">
        <w:t>rsEEG</w:t>
      </w:r>
      <w:proofErr w:type="spellEnd"/>
      <w:r w:rsidRPr="004D443D">
        <w:t xml:space="preserve"> over time as a response to treatment (e.g., </w:t>
      </w:r>
      <w:r w:rsidRPr="00C05BF0">
        <w:t xml:space="preserve">Rozelle and </w:t>
      </w:r>
      <w:proofErr w:type="spellStart"/>
      <w:r w:rsidRPr="00C05BF0">
        <w:t>Budzynski</w:t>
      </w:r>
      <w:proofErr w:type="spellEnd"/>
      <w:r w:rsidRPr="00C05BF0">
        <w:t>, 1995</w:t>
      </w:r>
      <w:r w:rsidRPr="004D443D">
        <w:t>; </w:t>
      </w:r>
      <w:proofErr w:type="spellStart"/>
      <w:r w:rsidRPr="00C05BF0">
        <w:t>Stojanovic</w:t>
      </w:r>
      <w:proofErr w:type="spellEnd"/>
      <w:r w:rsidRPr="00C05BF0">
        <w:t xml:space="preserve"> et al., 2013</w:t>
      </w:r>
      <w:r w:rsidRPr="004D443D">
        <w:t xml:space="preserve">). Our results support the use of spectral </w:t>
      </w:r>
      <w:proofErr w:type="spellStart"/>
      <w:r w:rsidRPr="004D443D">
        <w:t>rsEEG</w:t>
      </w:r>
      <w:proofErr w:type="spellEnd"/>
      <w:r w:rsidRPr="004D443D">
        <w:t xml:space="preserve"> in this manner and strengthen the inferences that can be drawn from such studies. Both groups demonstrated similar spectral </w:t>
      </w:r>
      <w:proofErr w:type="spellStart"/>
      <w:r w:rsidRPr="004D443D">
        <w:t>rsEEG</w:t>
      </w:r>
      <w:proofErr w:type="spellEnd"/>
      <w:r w:rsidRPr="004D443D">
        <w:t xml:space="preserve"> reliability during the eyes-open and eyes-closed rest conditions, suggesting that either condition may be used for repeated measures, although eyes-closed rest demonstrated slightly better reliability across the board. However, our findings of the overall poor reliability of delta power suggest that researchers should proceed with caution when this is the spectral band of greatest interest, as we expect it could be since it is frequently the focus in acute and sub-acute studies of stroke recovery.</w:t>
      </w:r>
    </w:p>
    <w:p w14:paraId="010DDA6D" w14:textId="77777777" w:rsidR="004D443D" w:rsidRPr="004D443D" w:rsidRDefault="004D443D" w:rsidP="004D443D">
      <w:r w:rsidRPr="004D443D">
        <w:t>When examining the overall reliability of the various montages, there was not a clear pattern of better reliability in one montage over the others in either condition. However, the left and right hemisphere montage + spectral band combinations were the only ones that demonstrated poor reliability (i.e., left hemisphere delta in the eyes-closed condition for controls and PWAs, right hemisphere delta and theta in the eyes-open condition for controls). This suggests that researchers can have greater confidence in the reliability of results when the montage includes electrodes across both left and right hemisphere, and that additional caution should be taken when examining smaller montages that do not include representation over the whole scalp. Future investigations should continue to explore the impact of montage on reliability, particularly as this sample was comprised mostly of individuals with single hemisphere lesions. However, these results suggest that more clinically focused montages with fewer electrodes should not have significantly worse reliability than the dense electrode arrays more frequently used in research.</w:t>
      </w:r>
    </w:p>
    <w:p w14:paraId="0B813888" w14:textId="6EB20248" w:rsidR="004D443D" w:rsidRPr="004D443D" w:rsidRDefault="004D443D" w:rsidP="004D443D">
      <w:r w:rsidRPr="004D443D">
        <w:t xml:space="preserve">When considering the reliability for each group, PWAs demonstrated a pattern of numerically better reliability, especially in the eyes-open condition. It is not immediately clear what is driving this pattern, as our naïve assumption </w:t>
      </w:r>
      <w:proofErr w:type="gramStart"/>
      <w:r w:rsidRPr="004D443D">
        <w:t>entering into</w:t>
      </w:r>
      <w:proofErr w:type="gramEnd"/>
      <w:r w:rsidRPr="004D443D">
        <w:t xml:space="preserve"> the study was that controls would demonstrate better reliability, given the well-known behavioral variability of PWAs. Although speculative, one possible explanation of this result is that the increased variability in controls is indicative of a system with more flexibility and greater capacity. On the other hand, the decreased variability in PWAs could be indicative of a system that, due to damage, is less able to respond flexibly or has limited capacity. There is some limited preliminary evidence for this in traumatic brain injury during task completion (see </w:t>
      </w:r>
      <w:proofErr w:type="spellStart"/>
      <w:r w:rsidRPr="00C05BF0">
        <w:t>Beharelle</w:t>
      </w:r>
      <w:proofErr w:type="spellEnd"/>
      <w:r w:rsidRPr="00C05BF0">
        <w:t xml:space="preserve"> et al., 2012</w:t>
      </w:r>
      <w:r w:rsidRPr="004D443D">
        <w:t>); however, additional research would be needed to determine if this holds for resting-state activation and in PWAs.</w:t>
      </w:r>
    </w:p>
    <w:p w14:paraId="77625DF8" w14:textId="77777777" w:rsidR="004D443D" w:rsidRPr="004D443D" w:rsidRDefault="004D443D" w:rsidP="007F44FA">
      <w:pPr>
        <w:pStyle w:val="Heading2"/>
      </w:pPr>
      <w:r w:rsidRPr="004D443D">
        <w:t xml:space="preserve">Utility of Spectral </w:t>
      </w:r>
      <w:proofErr w:type="spellStart"/>
      <w:r w:rsidRPr="004D443D">
        <w:t>rsEEG</w:t>
      </w:r>
      <w:proofErr w:type="spellEnd"/>
      <w:r w:rsidRPr="004D443D">
        <w:t xml:space="preserve"> to Identify Group Differences</w:t>
      </w:r>
    </w:p>
    <w:p w14:paraId="13BBF104" w14:textId="1DF75345" w:rsidR="004D443D" w:rsidRPr="004D443D" w:rsidRDefault="004D443D" w:rsidP="004D443D">
      <w:r w:rsidRPr="004D443D">
        <w:t xml:space="preserve">In this study, we observed significant differences in beta (in both conditions) and theta power (in the eyes closed condition only) between controls and PWAs. With respect to theta power, we did not find statistically significant differences between groups in the eyes-open condition, only in the eyes-closed condition. We attribute this to the improved signal-to-noise ratio of the eyes-closed condition, which may have improved statistical power to detect differences, and therefore may have greater clinical and research utility. As expected from research in the acute and sub-acute stages post-stroke, healthy controls demonstrated a pattern of greater power in high frequencies and lower power in lower frequencies than PWAs (but see our discussion of delta power below). These results indicate that some degree of spectral </w:t>
      </w:r>
      <w:proofErr w:type="spellStart"/>
      <w:r w:rsidRPr="004D443D">
        <w:t>rsEEG</w:t>
      </w:r>
      <w:proofErr w:type="spellEnd"/>
      <w:r w:rsidRPr="004D443D">
        <w:t xml:space="preserve"> slowing observed in the acute and sub-acute stages post-stroke persists into the chronic phase, at least for persons with chronic aphasia. However, our results revealed significant between-group differences in theta power, while much of the previous acute and sub-acute literature has reported significant between-group differences in delta power. While studies examining spectral EEG in the chronic phase have utilized task-based paradigms, thereby limiting the comparisons that can be made to our findings, those investigations did report differences in delta, theta, and beta bands, mostly consistent with our results (</w:t>
      </w:r>
      <w:proofErr w:type="spellStart"/>
      <w:r w:rsidRPr="00C05BF0">
        <w:t>Spironelli</w:t>
      </w:r>
      <w:proofErr w:type="spellEnd"/>
      <w:r w:rsidRPr="00C05BF0">
        <w:t xml:space="preserve"> and </w:t>
      </w:r>
      <w:proofErr w:type="spellStart"/>
      <w:r w:rsidRPr="00C05BF0">
        <w:t>Angrilli</w:t>
      </w:r>
      <w:proofErr w:type="spellEnd"/>
      <w:r w:rsidRPr="00C05BF0">
        <w:t>, 2009</w:t>
      </w:r>
      <w:r w:rsidRPr="004D443D">
        <w:t>; </w:t>
      </w:r>
      <w:proofErr w:type="spellStart"/>
      <w:r w:rsidRPr="00C05BF0">
        <w:t>Spironelli</w:t>
      </w:r>
      <w:proofErr w:type="spellEnd"/>
      <w:r w:rsidRPr="00C05BF0">
        <w:t xml:space="preserve"> et al., 2013</w:t>
      </w:r>
      <w:r w:rsidRPr="004D443D">
        <w:t>; </w:t>
      </w:r>
      <w:r w:rsidRPr="00C05BF0">
        <w:t>Herron et al., 2014</w:t>
      </w:r>
      <w:r w:rsidRPr="004D443D">
        <w:t>).</w:t>
      </w:r>
    </w:p>
    <w:p w14:paraId="2C19D057" w14:textId="3F326CB7" w:rsidR="004D443D" w:rsidRPr="004D443D" w:rsidRDefault="004D443D" w:rsidP="004D443D">
      <w:r w:rsidRPr="004D443D">
        <w:t>Interestingly, while we did observe a single significant difference in delta power between the groups (right hemisphere delta in the eyes open condition), the direction of that difference also ran contrary to previous literature, with healthy controls demonstrating higher delta power than PWAs in the right hemisphere. Indeed, when examining the descriptive statistics of delta power for all montages, healthy controls demonstrated numerically greater delta power across all montages. One possible explanation for this finding is body positioning, which has demonstrated effects on cortical activation (e.g., </w:t>
      </w:r>
      <w:proofErr w:type="spellStart"/>
      <w:r w:rsidRPr="00C05BF0">
        <w:t>Spironelli</w:t>
      </w:r>
      <w:proofErr w:type="spellEnd"/>
      <w:r w:rsidRPr="00C05BF0">
        <w:t xml:space="preserve"> et al., 2016</w:t>
      </w:r>
      <w:r w:rsidRPr="004D443D">
        <w:t>; </w:t>
      </w:r>
      <w:r w:rsidRPr="00C05BF0">
        <w:t>Thibault and Raz, 2016</w:t>
      </w:r>
      <w:r w:rsidRPr="004D443D">
        <w:t>) - the supine position (laying down) is associated with increased delta activation compared to upright positions. Given that much of the previous research has been conducted in settings where patients are often reclined or laying down in bed, but our study only included participants who were sitting upright in a chair, it is possible that the positioning differences between this study and previous research may at least partially explain this dissimilar finding.</w:t>
      </w:r>
    </w:p>
    <w:p w14:paraId="755A61AF" w14:textId="74FF6813" w:rsidR="004D443D" w:rsidRPr="004D443D" w:rsidRDefault="004D443D" w:rsidP="004D443D">
      <w:r w:rsidRPr="004D443D">
        <w:t xml:space="preserve">Additionally, since most studies have examined persons post-stroke in the acute and sub-acute, rather than chronic phase, it is possible that the slowing of spectral </w:t>
      </w:r>
      <w:proofErr w:type="spellStart"/>
      <w:r w:rsidRPr="004D443D">
        <w:t>rsEEG</w:t>
      </w:r>
      <w:proofErr w:type="spellEnd"/>
      <w:r w:rsidRPr="004D443D">
        <w:t xml:space="preserve"> resolves to a certain extent. This is consistent with </w:t>
      </w:r>
      <w:r w:rsidRPr="00C05BF0">
        <w:t>Hensel et al. (2004)</w:t>
      </w:r>
      <w:r w:rsidRPr="004D443D">
        <w:t xml:space="preserve"> who conducted a longitudinal study of post-stroke recovery and reported a gradual increase in the frequency of spectral </w:t>
      </w:r>
      <w:proofErr w:type="spellStart"/>
      <w:r w:rsidRPr="004D443D">
        <w:t>rsEEG</w:t>
      </w:r>
      <w:proofErr w:type="spellEnd"/>
      <w:r w:rsidRPr="004D443D">
        <w:t xml:space="preserve"> over the course of 2 years. Another alternative explanation lies in the sample characteristics of participants in our study (e.g., specifically investigating aphasia, including persons with multiple strokes, mild depression or anxiety, and a realistic range of control performance). It is also consistent with patterns observed via fMRI where the locus of activation during a </w:t>
      </w:r>
      <w:proofErr w:type="gramStart"/>
      <w:r w:rsidRPr="004D443D">
        <w:t>language tasks</w:t>
      </w:r>
      <w:proofErr w:type="gramEnd"/>
      <w:r w:rsidRPr="004D443D">
        <w:t xml:space="preserve"> shifts from the right hemisphere in the acute stage back toward the left hemisphere in the sub-acute and chronic stages (</w:t>
      </w:r>
      <w:proofErr w:type="spellStart"/>
      <w:r w:rsidRPr="00C05BF0">
        <w:t>Heiss</w:t>
      </w:r>
      <w:proofErr w:type="spellEnd"/>
      <w:r w:rsidRPr="00C05BF0">
        <w:t xml:space="preserve"> et al., 1999</w:t>
      </w:r>
      <w:r w:rsidRPr="004D443D">
        <w:t>; </w:t>
      </w:r>
      <w:r w:rsidRPr="00C05BF0">
        <w:t>Saur et al., 2006</w:t>
      </w:r>
      <w:r w:rsidRPr="004D443D">
        <w:t>). Still, while our more lenient inclusion/exclusion criteria may have increased the variability of the sample, the ability to directly compare our results to the typical clinical population served by practicing speech-language pathologists, and a more realistic cross-section of the population, compensates for loss of specificity.</w:t>
      </w:r>
    </w:p>
    <w:p w14:paraId="27626CBD" w14:textId="77777777" w:rsidR="004D443D" w:rsidRPr="004D443D" w:rsidRDefault="004D443D" w:rsidP="007F44FA">
      <w:pPr>
        <w:pStyle w:val="Heading2"/>
      </w:pPr>
      <w:r w:rsidRPr="004D443D">
        <w:t xml:space="preserve">Relationship of Spectral </w:t>
      </w:r>
      <w:proofErr w:type="spellStart"/>
      <w:r w:rsidRPr="004D443D">
        <w:t>rsEEG</w:t>
      </w:r>
      <w:proofErr w:type="spellEnd"/>
      <w:r w:rsidRPr="004D443D">
        <w:t xml:space="preserve"> Power </w:t>
      </w:r>
      <w:proofErr w:type="gramStart"/>
      <w:r w:rsidRPr="004D443D">
        <w:t>With</w:t>
      </w:r>
      <w:proofErr w:type="gramEnd"/>
      <w:r w:rsidRPr="004D443D">
        <w:t xml:space="preserve"> Behavior</w:t>
      </w:r>
    </w:p>
    <w:p w14:paraId="05F25360" w14:textId="52D6E902" w:rsidR="004D443D" w:rsidRPr="004D443D" w:rsidRDefault="004D443D" w:rsidP="004D443D">
      <w:r w:rsidRPr="004D443D">
        <w:t xml:space="preserve">We investigated the correlation between spectral </w:t>
      </w:r>
      <w:proofErr w:type="spellStart"/>
      <w:r w:rsidRPr="004D443D">
        <w:t>rsEEG</w:t>
      </w:r>
      <w:proofErr w:type="spellEnd"/>
      <w:r w:rsidRPr="004D443D">
        <w:t xml:space="preserve"> measures and performance on behavioral tasks, as the relationship between spectral </w:t>
      </w:r>
      <w:proofErr w:type="spellStart"/>
      <w:r w:rsidRPr="004D443D">
        <w:t>rsEEG</w:t>
      </w:r>
      <w:proofErr w:type="spellEnd"/>
      <w:r w:rsidRPr="004D443D">
        <w:t xml:space="preserve"> and behavioral performance has been frequently reported in the acute and sub-acute spectral </w:t>
      </w:r>
      <w:proofErr w:type="spellStart"/>
      <w:r w:rsidRPr="004D443D">
        <w:t>rsEEG</w:t>
      </w:r>
      <w:proofErr w:type="spellEnd"/>
      <w:r w:rsidRPr="004D443D">
        <w:t xml:space="preserve"> literature. Our results provide an important assurance that in addition to being reliable over time, the differences in spectral </w:t>
      </w:r>
      <w:proofErr w:type="spellStart"/>
      <w:r w:rsidRPr="004D443D">
        <w:t>rsEEG</w:t>
      </w:r>
      <w:proofErr w:type="spellEnd"/>
      <w:r w:rsidRPr="004D443D">
        <w:t xml:space="preserve"> observed between PWAs and controls relate to functionally relevant behaviors. Results also support the notion of a continued relationship between spectral </w:t>
      </w:r>
      <w:proofErr w:type="spellStart"/>
      <w:r w:rsidRPr="004D443D">
        <w:t>rsEEG</w:t>
      </w:r>
      <w:proofErr w:type="spellEnd"/>
      <w:r w:rsidRPr="004D443D">
        <w:t xml:space="preserve"> and behavioral function in the chronic phase of stroke recovery. Of greatest interest, we found that the main concept (MC) composite score, a measure of discourse informativeness, was positively correlated with power in high frequency bands, and negatively correlated with power in low frequency bands. These findings indicate that spectral </w:t>
      </w:r>
      <w:proofErr w:type="spellStart"/>
      <w:r w:rsidRPr="004D443D">
        <w:t>rsEEG</w:t>
      </w:r>
      <w:proofErr w:type="spellEnd"/>
      <w:r w:rsidRPr="004D443D">
        <w:t xml:space="preserve"> slowing observed in PWAs in the chronic stage is pathological and suggests a possible avenue for directly altering brain activation to improve behavioral function. However, additional research is needed to fully elucidate the relationship between spectral </w:t>
      </w:r>
      <w:proofErr w:type="spellStart"/>
      <w:proofErr w:type="gramStart"/>
      <w:r w:rsidRPr="004D443D">
        <w:t>rsEEG</w:t>
      </w:r>
      <w:proofErr w:type="spellEnd"/>
      <w:proofErr w:type="gramEnd"/>
      <w:r w:rsidRPr="004D443D">
        <w:t xml:space="preserve"> and the behaviors included here. While it may be tempting to try to interpret these results in the context of spectral task-based EEG findings (e.g., cortical inhibition and/or activation variously associated with the spectral bands </w:t>
      </w:r>
      <w:r w:rsidRPr="00C05BF0">
        <w:t>Engel and Fries, 2010</w:t>
      </w:r>
      <w:r w:rsidRPr="004D443D">
        <w:t>; </w:t>
      </w:r>
      <w:proofErr w:type="spellStart"/>
      <w:r w:rsidRPr="00C05BF0">
        <w:t>Palva</w:t>
      </w:r>
      <w:proofErr w:type="spellEnd"/>
      <w:r w:rsidRPr="00C05BF0">
        <w:t xml:space="preserve"> and </w:t>
      </w:r>
      <w:proofErr w:type="spellStart"/>
      <w:r w:rsidRPr="00C05BF0">
        <w:t>Palva</w:t>
      </w:r>
      <w:proofErr w:type="spellEnd"/>
      <w:r w:rsidRPr="00C05BF0">
        <w:t>, 2011</w:t>
      </w:r>
      <w:r w:rsidRPr="004D443D">
        <w:t>; </w:t>
      </w:r>
      <w:r w:rsidRPr="00C05BF0">
        <w:t>Cavanagh and Frank, 2014</w:t>
      </w:r>
      <w:r w:rsidRPr="004D443D">
        <w:t>; </w:t>
      </w:r>
      <w:r w:rsidRPr="00C05BF0">
        <w:t>Cavanagh, 2015</w:t>
      </w:r>
      <w:r w:rsidRPr="004D443D">
        <w:t>; </w:t>
      </w:r>
      <w:proofErr w:type="spellStart"/>
      <w:r w:rsidRPr="00C05BF0">
        <w:t>Antzoulatos</w:t>
      </w:r>
      <w:proofErr w:type="spellEnd"/>
      <w:r w:rsidRPr="00C05BF0">
        <w:t xml:space="preserve"> and Miller, 2016</w:t>
      </w:r>
      <w:r w:rsidRPr="004D443D">
        <w:t>; </w:t>
      </w:r>
      <w:r w:rsidRPr="00C05BF0">
        <w:t>Richter et al., 2017</w:t>
      </w:r>
      <w:r w:rsidRPr="004D443D">
        <w:t>), these associations do not necessarily hold for resting-state measurements. Therefore, cautious interpretation of the mechanistic processes inferred by spectral bands at rest is recommended.</w:t>
      </w:r>
    </w:p>
    <w:p w14:paraId="3C752CA4" w14:textId="27B3D15F" w:rsidR="004D443D" w:rsidRPr="004D443D" w:rsidRDefault="004D443D" w:rsidP="004D443D">
      <w:r w:rsidRPr="004D443D">
        <w:t>Our finding of a strong positive correlation between theta power and RBANS scores in healthy controls was relatively unexpected. This result suggests there might be a range of resting theta power that is functionally appropriate, and within this range, increased theta is generally associated with better cognition. However, once this range of theta values is exceeded (as in persons with stroke) higher resting theta power may be functionally maladaptive. This interpretation is supported by the fact that higher resting state theta power is associated with better cognitive function in healthy aging (</w:t>
      </w:r>
      <w:r w:rsidRPr="00C05BF0">
        <w:t>Cummins and Finnigan, 2007</w:t>
      </w:r>
      <w:r w:rsidRPr="004D443D">
        <w:t>) and when comparing young adults to older adults (</w:t>
      </w:r>
      <w:r w:rsidRPr="00C05BF0">
        <w:t>Finnigan and Robertson, 2011</w:t>
      </w:r>
      <w:r w:rsidRPr="004D443D">
        <w:t>).</w:t>
      </w:r>
    </w:p>
    <w:p w14:paraId="763E7434" w14:textId="43C2D270" w:rsidR="004D443D" w:rsidRPr="004D443D" w:rsidRDefault="004D443D" w:rsidP="004D443D">
      <w:r w:rsidRPr="004D443D">
        <w:t>These results also highlight the importance of the behavioral measures selected to quantify functional abilities. While the WAB-R is a standardized and norm-referenced assessment, it demonstrated a ceiling effect in this sample, as it often does in aphasia research and practice. The WAB-R is scored out of 100 points, and the cut-off score to distinguish between PWAs and those without aphasia is 93.8. This means that the entire range of “normal” or “not aphasic” performance is constrained to less than seven points in comparison to the range of 93.8 points to quantify aphasic performance. Further, it is well-known that this score is not sensitive to mild aphasic deficits that may be most prominent in connected speech, which it does not adequately assess. Similarly, the BNT is scored out of 60 points, and most healthy controls correctly name 53–60 items (depending on age and education; </w:t>
      </w:r>
      <w:r w:rsidRPr="00C05BF0">
        <w:t xml:space="preserve">Tombaugh and </w:t>
      </w:r>
      <w:proofErr w:type="spellStart"/>
      <w:r w:rsidRPr="00C05BF0">
        <w:t>Hubiey</w:t>
      </w:r>
      <w:proofErr w:type="spellEnd"/>
      <w:r w:rsidRPr="00C05BF0">
        <w:t>, 1997</w:t>
      </w:r>
      <w:r w:rsidRPr="004D443D">
        <w:t>). While naming is the hallmark impairment of aphasia, confrontation naming tasks such as the BNT may not adequately represent difficulties in connected speech (e.g., </w:t>
      </w:r>
      <w:r w:rsidRPr="00C05BF0">
        <w:t>Richardson et al., 2018</w:t>
      </w:r>
      <w:r w:rsidRPr="004D443D">
        <w:t>). In contrast, the MC composite score has demonstrated sufficient sensitivity to describe both impaired and control discourse across a wide range of performance (</w:t>
      </w:r>
      <w:r w:rsidRPr="00C05BF0">
        <w:t>Dalton and Richardson, 2019</w:t>
      </w:r>
      <w:r w:rsidRPr="004D443D">
        <w:t>; </w:t>
      </w:r>
      <w:r w:rsidRPr="00C05BF0">
        <w:t>Richardson et al., 2021</w:t>
      </w:r>
      <w:r w:rsidRPr="004D443D">
        <w:t>). These results further amplify calls to utilize discourse measures as the primary outcome for aphasia research studies since discourse performance is a better index of the functional communication outcomes desired by PWAs (</w:t>
      </w:r>
      <w:r w:rsidRPr="00C05BF0">
        <w:t>Brady et al., 2016</w:t>
      </w:r>
      <w:r w:rsidRPr="004D443D">
        <w:t xml:space="preserve">). To our knowledge, this is the first study to relate spectral </w:t>
      </w:r>
      <w:proofErr w:type="spellStart"/>
      <w:r w:rsidRPr="004D443D">
        <w:t>rsEEG</w:t>
      </w:r>
      <w:proofErr w:type="spellEnd"/>
      <w:r w:rsidRPr="004D443D">
        <w:t xml:space="preserve"> to discourse production abilities in PWAs.</w:t>
      </w:r>
    </w:p>
    <w:p w14:paraId="54FCECEB" w14:textId="77777777" w:rsidR="004D443D" w:rsidRPr="004D443D" w:rsidRDefault="004D443D" w:rsidP="007F44FA">
      <w:pPr>
        <w:pStyle w:val="Heading2"/>
      </w:pPr>
      <w:r w:rsidRPr="004D443D">
        <w:t>Limitations and Future Directions</w:t>
      </w:r>
    </w:p>
    <w:p w14:paraId="0619E14B" w14:textId="6DD6749A" w:rsidR="004D443D" w:rsidRPr="004D443D" w:rsidRDefault="004D443D" w:rsidP="004D443D">
      <w:r w:rsidRPr="004D443D">
        <w:t xml:space="preserve">Future research should more directly examine the effect of lesion location in PWAs as research in individuals in the chronic stage post-stroke suggests this may </w:t>
      </w:r>
      <w:proofErr w:type="gramStart"/>
      <w:r w:rsidRPr="004D443D">
        <w:t>have an effect on</w:t>
      </w:r>
      <w:proofErr w:type="gramEnd"/>
      <w:r w:rsidRPr="004D443D">
        <w:t xml:space="preserve"> spectral </w:t>
      </w:r>
      <w:proofErr w:type="spellStart"/>
      <w:r w:rsidRPr="004D443D">
        <w:t>rsEEG</w:t>
      </w:r>
      <w:proofErr w:type="spellEnd"/>
      <w:r w:rsidRPr="004D443D">
        <w:t xml:space="preserve"> (e.g., </w:t>
      </w:r>
      <w:r w:rsidRPr="00C05BF0">
        <w:t>Park et al., 2016</w:t>
      </w:r>
      <w:r w:rsidRPr="004D443D">
        <w:t xml:space="preserve">). Because this study included PWAs with fluent and non-fluent aphasia, lesion locations included both posterior and anterior left hemisphere </w:t>
      </w:r>
      <w:proofErr w:type="spellStart"/>
      <w:r w:rsidRPr="004D443D">
        <w:t>perisylvian</w:t>
      </w:r>
      <w:proofErr w:type="spellEnd"/>
      <w:r w:rsidRPr="004D443D">
        <w:t xml:space="preserve"> regions (see </w:t>
      </w:r>
      <w:r w:rsidRPr="00C05BF0">
        <w:t>Supplementary Table 1</w:t>
      </w:r>
      <w:r w:rsidRPr="004D443D">
        <w:t xml:space="preserve">), as well as subcortical areas and right hemisphere (for individuals with mixed </w:t>
      </w:r>
      <w:proofErr w:type="spellStart"/>
      <w:r w:rsidRPr="004D443D">
        <w:t>hemisphericity</w:t>
      </w:r>
      <w:proofErr w:type="spellEnd"/>
      <w:r w:rsidRPr="004D443D">
        <w:t xml:space="preserve"> and/or multiple strokes). A more nuanced understanding of the results with improved localization of the spectral </w:t>
      </w:r>
      <w:proofErr w:type="spellStart"/>
      <w:r w:rsidRPr="004D443D">
        <w:t>rsEEG</w:t>
      </w:r>
      <w:proofErr w:type="spellEnd"/>
      <w:r w:rsidRPr="004D443D">
        <w:t xml:space="preserve"> sources and region of interest analyses with functional networks may be possible when EEG is paired with other neuroimaging modalities, such as MRI or MEG. Additional avenues for future research include examining changes in spectral </w:t>
      </w:r>
      <w:proofErr w:type="spellStart"/>
      <w:r w:rsidRPr="004D443D">
        <w:t>rsEEG</w:t>
      </w:r>
      <w:proofErr w:type="spellEnd"/>
      <w:r w:rsidRPr="004D443D">
        <w:t xml:space="preserve"> before and after speech-language therapy to determine the sensitivity and predictive capacity of spectral </w:t>
      </w:r>
      <w:proofErr w:type="spellStart"/>
      <w:r w:rsidRPr="004D443D">
        <w:t>rsEEG</w:t>
      </w:r>
      <w:proofErr w:type="spellEnd"/>
      <w:r w:rsidRPr="004D443D">
        <w:t xml:space="preserve"> and investigating the reliability of functional behavioral measures, such as the discourse measures included in this study, to identify sources of non-informative variability that can be minimized in the future.</w:t>
      </w:r>
    </w:p>
    <w:p w14:paraId="29E4BFA2" w14:textId="2BD12854" w:rsidR="004D443D" w:rsidRPr="004D443D" w:rsidRDefault="004D443D" w:rsidP="004D443D">
      <w:r w:rsidRPr="004D443D">
        <w:t>Improvements in reporting methodology and basic descriptive statistical information regarding data are needed. For example, we excluded individuals with clinically identified depression and anxiety, but allowed individuals without a clinical diagnosis who reported experiencing mild symptoms of depression and/or anxiety. This decision was based on the reportedly high prevalence of depression and/or anxiety in PWAs (e.g., </w:t>
      </w:r>
      <w:proofErr w:type="spellStart"/>
      <w:r w:rsidRPr="00C05BF0">
        <w:t>Hilari</w:t>
      </w:r>
      <w:proofErr w:type="spellEnd"/>
      <w:r w:rsidRPr="00C05BF0">
        <w:t xml:space="preserve"> et al., 2012</w:t>
      </w:r>
      <w:r w:rsidRPr="004D443D">
        <w:t>; </w:t>
      </w:r>
      <w:proofErr w:type="spellStart"/>
      <w:r w:rsidRPr="00C05BF0">
        <w:t>Ayerbe</w:t>
      </w:r>
      <w:proofErr w:type="spellEnd"/>
      <w:r w:rsidRPr="00C05BF0">
        <w:t xml:space="preserve"> et al., 2013</w:t>
      </w:r>
      <w:r w:rsidRPr="004D443D">
        <w:t>; </w:t>
      </w:r>
      <w:proofErr w:type="spellStart"/>
      <w:r w:rsidRPr="00C05BF0">
        <w:t>Døli</w:t>
      </w:r>
      <w:proofErr w:type="spellEnd"/>
      <w:r w:rsidRPr="00C05BF0">
        <w:t xml:space="preserve"> et al., 2017</w:t>
      </w:r>
      <w:r w:rsidRPr="004D443D">
        <w:t>; </w:t>
      </w:r>
      <w:r w:rsidRPr="00C05BF0">
        <w:t>Morris et al., 2017</w:t>
      </w:r>
      <w:r w:rsidRPr="004D443D">
        <w:t>) as well as precedent set by previous foundational spectral EEG studies in chronic stroke with and without aphasia. Most studies of spectral EEG in individuals’ post-stroke with or without aphasia do not mention mental health disorders as an exclusion criterion, so it is unclear whether individuals in their sample experience these difficulties. Those studies that do report an exclusion criterion for mental health issues range from excluding only individuals with refractory (or treatment-resistant) depression (</w:t>
      </w:r>
      <w:r w:rsidRPr="00C05BF0">
        <w:t>Carrick et al., 2016</w:t>
      </w:r>
      <w:r w:rsidRPr="004D443D">
        <w:t>), to excluding individuals who are taking specific classes of medications (such as benzodiazepines or tricyclic antidepressants, e.g., </w:t>
      </w:r>
      <w:r w:rsidRPr="00C05BF0">
        <w:t>Finnigan et al., 2007</w:t>
      </w:r>
      <w:r w:rsidRPr="004D443D">
        <w:t>), to excluding based on known (</w:t>
      </w:r>
      <w:r w:rsidRPr="00C05BF0">
        <w:t>Nicolo et al., 2015</w:t>
      </w:r>
      <w:r w:rsidRPr="004D443D">
        <w:t>; </w:t>
      </w:r>
      <w:r w:rsidRPr="00C05BF0">
        <w:t>Song et al., 2015</w:t>
      </w:r>
      <w:r w:rsidRPr="004D443D">
        <w:t>; </w:t>
      </w:r>
      <w:r w:rsidRPr="00C05BF0">
        <w:t>Finnigan et al., 2016</w:t>
      </w:r>
      <w:r w:rsidRPr="004D443D">
        <w:t>; </w:t>
      </w:r>
      <w:proofErr w:type="spellStart"/>
      <w:r w:rsidRPr="00C05BF0">
        <w:t>Gorišek</w:t>
      </w:r>
      <w:proofErr w:type="spellEnd"/>
      <w:r w:rsidRPr="00C05BF0">
        <w:t xml:space="preserve"> et al., 2016</w:t>
      </w:r>
      <w:r w:rsidRPr="004D443D">
        <w:t>), major active (</w:t>
      </w:r>
      <w:r w:rsidRPr="00C05BF0">
        <w:t>Wu et al., 2015</w:t>
      </w:r>
      <w:r w:rsidRPr="004D443D">
        <w:t>), major pre-morbid (</w:t>
      </w:r>
      <w:r w:rsidRPr="00C05BF0">
        <w:t>Leon-Carrion et al., 2009</w:t>
      </w:r>
      <w:r w:rsidRPr="004D443D">
        <w:t>), and/or uncontrolled (</w:t>
      </w:r>
      <w:r w:rsidRPr="00C05BF0">
        <w:t>Herron et al., 2014</w:t>
      </w:r>
      <w:r w:rsidRPr="004D443D">
        <w:t xml:space="preserve">) psychiatric illness. In this study, prospective data regarding the types or severity of depression and anxiety symptoms were not collected since mental health concerns were asked about during pre-enrollment screening only. The lack of this data limits the interpretation of the results presented here, as it is possible that between group differences, or lack of differences, were driven by altered spectral </w:t>
      </w:r>
      <w:proofErr w:type="spellStart"/>
      <w:r w:rsidRPr="004D443D">
        <w:t>rsEEG</w:t>
      </w:r>
      <w:proofErr w:type="spellEnd"/>
      <w:r w:rsidRPr="004D443D">
        <w:t xml:space="preserve"> secondary to depression and/or anxiety. In the future, more clearly defining inclusion/exclusion criteria (e.g., what is the difference between “major active” and “known” psychiatric illness?), prospectively collecting depression and anxiety symptoms and severity in both clinical and healthy control participants using measures validated for those populations, and clear reporting of these characteristics may yield even greater insights into brain function.</w:t>
      </w:r>
    </w:p>
    <w:p w14:paraId="479864F8" w14:textId="2BC96529" w:rsidR="004D443D" w:rsidRPr="004D443D" w:rsidRDefault="004D443D" w:rsidP="004D443D">
      <w:r w:rsidRPr="004D443D">
        <w:t>By providing more detailed methodology and data reporting, we can increase the confidence in reported results and strengthen the inferences that can be drawn from published findings. Ideally, a database, such as those already established for healthy controls and some populations with disorders (e.g., Brain Research and Integrative Neuroscience Network</w:t>
      </w:r>
      <w:r w:rsidRPr="00C05BF0">
        <w:rPr>
          <w:vertAlign w:val="superscript"/>
        </w:rPr>
        <w:t>1</w:t>
      </w:r>
      <w:r w:rsidRPr="004D443D">
        <w:t>; Patient Repository for EEG Data + Computational Tools</w:t>
      </w:r>
      <w:r w:rsidRPr="00C05BF0">
        <w:rPr>
          <w:vertAlign w:val="superscript"/>
        </w:rPr>
        <w:t>2</w:t>
      </w:r>
      <w:r w:rsidRPr="004D443D">
        <w:t>) would be populated with data from PWAs to allow for sharing of data and use of big data analytics that are currently unavailable. The current lack of such data in existing repositories highlights the need for continued research specific to PWAs. Much of the stroke literature actively excludes PWAs from participation, typically due to concerns regarding language abilities, informed consent, and the ability to complete language-based study activities (</w:t>
      </w:r>
      <w:r w:rsidRPr="00C05BF0">
        <w:t>Thorne and Paterson, 2000</w:t>
      </w:r>
      <w:r w:rsidRPr="004D443D">
        <w:t>; </w:t>
      </w:r>
      <w:r w:rsidRPr="00C05BF0">
        <w:t>Townend et al., 2007</w:t>
      </w:r>
      <w:r w:rsidRPr="004D443D">
        <w:t>; </w:t>
      </w:r>
      <w:proofErr w:type="spellStart"/>
      <w:r w:rsidRPr="00C05BF0">
        <w:t>Dalemans</w:t>
      </w:r>
      <w:proofErr w:type="spellEnd"/>
      <w:r w:rsidRPr="00C05BF0">
        <w:t xml:space="preserve"> et al., 2009</w:t>
      </w:r>
      <w:r w:rsidRPr="004D443D">
        <w:t>; </w:t>
      </w:r>
      <w:r w:rsidRPr="00C05BF0">
        <w:t>Brady et al., 2013</w:t>
      </w:r>
      <w:r w:rsidRPr="004D443D">
        <w:t>). Unfortunately, even that research which does not exclude PWAs often neglects to report their data as a separate subset of the participants. Since there is sufficient evidence in the literature that PWAs are impacted differently, and more severely, than individuals with other types of post-stroke deficits (e.g., </w:t>
      </w:r>
      <w:proofErr w:type="spellStart"/>
      <w:r w:rsidRPr="00C05BF0">
        <w:t>Hilari</w:t>
      </w:r>
      <w:proofErr w:type="spellEnd"/>
      <w:r w:rsidRPr="00C05BF0">
        <w:t>, 2011</w:t>
      </w:r>
      <w:r w:rsidRPr="004D443D">
        <w:t>; </w:t>
      </w:r>
      <w:r w:rsidRPr="00C05BF0">
        <w:t>Brady et al., 2013</w:t>
      </w:r>
      <w:r w:rsidRPr="004D443D">
        <w:t>; </w:t>
      </w:r>
      <w:proofErr w:type="spellStart"/>
      <w:r w:rsidRPr="00C05BF0">
        <w:t>Hilari</w:t>
      </w:r>
      <w:proofErr w:type="spellEnd"/>
      <w:r w:rsidRPr="00C05BF0">
        <w:t xml:space="preserve"> and Northcott, 2017</w:t>
      </w:r>
      <w:r w:rsidRPr="004D443D">
        <w:t>; </w:t>
      </w:r>
      <w:r w:rsidRPr="00C05BF0">
        <w:t>Pike et al., 2017</w:t>
      </w:r>
      <w:r w:rsidRPr="004D443D">
        <w:t>; </w:t>
      </w:r>
      <w:r w:rsidRPr="00C05BF0">
        <w:t>Simmons-Mackie, 2018</w:t>
      </w:r>
      <w:r w:rsidRPr="004D443D">
        <w:t>), the inclusion of, and separate reporting of data for, PWAs is warranted.</w:t>
      </w:r>
    </w:p>
    <w:p w14:paraId="3C6663FF" w14:textId="77777777" w:rsidR="004D443D" w:rsidRPr="004D443D" w:rsidRDefault="004D443D" w:rsidP="007F44FA">
      <w:pPr>
        <w:pStyle w:val="Heading1"/>
      </w:pPr>
      <w:bookmarkStart w:id="21" w:name="h6"/>
      <w:bookmarkEnd w:id="21"/>
      <w:r w:rsidRPr="004D443D">
        <w:t>Conclusion</w:t>
      </w:r>
    </w:p>
    <w:p w14:paraId="3F1708AD" w14:textId="77777777" w:rsidR="004D443D" w:rsidRPr="004D443D" w:rsidRDefault="004D443D" w:rsidP="004D443D">
      <w:r w:rsidRPr="004D443D">
        <w:t>Within the field of stroke rehabilitation, and especially within the field of aphasiology, there is great need for improved individualization and optimization of rehabilitation. One of the primary limiting factors in achieving this goal is the lack of sensitive measures that can predict treatment response. Simply looking at an individual’s behavioral profile or examining structural or functional MRI records has proven insufficient to determine the treatment course that will lead to greatest functional recovery for that individual. This is especially critical for adults engaging in rehabilitation, since private insurance companies may impose annual caps on total therapy hours or dollars, or limit access to therapy for individuals with mild or latent, but functionally debilitating or limiting, deficits. By improving individualization of treatment and thereby maximizing outcomes, PWAs will be more likely to experience meaningful improvements in everyday living.</w:t>
      </w:r>
    </w:p>
    <w:p w14:paraId="71B4A2EC" w14:textId="77777777" w:rsidR="004D443D" w:rsidRPr="004D443D" w:rsidRDefault="004D443D" w:rsidP="004D443D">
      <w:r w:rsidRPr="004D443D">
        <w:t xml:space="preserve">Resting-state investigations, both </w:t>
      </w:r>
      <w:proofErr w:type="spellStart"/>
      <w:r w:rsidRPr="004D443D">
        <w:t>rsEEG</w:t>
      </w:r>
      <w:proofErr w:type="spellEnd"/>
      <w:r w:rsidRPr="004D443D">
        <w:t xml:space="preserve"> and </w:t>
      </w:r>
      <w:proofErr w:type="spellStart"/>
      <w:r w:rsidRPr="004D443D">
        <w:t>rsfMRI</w:t>
      </w:r>
      <w:proofErr w:type="spellEnd"/>
      <w:r w:rsidRPr="004D443D">
        <w:t xml:space="preserve">, hold great advantages for the inclusion of PWAs (or others with specific post-stroke deficits that alter behavioral task performance) in research studies. Resting-state paradigms allow investigations of functional networks without the confounds of response accuracy, variable cognitive load across participants, and the differential recruitment of brain areas in response to cognitive load. In this study, speech-language </w:t>
      </w:r>
      <w:proofErr w:type="gramStart"/>
      <w:r w:rsidRPr="004D443D">
        <w:t>pathologists</w:t>
      </w:r>
      <w:proofErr w:type="gramEnd"/>
      <w:r w:rsidRPr="004D443D">
        <w:t xml:space="preserve"> and speech-language pathology master’s students with little to no background in EEG were able to collect high quality data, regardless of the severity of participant deficits, following provision of a detailed study procedures manual, several training (including practice) sessions, and minimal supervision during initial participant sessions. Spectral </w:t>
      </w:r>
      <w:proofErr w:type="spellStart"/>
      <w:r w:rsidRPr="004D443D">
        <w:t>rsEEG</w:t>
      </w:r>
      <w:proofErr w:type="spellEnd"/>
      <w:r w:rsidRPr="004D443D">
        <w:t>, especially when recorded in an eyes-closed condition, shows potential as a means of improving diagnostic sensitivity, tracking outcomes, and individualizing therapy for maximum benefit given its reliability, persistent changes after stroke, and correlations with behavioral function.</w:t>
      </w:r>
    </w:p>
    <w:p w14:paraId="39DB1BEA" w14:textId="77777777" w:rsidR="004D443D" w:rsidRPr="004D443D" w:rsidRDefault="004D443D" w:rsidP="007F44FA">
      <w:pPr>
        <w:pStyle w:val="Heading1"/>
      </w:pPr>
      <w:bookmarkStart w:id="22" w:name="h7"/>
      <w:bookmarkEnd w:id="22"/>
      <w:r w:rsidRPr="004D443D">
        <w:t>Data Availability Statement</w:t>
      </w:r>
    </w:p>
    <w:p w14:paraId="25CAB44E" w14:textId="77777777" w:rsidR="004D443D" w:rsidRPr="004D443D" w:rsidRDefault="004D443D" w:rsidP="004D443D">
      <w:r w:rsidRPr="004D443D">
        <w:t>The raw data supporting the conclusions of this article will be made available by the authors, without undue reservation.</w:t>
      </w:r>
    </w:p>
    <w:p w14:paraId="6C73D512" w14:textId="77777777" w:rsidR="004D443D" w:rsidRPr="004D443D" w:rsidRDefault="004D443D" w:rsidP="007F44FA">
      <w:pPr>
        <w:pStyle w:val="Heading1"/>
      </w:pPr>
      <w:bookmarkStart w:id="23" w:name="h8"/>
      <w:bookmarkEnd w:id="23"/>
      <w:r w:rsidRPr="004D443D">
        <w:t>Ethics Statement</w:t>
      </w:r>
    </w:p>
    <w:p w14:paraId="32C21158" w14:textId="77777777" w:rsidR="004D443D" w:rsidRPr="004D443D" w:rsidRDefault="004D443D" w:rsidP="004D443D">
      <w:r w:rsidRPr="004D443D">
        <w:t>The studies involving human participants were reviewed and approved by Institutional Review Board – Human Research Review Committee University of New Mexico Health Sciences. The patients/participants provided their written informed consent to participate in this study.</w:t>
      </w:r>
    </w:p>
    <w:p w14:paraId="5A2035E8" w14:textId="77777777" w:rsidR="004D443D" w:rsidRPr="004D443D" w:rsidRDefault="004D443D" w:rsidP="007F44FA">
      <w:pPr>
        <w:pStyle w:val="Heading1"/>
      </w:pPr>
      <w:bookmarkStart w:id="24" w:name="h9"/>
      <w:bookmarkEnd w:id="24"/>
      <w:r w:rsidRPr="004D443D">
        <w:t>Author Contributions</w:t>
      </w:r>
    </w:p>
    <w:p w14:paraId="20C0F66D" w14:textId="77777777" w:rsidR="004D443D" w:rsidRPr="004D443D" w:rsidRDefault="004D443D" w:rsidP="004D443D">
      <w:r w:rsidRPr="004D443D">
        <w:t>SD contributed to all aspects of the research process including study conception and design, data collection, data analysis, and manuscript drafting. JC contributed to study conception and design, data analysis, and manuscript revisions. JR contributed to study conception and design, data collection, and manuscript revisions. All authors contributed to the article and approved the submitted version.</w:t>
      </w:r>
    </w:p>
    <w:p w14:paraId="25BA71B7" w14:textId="77777777" w:rsidR="004D443D" w:rsidRPr="004D443D" w:rsidRDefault="004D443D" w:rsidP="007F44FA">
      <w:pPr>
        <w:pStyle w:val="Heading1"/>
      </w:pPr>
      <w:bookmarkStart w:id="25" w:name="fun1"/>
      <w:bookmarkEnd w:id="25"/>
      <w:r w:rsidRPr="004D443D">
        <w:t>Funding</w:t>
      </w:r>
    </w:p>
    <w:p w14:paraId="7CA94335" w14:textId="77777777" w:rsidR="004D443D" w:rsidRPr="004D443D" w:rsidRDefault="004D443D" w:rsidP="004D443D">
      <w:r w:rsidRPr="004D443D">
        <w:t>JR and JC received grant support through an Institutional Development Award (</w:t>
      </w:r>
      <w:proofErr w:type="spellStart"/>
      <w:r w:rsidRPr="004D443D">
        <w:t>IDeA</w:t>
      </w:r>
      <w:proofErr w:type="spellEnd"/>
      <w:r w:rsidRPr="004D443D">
        <w:t>) from the National Institute of General Medical Sciences of the National Institutes of Health under grant number P20GM109089.</w:t>
      </w:r>
    </w:p>
    <w:p w14:paraId="04843E45" w14:textId="77777777" w:rsidR="004D443D" w:rsidRPr="004D443D" w:rsidRDefault="004D443D" w:rsidP="007F44FA">
      <w:pPr>
        <w:pStyle w:val="Heading1"/>
      </w:pPr>
      <w:bookmarkStart w:id="26" w:name="conf1"/>
      <w:bookmarkEnd w:id="26"/>
      <w:r w:rsidRPr="004D443D">
        <w:t>Conflict of Interest</w:t>
      </w:r>
    </w:p>
    <w:p w14:paraId="605593D6" w14:textId="77777777" w:rsidR="004D443D" w:rsidRPr="004D443D" w:rsidRDefault="004D443D" w:rsidP="004D443D">
      <w:r w:rsidRPr="004D443D">
        <w:t>The authors declare that the research was conducted in the absence of any commercial or financial relationships that could be construed as a potential conflict of interest.</w:t>
      </w:r>
    </w:p>
    <w:p w14:paraId="4E15707A" w14:textId="77777777" w:rsidR="004D443D" w:rsidRPr="004D443D" w:rsidRDefault="004D443D" w:rsidP="007F44FA">
      <w:pPr>
        <w:pStyle w:val="Heading1"/>
      </w:pPr>
      <w:bookmarkStart w:id="27" w:name="ack1"/>
      <w:bookmarkEnd w:id="27"/>
      <w:r w:rsidRPr="004D443D">
        <w:t>Acknowledgments</w:t>
      </w:r>
    </w:p>
    <w:p w14:paraId="2788DC34" w14:textId="77777777" w:rsidR="004D443D" w:rsidRPr="004D443D" w:rsidRDefault="004D443D" w:rsidP="004D443D">
      <w:r w:rsidRPr="004D443D">
        <w:t>The authors would like to thank Janet Adams for her assistance during the data collection and data processing phases of this project.</w:t>
      </w:r>
    </w:p>
    <w:p w14:paraId="48746F3D" w14:textId="77777777" w:rsidR="004D443D" w:rsidRPr="004D443D" w:rsidRDefault="004D443D" w:rsidP="007F44FA">
      <w:pPr>
        <w:pStyle w:val="Heading1"/>
      </w:pPr>
      <w:bookmarkStart w:id="28" w:name="S11"/>
      <w:bookmarkEnd w:id="28"/>
      <w:r w:rsidRPr="004D443D">
        <w:t>Supplementary Material</w:t>
      </w:r>
    </w:p>
    <w:p w14:paraId="35DC416A" w14:textId="760B66A6" w:rsidR="004D443D" w:rsidRPr="004D443D" w:rsidRDefault="004D443D" w:rsidP="004D443D">
      <w:r w:rsidRPr="004D443D">
        <w:t>The Supplementary Material for this article can be found online at: </w:t>
      </w:r>
      <w:r w:rsidRPr="00C05BF0">
        <w:t>https://www.frontiersin.org/articles/10.3389/fnhum.2021.624660/full#supplementary-material</w:t>
      </w:r>
    </w:p>
    <w:p w14:paraId="5DC65992" w14:textId="77777777" w:rsidR="004D443D" w:rsidRPr="004D443D" w:rsidRDefault="004D443D" w:rsidP="007F44FA">
      <w:pPr>
        <w:pStyle w:val="Heading1"/>
      </w:pPr>
      <w:bookmarkStart w:id="29" w:name="FNT1"/>
      <w:bookmarkEnd w:id="29"/>
      <w:r w:rsidRPr="004D443D">
        <w:t>Footnotes</w:t>
      </w:r>
    </w:p>
    <w:p w14:paraId="1D671C9E" w14:textId="0CF4E42F" w:rsidR="004D443D" w:rsidRPr="004D443D" w:rsidRDefault="00FE4589" w:rsidP="004D443D">
      <w:pPr>
        <w:numPr>
          <w:ilvl w:val="0"/>
          <w:numId w:val="18"/>
        </w:numPr>
      </w:pPr>
      <w:r w:rsidRPr="00C05BF0">
        <w:t>http://www.brainnet.net</w:t>
      </w:r>
    </w:p>
    <w:p w14:paraId="17C1A66D" w14:textId="05DADDE6" w:rsidR="004D443D" w:rsidRPr="004D443D" w:rsidRDefault="00FE4589" w:rsidP="004D443D">
      <w:pPr>
        <w:numPr>
          <w:ilvl w:val="0"/>
          <w:numId w:val="18"/>
        </w:numPr>
      </w:pPr>
      <w:r w:rsidRPr="00C05BF0">
        <w:t>http://predict.cs.unm.edu</w:t>
      </w:r>
    </w:p>
    <w:p w14:paraId="7B1A72F2" w14:textId="77777777" w:rsidR="004D443D" w:rsidRPr="004D443D" w:rsidRDefault="004D443D" w:rsidP="007F44FA">
      <w:pPr>
        <w:pStyle w:val="Heading1"/>
      </w:pPr>
      <w:bookmarkStart w:id="30" w:name="refer1"/>
      <w:bookmarkEnd w:id="30"/>
      <w:r w:rsidRPr="004D443D">
        <w:t>References</w:t>
      </w:r>
    </w:p>
    <w:p w14:paraId="40B89577" w14:textId="77777777" w:rsidR="004D443D" w:rsidRPr="004D443D" w:rsidRDefault="004D443D" w:rsidP="00FE4589">
      <w:pPr>
        <w:pStyle w:val="NoSpacing"/>
        <w:ind w:left="720" w:hanging="720"/>
      </w:pPr>
      <w:bookmarkStart w:id="31" w:name="B1"/>
      <w:bookmarkEnd w:id="31"/>
      <w:proofErr w:type="spellStart"/>
      <w:r w:rsidRPr="004D443D">
        <w:t>Aickin</w:t>
      </w:r>
      <w:proofErr w:type="spellEnd"/>
      <w:r w:rsidRPr="004D443D">
        <w:t>, M., and Gensler, H. (1996). Adjusting for multiple testing when reporting research results: the Bonferroni vs Holm methods. </w:t>
      </w:r>
      <w:r w:rsidRPr="004D443D">
        <w:rPr>
          <w:i/>
          <w:iCs/>
        </w:rPr>
        <w:t>Am. J. Public Health</w:t>
      </w:r>
      <w:r w:rsidRPr="004D443D">
        <w:t xml:space="preserve"> 86, 726–728. </w:t>
      </w:r>
      <w:proofErr w:type="spellStart"/>
      <w:r w:rsidRPr="004D443D">
        <w:t>doi</w:t>
      </w:r>
      <w:proofErr w:type="spellEnd"/>
      <w:r w:rsidRPr="004D443D">
        <w:t>: 10.2105/ajph.86.5.726</w:t>
      </w:r>
    </w:p>
    <w:p w14:paraId="454B1224" w14:textId="77777777" w:rsidR="004D443D" w:rsidRPr="004D443D" w:rsidRDefault="004D443D" w:rsidP="00FE4589">
      <w:pPr>
        <w:pStyle w:val="NoSpacing"/>
        <w:ind w:left="720" w:hanging="720"/>
      </w:pPr>
      <w:bookmarkStart w:id="32" w:name="B2"/>
      <w:bookmarkEnd w:id="32"/>
      <w:proofErr w:type="spellStart"/>
      <w:r w:rsidRPr="004D443D">
        <w:t>Antzoulatos</w:t>
      </w:r>
      <w:proofErr w:type="spellEnd"/>
      <w:r w:rsidRPr="004D443D">
        <w:t>, E. G., and Miller, E. K. (2016). Synchronous beta rhythms of frontoparietal networks support only behaviorally relevant representations. </w:t>
      </w:r>
      <w:proofErr w:type="spellStart"/>
      <w:r w:rsidRPr="004D443D">
        <w:rPr>
          <w:i/>
          <w:iCs/>
        </w:rPr>
        <w:t>eLife</w:t>
      </w:r>
      <w:proofErr w:type="spellEnd"/>
      <w:r w:rsidRPr="004D443D">
        <w:t> </w:t>
      </w:r>
      <w:proofErr w:type="gramStart"/>
      <w:r w:rsidRPr="004D443D">
        <w:t>5:e</w:t>
      </w:r>
      <w:proofErr w:type="gramEnd"/>
      <w:r w:rsidRPr="004D443D">
        <w:t>17822.</w:t>
      </w:r>
    </w:p>
    <w:p w14:paraId="69CC5F32" w14:textId="77777777" w:rsidR="004D443D" w:rsidRPr="004D443D" w:rsidRDefault="004D443D" w:rsidP="00FE4589">
      <w:pPr>
        <w:pStyle w:val="NoSpacing"/>
        <w:ind w:left="720" w:hanging="720"/>
      </w:pPr>
      <w:bookmarkStart w:id="33" w:name="B3"/>
      <w:bookmarkEnd w:id="33"/>
      <w:proofErr w:type="spellStart"/>
      <w:r w:rsidRPr="004D443D">
        <w:t>Ayerbe</w:t>
      </w:r>
      <w:proofErr w:type="spellEnd"/>
      <w:r w:rsidRPr="004D443D">
        <w:t xml:space="preserve">, L., </w:t>
      </w:r>
      <w:proofErr w:type="spellStart"/>
      <w:r w:rsidRPr="004D443D">
        <w:t>Ayis</w:t>
      </w:r>
      <w:proofErr w:type="spellEnd"/>
      <w:r w:rsidRPr="004D443D">
        <w:t xml:space="preserve">, S., Wolfe, C. D., and Rudd, A. G. (2013). Natural history, </w:t>
      </w:r>
      <w:proofErr w:type="gramStart"/>
      <w:r w:rsidRPr="004D443D">
        <w:t>predictors</w:t>
      </w:r>
      <w:proofErr w:type="gramEnd"/>
      <w:r w:rsidRPr="004D443D">
        <w:t xml:space="preserve"> and outcomes of depression after stroke: systematic review and meta-analysis. </w:t>
      </w:r>
      <w:r w:rsidRPr="004D443D">
        <w:rPr>
          <w:i/>
          <w:iCs/>
        </w:rPr>
        <w:t>Br. J. Psychiatry</w:t>
      </w:r>
      <w:r w:rsidRPr="004D443D">
        <w:t xml:space="preserve"> 202, 14–21. </w:t>
      </w:r>
      <w:proofErr w:type="spellStart"/>
      <w:r w:rsidRPr="004D443D">
        <w:t>doi</w:t>
      </w:r>
      <w:proofErr w:type="spellEnd"/>
      <w:r w:rsidRPr="004D443D">
        <w:t>: 10.1192/bjp.bp.111.107664</w:t>
      </w:r>
    </w:p>
    <w:p w14:paraId="4C0BFC2C" w14:textId="77777777" w:rsidR="004D443D" w:rsidRPr="004D443D" w:rsidRDefault="004D443D" w:rsidP="00FE4589">
      <w:pPr>
        <w:pStyle w:val="NoSpacing"/>
        <w:ind w:left="720" w:hanging="720"/>
      </w:pPr>
      <w:bookmarkStart w:id="34" w:name="B4"/>
      <w:bookmarkEnd w:id="34"/>
      <w:r w:rsidRPr="004D443D">
        <w:t>Barry, R. J., and De Blasio, F. M. (2017). EEG differences between eyes-closed and eyes-open resting remain in healthy ageing. </w:t>
      </w:r>
      <w:r w:rsidRPr="004D443D">
        <w:rPr>
          <w:i/>
          <w:iCs/>
        </w:rPr>
        <w:t>Biol. Psychol.</w:t>
      </w:r>
      <w:r w:rsidRPr="004D443D">
        <w:t xml:space="preserve"> 129, 293–304. </w:t>
      </w:r>
      <w:proofErr w:type="spellStart"/>
      <w:r w:rsidRPr="004D443D">
        <w:t>doi</w:t>
      </w:r>
      <w:proofErr w:type="spellEnd"/>
      <w:r w:rsidRPr="004D443D">
        <w:t>: 10.1016/j.biopsycho.2017.09.010</w:t>
      </w:r>
    </w:p>
    <w:p w14:paraId="66439BA6" w14:textId="77777777" w:rsidR="004D443D" w:rsidRPr="004D443D" w:rsidRDefault="004D443D" w:rsidP="00FE4589">
      <w:pPr>
        <w:pStyle w:val="NoSpacing"/>
        <w:ind w:left="720" w:hanging="720"/>
      </w:pPr>
      <w:bookmarkStart w:id="35" w:name="B5"/>
      <w:bookmarkEnd w:id="35"/>
      <w:r w:rsidRPr="004D443D">
        <w:t xml:space="preserve">Barry, R. J., Clarke, A. R., Johnstone, S. J., Magee, C. A., and </w:t>
      </w:r>
      <w:proofErr w:type="spellStart"/>
      <w:r w:rsidRPr="004D443D">
        <w:t>Rushby</w:t>
      </w:r>
      <w:proofErr w:type="spellEnd"/>
      <w:r w:rsidRPr="004D443D">
        <w:t>, J. A. (2007). EEG differences between eyes-closed and eyes-open resting conditions. </w:t>
      </w:r>
      <w:r w:rsidRPr="004D443D">
        <w:rPr>
          <w:i/>
          <w:iCs/>
        </w:rPr>
        <w:t xml:space="preserve">Clin. </w:t>
      </w:r>
      <w:proofErr w:type="spellStart"/>
      <w:r w:rsidRPr="004D443D">
        <w:rPr>
          <w:i/>
          <w:iCs/>
        </w:rPr>
        <w:t>Neurophysiol</w:t>
      </w:r>
      <w:proofErr w:type="spellEnd"/>
      <w:r w:rsidRPr="004D443D">
        <w:rPr>
          <w:i/>
          <w:iCs/>
        </w:rPr>
        <w:t>.</w:t>
      </w:r>
      <w:r w:rsidRPr="004D443D">
        <w:t xml:space="preserve"> 118, 2765–2773. </w:t>
      </w:r>
      <w:proofErr w:type="spellStart"/>
      <w:r w:rsidRPr="004D443D">
        <w:t>doi</w:t>
      </w:r>
      <w:proofErr w:type="spellEnd"/>
      <w:r w:rsidRPr="004D443D">
        <w:t>: 10.1016/j.clinph.2007.07.028</w:t>
      </w:r>
    </w:p>
    <w:p w14:paraId="70337C12" w14:textId="77777777" w:rsidR="004D443D" w:rsidRPr="004D443D" w:rsidRDefault="004D443D" w:rsidP="00FE4589">
      <w:pPr>
        <w:pStyle w:val="NoSpacing"/>
        <w:ind w:left="720" w:hanging="720"/>
      </w:pPr>
      <w:bookmarkStart w:id="36" w:name="B6"/>
      <w:bookmarkEnd w:id="36"/>
      <w:proofErr w:type="spellStart"/>
      <w:r w:rsidRPr="004D443D">
        <w:t>Beharelle</w:t>
      </w:r>
      <w:proofErr w:type="spellEnd"/>
      <w:r w:rsidRPr="004D443D">
        <w:t xml:space="preserve">, A. R., </w:t>
      </w:r>
      <w:proofErr w:type="spellStart"/>
      <w:r w:rsidRPr="004D443D">
        <w:t>Kovačević</w:t>
      </w:r>
      <w:proofErr w:type="spellEnd"/>
      <w:r w:rsidRPr="004D443D">
        <w:t>, N., McIntosh, A. R., and Levine, B. (2012). Brain signal variability relates to stability of behavior after recovery from diffuse brain injury. </w:t>
      </w:r>
      <w:r w:rsidRPr="004D443D">
        <w:rPr>
          <w:i/>
          <w:iCs/>
        </w:rPr>
        <w:t>Neuroimage</w:t>
      </w:r>
      <w:r w:rsidRPr="004D443D">
        <w:t xml:space="preserve"> 60, 1528–1537. </w:t>
      </w:r>
      <w:proofErr w:type="spellStart"/>
      <w:r w:rsidRPr="004D443D">
        <w:t>doi</w:t>
      </w:r>
      <w:proofErr w:type="spellEnd"/>
      <w:r w:rsidRPr="004D443D">
        <w:t>: 10.1016/j.neuroimage.2012.01.037</w:t>
      </w:r>
    </w:p>
    <w:p w14:paraId="63892D76" w14:textId="77777777" w:rsidR="004D443D" w:rsidRPr="004D443D" w:rsidRDefault="004D443D" w:rsidP="00FE4589">
      <w:pPr>
        <w:pStyle w:val="NoSpacing"/>
        <w:ind w:left="720" w:hanging="720"/>
      </w:pPr>
      <w:bookmarkStart w:id="37" w:name="B7"/>
      <w:bookmarkEnd w:id="37"/>
      <w:r w:rsidRPr="004D443D">
        <w:t xml:space="preserve">Bolduc, C., </w:t>
      </w:r>
      <w:proofErr w:type="spellStart"/>
      <w:r w:rsidRPr="004D443D">
        <w:t>Daoust</w:t>
      </w:r>
      <w:proofErr w:type="spellEnd"/>
      <w:r w:rsidRPr="004D443D">
        <w:t>, A. M., Limoges, É, Braun, C. M., and Godbout, R. (2003). Hemispheric lateralization of the EEG during wakefulness and REM sleep in young healthy adults. </w:t>
      </w:r>
      <w:r w:rsidRPr="004D443D">
        <w:rPr>
          <w:i/>
          <w:iCs/>
        </w:rPr>
        <w:t xml:space="preserve">Brain </w:t>
      </w:r>
      <w:proofErr w:type="spellStart"/>
      <w:r w:rsidRPr="004D443D">
        <w:rPr>
          <w:i/>
          <w:iCs/>
        </w:rPr>
        <w:t>Cogn</w:t>
      </w:r>
      <w:proofErr w:type="spellEnd"/>
      <w:r w:rsidRPr="004D443D">
        <w:rPr>
          <w:i/>
          <w:iCs/>
        </w:rPr>
        <w:t>.</w:t>
      </w:r>
      <w:r w:rsidRPr="004D443D">
        <w:t xml:space="preserve"> 53, 193–196. </w:t>
      </w:r>
      <w:proofErr w:type="spellStart"/>
      <w:r w:rsidRPr="004D443D">
        <w:t>doi</w:t>
      </w:r>
      <w:proofErr w:type="spellEnd"/>
      <w:r w:rsidRPr="004D443D">
        <w:t>: 10.1016/s0278-2626(03)00108-8</w:t>
      </w:r>
    </w:p>
    <w:p w14:paraId="7F1A5161" w14:textId="77777777" w:rsidR="004D443D" w:rsidRPr="004D443D" w:rsidRDefault="004D443D" w:rsidP="00FE4589">
      <w:pPr>
        <w:pStyle w:val="NoSpacing"/>
        <w:ind w:left="720" w:hanging="720"/>
      </w:pPr>
      <w:bookmarkStart w:id="38" w:name="B8"/>
      <w:bookmarkEnd w:id="38"/>
      <w:proofErr w:type="spellStart"/>
      <w:r w:rsidRPr="004D443D">
        <w:t>Boneau</w:t>
      </w:r>
      <w:proofErr w:type="spellEnd"/>
      <w:r w:rsidRPr="004D443D">
        <w:t>, C. A. (1960). The effects of violations of assumptions underlying the t test. </w:t>
      </w:r>
      <w:r w:rsidRPr="004D443D">
        <w:rPr>
          <w:i/>
          <w:iCs/>
        </w:rPr>
        <w:t>Psychol. Bull.</w:t>
      </w:r>
      <w:r w:rsidRPr="004D443D">
        <w:t xml:space="preserve"> 57, 49–64. </w:t>
      </w:r>
      <w:proofErr w:type="spellStart"/>
      <w:r w:rsidRPr="004D443D">
        <w:t>doi</w:t>
      </w:r>
      <w:proofErr w:type="spellEnd"/>
      <w:r w:rsidRPr="004D443D">
        <w:t>: 10.1037/h0041412</w:t>
      </w:r>
    </w:p>
    <w:p w14:paraId="33809813" w14:textId="77777777" w:rsidR="004D443D" w:rsidRPr="004D443D" w:rsidRDefault="004D443D" w:rsidP="00FE4589">
      <w:pPr>
        <w:pStyle w:val="NoSpacing"/>
        <w:ind w:left="720" w:hanging="720"/>
      </w:pPr>
      <w:bookmarkStart w:id="39" w:name="B9"/>
      <w:bookmarkEnd w:id="39"/>
      <w:proofErr w:type="spellStart"/>
      <w:r w:rsidRPr="004D443D">
        <w:t>Borghini</w:t>
      </w:r>
      <w:proofErr w:type="spellEnd"/>
      <w:r w:rsidRPr="004D443D">
        <w:t xml:space="preserve">, G., </w:t>
      </w:r>
      <w:proofErr w:type="spellStart"/>
      <w:r w:rsidRPr="004D443D">
        <w:t>Aricò</w:t>
      </w:r>
      <w:proofErr w:type="spellEnd"/>
      <w:r w:rsidRPr="004D443D">
        <w:t xml:space="preserve">, P., </w:t>
      </w:r>
      <w:proofErr w:type="spellStart"/>
      <w:r w:rsidRPr="004D443D">
        <w:t>Flumeri</w:t>
      </w:r>
      <w:proofErr w:type="spellEnd"/>
      <w:r w:rsidRPr="004D443D">
        <w:t xml:space="preserve">, G. D., </w:t>
      </w:r>
      <w:proofErr w:type="spellStart"/>
      <w:r w:rsidRPr="004D443D">
        <w:t>Cartocci</w:t>
      </w:r>
      <w:proofErr w:type="spellEnd"/>
      <w:r w:rsidRPr="004D443D">
        <w:t xml:space="preserve">, G., </w:t>
      </w:r>
      <w:proofErr w:type="spellStart"/>
      <w:r w:rsidRPr="004D443D">
        <w:t>Colosimo</w:t>
      </w:r>
      <w:proofErr w:type="spellEnd"/>
      <w:r w:rsidRPr="004D443D">
        <w:t xml:space="preserve">, A., </w:t>
      </w:r>
      <w:proofErr w:type="spellStart"/>
      <w:r w:rsidRPr="004D443D">
        <w:t>Bonelli</w:t>
      </w:r>
      <w:proofErr w:type="spellEnd"/>
      <w:r w:rsidRPr="004D443D">
        <w:t>, S., et al. (2017). EEG-Based cognitive control behaviour assessment: an ecological study with professional air traffic controllers. </w:t>
      </w:r>
      <w:r w:rsidRPr="004D443D">
        <w:rPr>
          <w:i/>
          <w:iCs/>
        </w:rPr>
        <w:t>Sci. Rep.</w:t>
      </w:r>
      <w:r w:rsidRPr="004D443D">
        <w:t xml:space="preserve"> 7:547. </w:t>
      </w:r>
      <w:proofErr w:type="spellStart"/>
      <w:r w:rsidRPr="004D443D">
        <w:t>doi</w:t>
      </w:r>
      <w:proofErr w:type="spellEnd"/>
      <w:r w:rsidRPr="004D443D">
        <w:t>: 10.1038/s41598-017-00633-7</w:t>
      </w:r>
    </w:p>
    <w:p w14:paraId="0A14083F" w14:textId="77777777" w:rsidR="004D443D" w:rsidRPr="004D443D" w:rsidRDefault="004D443D" w:rsidP="00FE4589">
      <w:pPr>
        <w:pStyle w:val="NoSpacing"/>
        <w:ind w:left="720" w:hanging="720"/>
      </w:pPr>
      <w:bookmarkStart w:id="40" w:name="B10"/>
      <w:bookmarkEnd w:id="40"/>
      <w:r w:rsidRPr="004D443D">
        <w:t>Bradley, J. V. (1982). The insidious L-shaped distribution. </w:t>
      </w:r>
      <w:r w:rsidRPr="004D443D">
        <w:rPr>
          <w:i/>
          <w:iCs/>
        </w:rPr>
        <w:t>Bull. Psycho. Soc.</w:t>
      </w:r>
      <w:r w:rsidRPr="004D443D">
        <w:t xml:space="preserve"> 20, 85–88. </w:t>
      </w:r>
      <w:proofErr w:type="spellStart"/>
      <w:r w:rsidRPr="004D443D">
        <w:t>doi</w:t>
      </w:r>
      <w:proofErr w:type="spellEnd"/>
      <w:r w:rsidRPr="004D443D">
        <w:t>: 10.3758/bf03330089</w:t>
      </w:r>
    </w:p>
    <w:p w14:paraId="665F861F" w14:textId="77777777" w:rsidR="004D443D" w:rsidRPr="004D443D" w:rsidRDefault="004D443D" w:rsidP="00FE4589">
      <w:pPr>
        <w:pStyle w:val="NoSpacing"/>
        <w:ind w:left="720" w:hanging="720"/>
      </w:pPr>
      <w:bookmarkStart w:id="41" w:name="B11"/>
      <w:bookmarkEnd w:id="41"/>
      <w:r w:rsidRPr="004D443D">
        <w:t>Brady, M. C., Fredrick, A., and Williams, B. (2013). People with aphasia: capacity to consent, research participation and intervention inequalities. </w:t>
      </w:r>
      <w:r w:rsidRPr="004D443D">
        <w:rPr>
          <w:i/>
          <w:iCs/>
        </w:rPr>
        <w:t>Int. J. Stroke</w:t>
      </w:r>
      <w:r w:rsidRPr="004D443D">
        <w:t xml:space="preserve"> 8, 193–196. </w:t>
      </w:r>
      <w:proofErr w:type="spellStart"/>
      <w:r w:rsidRPr="004D443D">
        <w:t>doi</w:t>
      </w:r>
      <w:proofErr w:type="spellEnd"/>
      <w:r w:rsidRPr="004D443D">
        <w:t>: 10.1111/j.1747-4949.</w:t>
      </w:r>
      <w:proofErr w:type="gramStart"/>
      <w:r w:rsidRPr="004D443D">
        <w:t>2012.00900.x</w:t>
      </w:r>
      <w:proofErr w:type="gramEnd"/>
    </w:p>
    <w:p w14:paraId="6B4523D4" w14:textId="77777777" w:rsidR="004D443D" w:rsidRPr="004D443D" w:rsidRDefault="004D443D" w:rsidP="00FE4589">
      <w:pPr>
        <w:pStyle w:val="NoSpacing"/>
        <w:ind w:left="720" w:hanging="720"/>
      </w:pPr>
      <w:bookmarkStart w:id="42" w:name="B12"/>
      <w:bookmarkEnd w:id="42"/>
      <w:r w:rsidRPr="004D443D">
        <w:t>Brady, M. C., Kelly, H., Godwin, J., Enderby, P., and Campbell, P. (2016). Speech and language therapy for aphasia following stroke. </w:t>
      </w:r>
      <w:r w:rsidRPr="004D443D">
        <w:rPr>
          <w:i/>
          <w:iCs/>
        </w:rPr>
        <w:t>Cochrane Database Syst. Rev.</w:t>
      </w:r>
      <w:r w:rsidRPr="004D443D">
        <w:t xml:space="preserve"> 6, 1–308. </w:t>
      </w:r>
      <w:proofErr w:type="spellStart"/>
      <w:r w:rsidRPr="004D443D">
        <w:t>doi</w:t>
      </w:r>
      <w:proofErr w:type="spellEnd"/>
      <w:r w:rsidRPr="004D443D">
        <w:t>: 10.1002/14651858.cd000425.pub4</w:t>
      </w:r>
    </w:p>
    <w:p w14:paraId="7F7A1050" w14:textId="77777777" w:rsidR="004D443D" w:rsidRPr="004D443D" w:rsidRDefault="004D443D" w:rsidP="00FE4589">
      <w:pPr>
        <w:pStyle w:val="NoSpacing"/>
        <w:ind w:left="720" w:hanging="720"/>
      </w:pPr>
      <w:bookmarkStart w:id="43" w:name="B13"/>
      <w:bookmarkEnd w:id="43"/>
      <w:r w:rsidRPr="004D443D">
        <w:t>Brookshire, R. H., and Nicholas, L. E. (1997). </w:t>
      </w:r>
      <w:r w:rsidRPr="004D443D">
        <w:rPr>
          <w:i/>
          <w:iCs/>
        </w:rPr>
        <w:t>Discourse Comprehension Test: Test Manual.</w:t>
      </w:r>
      <w:r w:rsidRPr="004D443D">
        <w:t> Minneapolis, MN: BRK Publishers.</w:t>
      </w:r>
    </w:p>
    <w:p w14:paraId="4D4B5C48" w14:textId="77777777" w:rsidR="004D443D" w:rsidRPr="004D443D" w:rsidRDefault="004D443D" w:rsidP="00FE4589">
      <w:pPr>
        <w:pStyle w:val="NoSpacing"/>
        <w:ind w:left="720" w:hanging="720"/>
      </w:pPr>
      <w:bookmarkStart w:id="44" w:name="B14"/>
      <w:bookmarkEnd w:id="44"/>
      <w:r w:rsidRPr="004D443D">
        <w:t xml:space="preserve">Carrick, F. R., </w:t>
      </w:r>
      <w:proofErr w:type="spellStart"/>
      <w:r w:rsidRPr="004D443D">
        <w:t>Oggero</w:t>
      </w:r>
      <w:proofErr w:type="spellEnd"/>
      <w:r w:rsidRPr="004D443D">
        <w:t xml:space="preserve">, E., </w:t>
      </w:r>
      <w:proofErr w:type="spellStart"/>
      <w:r w:rsidRPr="004D443D">
        <w:t>Pagnacco</w:t>
      </w:r>
      <w:proofErr w:type="spellEnd"/>
      <w:r w:rsidRPr="004D443D">
        <w:t xml:space="preserve">, G., Wright, C. H., Machado, C., Estrada, G., et al. (2016). Eye-movement training results in changes in </w:t>
      </w:r>
      <w:proofErr w:type="spellStart"/>
      <w:r w:rsidRPr="004D443D">
        <w:t>qEEG</w:t>
      </w:r>
      <w:proofErr w:type="spellEnd"/>
      <w:r w:rsidRPr="004D443D">
        <w:t xml:space="preserve"> and NIH stroke scale in subjects suffering from acute middle cerebral artery ischemic stroke: a randomized control trial. </w:t>
      </w:r>
      <w:r w:rsidRPr="004D443D">
        <w:rPr>
          <w:i/>
          <w:iCs/>
        </w:rPr>
        <w:t>Front. Neurol.</w:t>
      </w:r>
      <w:r w:rsidRPr="004D443D">
        <w:t> 7:3.</w:t>
      </w:r>
    </w:p>
    <w:p w14:paraId="6A942C82" w14:textId="77777777" w:rsidR="004D443D" w:rsidRPr="004D443D" w:rsidRDefault="004D443D" w:rsidP="00FE4589">
      <w:pPr>
        <w:pStyle w:val="NoSpacing"/>
        <w:ind w:left="720" w:hanging="720"/>
      </w:pPr>
      <w:bookmarkStart w:id="45" w:name="B15"/>
      <w:bookmarkEnd w:id="45"/>
      <w:r w:rsidRPr="004D443D">
        <w:t>Cavanagh, J. F. (2015). Cortical delta activity reflects reward prediction error and related behavioral adjustments, but at different times. </w:t>
      </w:r>
      <w:r w:rsidRPr="004D443D">
        <w:rPr>
          <w:i/>
          <w:iCs/>
        </w:rPr>
        <w:t>Neuroimage</w:t>
      </w:r>
      <w:r w:rsidRPr="004D443D">
        <w:t xml:space="preserve"> 110, 205–216. </w:t>
      </w:r>
      <w:proofErr w:type="spellStart"/>
      <w:r w:rsidRPr="004D443D">
        <w:t>doi</w:t>
      </w:r>
      <w:proofErr w:type="spellEnd"/>
      <w:r w:rsidRPr="004D443D">
        <w:t>: 10.1016/j.neuroimage.2015.02.007</w:t>
      </w:r>
    </w:p>
    <w:p w14:paraId="2AD4189D" w14:textId="77777777" w:rsidR="004D443D" w:rsidRPr="004D443D" w:rsidRDefault="004D443D" w:rsidP="00FE4589">
      <w:pPr>
        <w:pStyle w:val="NoSpacing"/>
        <w:ind w:left="720" w:hanging="720"/>
      </w:pPr>
      <w:bookmarkStart w:id="46" w:name="B16"/>
      <w:bookmarkEnd w:id="46"/>
      <w:r w:rsidRPr="004D443D">
        <w:t>Cavanagh, J. F., and Frank, M. J. (2014). Frontal theta as a mechanism for cognitive control. </w:t>
      </w:r>
      <w:r w:rsidRPr="004D443D">
        <w:rPr>
          <w:i/>
          <w:iCs/>
        </w:rPr>
        <w:t xml:space="preserve">Trends </w:t>
      </w:r>
      <w:proofErr w:type="spellStart"/>
      <w:r w:rsidRPr="004D443D">
        <w:rPr>
          <w:i/>
          <w:iCs/>
        </w:rPr>
        <w:t>Cogn</w:t>
      </w:r>
      <w:proofErr w:type="spellEnd"/>
      <w:r w:rsidRPr="004D443D">
        <w:rPr>
          <w:i/>
          <w:iCs/>
        </w:rPr>
        <w:t>. Sci.</w:t>
      </w:r>
      <w:r w:rsidRPr="004D443D">
        <w:t xml:space="preserve"> 18, 414–421. </w:t>
      </w:r>
      <w:proofErr w:type="spellStart"/>
      <w:r w:rsidRPr="004D443D">
        <w:t>doi</w:t>
      </w:r>
      <w:proofErr w:type="spellEnd"/>
      <w:r w:rsidRPr="004D443D">
        <w:t>: 10.1016/j.tics.2014.04.012</w:t>
      </w:r>
    </w:p>
    <w:p w14:paraId="7AFB4585" w14:textId="77777777" w:rsidR="004D443D" w:rsidRPr="004D443D" w:rsidRDefault="004D443D" w:rsidP="00FE4589">
      <w:pPr>
        <w:pStyle w:val="NoSpacing"/>
        <w:ind w:left="720" w:hanging="720"/>
      </w:pPr>
      <w:bookmarkStart w:id="47" w:name="B17"/>
      <w:bookmarkEnd w:id="47"/>
      <w:proofErr w:type="spellStart"/>
      <w:r w:rsidRPr="004D443D">
        <w:t>Chatrian</w:t>
      </w:r>
      <w:proofErr w:type="spellEnd"/>
      <w:r w:rsidRPr="004D443D">
        <w:t xml:space="preserve">, G. E., </w:t>
      </w:r>
      <w:proofErr w:type="spellStart"/>
      <w:r w:rsidRPr="004D443D">
        <w:t>Lettich</w:t>
      </w:r>
      <w:proofErr w:type="spellEnd"/>
      <w:r w:rsidRPr="004D443D">
        <w:t>, E., and Nelson, P. L. (1985). Ten percent electrode system for topographic studies of spontaneous and evoked EEG activities. </w:t>
      </w:r>
      <w:r w:rsidRPr="004D443D">
        <w:rPr>
          <w:i/>
          <w:iCs/>
        </w:rPr>
        <w:t>Am. J. EEG Technol.</w:t>
      </w:r>
      <w:r w:rsidRPr="004D443D">
        <w:t xml:space="preserve"> 25, 83–92. </w:t>
      </w:r>
      <w:proofErr w:type="spellStart"/>
      <w:r w:rsidRPr="004D443D">
        <w:t>doi</w:t>
      </w:r>
      <w:proofErr w:type="spellEnd"/>
      <w:r w:rsidRPr="004D443D">
        <w:t>: 10.1080/00029238.1985.11080163</w:t>
      </w:r>
    </w:p>
    <w:p w14:paraId="63DC578D" w14:textId="77777777" w:rsidR="004D443D" w:rsidRPr="004D443D" w:rsidRDefault="004D443D" w:rsidP="00FE4589">
      <w:pPr>
        <w:pStyle w:val="NoSpacing"/>
        <w:ind w:left="720" w:hanging="720"/>
      </w:pPr>
      <w:bookmarkStart w:id="48" w:name="B18"/>
      <w:bookmarkEnd w:id="48"/>
      <w:r w:rsidRPr="004D443D">
        <w:t>Cohen, J. (1988). </w:t>
      </w:r>
      <w:r w:rsidRPr="004D443D">
        <w:rPr>
          <w:i/>
          <w:iCs/>
        </w:rPr>
        <w:t>Statistical Power Analysis for the Behavioral Sciences.</w:t>
      </w:r>
      <w:r w:rsidRPr="004D443D">
        <w:t> Hillsdale, NJ: L. Erlbaum Associates.</w:t>
      </w:r>
    </w:p>
    <w:p w14:paraId="7F4950F4" w14:textId="77777777" w:rsidR="004D443D" w:rsidRPr="004D443D" w:rsidRDefault="004D443D" w:rsidP="00FE4589">
      <w:pPr>
        <w:pStyle w:val="NoSpacing"/>
        <w:ind w:left="720" w:hanging="720"/>
      </w:pPr>
      <w:bookmarkStart w:id="49" w:name="B19"/>
      <w:bookmarkEnd w:id="49"/>
      <w:proofErr w:type="spellStart"/>
      <w:r w:rsidRPr="004D443D">
        <w:t>Corsi</w:t>
      </w:r>
      <w:proofErr w:type="spellEnd"/>
      <w:r w:rsidRPr="004D443D">
        <w:t xml:space="preserve">-Cabrera, M., Solís-Ortiz, S., and Guevara, M. (1997). Stability of EEG inter-and </w:t>
      </w:r>
      <w:proofErr w:type="spellStart"/>
      <w:r w:rsidRPr="004D443D">
        <w:t>intrahemispheric</w:t>
      </w:r>
      <w:proofErr w:type="spellEnd"/>
      <w:r w:rsidRPr="004D443D">
        <w:t xml:space="preserve"> correlation in women. </w:t>
      </w:r>
      <w:proofErr w:type="spellStart"/>
      <w:r w:rsidRPr="004D443D">
        <w:rPr>
          <w:i/>
          <w:iCs/>
        </w:rPr>
        <w:t>Electroencephalogr</w:t>
      </w:r>
      <w:proofErr w:type="spellEnd"/>
      <w:r w:rsidRPr="004D443D">
        <w:rPr>
          <w:i/>
          <w:iCs/>
        </w:rPr>
        <w:t xml:space="preserve">. Clin. </w:t>
      </w:r>
      <w:proofErr w:type="spellStart"/>
      <w:r w:rsidRPr="004D443D">
        <w:rPr>
          <w:i/>
          <w:iCs/>
        </w:rPr>
        <w:t>Neurophysiol</w:t>
      </w:r>
      <w:proofErr w:type="spellEnd"/>
      <w:r w:rsidRPr="004D443D">
        <w:rPr>
          <w:i/>
          <w:iCs/>
        </w:rPr>
        <w:t>.</w:t>
      </w:r>
      <w:r w:rsidRPr="004D443D">
        <w:t xml:space="preserve"> 102, 248–255. </w:t>
      </w:r>
      <w:proofErr w:type="spellStart"/>
      <w:r w:rsidRPr="004D443D">
        <w:t>doi</w:t>
      </w:r>
      <w:proofErr w:type="spellEnd"/>
      <w:r w:rsidRPr="004D443D">
        <w:t>: 10.1016/s0013-4694(96)95179-6</w:t>
      </w:r>
    </w:p>
    <w:p w14:paraId="197EA103" w14:textId="77777777" w:rsidR="004D443D" w:rsidRPr="004D443D" w:rsidRDefault="004D443D" w:rsidP="00FE4589">
      <w:pPr>
        <w:pStyle w:val="NoSpacing"/>
        <w:ind w:left="720" w:hanging="720"/>
      </w:pPr>
      <w:bookmarkStart w:id="50" w:name="B20"/>
      <w:bookmarkEnd w:id="50"/>
      <w:r w:rsidRPr="004D443D">
        <w:t>Cummins, T. D., and Finnigan, S. (2007). Theta power is reduced in healthy cognitive aging. </w:t>
      </w:r>
      <w:r w:rsidRPr="004D443D">
        <w:rPr>
          <w:i/>
          <w:iCs/>
        </w:rPr>
        <w:t xml:space="preserve">Int. J. </w:t>
      </w:r>
      <w:proofErr w:type="spellStart"/>
      <w:r w:rsidRPr="004D443D">
        <w:rPr>
          <w:i/>
          <w:iCs/>
        </w:rPr>
        <w:t>Psychophysiol</w:t>
      </w:r>
      <w:proofErr w:type="spellEnd"/>
      <w:r w:rsidRPr="004D443D">
        <w:rPr>
          <w:i/>
          <w:iCs/>
        </w:rPr>
        <w:t>.</w:t>
      </w:r>
      <w:r w:rsidRPr="004D443D">
        <w:t xml:space="preserve"> 66, 10–17. </w:t>
      </w:r>
      <w:proofErr w:type="spellStart"/>
      <w:r w:rsidRPr="004D443D">
        <w:t>doi</w:t>
      </w:r>
      <w:proofErr w:type="spellEnd"/>
      <w:r w:rsidRPr="004D443D">
        <w:t>: 10.1016/j.ijpsycho.2007.05.008</w:t>
      </w:r>
    </w:p>
    <w:p w14:paraId="0540C78C" w14:textId="77777777" w:rsidR="004D443D" w:rsidRPr="004D443D" w:rsidRDefault="004D443D" w:rsidP="00FE4589">
      <w:pPr>
        <w:pStyle w:val="NoSpacing"/>
        <w:ind w:left="720" w:hanging="720"/>
      </w:pPr>
      <w:bookmarkStart w:id="51" w:name="B21"/>
      <w:bookmarkEnd w:id="51"/>
      <w:proofErr w:type="spellStart"/>
      <w:r w:rsidRPr="004D443D">
        <w:t>Cuspineda</w:t>
      </w:r>
      <w:proofErr w:type="spellEnd"/>
      <w:r w:rsidRPr="004D443D">
        <w:t xml:space="preserve">, E., Machado, C., Aubert, E., </w:t>
      </w:r>
      <w:proofErr w:type="spellStart"/>
      <w:r w:rsidRPr="004D443D">
        <w:t>Galán</w:t>
      </w:r>
      <w:proofErr w:type="spellEnd"/>
      <w:r w:rsidRPr="004D443D">
        <w:t xml:space="preserve">, L., </w:t>
      </w:r>
      <w:proofErr w:type="spellStart"/>
      <w:r w:rsidRPr="004D443D">
        <w:t>Liopis</w:t>
      </w:r>
      <w:proofErr w:type="spellEnd"/>
      <w:r w:rsidRPr="004D443D">
        <w:t>, F., and Avila, Y. (2003). Predicting outcome in acute stroke: a comparison between QEEG and the Canadian Neurological Scale. </w:t>
      </w:r>
      <w:r w:rsidRPr="004D443D">
        <w:rPr>
          <w:i/>
          <w:iCs/>
        </w:rPr>
        <w:t xml:space="preserve">Clin. </w:t>
      </w:r>
      <w:proofErr w:type="spellStart"/>
      <w:r w:rsidRPr="004D443D">
        <w:rPr>
          <w:i/>
          <w:iCs/>
        </w:rPr>
        <w:t>Electroencephalogr</w:t>
      </w:r>
      <w:proofErr w:type="spellEnd"/>
      <w:r w:rsidRPr="004D443D">
        <w:rPr>
          <w:i/>
          <w:iCs/>
        </w:rPr>
        <w:t>.</w:t>
      </w:r>
      <w:r w:rsidRPr="004D443D">
        <w:t xml:space="preserve"> 34, 1–4. </w:t>
      </w:r>
      <w:proofErr w:type="spellStart"/>
      <w:r w:rsidRPr="004D443D">
        <w:t>doi</w:t>
      </w:r>
      <w:proofErr w:type="spellEnd"/>
      <w:r w:rsidRPr="004D443D">
        <w:t>: 10.1177/155005940303400104</w:t>
      </w:r>
    </w:p>
    <w:p w14:paraId="61531106" w14:textId="77777777" w:rsidR="004D443D" w:rsidRPr="004D443D" w:rsidRDefault="004D443D" w:rsidP="00FE4589">
      <w:pPr>
        <w:pStyle w:val="NoSpacing"/>
        <w:ind w:left="720" w:hanging="720"/>
      </w:pPr>
      <w:bookmarkStart w:id="52" w:name="B22"/>
      <w:bookmarkEnd w:id="52"/>
      <w:proofErr w:type="spellStart"/>
      <w:r w:rsidRPr="004D443D">
        <w:t>Dabul</w:t>
      </w:r>
      <w:proofErr w:type="spellEnd"/>
      <w:r w:rsidRPr="004D443D">
        <w:t>, B. (2000). </w:t>
      </w:r>
      <w:r w:rsidRPr="004D443D">
        <w:rPr>
          <w:i/>
          <w:iCs/>
        </w:rPr>
        <w:t>Apraxia Battery for Adults</w:t>
      </w:r>
      <w:r w:rsidRPr="004D443D">
        <w:t xml:space="preserve">, 2nd </w:t>
      </w:r>
      <w:proofErr w:type="spellStart"/>
      <w:r w:rsidRPr="004D443D">
        <w:t>Edn</w:t>
      </w:r>
      <w:proofErr w:type="spellEnd"/>
      <w:r w:rsidRPr="004D443D">
        <w:t>. Austin, TX: Pro-Ed.</w:t>
      </w:r>
    </w:p>
    <w:p w14:paraId="6B790F20" w14:textId="77777777" w:rsidR="004D443D" w:rsidRPr="004D443D" w:rsidRDefault="004D443D" w:rsidP="00FE4589">
      <w:pPr>
        <w:pStyle w:val="NoSpacing"/>
        <w:ind w:left="720" w:hanging="720"/>
      </w:pPr>
      <w:bookmarkStart w:id="53" w:name="B23"/>
      <w:bookmarkEnd w:id="53"/>
      <w:proofErr w:type="spellStart"/>
      <w:r w:rsidRPr="004D443D">
        <w:t>Dalemans</w:t>
      </w:r>
      <w:proofErr w:type="spellEnd"/>
      <w:r w:rsidRPr="004D443D">
        <w:t>, R., Wade, D. T., Heuvel, W. J., and Witte, L. P. (2009). Facilitating the participation of people with aphasia in research: a description of strategies. </w:t>
      </w:r>
      <w:r w:rsidRPr="004D443D">
        <w:rPr>
          <w:i/>
          <w:iCs/>
        </w:rPr>
        <w:t xml:space="preserve">Clin. </w:t>
      </w:r>
      <w:proofErr w:type="spellStart"/>
      <w:r w:rsidRPr="004D443D">
        <w:rPr>
          <w:i/>
          <w:iCs/>
        </w:rPr>
        <w:t>Rehabil</w:t>
      </w:r>
      <w:proofErr w:type="spellEnd"/>
      <w:r w:rsidRPr="004D443D">
        <w:rPr>
          <w:i/>
          <w:iCs/>
        </w:rPr>
        <w:t>.</w:t>
      </w:r>
      <w:r w:rsidRPr="004D443D">
        <w:t xml:space="preserve"> 23, 948–959. </w:t>
      </w:r>
      <w:proofErr w:type="spellStart"/>
      <w:r w:rsidRPr="004D443D">
        <w:t>doi</w:t>
      </w:r>
      <w:proofErr w:type="spellEnd"/>
      <w:r w:rsidRPr="004D443D">
        <w:t>: 10.1177/0269215509337197</w:t>
      </w:r>
    </w:p>
    <w:p w14:paraId="061091C5" w14:textId="77777777" w:rsidR="004D443D" w:rsidRPr="004D443D" w:rsidRDefault="004D443D" w:rsidP="00FE4589">
      <w:pPr>
        <w:pStyle w:val="NoSpacing"/>
        <w:ind w:left="720" w:hanging="720"/>
      </w:pPr>
      <w:bookmarkStart w:id="54" w:name="B24"/>
      <w:bookmarkEnd w:id="54"/>
      <w:r w:rsidRPr="004D443D">
        <w:t>Dalton, S. G., Hubbard, H. I., and Richardson, J. D. (2020). Moving toward non-</w:t>
      </w:r>
      <w:proofErr w:type="gramStart"/>
      <w:r w:rsidRPr="004D443D">
        <w:t>transcription based</w:t>
      </w:r>
      <w:proofErr w:type="gramEnd"/>
      <w:r w:rsidRPr="004D443D">
        <w:t xml:space="preserve"> discourse analysis in stable and progressive aphasia. </w:t>
      </w:r>
      <w:r w:rsidRPr="004D443D">
        <w:rPr>
          <w:i/>
          <w:iCs/>
        </w:rPr>
        <w:t>Semin. Speech Lang.</w:t>
      </w:r>
      <w:r w:rsidRPr="004D443D">
        <w:t xml:space="preserve"> 41, 032–044. </w:t>
      </w:r>
      <w:proofErr w:type="spellStart"/>
      <w:r w:rsidRPr="004D443D">
        <w:t>doi</w:t>
      </w:r>
      <w:proofErr w:type="spellEnd"/>
      <w:r w:rsidRPr="004D443D">
        <w:t>: 10.1055/s-0039-3400990</w:t>
      </w:r>
    </w:p>
    <w:p w14:paraId="6DC704B0" w14:textId="77777777" w:rsidR="004D443D" w:rsidRPr="004D443D" w:rsidRDefault="004D443D" w:rsidP="00FE4589">
      <w:pPr>
        <w:pStyle w:val="NoSpacing"/>
        <w:ind w:left="720" w:hanging="720"/>
      </w:pPr>
      <w:bookmarkStart w:id="55" w:name="B25"/>
      <w:bookmarkEnd w:id="55"/>
      <w:r w:rsidRPr="004D443D">
        <w:t>Dalton, S. G., and Richardson, J. D. (2019). A large-scale comparison of main concept production between persons with aphasia and persons without brain injury. </w:t>
      </w:r>
      <w:r w:rsidRPr="004D443D">
        <w:rPr>
          <w:i/>
          <w:iCs/>
        </w:rPr>
        <w:t xml:space="preserve">Am. J. Speech Lang. </w:t>
      </w:r>
      <w:proofErr w:type="spellStart"/>
      <w:r w:rsidRPr="004D443D">
        <w:rPr>
          <w:i/>
          <w:iCs/>
        </w:rPr>
        <w:t>Pathol</w:t>
      </w:r>
      <w:proofErr w:type="spellEnd"/>
      <w:r w:rsidRPr="004D443D">
        <w:rPr>
          <w:i/>
          <w:iCs/>
        </w:rPr>
        <w:t>.</w:t>
      </w:r>
      <w:r w:rsidRPr="004D443D">
        <w:t xml:space="preserve"> 28, 293–320. </w:t>
      </w:r>
      <w:proofErr w:type="spellStart"/>
      <w:r w:rsidRPr="004D443D">
        <w:t>doi</w:t>
      </w:r>
      <w:proofErr w:type="spellEnd"/>
      <w:r w:rsidRPr="004D443D">
        <w:t>: 10.1044/2018_ajslp-17-0166</w:t>
      </w:r>
    </w:p>
    <w:p w14:paraId="69833585" w14:textId="77777777" w:rsidR="004D443D" w:rsidRPr="004D443D" w:rsidRDefault="004D443D" w:rsidP="00FE4589">
      <w:pPr>
        <w:pStyle w:val="NoSpacing"/>
        <w:ind w:left="720" w:hanging="720"/>
      </w:pPr>
      <w:bookmarkStart w:id="56" w:name="B26"/>
      <w:bookmarkEnd w:id="56"/>
      <w:r w:rsidRPr="004D443D">
        <w:t xml:space="preserve">de Vos, C. C., van </w:t>
      </w:r>
      <w:proofErr w:type="spellStart"/>
      <w:r w:rsidRPr="004D443D">
        <w:t>Maarseveen</w:t>
      </w:r>
      <w:proofErr w:type="spellEnd"/>
      <w:r w:rsidRPr="004D443D">
        <w:t xml:space="preserve">, S. M., Brouwers, P. J., and van </w:t>
      </w:r>
      <w:proofErr w:type="spellStart"/>
      <w:r w:rsidRPr="004D443D">
        <w:t>Putten</w:t>
      </w:r>
      <w:proofErr w:type="spellEnd"/>
      <w:r w:rsidRPr="004D443D">
        <w:t>, M. J. (2008). Continuous EEG monitoring during thrombolysis in acute hemispheric stroke patients using the brain symmetry index. </w:t>
      </w:r>
      <w:r w:rsidRPr="004D443D">
        <w:rPr>
          <w:i/>
          <w:iCs/>
        </w:rPr>
        <w:t xml:space="preserve">J. Clin. </w:t>
      </w:r>
      <w:proofErr w:type="spellStart"/>
      <w:r w:rsidRPr="004D443D">
        <w:rPr>
          <w:i/>
          <w:iCs/>
        </w:rPr>
        <w:t>Neurophysiol</w:t>
      </w:r>
      <w:proofErr w:type="spellEnd"/>
      <w:r w:rsidRPr="004D443D">
        <w:rPr>
          <w:i/>
          <w:iCs/>
        </w:rPr>
        <w:t>.</w:t>
      </w:r>
      <w:r w:rsidRPr="004D443D">
        <w:t xml:space="preserve"> 25, 77–82. </w:t>
      </w:r>
      <w:proofErr w:type="spellStart"/>
      <w:r w:rsidRPr="004D443D">
        <w:t>doi</w:t>
      </w:r>
      <w:proofErr w:type="spellEnd"/>
      <w:r w:rsidRPr="004D443D">
        <w:t>: 10.1097/wnp.0b013e31816ef725</w:t>
      </w:r>
    </w:p>
    <w:p w14:paraId="161BA655" w14:textId="77777777" w:rsidR="004D443D" w:rsidRPr="004D443D" w:rsidRDefault="004D443D" w:rsidP="00FE4589">
      <w:pPr>
        <w:pStyle w:val="NoSpacing"/>
        <w:ind w:left="720" w:hanging="720"/>
      </w:pPr>
      <w:bookmarkStart w:id="57" w:name="B27"/>
      <w:bookmarkEnd w:id="57"/>
      <w:proofErr w:type="spellStart"/>
      <w:r w:rsidRPr="004D443D">
        <w:t>Døli</w:t>
      </w:r>
      <w:proofErr w:type="spellEnd"/>
      <w:r w:rsidRPr="004D443D">
        <w:t xml:space="preserve">, H., </w:t>
      </w:r>
      <w:proofErr w:type="spellStart"/>
      <w:r w:rsidRPr="004D443D">
        <w:t>Helland</w:t>
      </w:r>
      <w:proofErr w:type="spellEnd"/>
      <w:r w:rsidRPr="004D443D">
        <w:t xml:space="preserve">, T., and Andersen </w:t>
      </w:r>
      <w:proofErr w:type="spellStart"/>
      <w:r w:rsidRPr="004D443D">
        <w:t>Helland</w:t>
      </w:r>
      <w:proofErr w:type="spellEnd"/>
      <w:r w:rsidRPr="004D443D">
        <w:t>, W. (2017). Self-reported symptoms of anxiety and depression in chronic stroke patients with and without aphasia. </w:t>
      </w:r>
      <w:r w:rsidRPr="004D443D">
        <w:rPr>
          <w:i/>
          <w:iCs/>
        </w:rPr>
        <w:t>Aphasiology</w:t>
      </w:r>
      <w:r w:rsidRPr="004D443D">
        <w:t xml:space="preserve"> 31, 1392–1409. </w:t>
      </w:r>
      <w:proofErr w:type="spellStart"/>
      <w:r w:rsidRPr="004D443D">
        <w:t>doi</w:t>
      </w:r>
      <w:proofErr w:type="spellEnd"/>
      <w:r w:rsidRPr="004D443D">
        <w:t>: 10.1080/02687038.2017.1280595</w:t>
      </w:r>
    </w:p>
    <w:p w14:paraId="5CE1B0B3" w14:textId="77777777" w:rsidR="004D443D" w:rsidRPr="004D443D" w:rsidRDefault="004D443D" w:rsidP="00FE4589">
      <w:pPr>
        <w:pStyle w:val="NoSpacing"/>
        <w:ind w:left="720" w:hanging="720"/>
      </w:pPr>
      <w:bookmarkStart w:id="58" w:name="B28"/>
      <w:bookmarkEnd w:id="58"/>
      <w:proofErr w:type="spellStart"/>
      <w:r w:rsidRPr="004D443D">
        <w:t>Dubovik</w:t>
      </w:r>
      <w:proofErr w:type="spellEnd"/>
      <w:r w:rsidRPr="004D443D">
        <w:t xml:space="preserve">, S., </w:t>
      </w:r>
      <w:proofErr w:type="spellStart"/>
      <w:r w:rsidRPr="004D443D">
        <w:t>Ptak</w:t>
      </w:r>
      <w:proofErr w:type="spellEnd"/>
      <w:r w:rsidRPr="004D443D">
        <w:t xml:space="preserve">, R., </w:t>
      </w:r>
      <w:proofErr w:type="spellStart"/>
      <w:r w:rsidRPr="004D443D">
        <w:t>Aboulafia</w:t>
      </w:r>
      <w:proofErr w:type="spellEnd"/>
      <w:r w:rsidRPr="004D443D">
        <w:t xml:space="preserve">, T., </w:t>
      </w:r>
      <w:proofErr w:type="spellStart"/>
      <w:r w:rsidRPr="004D443D">
        <w:t>Magnin</w:t>
      </w:r>
      <w:proofErr w:type="spellEnd"/>
      <w:r w:rsidRPr="004D443D">
        <w:t xml:space="preserve">, C., </w:t>
      </w:r>
      <w:proofErr w:type="spellStart"/>
      <w:r w:rsidRPr="004D443D">
        <w:t>Gillabert</w:t>
      </w:r>
      <w:proofErr w:type="spellEnd"/>
      <w:r w:rsidRPr="004D443D">
        <w:t xml:space="preserve">, N., </w:t>
      </w:r>
      <w:proofErr w:type="spellStart"/>
      <w:r w:rsidRPr="004D443D">
        <w:t>Allet</w:t>
      </w:r>
      <w:proofErr w:type="spellEnd"/>
      <w:r w:rsidRPr="004D443D">
        <w:t>, L., et al. (2013). EEG alpha band synchrony predicts cognitive and motor performance in patients with ischemic stroke. </w:t>
      </w:r>
      <w:proofErr w:type="spellStart"/>
      <w:r w:rsidRPr="004D443D">
        <w:rPr>
          <w:i/>
          <w:iCs/>
        </w:rPr>
        <w:t>Behav</w:t>
      </w:r>
      <w:proofErr w:type="spellEnd"/>
      <w:r w:rsidRPr="004D443D">
        <w:rPr>
          <w:i/>
          <w:iCs/>
        </w:rPr>
        <w:t>. Neurol.</w:t>
      </w:r>
      <w:r w:rsidRPr="004D443D">
        <w:t xml:space="preserve"> 26, 187–189. </w:t>
      </w:r>
      <w:proofErr w:type="spellStart"/>
      <w:r w:rsidRPr="004D443D">
        <w:t>doi</w:t>
      </w:r>
      <w:proofErr w:type="spellEnd"/>
      <w:r w:rsidRPr="004D443D">
        <w:t>: 10.1155/2013/109764</w:t>
      </w:r>
    </w:p>
    <w:p w14:paraId="38B2DD47" w14:textId="77777777" w:rsidR="004D443D" w:rsidRPr="004D443D" w:rsidRDefault="004D443D" w:rsidP="00FE4589">
      <w:pPr>
        <w:pStyle w:val="NoSpacing"/>
        <w:ind w:left="720" w:hanging="720"/>
      </w:pPr>
      <w:bookmarkStart w:id="59" w:name="B29"/>
      <w:bookmarkEnd w:id="59"/>
      <w:r w:rsidRPr="004D443D">
        <w:t>Engel, A. K., and Fries, P. (2010). Beta-band oscillations—</w:t>
      </w:r>
      <w:proofErr w:type="spellStart"/>
      <w:r w:rsidRPr="004D443D">
        <w:t>signalling</w:t>
      </w:r>
      <w:proofErr w:type="spellEnd"/>
      <w:r w:rsidRPr="004D443D">
        <w:t xml:space="preserve"> the status quo? </w:t>
      </w:r>
      <w:proofErr w:type="spellStart"/>
      <w:r w:rsidRPr="004D443D">
        <w:rPr>
          <w:i/>
          <w:iCs/>
        </w:rPr>
        <w:t>Curr</w:t>
      </w:r>
      <w:proofErr w:type="spellEnd"/>
      <w:r w:rsidRPr="004D443D">
        <w:rPr>
          <w:i/>
          <w:iCs/>
        </w:rPr>
        <w:t xml:space="preserve">. </w:t>
      </w:r>
      <w:proofErr w:type="spellStart"/>
      <w:r w:rsidRPr="004D443D">
        <w:rPr>
          <w:i/>
          <w:iCs/>
        </w:rPr>
        <w:t>Opin</w:t>
      </w:r>
      <w:proofErr w:type="spellEnd"/>
      <w:r w:rsidRPr="004D443D">
        <w:rPr>
          <w:i/>
          <w:iCs/>
        </w:rPr>
        <w:t xml:space="preserve">. </w:t>
      </w:r>
      <w:proofErr w:type="spellStart"/>
      <w:r w:rsidRPr="004D443D">
        <w:rPr>
          <w:i/>
          <w:iCs/>
        </w:rPr>
        <w:t>Neurobiol</w:t>
      </w:r>
      <w:proofErr w:type="spellEnd"/>
      <w:r w:rsidRPr="004D443D">
        <w:rPr>
          <w:i/>
          <w:iCs/>
        </w:rPr>
        <w:t>.</w:t>
      </w:r>
      <w:r w:rsidRPr="004D443D">
        <w:t xml:space="preserve"> 20, 156–165. </w:t>
      </w:r>
      <w:proofErr w:type="spellStart"/>
      <w:r w:rsidRPr="004D443D">
        <w:t>doi</w:t>
      </w:r>
      <w:proofErr w:type="spellEnd"/>
      <w:r w:rsidRPr="004D443D">
        <w:t>: 10.1016/j.conb.2010.02.015</w:t>
      </w:r>
    </w:p>
    <w:p w14:paraId="62ABF3D8" w14:textId="77777777" w:rsidR="004D443D" w:rsidRPr="004D443D" w:rsidRDefault="004D443D" w:rsidP="00FE4589">
      <w:pPr>
        <w:pStyle w:val="NoSpacing"/>
        <w:ind w:left="720" w:hanging="720"/>
      </w:pPr>
      <w:bookmarkStart w:id="60" w:name="B30"/>
      <w:bookmarkEnd w:id="60"/>
      <w:r w:rsidRPr="004D443D">
        <w:t xml:space="preserve">Finnigan, S., and van </w:t>
      </w:r>
      <w:proofErr w:type="spellStart"/>
      <w:r w:rsidRPr="004D443D">
        <w:t>Putten</w:t>
      </w:r>
      <w:proofErr w:type="spellEnd"/>
      <w:r w:rsidRPr="004D443D">
        <w:t xml:space="preserve">, M. J. (2013). EEG in </w:t>
      </w:r>
      <w:proofErr w:type="spellStart"/>
      <w:r w:rsidRPr="004D443D">
        <w:t>ischaemic</w:t>
      </w:r>
      <w:proofErr w:type="spellEnd"/>
      <w:r w:rsidRPr="004D443D">
        <w:t xml:space="preserve"> stroke: quantitative EEG can uniquely inform (sub-)acute prognoses and clinical management. </w:t>
      </w:r>
      <w:r w:rsidRPr="004D443D">
        <w:rPr>
          <w:i/>
          <w:iCs/>
        </w:rPr>
        <w:t xml:space="preserve">Clin. </w:t>
      </w:r>
      <w:proofErr w:type="spellStart"/>
      <w:r w:rsidRPr="004D443D">
        <w:rPr>
          <w:i/>
          <w:iCs/>
        </w:rPr>
        <w:t>Neurophysiol</w:t>
      </w:r>
      <w:proofErr w:type="spellEnd"/>
      <w:r w:rsidRPr="004D443D">
        <w:rPr>
          <w:i/>
          <w:iCs/>
        </w:rPr>
        <w:t>.</w:t>
      </w:r>
      <w:r w:rsidRPr="004D443D">
        <w:t xml:space="preserve"> 124, 10–19. </w:t>
      </w:r>
      <w:proofErr w:type="spellStart"/>
      <w:r w:rsidRPr="004D443D">
        <w:t>doi</w:t>
      </w:r>
      <w:proofErr w:type="spellEnd"/>
      <w:r w:rsidRPr="004D443D">
        <w:t>: 10.1016/j.clinph.2012.07.003</w:t>
      </w:r>
    </w:p>
    <w:p w14:paraId="698C67E1" w14:textId="77777777" w:rsidR="004D443D" w:rsidRPr="004D443D" w:rsidRDefault="004D443D" w:rsidP="00FE4589">
      <w:pPr>
        <w:pStyle w:val="NoSpacing"/>
        <w:ind w:left="720" w:hanging="720"/>
      </w:pPr>
      <w:bookmarkStart w:id="61" w:name="B31"/>
      <w:bookmarkEnd w:id="61"/>
      <w:r w:rsidRPr="004D443D">
        <w:t>Finnigan, S., and Robertson, I. H. (2011). Resting EEG theta power correlates with cognitive performance in healthy older adults. </w:t>
      </w:r>
      <w:r w:rsidRPr="004D443D">
        <w:rPr>
          <w:i/>
          <w:iCs/>
        </w:rPr>
        <w:t>Psychophysiology</w:t>
      </w:r>
      <w:r w:rsidRPr="004D443D">
        <w:t xml:space="preserve"> 48, 1083–1087. </w:t>
      </w:r>
      <w:proofErr w:type="spellStart"/>
      <w:r w:rsidRPr="004D443D">
        <w:t>doi</w:t>
      </w:r>
      <w:proofErr w:type="spellEnd"/>
      <w:r w:rsidRPr="004D443D">
        <w:t>: 10.1111/j.1469-8986.</w:t>
      </w:r>
      <w:proofErr w:type="gramStart"/>
      <w:r w:rsidRPr="004D443D">
        <w:t>2010.01173.x</w:t>
      </w:r>
      <w:proofErr w:type="gramEnd"/>
    </w:p>
    <w:p w14:paraId="455FC57D" w14:textId="77777777" w:rsidR="004D443D" w:rsidRPr="004D443D" w:rsidRDefault="004D443D" w:rsidP="00FE4589">
      <w:pPr>
        <w:pStyle w:val="NoSpacing"/>
        <w:ind w:left="720" w:hanging="720"/>
      </w:pPr>
      <w:bookmarkStart w:id="62" w:name="B32"/>
      <w:bookmarkEnd w:id="62"/>
      <w:r w:rsidRPr="004D443D">
        <w:t xml:space="preserve">Finnigan, S., Wong, A., and Read, S. (2016). Defining abnormal slow EEG activity in acute </w:t>
      </w:r>
      <w:proofErr w:type="spellStart"/>
      <w:r w:rsidRPr="004D443D">
        <w:t>ischaemic</w:t>
      </w:r>
      <w:proofErr w:type="spellEnd"/>
      <w:r w:rsidRPr="004D443D">
        <w:t xml:space="preserve"> stroke: delta/alpha ratio as an optimal QEEG index. </w:t>
      </w:r>
      <w:r w:rsidRPr="004D443D">
        <w:rPr>
          <w:i/>
          <w:iCs/>
        </w:rPr>
        <w:t xml:space="preserve">Clin. </w:t>
      </w:r>
      <w:proofErr w:type="spellStart"/>
      <w:r w:rsidRPr="004D443D">
        <w:rPr>
          <w:i/>
          <w:iCs/>
        </w:rPr>
        <w:t>Neurophysiol</w:t>
      </w:r>
      <w:proofErr w:type="spellEnd"/>
      <w:r w:rsidRPr="004D443D">
        <w:rPr>
          <w:i/>
          <w:iCs/>
        </w:rPr>
        <w:t>.</w:t>
      </w:r>
      <w:r w:rsidRPr="004D443D">
        <w:t xml:space="preserve"> 127, 1452–1459. </w:t>
      </w:r>
      <w:proofErr w:type="spellStart"/>
      <w:r w:rsidRPr="004D443D">
        <w:t>doi</w:t>
      </w:r>
      <w:proofErr w:type="spellEnd"/>
      <w:r w:rsidRPr="004D443D">
        <w:t>: 10.1016/j.clinph.2015.07.014</w:t>
      </w:r>
    </w:p>
    <w:p w14:paraId="4D9533D1" w14:textId="77777777" w:rsidR="004D443D" w:rsidRPr="004D443D" w:rsidRDefault="004D443D" w:rsidP="00FE4589">
      <w:pPr>
        <w:pStyle w:val="NoSpacing"/>
        <w:ind w:left="720" w:hanging="720"/>
      </w:pPr>
      <w:bookmarkStart w:id="63" w:name="B33"/>
      <w:bookmarkEnd w:id="63"/>
      <w:r w:rsidRPr="004D443D">
        <w:t xml:space="preserve">Finnigan, S. P., Walsh, M., Rose, S. E., and Chalk, J. B. (2007). Quantitative EEG indices of sub-acute </w:t>
      </w:r>
      <w:proofErr w:type="spellStart"/>
      <w:r w:rsidRPr="004D443D">
        <w:t>ischaemic</w:t>
      </w:r>
      <w:proofErr w:type="spellEnd"/>
      <w:r w:rsidRPr="004D443D">
        <w:t xml:space="preserve"> stroke correlate with clinical outcomes. </w:t>
      </w:r>
      <w:r w:rsidRPr="004D443D">
        <w:rPr>
          <w:i/>
          <w:iCs/>
        </w:rPr>
        <w:t xml:space="preserve">Clin. </w:t>
      </w:r>
      <w:proofErr w:type="spellStart"/>
      <w:r w:rsidRPr="004D443D">
        <w:rPr>
          <w:i/>
          <w:iCs/>
        </w:rPr>
        <w:t>Neurophysiol</w:t>
      </w:r>
      <w:proofErr w:type="spellEnd"/>
      <w:r w:rsidRPr="004D443D">
        <w:rPr>
          <w:i/>
          <w:iCs/>
        </w:rPr>
        <w:t>.</w:t>
      </w:r>
      <w:r w:rsidRPr="004D443D">
        <w:t xml:space="preserve"> 118, 2525–2532. </w:t>
      </w:r>
      <w:proofErr w:type="spellStart"/>
      <w:r w:rsidRPr="004D443D">
        <w:t>doi</w:t>
      </w:r>
      <w:proofErr w:type="spellEnd"/>
      <w:r w:rsidRPr="004D443D">
        <w:t>: 10.1016/j.clinph.2007.07.021</w:t>
      </w:r>
    </w:p>
    <w:p w14:paraId="28BF7FB8" w14:textId="77777777" w:rsidR="004D443D" w:rsidRPr="004D443D" w:rsidRDefault="004D443D" w:rsidP="00FE4589">
      <w:pPr>
        <w:pStyle w:val="NoSpacing"/>
        <w:ind w:left="720" w:hanging="720"/>
      </w:pPr>
      <w:bookmarkStart w:id="64" w:name="B34"/>
      <w:bookmarkEnd w:id="64"/>
      <w:r w:rsidRPr="004D443D">
        <w:t>French, C. C., and Beaumont, J. G. (1984). A critical review of EEG coherence studies of hemisphere function. </w:t>
      </w:r>
      <w:r w:rsidRPr="004D443D">
        <w:rPr>
          <w:i/>
          <w:iCs/>
        </w:rPr>
        <w:t xml:space="preserve">Int. J. </w:t>
      </w:r>
      <w:proofErr w:type="spellStart"/>
      <w:r w:rsidRPr="004D443D">
        <w:rPr>
          <w:i/>
          <w:iCs/>
        </w:rPr>
        <w:t>Psychophysiol</w:t>
      </w:r>
      <w:proofErr w:type="spellEnd"/>
      <w:r w:rsidRPr="004D443D">
        <w:rPr>
          <w:i/>
          <w:iCs/>
        </w:rPr>
        <w:t>.</w:t>
      </w:r>
      <w:r w:rsidRPr="004D443D">
        <w:t xml:space="preserve"> 1, 241–254. </w:t>
      </w:r>
      <w:proofErr w:type="spellStart"/>
      <w:r w:rsidRPr="004D443D">
        <w:t>doi</w:t>
      </w:r>
      <w:proofErr w:type="spellEnd"/>
      <w:r w:rsidRPr="004D443D">
        <w:t>: 10.1016/0167-8760(84)90044-8</w:t>
      </w:r>
    </w:p>
    <w:p w14:paraId="15B4A403" w14:textId="77777777" w:rsidR="004D443D" w:rsidRPr="004D443D" w:rsidRDefault="004D443D" w:rsidP="00FE4589">
      <w:pPr>
        <w:pStyle w:val="NoSpacing"/>
        <w:ind w:left="720" w:hanging="720"/>
      </w:pPr>
      <w:bookmarkStart w:id="65" w:name="B35"/>
      <w:bookmarkEnd w:id="65"/>
      <w:r w:rsidRPr="004D443D">
        <w:t xml:space="preserve">Fromm, D., Forbes, M., Holland, A., Dalton, S. G., Richardson, J., and </w:t>
      </w:r>
      <w:proofErr w:type="spellStart"/>
      <w:r w:rsidRPr="004D443D">
        <w:t>Macwhinney</w:t>
      </w:r>
      <w:proofErr w:type="spellEnd"/>
      <w:r w:rsidRPr="004D443D">
        <w:t>, B. (2017). Discourse characteristics in aphasia beyond the western aphasia battery cutoff. </w:t>
      </w:r>
      <w:r w:rsidRPr="004D443D">
        <w:rPr>
          <w:i/>
          <w:iCs/>
        </w:rPr>
        <w:t xml:space="preserve">Am. J. Speech Lang. </w:t>
      </w:r>
      <w:proofErr w:type="spellStart"/>
      <w:r w:rsidRPr="004D443D">
        <w:rPr>
          <w:i/>
          <w:iCs/>
        </w:rPr>
        <w:t>Pathol</w:t>
      </w:r>
      <w:proofErr w:type="spellEnd"/>
      <w:r w:rsidRPr="004D443D">
        <w:rPr>
          <w:i/>
          <w:iCs/>
        </w:rPr>
        <w:t>.</w:t>
      </w:r>
      <w:r w:rsidRPr="004D443D">
        <w:t xml:space="preserve"> 26, 762–768. </w:t>
      </w:r>
      <w:proofErr w:type="spellStart"/>
      <w:r w:rsidRPr="004D443D">
        <w:t>doi</w:t>
      </w:r>
      <w:proofErr w:type="spellEnd"/>
      <w:r w:rsidRPr="004D443D">
        <w:t>: 10.1044/2016_ajslp-16-0071</w:t>
      </w:r>
    </w:p>
    <w:p w14:paraId="288146D0" w14:textId="77777777" w:rsidR="004D443D" w:rsidRPr="004D443D" w:rsidRDefault="004D443D" w:rsidP="00FE4589">
      <w:pPr>
        <w:pStyle w:val="NoSpacing"/>
        <w:ind w:left="720" w:hanging="720"/>
      </w:pPr>
      <w:bookmarkStart w:id="66" w:name="B36"/>
      <w:bookmarkEnd w:id="66"/>
      <w:r w:rsidRPr="004D443D">
        <w:t xml:space="preserve">Fromm, D., Forbes, M., Holland, A., and </w:t>
      </w:r>
      <w:proofErr w:type="spellStart"/>
      <w:r w:rsidRPr="004D443D">
        <w:t>Macwhinney</w:t>
      </w:r>
      <w:proofErr w:type="spellEnd"/>
      <w:r w:rsidRPr="004D443D">
        <w:t xml:space="preserve">, B. (2020). Using </w:t>
      </w:r>
      <w:proofErr w:type="spellStart"/>
      <w:r w:rsidRPr="004D443D">
        <w:t>AphasiaBank</w:t>
      </w:r>
      <w:proofErr w:type="spellEnd"/>
      <w:r w:rsidRPr="004D443D">
        <w:t xml:space="preserve"> for discourse assessment. </w:t>
      </w:r>
      <w:r w:rsidRPr="004D443D">
        <w:rPr>
          <w:i/>
          <w:iCs/>
        </w:rPr>
        <w:t>Semin. Speech Lang.</w:t>
      </w:r>
      <w:r w:rsidRPr="004D443D">
        <w:t xml:space="preserve"> 41, 010–019. </w:t>
      </w:r>
      <w:proofErr w:type="spellStart"/>
      <w:r w:rsidRPr="004D443D">
        <w:t>doi</w:t>
      </w:r>
      <w:proofErr w:type="spellEnd"/>
      <w:r w:rsidRPr="004D443D">
        <w:t>: 10.1055/s-0039-3399499</w:t>
      </w:r>
    </w:p>
    <w:p w14:paraId="77CA2D55" w14:textId="77777777" w:rsidR="004D443D" w:rsidRPr="004D443D" w:rsidRDefault="004D443D" w:rsidP="00FE4589">
      <w:pPr>
        <w:pStyle w:val="NoSpacing"/>
        <w:ind w:left="720" w:hanging="720"/>
      </w:pPr>
      <w:bookmarkStart w:id="67" w:name="B37"/>
      <w:bookmarkEnd w:id="67"/>
      <w:proofErr w:type="spellStart"/>
      <w:r w:rsidRPr="004D443D">
        <w:t>Gorišek</w:t>
      </w:r>
      <w:proofErr w:type="spellEnd"/>
      <w:r w:rsidRPr="004D443D">
        <w:t xml:space="preserve">, V. R., </w:t>
      </w:r>
      <w:proofErr w:type="spellStart"/>
      <w:r w:rsidRPr="004D443D">
        <w:t>Isoski</w:t>
      </w:r>
      <w:proofErr w:type="spellEnd"/>
      <w:r w:rsidRPr="004D443D">
        <w:t xml:space="preserve">, V. Z., </w:t>
      </w:r>
      <w:proofErr w:type="spellStart"/>
      <w:r w:rsidRPr="004D443D">
        <w:t>Belič</w:t>
      </w:r>
      <w:proofErr w:type="spellEnd"/>
      <w:r w:rsidRPr="004D443D">
        <w:t xml:space="preserve">, A., </w:t>
      </w:r>
      <w:proofErr w:type="spellStart"/>
      <w:r w:rsidRPr="004D443D">
        <w:t>Manouilidou</w:t>
      </w:r>
      <w:proofErr w:type="spellEnd"/>
      <w:r w:rsidRPr="004D443D">
        <w:t xml:space="preserve">, C., </w:t>
      </w:r>
      <w:proofErr w:type="spellStart"/>
      <w:r w:rsidRPr="004D443D">
        <w:t>Koritnik</w:t>
      </w:r>
      <w:proofErr w:type="spellEnd"/>
      <w:r w:rsidRPr="004D443D">
        <w:t>, B., Bon, J., et al. (2016). Beyond aphasia: altered EEG connectivity in Broca’s patients during working memory task. </w:t>
      </w:r>
      <w:r w:rsidRPr="004D443D">
        <w:rPr>
          <w:i/>
          <w:iCs/>
        </w:rPr>
        <w:t>Brain Lang.</w:t>
      </w:r>
      <w:r w:rsidRPr="004D443D">
        <w:t xml:space="preserve"> 163, 10–21. </w:t>
      </w:r>
      <w:proofErr w:type="spellStart"/>
      <w:r w:rsidRPr="004D443D">
        <w:t>doi</w:t>
      </w:r>
      <w:proofErr w:type="spellEnd"/>
      <w:r w:rsidRPr="004D443D">
        <w:t>: 10.1016/j.bandl.2016.08.003</w:t>
      </w:r>
    </w:p>
    <w:p w14:paraId="2900D138" w14:textId="77777777" w:rsidR="004D443D" w:rsidRPr="004D443D" w:rsidRDefault="004D443D" w:rsidP="00FE4589">
      <w:pPr>
        <w:pStyle w:val="NoSpacing"/>
        <w:ind w:left="720" w:hanging="720"/>
      </w:pPr>
      <w:bookmarkStart w:id="68" w:name="B38"/>
      <w:bookmarkEnd w:id="68"/>
      <w:proofErr w:type="spellStart"/>
      <w:r w:rsidRPr="004D443D">
        <w:t>Gow</w:t>
      </w:r>
      <w:proofErr w:type="spellEnd"/>
      <w:r w:rsidRPr="004D443D">
        <w:t xml:space="preserve">, D. W. Jr., and </w:t>
      </w:r>
      <w:proofErr w:type="spellStart"/>
      <w:r w:rsidRPr="004D443D">
        <w:t>Ahlfors</w:t>
      </w:r>
      <w:proofErr w:type="spellEnd"/>
      <w:r w:rsidRPr="004D443D">
        <w:t>, S. P. (2017). Tracking reorganization of large-scale effective connectivity in aphasia following right hemisphere stroke. </w:t>
      </w:r>
      <w:r w:rsidRPr="004D443D">
        <w:rPr>
          <w:i/>
          <w:iCs/>
        </w:rPr>
        <w:t>Brain Lang.</w:t>
      </w:r>
      <w:r w:rsidRPr="004D443D">
        <w:t xml:space="preserve"> 170, 12–17. </w:t>
      </w:r>
      <w:proofErr w:type="spellStart"/>
      <w:r w:rsidRPr="004D443D">
        <w:t>doi</w:t>
      </w:r>
      <w:proofErr w:type="spellEnd"/>
      <w:r w:rsidRPr="004D443D">
        <w:t>: 10.1016/j.bandl.2017.03.003</w:t>
      </w:r>
    </w:p>
    <w:p w14:paraId="52FC26BD" w14:textId="77777777" w:rsidR="004D443D" w:rsidRPr="004D443D" w:rsidRDefault="004D443D" w:rsidP="00FE4589">
      <w:pPr>
        <w:pStyle w:val="NoSpacing"/>
        <w:ind w:left="720" w:hanging="720"/>
      </w:pPr>
      <w:bookmarkStart w:id="69" w:name="B39"/>
      <w:bookmarkEnd w:id="69"/>
      <w:r w:rsidRPr="004D443D">
        <w:t xml:space="preserve">Gudmundsson, S., </w:t>
      </w:r>
      <w:proofErr w:type="spellStart"/>
      <w:r w:rsidRPr="004D443D">
        <w:t>Runarsson</w:t>
      </w:r>
      <w:proofErr w:type="spellEnd"/>
      <w:r w:rsidRPr="004D443D">
        <w:t xml:space="preserve">, T. P., Sigurdsson, S., </w:t>
      </w:r>
      <w:proofErr w:type="spellStart"/>
      <w:r w:rsidRPr="004D443D">
        <w:t>Eiriksdottir</w:t>
      </w:r>
      <w:proofErr w:type="spellEnd"/>
      <w:r w:rsidRPr="004D443D">
        <w:t>, G., and Johnsen, K. (2007). Reliability of quantitative EEG features. </w:t>
      </w:r>
      <w:r w:rsidRPr="004D443D">
        <w:rPr>
          <w:i/>
          <w:iCs/>
        </w:rPr>
        <w:t xml:space="preserve">Clin. </w:t>
      </w:r>
      <w:proofErr w:type="spellStart"/>
      <w:r w:rsidRPr="004D443D">
        <w:rPr>
          <w:i/>
          <w:iCs/>
        </w:rPr>
        <w:t>Neurophysiol</w:t>
      </w:r>
      <w:proofErr w:type="spellEnd"/>
      <w:r w:rsidRPr="004D443D">
        <w:rPr>
          <w:i/>
          <w:iCs/>
        </w:rPr>
        <w:t>.</w:t>
      </w:r>
      <w:r w:rsidRPr="004D443D">
        <w:t xml:space="preserve"> 118, 2162–2171. </w:t>
      </w:r>
      <w:proofErr w:type="spellStart"/>
      <w:r w:rsidRPr="004D443D">
        <w:t>doi</w:t>
      </w:r>
      <w:proofErr w:type="spellEnd"/>
      <w:r w:rsidRPr="004D443D">
        <w:t>: 10.1016/j.clinph.2007.06.018</w:t>
      </w:r>
    </w:p>
    <w:p w14:paraId="40542A49" w14:textId="77777777" w:rsidR="004D443D" w:rsidRPr="004D443D" w:rsidRDefault="004D443D" w:rsidP="00FE4589">
      <w:pPr>
        <w:pStyle w:val="NoSpacing"/>
        <w:ind w:left="720" w:hanging="720"/>
      </w:pPr>
      <w:bookmarkStart w:id="70" w:name="B40"/>
      <w:bookmarkEnd w:id="70"/>
      <w:r w:rsidRPr="004D443D">
        <w:t>Hamming, R. W. (1998). </w:t>
      </w:r>
      <w:r w:rsidRPr="004D443D">
        <w:rPr>
          <w:i/>
          <w:iCs/>
        </w:rPr>
        <w:t>Digital Filters.</w:t>
      </w:r>
      <w:r w:rsidRPr="004D443D">
        <w:t> Mineola, NY: Dover Publications, 252.</w:t>
      </w:r>
    </w:p>
    <w:p w14:paraId="72933C77" w14:textId="77777777" w:rsidR="004D443D" w:rsidRPr="004D443D" w:rsidRDefault="004D443D" w:rsidP="00FE4589">
      <w:pPr>
        <w:pStyle w:val="NoSpacing"/>
        <w:ind w:left="720" w:hanging="720"/>
      </w:pPr>
      <w:bookmarkStart w:id="71" w:name="B41"/>
      <w:bookmarkEnd w:id="71"/>
      <w:proofErr w:type="spellStart"/>
      <w:r w:rsidRPr="004D443D">
        <w:t>Heiss</w:t>
      </w:r>
      <w:proofErr w:type="spellEnd"/>
      <w:r w:rsidRPr="004D443D">
        <w:t xml:space="preserve">, W. D., Kessler, J., Thiel, A., </w:t>
      </w:r>
      <w:proofErr w:type="spellStart"/>
      <w:r w:rsidRPr="004D443D">
        <w:t>Ghaemi</w:t>
      </w:r>
      <w:proofErr w:type="spellEnd"/>
      <w:r w:rsidRPr="004D443D">
        <w:t xml:space="preserve">, M., and </w:t>
      </w:r>
      <w:proofErr w:type="spellStart"/>
      <w:r w:rsidRPr="004D443D">
        <w:t>Karbe</w:t>
      </w:r>
      <w:proofErr w:type="spellEnd"/>
      <w:r w:rsidRPr="004D443D">
        <w:t>, H. (1999). Differential capacity of left and right hemispheric areas for compensation of poststroke aphasia. </w:t>
      </w:r>
      <w:r w:rsidRPr="004D443D">
        <w:rPr>
          <w:i/>
          <w:iCs/>
        </w:rPr>
        <w:t>Ann. Neurol.</w:t>
      </w:r>
      <w:r w:rsidRPr="004D443D">
        <w:t xml:space="preserve"> 45, 430–438. </w:t>
      </w:r>
      <w:proofErr w:type="spellStart"/>
      <w:r w:rsidRPr="004D443D">
        <w:t>doi</w:t>
      </w:r>
      <w:proofErr w:type="spellEnd"/>
      <w:r w:rsidRPr="004D443D">
        <w:t>: 10.1002/1531-8249(199904)45:4&lt;</w:t>
      </w:r>
      <w:proofErr w:type="gramStart"/>
      <w:r w:rsidRPr="004D443D">
        <w:t>430::</w:t>
      </w:r>
      <w:proofErr w:type="gramEnd"/>
      <w:r w:rsidRPr="004D443D">
        <w:t>aid-ana3&gt;3.0.co;2-p</w:t>
      </w:r>
    </w:p>
    <w:p w14:paraId="7608AEBD" w14:textId="77777777" w:rsidR="004D443D" w:rsidRPr="004D443D" w:rsidRDefault="004D443D" w:rsidP="00FE4589">
      <w:pPr>
        <w:pStyle w:val="NoSpacing"/>
        <w:ind w:left="720" w:hanging="720"/>
      </w:pPr>
      <w:bookmarkStart w:id="72" w:name="B42"/>
      <w:bookmarkEnd w:id="72"/>
      <w:r w:rsidRPr="004D443D">
        <w:t xml:space="preserve">Hensel, S., </w:t>
      </w:r>
      <w:proofErr w:type="spellStart"/>
      <w:r w:rsidRPr="004D443D">
        <w:t>Rockstroh</w:t>
      </w:r>
      <w:proofErr w:type="spellEnd"/>
      <w:r w:rsidRPr="004D443D">
        <w:t xml:space="preserve">, B., Berg, P., Elbert, T., and </w:t>
      </w:r>
      <w:proofErr w:type="spellStart"/>
      <w:r w:rsidRPr="004D443D">
        <w:t>Schönle</w:t>
      </w:r>
      <w:proofErr w:type="spellEnd"/>
      <w:r w:rsidRPr="004D443D">
        <w:t>, P. W. (2004). Left-hemispheric abnormal EEG activity in relation to impairment and recovery in aphasic patients. </w:t>
      </w:r>
      <w:r w:rsidRPr="004D443D">
        <w:rPr>
          <w:i/>
          <w:iCs/>
        </w:rPr>
        <w:t>Psychophysiology</w:t>
      </w:r>
      <w:r w:rsidRPr="004D443D">
        <w:t xml:space="preserve"> 41, 394–400. </w:t>
      </w:r>
      <w:proofErr w:type="spellStart"/>
      <w:r w:rsidRPr="004D443D">
        <w:t>doi</w:t>
      </w:r>
      <w:proofErr w:type="spellEnd"/>
      <w:r w:rsidRPr="004D443D">
        <w:t>: 10.1111/j.1469-8986.2004.00164x</w:t>
      </w:r>
    </w:p>
    <w:p w14:paraId="03FF2850" w14:textId="77777777" w:rsidR="004D443D" w:rsidRPr="004D443D" w:rsidRDefault="004D443D" w:rsidP="00FE4589">
      <w:pPr>
        <w:pStyle w:val="NoSpacing"/>
        <w:ind w:left="720" w:hanging="720"/>
      </w:pPr>
      <w:bookmarkStart w:id="73" w:name="B43"/>
      <w:bookmarkEnd w:id="73"/>
      <w:r w:rsidRPr="004D443D">
        <w:t xml:space="preserve">Herron, K., Dijk, D., Dean, P., </w:t>
      </w:r>
      <w:proofErr w:type="spellStart"/>
      <w:r w:rsidRPr="004D443D">
        <w:t>Seiss</w:t>
      </w:r>
      <w:proofErr w:type="spellEnd"/>
      <w:r w:rsidRPr="004D443D">
        <w:t xml:space="preserve">, E., and </w:t>
      </w:r>
      <w:proofErr w:type="spellStart"/>
      <w:r w:rsidRPr="004D443D">
        <w:t>Sterr</w:t>
      </w:r>
      <w:proofErr w:type="spellEnd"/>
      <w:r w:rsidRPr="004D443D">
        <w:t xml:space="preserve">, A. (2014). Quantitative electroencephalography and </w:t>
      </w:r>
      <w:proofErr w:type="spellStart"/>
      <w:r w:rsidRPr="004D443D">
        <w:t>behavioural</w:t>
      </w:r>
      <w:proofErr w:type="spellEnd"/>
      <w:r w:rsidRPr="004D443D">
        <w:t xml:space="preserve"> correlates of daytime sleepiness in chronic stroke. </w:t>
      </w:r>
      <w:r w:rsidRPr="004D443D">
        <w:rPr>
          <w:i/>
          <w:iCs/>
        </w:rPr>
        <w:t>BioMed. Res. Int.</w:t>
      </w:r>
      <w:r w:rsidRPr="004D443D">
        <w:t xml:space="preserve"> 2014, 1–11. </w:t>
      </w:r>
      <w:proofErr w:type="spellStart"/>
      <w:r w:rsidRPr="004D443D">
        <w:t>doi</w:t>
      </w:r>
      <w:proofErr w:type="spellEnd"/>
      <w:r w:rsidRPr="004D443D">
        <w:t>: 10.1155/2014/794086</w:t>
      </w:r>
    </w:p>
    <w:p w14:paraId="79097873" w14:textId="77777777" w:rsidR="004D443D" w:rsidRPr="004D443D" w:rsidRDefault="004D443D" w:rsidP="00FE4589">
      <w:pPr>
        <w:pStyle w:val="NoSpacing"/>
        <w:ind w:left="720" w:hanging="720"/>
      </w:pPr>
      <w:bookmarkStart w:id="74" w:name="B44"/>
      <w:bookmarkEnd w:id="74"/>
      <w:proofErr w:type="spellStart"/>
      <w:r w:rsidRPr="004D443D">
        <w:t>Hilari</w:t>
      </w:r>
      <w:proofErr w:type="spellEnd"/>
      <w:r w:rsidRPr="004D443D">
        <w:t>, K. (2011). The impact of stroke: are people with aphasia different to those without? </w:t>
      </w:r>
      <w:r w:rsidRPr="004D443D">
        <w:rPr>
          <w:i/>
          <w:iCs/>
        </w:rPr>
        <w:t xml:space="preserve">Disability </w:t>
      </w:r>
      <w:proofErr w:type="spellStart"/>
      <w:r w:rsidRPr="004D443D">
        <w:rPr>
          <w:i/>
          <w:iCs/>
        </w:rPr>
        <w:t>Rehabil</w:t>
      </w:r>
      <w:proofErr w:type="spellEnd"/>
      <w:r w:rsidRPr="004D443D">
        <w:rPr>
          <w:i/>
          <w:iCs/>
        </w:rPr>
        <w:t>.</w:t>
      </w:r>
      <w:r w:rsidRPr="004D443D">
        <w:t xml:space="preserve"> 33, 211–218. </w:t>
      </w:r>
      <w:proofErr w:type="spellStart"/>
      <w:r w:rsidRPr="004D443D">
        <w:t>doi</w:t>
      </w:r>
      <w:proofErr w:type="spellEnd"/>
      <w:r w:rsidRPr="004D443D">
        <w:t>: 10.3109/09638288.2010.508829</w:t>
      </w:r>
    </w:p>
    <w:p w14:paraId="7D3F7539" w14:textId="77777777" w:rsidR="004D443D" w:rsidRPr="004D443D" w:rsidRDefault="004D443D" w:rsidP="00FE4589">
      <w:pPr>
        <w:pStyle w:val="NoSpacing"/>
        <w:ind w:left="720" w:hanging="720"/>
      </w:pPr>
      <w:bookmarkStart w:id="75" w:name="B45"/>
      <w:bookmarkEnd w:id="75"/>
      <w:proofErr w:type="spellStart"/>
      <w:r w:rsidRPr="004D443D">
        <w:t>Hilari</w:t>
      </w:r>
      <w:proofErr w:type="spellEnd"/>
      <w:r w:rsidRPr="004D443D">
        <w:t>, K., Needle, J. J., and Harrison, K. L. (2012). What are the important factors in health-related quality of life for people with aphasia? A systematic review. </w:t>
      </w:r>
      <w:r w:rsidRPr="004D443D">
        <w:rPr>
          <w:i/>
          <w:iCs/>
        </w:rPr>
        <w:t xml:space="preserve">Arch. Phys. Med. </w:t>
      </w:r>
      <w:proofErr w:type="spellStart"/>
      <w:r w:rsidRPr="004D443D">
        <w:rPr>
          <w:i/>
          <w:iCs/>
        </w:rPr>
        <w:t>Rehabil</w:t>
      </w:r>
      <w:proofErr w:type="spellEnd"/>
      <w:r w:rsidRPr="004D443D">
        <w:rPr>
          <w:i/>
          <w:iCs/>
        </w:rPr>
        <w:t>.</w:t>
      </w:r>
      <w:r w:rsidRPr="004D443D">
        <w:t> 93, S86–S95.</w:t>
      </w:r>
    </w:p>
    <w:p w14:paraId="20A9F046" w14:textId="77777777" w:rsidR="004D443D" w:rsidRPr="004D443D" w:rsidRDefault="004D443D" w:rsidP="00FE4589">
      <w:pPr>
        <w:pStyle w:val="NoSpacing"/>
        <w:ind w:left="720" w:hanging="720"/>
      </w:pPr>
      <w:bookmarkStart w:id="76" w:name="B46"/>
      <w:bookmarkEnd w:id="76"/>
      <w:proofErr w:type="spellStart"/>
      <w:r w:rsidRPr="004D443D">
        <w:t>Hilari</w:t>
      </w:r>
      <w:proofErr w:type="spellEnd"/>
      <w:r w:rsidRPr="004D443D">
        <w:t>, K., and Northcott, S. (2017). “Struggling to stay connected”: comparing the social relationships of healthy older people and people with stroke and aphasia. </w:t>
      </w:r>
      <w:r w:rsidRPr="004D443D">
        <w:rPr>
          <w:i/>
          <w:iCs/>
        </w:rPr>
        <w:t>Aphasiology</w:t>
      </w:r>
      <w:r w:rsidRPr="004D443D">
        <w:t xml:space="preserve"> 31, 674–687. </w:t>
      </w:r>
      <w:proofErr w:type="spellStart"/>
      <w:r w:rsidRPr="004D443D">
        <w:t>doi</w:t>
      </w:r>
      <w:proofErr w:type="spellEnd"/>
      <w:r w:rsidRPr="004D443D">
        <w:t>: 10.1080/02687038.2016.1218436</w:t>
      </w:r>
    </w:p>
    <w:p w14:paraId="0EF4DA7C" w14:textId="77777777" w:rsidR="004D443D" w:rsidRPr="004D443D" w:rsidRDefault="004D443D" w:rsidP="00FE4589">
      <w:pPr>
        <w:pStyle w:val="NoSpacing"/>
        <w:ind w:left="720" w:hanging="720"/>
      </w:pPr>
      <w:bookmarkStart w:id="77" w:name="B47"/>
      <w:bookmarkEnd w:id="77"/>
      <w:r w:rsidRPr="004D443D">
        <w:t>Holm, S. (1979). A simple sequentially rejective multiple test procedure. </w:t>
      </w:r>
      <w:r w:rsidRPr="004D443D">
        <w:rPr>
          <w:i/>
          <w:iCs/>
        </w:rPr>
        <w:t>Scand. J. Stat.</w:t>
      </w:r>
      <w:r w:rsidRPr="004D443D">
        <w:t> 6, 65–70.</w:t>
      </w:r>
    </w:p>
    <w:p w14:paraId="41EC6909" w14:textId="77777777" w:rsidR="004D443D" w:rsidRPr="004D443D" w:rsidRDefault="004D443D" w:rsidP="00FE4589">
      <w:pPr>
        <w:pStyle w:val="NoSpacing"/>
        <w:ind w:left="720" w:hanging="720"/>
      </w:pPr>
      <w:bookmarkStart w:id="78" w:name="B48"/>
      <w:bookmarkEnd w:id="78"/>
      <w:r w:rsidRPr="004D443D">
        <w:t xml:space="preserve">Ioannidis, J. P., and </w:t>
      </w:r>
      <w:proofErr w:type="spellStart"/>
      <w:r w:rsidRPr="004D443D">
        <w:t>Bossuyt</w:t>
      </w:r>
      <w:proofErr w:type="spellEnd"/>
      <w:r w:rsidRPr="004D443D">
        <w:t>, P. M. (2017). Waste, leaks, and failures in the biomarker pipeline. </w:t>
      </w:r>
      <w:r w:rsidRPr="004D443D">
        <w:rPr>
          <w:i/>
          <w:iCs/>
        </w:rPr>
        <w:t>Clin. Chem.</w:t>
      </w:r>
      <w:r w:rsidRPr="004D443D">
        <w:t xml:space="preserve"> 63, 963–972. </w:t>
      </w:r>
      <w:proofErr w:type="spellStart"/>
      <w:r w:rsidRPr="004D443D">
        <w:t>doi</w:t>
      </w:r>
      <w:proofErr w:type="spellEnd"/>
      <w:r w:rsidRPr="004D443D">
        <w:t>: 10.1373/clinchem.2016.254649</w:t>
      </w:r>
    </w:p>
    <w:p w14:paraId="2D0BE610" w14:textId="77777777" w:rsidR="004D443D" w:rsidRPr="004D443D" w:rsidRDefault="004D443D" w:rsidP="00FE4589">
      <w:pPr>
        <w:pStyle w:val="NoSpacing"/>
        <w:ind w:left="720" w:hanging="720"/>
      </w:pPr>
      <w:bookmarkStart w:id="79" w:name="B49"/>
      <w:bookmarkEnd w:id="79"/>
      <w:r w:rsidRPr="004D443D">
        <w:t xml:space="preserve">Kaplan, E., </w:t>
      </w:r>
      <w:proofErr w:type="spellStart"/>
      <w:r w:rsidRPr="004D443D">
        <w:t>Goodglass</w:t>
      </w:r>
      <w:proofErr w:type="spellEnd"/>
      <w:r w:rsidRPr="004D443D">
        <w:t>, H., and Weintraub, S. (2001). </w:t>
      </w:r>
      <w:r w:rsidRPr="004D443D">
        <w:rPr>
          <w:i/>
          <w:iCs/>
        </w:rPr>
        <w:t>Boston Naming Test.</w:t>
      </w:r>
      <w:r w:rsidRPr="004D443D">
        <w:t> Austin, TX: Pro-ed.</w:t>
      </w:r>
    </w:p>
    <w:p w14:paraId="712A1420" w14:textId="77777777" w:rsidR="004D443D" w:rsidRPr="004D443D" w:rsidRDefault="004D443D" w:rsidP="00FE4589">
      <w:pPr>
        <w:pStyle w:val="NoSpacing"/>
        <w:ind w:left="720" w:hanging="720"/>
      </w:pPr>
      <w:bookmarkStart w:id="80" w:name="B50"/>
      <w:bookmarkEnd w:id="80"/>
      <w:proofErr w:type="spellStart"/>
      <w:r w:rsidRPr="004D443D">
        <w:t>Kertesz</w:t>
      </w:r>
      <w:proofErr w:type="spellEnd"/>
      <w:r w:rsidRPr="004D443D">
        <w:t>, A. (2006). </w:t>
      </w:r>
      <w:r w:rsidRPr="004D443D">
        <w:rPr>
          <w:i/>
          <w:iCs/>
        </w:rPr>
        <w:t>Western Aphasia Battery – Revised.</w:t>
      </w:r>
      <w:r w:rsidRPr="004D443D">
        <w:t> San Antonio, TX: Pearson.</w:t>
      </w:r>
    </w:p>
    <w:p w14:paraId="6AE97151" w14:textId="77777777" w:rsidR="004D443D" w:rsidRPr="004D443D" w:rsidRDefault="004D443D" w:rsidP="00FE4589">
      <w:pPr>
        <w:pStyle w:val="NoSpacing"/>
        <w:ind w:left="720" w:hanging="720"/>
      </w:pPr>
      <w:bookmarkStart w:id="81" w:name="B51"/>
      <w:bookmarkEnd w:id="81"/>
      <w:proofErr w:type="spellStart"/>
      <w:r w:rsidRPr="004D443D">
        <w:t>Klingbeil</w:t>
      </w:r>
      <w:proofErr w:type="spellEnd"/>
      <w:r w:rsidRPr="004D443D">
        <w:t>, J., Wawrzyniak, M., Stockert, A., and Saur, D. (2019). Resting-state functional connectivity: an emerging method for the study of language networks in post-stroke aphasia. </w:t>
      </w:r>
      <w:r w:rsidRPr="004D443D">
        <w:rPr>
          <w:i/>
          <w:iCs/>
        </w:rPr>
        <w:t xml:space="preserve">Brain </w:t>
      </w:r>
      <w:proofErr w:type="spellStart"/>
      <w:r w:rsidRPr="004D443D">
        <w:rPr>
          <w:i/>
          <w:iCs/>
        </w:rPr>
        <w:t>Cogn</w:t>
      </w:r>
      <w:proofErr w:type="spellEnd"/>
      <w:r w:rsidRPr="004D443D">
        <w:rPr>
          <w:i/>
          <w:iCs/>
        </w:rPr>
        <w:t>.</w:t>
      </w:r>
      <w:r w:rsidRPr="004D443D">
        <w:t xml:space="preserve"> 131, 22–33. </w:t>
      </w:r>
      <w:proofErr w:type="spellStart"/>
      <w:r w:rsidRPr="004D443D">
        <w:t>doi</w:t>
      </w:r>
      <w:proofErr w:type="spellEnd"/>
      <w:r w:rsidRPr="004D443D">
        <w:t>: 10.1016/j.bandc.2017.08.005</w:t>
      </w:r>
    </w:p>
    <w:p w14:paraId="43528EB9" w14:textId="77777777" w:rsidR="004D443D" w:rsidRPr="004D443D" w:rsidRDefault="004D443D" w:rsidP="00FE4589">
      <w:pPr>
        <w:pStyle w:val="NoSpacing"/>
        <w:ind w:left="720" w:hanging="720"/>
      </w:pPr>
      <w:bookmarkStart w:id="82" w:name="B52"/>
      <w:bookmarkEnd w:id="82"/>
      <w:proofErr w:type="spellStart"/>
      <w:r w:rsidRPr="004D443D">
        <w:t>Kondacs</w:t>
      </w:r>
      <w:proofErr w:type="spellEnd"/>
      <w:r w:rsidRPr="004D443D">
        <w:t xml:space="preserve">, A., and </w:t>
      </w:r>
      <w:proofErr w:type="spellStart"/>
      <w:r w:rsidRPr="004D443D">
        <w:t>Szabó</w:t>
      </w:r>
      <w:proofErr w:type="spellEnd"/>
      <w:r w:rsidRPr="004D443D">
        <w:t xml:space="preserve">, M. (1999). Long-term intra-individual variability of the background EEG in </w:t>
      </w:r>
      <w:proofErr w:type="spellStart"/>
      <w:r w:rsidRPr="004D443D">
        <w:t>normals</w:t>
      </w:r>
      <w:proofErr w:type="spellEnd"/>
      <w:r w:rsidRPr="004D443D">
        <w:t>. </w:t>
      </w:r>
      <w:r w:rsidRPr="004D443D">
        <w:rPr>
          <w:i/>
          <w:iCs/>
        </w:rPr>
        <w:t xml:space="preserve">Clin. </w:t>
      </w:r>
      <w:proofErr w:type="spellStart"/>
      <w:r w:rsidRPr="004D443D">
        <w:rPr>
          <w:i/>
          <w:iCs/>
        </w:rPr>
        <w:t>Neurophysiol</w:t>
      </w:r>
      <w:proofErr w:type="spellEnd"/>
      <w:r w:rsidRPr="004D443D">
        <w:rPr>
          <w:i/>
          <w:iCs/>
        </w:rPr>
        <w:t>.</w:t>
      </w:r>
      <w:r w:rsidRPr="004D443D">
        <w:t xml:space="preserve"> 110, 1708–1716. </w:t>
      </w:r>
      <w:proofErr w:type="spellStart"/>
      <w:r w:rsidRPr="004D443D">
        <w:t>doi</w:t>
      </w:r>
      <w:proofErr w:type="spellEnd"/>
      <w:r w:rsidRPr="004D443D">
        <w:t>: 10.1016/s1388-2457(99)00122-4</w:t>
      </w:r>
    </w:p>
    <w:p w14:paraId="3FFA9AE2" w14:textId="77777777" w:rsidR="004D443D" w:rsidRPr="004D443D" w:rsidRDefault="004D443D" w:rsidP="00FE4589">
      <w:pPr>
        <w:pStyle w:val="NoSpacing"/>
        <w:ind w:left="720" w:hanging="720"/>
      </w:pPr>
      <w:bookmarkStart w:id="83" w:name="B53"/>
      <w:bookmarkEnd w:id="83"/>
      <w:r w:rsidRPr="004D443D">
        <w:t>Koo, T. K., and Li, M. Y. (2016). A guideline of selecting and reporting intraclass correlation coefficients for reliability research. </w:t>
      </w:r>
      <w:r w:rsidRPr="004D443D">
        <w:rPr>
          <w:i/>
          <w:iCs/>
        </w:rPr>
        <w:t>J. Chiropractic Med.</w:t>
      </w:r>
      <w:r w:rsidRPr="004D443D">
        <w:t xml:space="preserve"> 15, 155–163. </w:t>
      </w:r>
      <w:proofErr w:type="spellStart"/>
      <w:r w:rsidRPr="004D443D">
        <w:t>doi</w:t>
      </w:r>
      <w:proofErr w:type="spellEnd"/>
      <w:r w:rsidRPr="004D443D">
        <w:t>: 10.1016/j.jcm.2016.02.012</w:t>
      </w:r>
    </w:p>
    <w:p w14:paraId="110D259D" w14:textId="77777777" w:rsidR="004D443D" w:rsidRPr="004D443D" w:rsidRDefault="004D443D" w:rsidP="00FE4589">
      <w:pPr>
        <w:pStyle w:val="NoSpacing"/>
        <w:ind w:left="720" w:hanging="720"/>
      </w:pPr>
      <w:bookmarkStart w:id="84" w:name="B54"/>
      <w:bookmarkEnd w:id="84"/>
      <w:r w:rsidRPr="004D443D">
        <w:t xml:space="preserve">Learmonth, G., </w:t>
      </w:r>
      <w:proofErr w:type="spellStart"/>
      <w:r w:rsidRPr="004D443D">
        <w:t>Benwell</w:t>
      </w:r>
      <w:proofErr w:type="spellEnd"/>
      <w:r w:rsidRPr="004D443D">
        <w:t xml:space="preserve">, C. S., </w:t>
      </w:r>
      <w:proofErr w:type="spellStart"/>
      <w:r w:rsidRPr="004D443D">
        <w:t>Thut</w:t>
      </w:r>
      <w:proofErr w:type="spellEnd"/>
      <w:r w:rsidRPr="004D443D">
        <w:t xml:space="preserve">, G., and Harvey, M. (2017). Age-related reduction of hemispheric </w:t>
      </w:r>
      <w:proofErr w:type="spellStart"/>
      <w:r w:rsidRPr="004D443D">
        <w:t>lateralisation</w:t>
      </w:r>
      <w:proofErr w:type="spellEnd"/>
      <w:r w:rsidRPr="004D443D">
        <w:t xml:space="preserve"> for spatial attention: an EEG study. </w:t>
      </w:r>
      <w:r w:rsidRPr="004D443D">
        <w:rPr>
          <w:i/>
          <w:iCs/>
        </w:rPr>
        <w:t>Neuroimage</w:t>
      </w:r>
      <w:r w:rsidRPr="004D443D">
        <w:t xml:space="preserve"> 153, 139–151. </w:t>
      </w:r>
      <w:proofErr w:type="spellStart"/>
      <w:r w:rsidRPr="004D443D">
        <w:t>doi</w:t>
      </w:r>
      <w:proofErr w:type="spellEnd"/>
      <w:r w:rsidRPr="004D443D">
        <w:t>: 10.1016/j.neuroimage.2017.03.050</w:t>
      </w:r>
    </w:p>
    <w:p w14:paraId="09AB3C39" w14:textId="77777777" w:rsidR="004D443D" w:rsidRPr="004D443D" w:rsidRDefault="004D443D" w:rsidP="00FE4589">
      <w:pPr>
        <w:pStyle w:val="NoSpacing"/>
        <w:ind w:left="720" w:hanging="720"/>
      </w:pPr>
      <w:bookmarkStart w:id="85" w:name="B55"/>
      <w:bookmarkEnd w:id="85"/>
      <w:r w:rsidRPr="004D443D">
        <w:t>Leon-Carrion, J., Martin-Rodriguez, J. F., Damas-Lopez, J., y Martin, J. M. B., and Dominguez-Morales, M. R. (2009). Delta–alpha ratio correlates with level of recovery after neurorehabilitation in patients with acquired brain injury. </w:t>
      </w:r>
      <w:r w:rsidRPr="004D443D">
        <w:rPr>
          <w:i/>
          <w:iCs/>
        </w:rPr>
        <w:t xml:space="preserve">Clin. </w:t>
      </w:r>
      <w:proofErr w:type="spellStart"/>
      <w:r w:rsidRPr="004D443D">
        <w:rPr>
          <w:i/>
          <w:iCs/>
        </w:rPr>
        <w:t>Neurophysiol</w:t>
      </w:r>
      <w:proofErr w:type="spellEnd"/>
      <w:r w:rsidRPr="004D443D">
        <w:rPr>
          <w:i/>
          <w:iCs/>
        </w:rPr>
        <w:t>.</w:t>
      </w:r>
      <w:r w:rsidRPr="004D443D">
        <w:t xml:space="preserve"> 120, 1039–1045. </w:t>
      </w:r>
      <w:proofErr w:type="spellStart"/>
      <w:r w:rsidRPr="004D443D">
        <w:t>doi</w:t>
      </w:r>
      <w:proofErr w:type="spellEnd"/>
      <w:r w:rsidRPr="004D443D">
        <w:t>: 10.1016/j.clinph.2009.01.021</w:t>
      </w:r>
    </w:p>
    <w:p w14:paraId="613BCD8B" w14:textId="77777777" w:rsidR="004D443D" w:rsidRPr="004D443D" w:rsidRDefault="004D443D" w:rsidP="00FE4589">
      <w:pPr>
        <w:pStyle w:val="NoSpacing"/>
        <w:ind w:left="720" w:hanging="720"/>
      </w:pPr>
      <w:bookmarkStart w:id="86" w:name="B56"/>
      <w:bookmarkEnd w:id="86"/>
      <w:r w:rsidRPr="004D443D">
        <w:t>Logan, G. D. (1985). Executive control of thought and action. </w:t>
      </w:r>
      <w:r w:rsidRPr="004D443D">
        <w:rPr>
          <w:i/>
          <w:iCs/>
        </w:rPr>
        <w:t>Acta Psychol.</w:t>
      </w:r>
      <w:r w:rsidRPr="004D443D">
        <w:t xml:space="preserve"> 60, 193–210. </w:t>
      </w:r>
      <w:proofErr w:type="spellStart"/>
      <w:r w:rsidRPr="004D443D">
        <w:t>doi</w:t>
      </w:r>
      <w:proofErr w:type="spellEnd"/>
      <w:r w:rsidRPr="004D443D">
        <w:t>: 10.1016/0001-6918(85)90055-1</w:t>
      </w:r>
    </w:p>
    <w:p w14:paraId="6B7ED17C" w14:textId="77777777" w:rsidR="004D443D" w:rsidRPr="004D443D" w:rsidRDefault="004D443D" w:rsidP="00FE4589">
      <w:pPr>
        <w:pStyle w:val="NoSpacing"/>
        <w:ind w:left="720" w:hanging="720"/>
      </w:pPr>
      <w:bookmarkStart w:id="87" w:name="B57"/>
      <w:bookmarkEnd w:id="87"/>
      <w:proofErr w:type="spellStart"/>
      <w:r w:rsidRPr="004D443D">
        <w:t>Makeig</w:t>
      </w:r>
      <w:proofErr w:type="spellEnd"/>
      <w:r w:rsidRPr="004D443D">
        <w:t xml:space="preserve">, S., Bell, A. J., Jung, T. P., and </w:t>
      </w:r>
      <w:proofErr w:type="spellStart"/>
      <w:r w:rsidRPr="004D443D">
        <w:t>Sejnowski</w:t>
      </w:r>
      <w:proofErr w:type="spellEnd"/>
      <w:r w:rsidRPr="004D443D">
        <w:t>, T. J. (1996). Independent component analysis of electroencephalographic data. </w:t>
      </w:r>
      <w:r w:rsidRPr="004D443D">
        <w:rPr>
          <w:i/>
          <w:iCs/>
        </w:rPr>
        <w:t>Adv. Neural Information Processing Syst.</w:t>
      </w:r>
      <w:r w:rsidRPr="004D443D">
        <w:t> 8, 145–151.</w:t>
      </w:r>
    </w:p>
    <w:p w14:paraId="183CA913" w14:textId="77777777" w:rsidR="004D443D" w:rsidRPr="004D443D" w:rsidRDefault="004D443D" w:rsidP="00FE4589">
      <w:pPr>
        <w:pStyle w:val="NoSpacing"/>
        <w:ind w:left="720" w:hanging="720"/>
      </w:pPr>
      <w:bookmarkStart w:id="88" w:name="B58"/>
      <w:bookmarkEnd w:id="88"/>
      <w:r w:rsidRPr="004D443D">
        <w:t xml:space="preserve">Marian, V., Blumenfeld, H. K., and </w:t>
      </w:r>
      <w:proofErr w:type="spellStart"/>
      <w:r w:rsidRPr="004D443D">
        <w:t>Kaushanskaya</w:t>
      </w:r>
      <w:proofErr w:type="spellEnd"/>
      <w:r w:rsidRPr="004D443D">
        <w:t>, M. (2007). The language experience and proficiency questionnaire (LEAP-Q): assessing language profiles in bilinguals and multilinguals. </w:t>
      </w:r>
      <w:r w:rsidRPr="004D443D">
        <w:rPr>
          <w:i/>
          <w:iCs/>
        </w:rPr>
        <w:t>J. Speech Lang. Hear. Res.</w:t>
      </w:r>
      <w:r w:rsidRPr="004D443D">
        <w:t xml:space="preserve"> 50, 940–967. </w:t>
      </w:r>
      <w:proofErr w:type="spellStart"/>
      <w:r w:rsidRPr="004D443D">
        <w:t>doi</w:t>
      </w:r>
      <w:proofErr w:type="spellEnd"/>
      <w:r w:rsidRPr="004D443D">
        <w:t>: 10.1044/1092-4388(2007/067)</w:t>
      </w:r>
    </w:p>
    <w:p w14:paraId="29D73AE8" w14:textId="77777777" w:rsidR="004D443D" w:rsidRPr="004D443D" w:rsidRDefault="004D443D" w:rsidP="00FE4589">
      <w:pPr>
        <w:pStyle w:val="NoSpacing"/>
        <w:ind w:left="720" w:hanging="720"/>
      </w:pPr>
      <w:bookmarkStart w:id="89" w:name="B59"/>
      <w:bookmarkEnd w:id="89"/>
      <w:r w:rsidRPr="004D443D">
        <w:t>McGraw, K. O., and Wong, S. P. (1996). Forming inferences about some intraclass correlation coefficients. </w:t>
      </w:r>
      <w:r w:rsidRPr="004D443D">
        <w:rPr>
          <w:i/>
          <w:iCs/>
        </w:rPr>
        <w:t>Psychol. Methods</w:t>
      </w:r>
      <w:r w:rsidRPr="004D443D">
        <w:t xml:space="preserve"> 1:30. </w:t>
      </w:r>
      <w:proofErr w:type="spellStart"/>
      <w:r w:rsidRPr="004D443D">
        <w:t>doi</w:t>
      </w:r>
      <w:proofErr w:type="spellEnd"/>
      <w:r w:rsidRPr="004D443D">
        <w:t>: 10.1037/1082-989x.1.1.30</w:t>
      </w:r>
    </w:p>
    <w:p w14:paraId="105BC110" w14:textId="77777777" w:rsidR="004D443D" w:rsidRPr="004D443D" w:rsidRDefault="004D443D" w:rsidP="00FE4589">
      <w:pPr>
        <w:pStyle w:val="NoSpacing"/>
        <w:ind w:left="720" w:hanging="720"/>
      </w:pPr>
      <w:bookmarkStart w:id="90" w:name="B60"/>
      <w:bookmarkEnd w:id="90"/>
      <w:r w:rsidRPr="004D443D">
        <w:t>Morris, R., Eccles, A., Ryan, B., and Kneebone, I. I. (2017). Prevalence of anxiety in people with aphasia after stroke. </w:t>
      </w:r>
      <w:r w:rsidRPr="004D443D">
        <w:rPr>
          <w:i/>
          <w:iCs/>
        </w:rPr>
        <w:t>Aphasiology</w:t>
      </w:r>
      <w:r w:rsidRPr="004D443D">
        <w:t xml:space="preserve"> 31, 1410–1415. </w:t>
      </w:r>
      <w:proofErr w:type="spellStart"/>
      <w:r w:rsidRPr="004D443D">
        <w:t>doi</w:t>
      </w:r>
      <w:proofErr w:type="spellEnd"/>
      <w:r w:rsidRPr="004D443D">
        <w:t>: 10.1080/02687038.2017.1304633</w:t>
      </w:r>
    </w:p>
    <w:p w14:paraId="40059B3F" w14:textId="77777777" w:rsidR="004D443D" w:rsidRPr="004D443D" w:rsidRDefault="004D443D" w:rsidP="00FE4589">
      <w:pPr>
        <w:pStyle w:val="NoSpacing"/>
        <w:ind w:left="720" w:hanging="720"/>
      </w:pPr>
      <w:bookmarkStart w:id="91" w:name="B61"/>
      <w:bookmarkEnd w:id="91"/>
      <w:r w:rsidRPr="004D443D">
        <w:t>Nicholas, L. E., and Brookshire, R. H. (1995). Presence, completeness, and accuracy of main concepts in the connected speech of non-brain-damaged adults and adults with aphasia. </w:t>
      </w:r>
      <w:r w:rsidRPr="004D443D">
        <w:rPr>
          <w:i/>
          <w:iCs/>
        </w:rPr>
        <w:t>J. Speech Lang. Hear. Res.</w:t>
      </w:r>
      <w:r w:rsidRPr="004D443D">
        <w:t xml:space="preserve"> 38, 145–156. </w:t>
      </w:r>
      <w:proofErr w:type="spellStart"/>
      <w:r w:rsidRPr="004D443D">
        <w:t>doi</w:t>
      </w:r>
      <w:proofErr w:type="spellEnd"/>
      <w:r w:rsidRPr="004D443D">
        <w:t>: 10.1044/jshr.3801.145</w:t>
      </w:r>
    </w:p>
    <w:p w14:paraId="4F15FA9A" w14:textId="77777777" w:rsidR="004D443D" w:rsidRPr="004D443D" w:rsidRDefault="004D443D" w:rsidP="00FE4589">
      <w:pPr>
        <w:pStyle w:val="NoSpacing"/>
        <w:ind w:left="720" w:hanging="720"/>
      </w:pPr>
      <w:bookmarkStart w:id="92" w:name="B62"/>
      <w:bookmarkEnd w:id="92"/>
      <w:r w:rsidRPr="004D443D">
        <w:t xml:space="preserve">Nicolo, P., </w:t>
      </w:r>
      <w:proofErr w:type="spellStart"/>
      <w:r w:rsidRPr="004D443D">
        <w:t>Rizk</w:t>
      </w:r>
      <w:proofErr w:type="spellEnd"/>
      <w:r w:rsidRPr="004D443D">
        <w:t xml:space="preserve">, S., </w:t>
      </w:r>
      <w:proofErr w:type="spellStart"/>
      <w:r w:rsidRPr="004D443D">
        <w:t>Magnin</w:t>
      </w:r>
      <w:proofErr w:type="spellEnd"/>
      <w:r w:rsidRPr="004D443D">
        <w:t xml:space="preserve">, C., Pietro, M. D., </w:t>
      </w:r>
      <w:proofErr w:type="spellStart"/>
      <w:r w:rsidRPr="004D443D">
        <w:t>Schnider</w:t>
      </w:r>
      <w:proofErr w:type="spellEnd"/>
      <w:r w:rsidRPr="004D443D">
        <w:t>, A., and Guggisberg, A. G. (2015). Coherent neural oscillations predict future motor and language improvement after stroke. </w:t>
      </w:r>
      <w:r w:rsidRPr="004D443D">
        <w:rPr>
          <w:i/>
          <w:iCs/>
        </w:rPr>
        <w:t>Brain</w:t>
      </w:r>
      <w:r w:rsidRPr="004D443D">
        <w:t xml:space="preserve"> 138, 3048–3060. </w:t>
      </w:r>
      <w:proofErr w:type="spellStart"/>
      <w:r w:rsidRPr="004D443D">
        <w:t>doi</w:t>
      </w:r>
      <w:proofErr w:type="spellEnd"/>
      <w:r w:rsidRPr="004D443D">
        <w:t>: 10.1093/brain/awv200</w:t>
      </w:r>
    </w:p>
    <w:p w14:paraId="2610BE7C" w14:textId="77777777" w:rsidR="004D443D" w:rsidRPr="004D443D" w:rsidRDefault="004D443D" w:rsidP="00FE4589">
      <w:pPr>
        <w:pStyle w:val="NoSpacing"/>
        <w:ind w:left="720" w:hanging="720"/>
      </w:pPr>
      <w:bookmarkStart w:id="93" w:name="B63"/>
      <w:bookmarkEnd w:id="93"/>
      <w:proofErr w:type="spellStart"/>
      <w:r w:rsidRPr="004D443D">
        <w:t>Nolfe</w:t>
      </w:r>
      <w:proofErr w:type="spellEnd"/>
      <w:r w:rsidRPr="004D443D">
        <w:t xml:space="preserve">, G., </w:t>
      </w:r>
      <w:proofErr w:type="spellStart"/>
      <w:r w:rsidRPr="004D443D">
        <w:t>Cobianchi</w:t>
      </w:r>
      <w:proofErr w:type="spellEnd"/>
      <w:r w:rsidRPr="004D443D">
        <w:t xml:space="preserve">, A., </w:t>
      </w:r>
      <w:proofErr w:type="spellStart"/>
      <w:r w:rsidRPr="004D443D">
        <w:t>Mossuto-Agatiello</w:t>
      </w:r>
      <w:proofErr w:type="spellEnd"/>
      <w:r w:rsidRPr="004D443D">
        <w:t xml:space="preserve">, L., and </w:t>
      </w:r>
      <w:proofErr w:type="spellStart"/>
      <w:r w:rsidRPr="004D443D">
        <w:t>Giaquinto</w:t>
      </w:r>
      <w:proofErr w:type="spellEnd"/>
      <w:r w:rsidRPr="004D443D">
        <w:t>, S. (2006). The role of P300 in the recovery of post-stroke global aphasia. </w:t>
      </w:r>
      <w:r w:rsidRPr="004D443D">
        <w:rPr>
          <w:i/>
          <w:iCs/>
        </w:rPr>
        <w:t>Eur. J. Neurol.</w:t>
      </w:r>
      <w:r w:rsidRPr="004D443D">
        <w:t xml:space="preserve"> 13, 377–384. </w:t>
      </w:r>
      <w:proofErr w:type="spellStart"/>
      <w:r w:rsidRPr="004D443D">
        <w:t>doi</w:t>
      </w:r>
      <w:proofErr w:type="spellEnd"/>
      <w:r w:rsidRPr="004D443D">
        <w:t>: 10.1111/j.1468-1331.</w:t>
      </w:r>
      <w:proofErr w:type="gramStart"/>
      <w:r w:rsidRPr="004D443D">
        <w:t>2006.01237.x</w:t>
      </w:r>
      <w:proofErr w:type="gramEnd"/>
    </w:p>
    <w:p w14:paraId="1DBB63C8" w14:textId="77777777" w:rsidR="004D443D" w:rsidRPr="004D443D" w:rsidRDefault="004D443D" w:rsidP="00FE4589">
      <w:pPr>
        <w:pStyle w:val="NoSpacing"/>
        <w:ind w:left="720" w:hanging="720"/>
      </w:pPr>
      <w:bookmarkStart w:id="94" w:name="B64"/>
      <w:bookmarkEnd w:id="94"/>
      <w:proofErr w:type="spellStart"/>
      <w:r w:rsidRPr="004D443D">
        <w:t>Oken</w:t>
      </w:r>
      <w:proofErr w:type="spellEnd"/>
      <w:r w:rsidRPr="004D443D">
        <w:t xml:space="preserve">, B., and </w:t>
      </w:r>
      <w:proofErr w:type="spellStart"/>
      <w:r w:rsidRPr="004D443D">
        <w:t>Chiappa</w:t>
      </w:r>
      <w:proofErr w:type="spellEnd"/>
      <w:r w:rsidRPr="004D443D">
        <w:t>, K. (1988). Short-term variability in EEG frequency analysis. </w:t>
      </w:r>
      <w:proofErr w:type="spellStart"/>
      <w:r w:rsidRPr="004D443D">
        <w:rPr>
          <w:i/>
          <w:iCs/>
        </w:rPr>
        <w:t>Electroencephalogr</w:t>
      </w:r>
      <w:proofErr w:type="spellEnd"/>
      <w:r w:rsidRPr="004D443D">
        <w:rPr>
          <w:i/>
          <w:iCs/>
        </w:rPr>
        <w:t xml:space="preserve">. Clin. </w:t>
      </w:r>
      <w:proofErr w:type="spellStart"/>
      <w:r w:rsidRPr="004D443D">
        <w:rPr>
          <w:i/>
          <w:iCs/>
        </w:rPr>
        <w:t>Neurophysiol</w:t>
      </w:r>
      <w:proofErr w:type="spellEnd"/>
      <w:r w:rsidRPr="004D443D">
        <w:rPr>
          <w:i/>
          <w:iCs/>
        </w:rPr>
        <w:t>.</w:t>
      </w:r>
      <w:r w:rsidRPr="004D443D">
        <w:t xml:space="preserve"> 69, 191–198. </w:t>
      </w:r>
      <w:proofErr w:type="spellStart"/>
      <w:r w:rsidRPr="004D443D">
        <w:t>doi</w:t>
      </w:r>
      <w:proofErr w:type="spellEnd"/>
      <w:r w:rsidRPr="004D443D">
        <w:t>: 10.1016/0013-4694(88)90128-9</w:t>
      </w:r>
    </w:p>
    <w:p w14:paraId="5FA4FABE" w14:textId="77777777" w:rsidR="004D443D" w:rsidRPr="004D443D" w:rsidRDefault="004D443D" w:rsidP="00FE4589">
      <w:pPr>
        <w:pStyle w:val="NoSpacing"/>
        <w:ind w:left="720" w:hanging="720"/>
      </w:pPr>
      <w:bookmarkStart w:id="95" w:name="B65"/>
      <w:bookmarkEnd w:id="95"/>
      <w:r w:rsidRPr="004D443D">
        <w:t>Oppenheim, A., Schafer, R. W., and Buck, J. R. (1999). </w:t>
      </w:r>
      <w:r w:rsidRPr="004D443D">
        <w:rPr>
          <w:i/>
          <w:iCs/>
        </w:rPr>
        <w:t>Discrete-Time Signal Processing</w:t>
      </w:r>
      <w:r w:rsidRPr="004D443D">
        <w:t xml:space="preserve">, 2nd </w:t>
      </w:r>
      <w:proofErr w:type="spellStart"/>
      <w:r w:rsidRPr="004D443D">
        <w:t>Edn</w:t>
      </w:r>
      <w:proofErr w:type="spellEnd"/>
      <w:r w:rsidRPr="004D443D">
        <w:t>. Upper Saddle River, NJ: Prentice Hall.</w:t>
      </w:r>
    </w:p>
    <w:p w14:paraId="0790B749" w14:textId="77777777" w:rsidR="004D443D" w:rsidRPr="004D443D" w:rsidRDefault="004D443D" w:rsidP="00FE4589">
      <w:pPr>
        <w:pStyle w:val="NoSpacing"/>
        <w:ind w:left="720" w:hanging="720"/>
      </w:pPr>
      <w:bookmarkStart w:id="96" w:name="B66"/>
      <w:bookmarkEnd w:id="96"/>
      <w:r w:rsidRPr="004D443D">
        <w:t xml:space="preserve">Othman, E. A., </w:t>
      </w:r>
      <w:proofErr w:type="spellStart"/>
      <w:r w:rsidRPr="004D443D">
        <w:t>Yusoff</w:t>
      </w:r>
      <w:proofErr w:type="spellEnd"/>
      <w:r w:rsidRPr="004D443D">
        <w:t xml:space="preserve">, A. N., Mohamad, M., Abdul Manan, H., Abd Hamid, A. I., and </w:t>
      </w:r>
      <w:proofErr w:type="spellStart"/>
      <w:r w:rsidRPr="004D443D">
        <w:t>Giampietro</w:t>
      </w:r>
      <w:proofErr w:type="spellEnd"/>
      <w:r w:rsidRPr="004D443D">
        <w:t>, V. (2020). Hemispheric lateralization of auditory working memory regions during stochastic resonance: an fMRI study. </w:t>
      </w:r>
      <w:r w:rsidRPr="004D443D">
        <w:rPr>
          <w:i/>
          <w:iCs/>
        </w:rPr>
        <w:t>J. Magnetic Resonance Imaging</w:t>
      </w:r>
      <w:r w:rsidRPr="004D443D">
        <w:t xml:space="preserve"> 51, 1821–1828. </w:t>
      </w:r>
      <w:proofErr w:type="spellStart"/>
      <w:r w:rsidRPr="004D443D">
        <w:t>doi</w:t>
      </w:r>
      <w:proofErr w:type="spellEnd"/>
      <w:r w:rsidRPr="004D443D">
        <w:t>: 10.1002/jmri.27016</w:t>
      </w:r>
    </w:p>
    <w:p w14:paraId="485C4FCA" w14:textId="77777777" w:rsidR="004D443D" w:rsidRPr="004D443D" w:rsidRDefault="004D443D" w:rsidP="00FE4589">
      <w:pPr>
        <w:pStyle w:val="NoSpacing"/>
        <w:ind w:left="720" w:hanging="720"/>
      </w:pPr>
      <w:bookmarkStart w:id="97" w:name="B67"/>
      <w:bookmarkEnd w:id="97"/>
      <w:proofErr w:type="spellStart"/>
      <w:r w:rsidRPr="004D443D">
        <w:t>Palva</w:t>
      </w:r>
      <w:proofErr w:type="spellEnd"/>
      <w:r w:rsidRPr="004D443D">
        <w:t xml:space="preserve">, S., and </w:t>
      </w:r>
      <w:proofErr w:type="spellStart"/>
      <w:r w:rsidRPr="004D443D">
        <w:t>Palva</w:t>
      </w:r>
      <w:proofErr w:type="spellEnd"/>
      <w:r w:rsidRPr="004D443D">
        <w:t>, J. M. (2011). Functional roles of alpha-band phase synchronization in local and large-scale cortical networks. </w:t>
      </w:r>
      <w:r w:rsidRPr="004D443D">
        <w:rPr>
          <w:i/>
          <w:iCs/>
        </w:rPr>
        <w:t>Front. Psychol.</w:t>
      </w:r>
      <w:r w:rsidRPr="004D443D">
        <w:t> 2:204.</w:t>
      </w:r>
    </w:p>
    <w:p w14:paraId="460FFE6F" w14:textId="77777777" w:rsidR="004D443D" w:rsidRPr="004D443D" w:rsidRDefault="004D443D" w:rsidP="00FE4589">
      <w:pPr>
        <w:pStyle w:val="NoSpacing"/>
        <w:ind w:left="720" w:hanging="720"/>
      </w:pPr>
      <w:bookmarkStart w:id="98" w:name="B68"/>
      <w:bookmarkEnd w:id="98"/>
      <w:r w:rsidRPr="004D443D">
        <w:t>Park, W., Kwon, G. H., Kim, Y., Lee, J., and Kim, L. (2016). EEG response varies with lesion location in patients with chronic stroke. </w:t>
      </w:r>
      <w:r w:rsidRPr="004D443D">
        <w:rPr>
          <w:i/>
          <w:iCs/>
        </w:rPr>
        <w:t xml:space="preserve">J. </w:t>
      </w:r>
      <w:proofErr w:type="spellStart"/>
      <w:r w:rsidRPr="004D443D">
        <w:rPr>
          <w:i/>
          <w:iCs/>
        </w:rPr>
        <w:t>NeuroEngineering</w:t>
      </w:r>
      <w:proofErr w:type="spellEnd"/>
      <w:r w:rsidRPr="004D443D">
        <w:rPr>
          <w:i/>
          <w:iCs/>
        </w:rPr>
        <w:t xml:space="preserve"> </w:t>
      </w:r>
      <w:proofErr w:type="spellStart"/>
      <w:r w:rsidRPr="004D443D">
        <w:rPr>
          <w:i/>
          <w:iCs/>
        </w:rPr>
        <w:t>Rehabil</w:t>
      </w:r>
      <w:proofErr w:type="spellEnd"/>
      <w:r w:rsidRPr="004D443D">
        <w:rPr>
          <w:i/>
          <w:iCs/>
        </w:rPr>
        <w:t>.</w:t>
      </w:r>
      <w:r w:rsidRPr="004D443D">
        <w:t xml:space="preserve"> 13:21. </w:t>
      </w:r>
      <w:proofErr w:type="spellStart"/>
      <w:r w:rsidRPr="004D443D">
        <w:t>doi</w:t>
      </w:r>
      <w:proofErr w:type="spellEnd"/>
      <w:r w:rsidRPr="004D443D">
        <w:t>: 10.1186/s12984-016-0120-2</w:t>
      </w:r>
    </w:p>
    <w:p w14:paraId="28179900" w14:textId="77777777" w:rsidR="004D443D" w:rsidRPr="004D443D" w:rsidRDefault="004D443D" w:rsidP="00FE4589">
      <w:pPr>
        <w:pStyle w:val="NoSpacing"/>
        <w:ind w:left="720" w:hanging="720"/>
      </w:pPr>
      <w:bookmarkStart w:id="99" w:name="B69"/>
      <w:bookmarkEnd w:id="99"/>
      <w:r w:rsidRPr="004D443D">
        <w:t xml:space="preserve">Petrovic, J., Milosevic, V., </w:t>
      </w:r>
      <w:proofErr w:type="spellStart"/>
      <w:r w:rsidRPr="004D443D">
        <w:t>Zivkovic</w:t>
      </w:r>
      <w:proofErr w:type="spellEnd"/>
      <w:r w:rsidRPr="004D443D">
        <w:t xml:space="preserve">, M., </w:t>
      </w:r>
      <w:proofErr w:type="spellStart"/>
      <w:r w:rsidRPr="004D443D">
        <w:t>Stojanov</w:t>
      </w:r>
      <w:proofErr w:type="spellEnd"/>
      <w:r w:rsidRPr="004D443D">
        <w:t xml:space="preserve">, D., </w:t>
      </w:r>
      <w:proofErr w:type="spellStart"/>
      <w:r w:rsidRPr="004D443D">
        <w:t>Milojkovic</w:t>
      </w:r>
      <w:proofErr w:type="spellEnd"/>
      <w:r w:rsidRPr="004D443D">
        <w:t xml:space="preserve">, O., </w:t>
      </w:r>
      <w:proofErr w:type="spellStart"/>
      <w:r w:rsidRPr="004D443D">
        <w:t>Kalauzi</w:t>
      </w:r>
      <w:proofErr w:type="spellEnd"/>
      <w:r w:rsidRPr="004D443D">
        <w:t xml:space="preserve">, A., et al. (2017). Slower EEG alpha generation, </w:t>
      </w:r>
      <w:proofErr w:type="gramStart"/>
      <w:r w:rsidRPr="004D443D">
        <w:t>synchronization</w:t>
      </w:r>
      <w:proofErr w:type="gramEnd"/>
      <w:r w:rsidRPr="004D443D">
        <w:t xml:space="preserve"> and “flow”—possible biomarkers of cognitive impairment and neuropathology of minor stroke. </w:t>
      </w:r>
      <w:proofErr w:type="spellStart"/>
      <w:r w:rsidRPr="004D443D">
        <w:rPr>
          <w:i/>
          <w:iCs/>
        </w:rPr>
        <w:t>PeerJ</w:t>
      </w:r>
      <w:proofErr w:type="spellEnd"/>
      <w:r w:rsidRPr="004D443D">
        <w:t> </w:t>
      </w:r>
      <w:proofErr w:type="gramStart"/>
      <w:r w:rsidRPr="004D443D">
        <w:t>5:e</w:t>
      </w:r>
      <w:proofErr w:type="gramEnd"/>
      <w:r w:rsidRPr="004D443D">
        <w:t xml:space="preserve">3839. </w:t>
      </w:r>
      <w:proofErr w:type="spellStart"/>
      <w:r w:rsidRPr="004D443D">
        <w:t>doi</w:t>
      </w:r>
      <w:proofErr w:type="spellEnd"/>
      <w:r w:rsidRPr="004D443D">
        <w:t>: 10.7717/peerj.3839</w:t>
      </w:r>
    </w:p>
    <w:p w14:paraId="62E092EA" w14:textId="77777777" w:rsidR="004D443D" w:rsidRPr="004D443D" w:rsidRDefault="004D443D" w:rsidP="00FE4589">
      <w:pPr>
        <w:pStyle w:val="NoSpacing"/>
        <w:ind w:left="720" w:hanging="720"/>
      </w:pPr>
      <w:bookmarkStart w:id="100" w:name="B70"/>
      <w:bookmarkEnd w:id="100"/>
      <w:proofErr w:type="spellStart"/>
      <w:r w:rsidRPr="004D443D">
        <w:t>Piai</w:t>
      </w:r>
      <w:proofErr w:type="spellEnd"/>
      <w:r w:rsidRPr="004D443D">
        <w:t xml:space="preserve">, V., Meyer, L., </w:t>
      </w:r>
      <w:proofErr w:type="spellStart"/>
      <w:r w:rsidRPr="004D443D">
        <w:t>Dronkers</w:t>
      </w:r>
      <w:proofErr w:type="spellEnd"/>
      <w:r w:rsidRPr="004D443D">
        <w:t xml:space="preserve">, N. F., and Knight, R. T. (2017). Neuroplasticity of language in left hemisphere stroke: evidence linking </w:t>
      </w:r>
      <w:proofErr w:type="spellStart"/>
      <w:r w:rsidRPr="004D443D">
        <w:t>subsecond</w:t>
      </w:r>
      <w:proofErr w:type="spellEnd"/>
      <w:r w:rsidRPr="004D443D">
        <w:t xml:space="preserve"> electrophysiology and structural connections. </w:t>
      </w:r>
      <w:r w:rsidRPr="004D443D">
        <w:rPr>
          <w:i/>
          <w:iCs/>
        </w:rPr>
        <w:t>Hum. Brain Mapp.</w:t>
      </w:r>
      <w:r w:rsidRPr="004D443D">
        <w:t xml:space="preserve"> 38, 3151–3162. </w:t>
      </w:r>
      <w:proofErr w:type="spellStart"/>
      <w:r w:rsidRPr="004D443D">
        <w:t>doi</w:t>
      </w:r>
      <w:proofErr w:type="spellEnd"/>
      <w:r w:rsidRPr="004D443D">
        <w:t>: 10.1002/hbm.23581</w:t>
      </w:r>
    </w:p>
    <w:p w14:paraId="7986FFC9" w14:textId="77777777" w:rsidR="004D443D" w:rsidRPr="004D443D" w:rsidRDefault="004D443D" w:rsidP="00FE4589">
      <w:pPr>
        <w:pStyle w:val="NoSpacing"/>
        <w:ind w:left="720" w:hanging="720"/>
      </w:pPr>
      <w:bookmarkStart w:id="101" w:name="B71"/>
      <w:bookmarkEnd w:id="101"/>
      <w:r w:rsidRPr="004D443D">
        <w:t xml:space="preserve">Pike, C., </w:t>
      </w:r>
      <w:proofErr w:type="spellStart"/>
      <w:r w:rsidRPr="004D443D">
        <w:t>Kritzinger</w:t>
      </w:r>
      <w:proofErr w:type="spellEnd"/>
      <w:r w:rsidRPr="004D443D">
        <w:t>, A., and Pillay, B. (2017). Social participation in working-age adults with aphasia: an updated systematic review. </w:t>
      </w:r>
      <w:r w:rsidRPr="004D443D">
        <w:rPr>
          <w:i/>
          <w:iCs/>
        </w:rPr>
        <w:t xml:space="preserve">Top. Stroke </w:t>
      </w:r>
      <w:proofErr w:type="spellStart"/>
      <w:r w:rsidRPr="004D443D">
        <w:rPr>
          <w:i/>
          <w:iCs/>
        </w:rPr>
        <w:t>Rehabil</w:t>
      </w:r>
      <w:proofErr w:type="spellEnd"/>
      <w:r w:rsidRPr="004D443D">
        <w:rPr>
          <w:i/>
          <w:iCs/>
        </w:rPr>
        <w:t>.</w:t>
      </w:r>
      <w:r w:rsidRPr="004D443D">
        <w:t xml:space="preserve"> 24, 627–639. </w:t>
      </w:r>
      <w:proofErr w:type="spellStart"/>
      <w:r w:rsidRPr="004D443D">
        <w:t>doi</w:t>
      </w:r>
      <w:proofErr w:type="spellEnd"/>
      <w:r w:rsidRPr="004D443D">
        <w:t>: 10.1080/10749357.2017.1366012</w:t>
      </w:r>
    </w:p>
    <w:p w14:paraId="37DCC7F8" w14:textId="77777777" w:rsidR="004D443D" w:rsidRPr="004D443D" w:rsidRDefault="004D443D" w:rsidP="00FE4589">
      <w:pPr>
        <w:pStyle w:val="NoSpacing"/>
        <w:ind w:left="720" w:hanging="720"/>
      </w:pPr>
      <w:bookmarkStart w:id="102" w:name="B72"/>
      <w:bookmarkEnd w:id="102"/>
      <w:proofErr w:type="spellStart"/>
      <w:r w:rsidRPr="004D443D">
        <w:t>Posten</w:t>
      </w:r>
      <w:proofErr w:type="spellEnd"/>
      <w:r w:rsidRPr="004D443D">
        <w:t>, H. O. (1978). The robustness of the two-sample t-test over the Pearson system. </w:t>
      </w:r>
      <w:r w:rsidRPr="004D443D">
        <w:rPr>
          <w:i/>
          <w:iCs/>
        </w:rPr>
        <w:t xml:space="preserve">J. Stat. </w:t>
      </w:r>
      <w:proofErr w:type="spellStart"/>
      <w:r w:rsidRPr="004D443D">
        <w:rPr>
          <w:i/>
          <w:iCs/>
        </w:rPr>
        <w:t>Comput</w:t>
      </w:r>
      <w:proofErr w:type="spellEnd"/>
      <w:r w:rsidRPr="004D443D">
        <w:rPr>
          <w:i/>
          <w:iCs/>
        </w:rPr>
        <w:t>. Simulation</w:t>
      </w:r>
      <w:r w:rsidRPr="004D443D">
        <w:t xml:space="preserve"> 6, 295–311. </w:t>
      </w:r>
      <w:proofErr w:type="spellStart"/>
      <w:r w:rsidRPr="004D443D">
        <w:t>doi</w:t>
      </w:r>
      <w:proofErr w:type="spellEnd"/>
      <w:r w:rsidRPr="004D443D">
        <w:t>: 10.1080/00949657808810197</w:t>
      </w:r>
    </w:p>
    <w:p w14:paraId="3DDD0F50" w14:textId="77777777" w:rsidR="004D443D" w:rsidRPr="004D443D" w:rsidRDefault="004D443D" w:rsidP="00FE4589">
      <w:pPr>
        <w:pStyle w:val="NoSpacing"/>
        <w:ind w:left="720" w:hanging="720"/>
      </w:pPr>
      <w:bookmarkStart w:id="103" w:name="B73"/>
      <w:bookmarkEnd w:id="103"/>
      <w:r w:rsidRPr="004D443D">
        <w:t xml:space="preserve">Price, C. J., Crinion, J., and </w:t>
      </w:r>
      <w:proofErr w:type="spellStart"/>
      <w:r w:rsidRPr="004D443D">
        <w:t>Friston</w:t>
      </w:r>
      <w:proofErr w:type="spellEnd"/>
      <w:r w:rsidRPr="004D443D">
        <w:t>, K. J. (2006). Design and analysis of fMRI studies with neurologically impaired patients. </w:t>
      </w:r>
      <w:r w:rsidRPr="004D443D">
        <w:rPr>
          <w:i/>
          <w:iCs/>
        </w:rPr>
        <w:t xml:space="preserve">J. </w:t>
      </w:r>
      <w:proofErr w:type="spellStart"/>
      <w:r w:rsidRPr="004D443D">
        <w:rPr>
          <w:i/>
          <w:iCs/>
        </w:rPr>
        <w:t>Magn</w:t>
      </w:r>
      <w:proofErr w:type="spellEnd"/>
      <w:r w:rsidRPr="004D443D">
        <w:rPr>
          <w:i/>
          <w:iCs/>
        </w:rPr>
        <w:t xml:space="preserve">. </w:t>
      </w:r>
      <w:proofErr w:type="spellStart"/>
      <w:r w:rsidRPr="004D443D">
        <w:rPr>
          <w:i/>
          <w:iCs/>
        </w:rPr>
        <w:t>Reson</w:t>
      </w:r>
      <w:proofErr w:type="spellEnd"/>
      <w:r w:rsidRPr="004D443D">
        <w:rPr>
          <w:i/>
          <w:iCs/>
        </w:rPr>
        <w:t>. Imaging</w:t>
      </w:r>
      <w:r w:rsidRPr="004D443D">
        <w:t xml:space="preserve"> 23, 816–826. </w:t>
      </w:r>
      <w:proofErr w:type="spellStart"/>
      <w:r w:rsidRPr="004D443D">
        <w:t>doi</w:t>
      </w:r>
      <w:proofErr w:type="spellEnd"/>
      <w:r w:rsidRPr="004D443D">
        <w:t>: 10.1002/jmri.20580</w:t>
      </w:r>
    </w:p>
    <w:p w14:paraId="1CB0BCAB" w14:textId="77777777" w:rsidR="004D443D" w:rsidRPr="004D443D" w:rsidRDefault="004D443D" w:rsidP="00FE4589">
      <w:pPr>
        <w:pStyle w:val="NoSpacing"/>
        <w:ind w:left="720" w:hanging="720"/>
      </w:pPr>
      <w:bookmarkStart w:id="104" w:name="B74"/>
      <w:bookmarkEnd w:id="104"/>
      <w:r w:rsidRPr="004D443D">
        <w:t>Randolph, C. (1998). </w:t>
      </w:r>
      <w:r w:rsidRPr="004D443D">
        <w:rPr>
          <w:i/>
          <w:iCs/>
        </w:rPr>
        <w:t>Repeatable Battery for the Assessment of Neuropsychological Status (RBANS).</w:t>
      </w:r>
      <w:r w:rsidRPr="004D443D">
        <w:t> San Antonio, TX: Psychological Corporation.</w:t>
      </w:r>
    </w:p>
    <w:p w14:paraId="6E9B1A9F" w14:textId="77777777" w:rsidR="004D443D" w:rsidRPr="004D443D" w:rsidRDefault="004D443D" w:rsidP="00FE4589">
      <w:pPr>
        <w:pStyle w:val="NoSpacing"/>
        <w:ind w:left="720" w:hanging="720"/>
      </w:pPr>
      <w:bookmarkStart w:id="105" w:name="B75"/>
      <w:bookmarkEnd w:id="105"/>
      <w:r w:rsidRPr="004D443D">
        <w:t>Richardson, J. D., and Dalton, S. G. (2016). Main concepts for three different discourse tasks in a large non-clinical sample. </w:t>
      </w:r>
      <w:r w:rsidRPr="004D443D">
        <w:rPr>
          <w:i/>
          <w:iCs/>
        </w:rPr>
        <w:t>Aphasiology</w:t>
      </w:r>
      <w:r w:rsidRPr="004D443D">
        <w:t xml:space="preserve"> 30, 45–73. </w:t>
      </w:r>
      <w:proofErr w:type="spellStart"/>
      <w:r w:rsidRPr="004D443D">
        <w:t>doi</w:t>
      </w:r>
      <w:proofErr w:type="spellEnd"/>
      <w:r w:rsidRPr="004D443D">
        <w:t>: 10.1080/02687038.2015.1057891</w:t>
      </w:r>
    </w:p>
    <w:p w14:paraId="2CDB5D8E" w14:textId="77777777" w:rsidR="004D443D" w:rsidRPr="004D443D" w:rsidRDefault="004D443D" w:rsidP="00FE4589">
      <w:pPr>
        <w:pStyle w:val="NoSpacing"/>
        <w:ind w:left="720" w:hanging="720"/>
      </w:pPr>
      <w:bookmarkStart w:id="106" w:name="B76"/>
      <w:bookmarkEnd w:id="106"/>
      <w:r w:rsidRPr="004D443D">
        <w:t xml:space="preserve">Richardson, J. D., and Dalton, S. G. (2020). Main concepts for two picture description tasks: an addition </w:t>
      </w:r>
      <w:proofErr w:type="gramStart"/>
      <w:r w:rsidRPr="004D443D">
        <w:t>to .</w:t>
      </w:r>
      <w:proofErr w:type="gramEnd"/>
      <w:r w:rsidRPr="004D443D">
        <w:t> </w:t>
      </w:r>
      <w:r w:rsidRPr="004D443D">
        <w:rPr>
          <w:i/>
          <w:iCs/>
        </w:rPr>
        <w:t>Aphasiology</w:t>
      </w:r>
      <w:r w:rsidRPr="004D443D">
        <w:t xml:space="preserve"> 34, 119–136. </w:t>
      </w:r>
      <w:proofErr w:type="spellStart"/>
      <w:r w:rsidRPr="004D443D">
        <w:t>doi</w:t>
      </w:r>
      <w:proofErr w:type="spellEnd"/>
      <w:r w:rsidRPr="004D443D">
        <w:t>: 10.1080/02687038.2018.1561417</w:t>
      </w:r>
    </w:p>
    <w:p w14:paraId="11CD7D22" w14:textId="77777777" w:rsidR="004D443D" w:rsidRPr="004D443D" w:rsidRDefault="004D443D" w:rsidP="00FE4589">
      <w:pPr>
        <w:pStyle w:val="NoSpacing"/>
        <w:ind w:left="720" w:hanging="720"/>
      </w:pPr>
      <w:bookmarkStart w:id="107" w:name="B77"/>
      <w:bookmarkEnd w:id="107"/>
      <w:r w:rsidRPr="004D443D">
        <w:t xml:space="preserve">Richardson, J. D., Dalton, S. G., Greenslade, K. J., Jacks, A., Haley, K. L., and Adams, J. (2021). Main concept, sequencing, and story grammar analyses of </w:t>
      </w:r>
      <w:proofErr w:type="spellStart"/>
      <w:r w:rsidRPr="004D443D">
        <w:t>cinderella</w:t>
      </w:r>
      <w:proofErr w:type="spellEnd"/>
      <w:r w:rsidRPr="004D443D">
        <w:t xml:space="preserve"> narratives in a large sample of persons with aphasia. </w:t>
      </w:r>
      <w:r w:rsidRPr="004D443D">
        <w:rPr>
          <w:i/>
          <w:iCs/>
        </w:rPr>
        <w:t>Brain Sci.</w:t>
      </w:r>
      <w:r w:rsidRPr="004D443D">
        <w:t xml:space="preserve"> 11:110. </w:t>
      </w:r>
      <w:proofErr w:type="spellStart"/>
      <w:r w:rsidRPr="004D443D">
        <w:t>doi</w:t>
      </w:r>
      <w:proofErr w:type="spellEnd"/>
      <w:r w:rsidRPr="004D443D">
        <w:t>: 10.3390/brainsci11010110</w:t>
      </w:r>
    </w:p>
    <w:p w14:paraId="07C7364B" w14:textId="77777777" w:rsidR="004D443D" w:rsidRPr="004D443D" w:rsidRDefault="004D443D" w:rsidP="00FE4589">
      <w:pPr>
        <w:pStyle w:val="NoSpacing"/>
        <w:ind w:left="720" w:hanging="720"/>
      </w:pPr>
      <w:bookmarkStart w:id="108" w:name="B78"/>
      <w:bookmarkEnd w:id="108"/>
      <w:r w:rsidRPr="004D443D">
        <w:t xml:space="preserve">Richardson, J. D., Hudspeth Dalton, S. G., Fromm, D., Forbes, M., Holland, A., and </w:t>
      </w:r>
      <w:proofErr w:type="spellStart"/>
      <w:r w:rsidRPr="004D443D">
        <w:t>MacWhinney</w:t>
      </w:r>
      <w:proofErr w:type="spellEnd"/>
      <w:r w:rsidRPr="004D443D">
        <w:t>, B. (2018). The relationship between confrontation naming and story gist production in aphasia. </w:t>
      </w:r>
      <w:r w:rsidRPr="004D443D">
        <w:rPr>
          <w:i/>
          <w:iCs/>
        </w:rPr>
        <w:t xml:space="preserve">Am. J. Speech Lang. </w:t>
      </w:r>
      <w:proofErr w:type="spellStart"/>
      <w:r w:rsidRPr="004D443D">
        <w:rPr>
          <w:i/>
          <w:iCs/>
        </w:rPr>
        <w:t>Pathol</w:t>
      </w:r>
      <w:proofErr w:type="spellEnd"/>
      <w:r w:rsidRPr="004D443D">
        <w:rPr>
          <w:i/>
          <w:iCs/>
        </w:rPr>
        <w:t>.</w:t>
      </w:r>
      <w:r w:rsidRPr="004D443D">
        <w:t xml:space="preserve"> 27, 406–422. </w:t>
      </w:r>
      <w:proofErr w:type="spellStart"/>
      <w:r w:rsidRPr="004D443D">
        <w:t>doi</w:t>
      </w:r>
      <w:proofErr w:type="spellEnd"/>
      <w:r w:rsidRPr="004D443D">
        <w:t>: 10.1044/2017_ajslp-16-0211</w:t>
      </w:r>
    </w:p>
    <w:p w14:paraId="7AB08AA2" w14:textId="77777777" w:rsidR="004D443D" w:rsidRPr="004D443D" w:rsidRDefault="004D443D" w:rsidP="00FE4589">
      <w:pPr>
        <w:pStyle w:val="NoSpacing"/>
        <w:ind w:left="720" w:hanging="720"/>
      </w:pPr>
      <w:bookmarkStart w:id="109" w:name="B79"/>
      <w:bookmarkEnd w:id="109"/>
      <w:r w:rsidRPr="004D443D">
        <w:t>Richter, C. G., Thompson, W. H., Bosman, C. A., and Fries, P. (2017). Top-down beta enhances bottom-up gamma. </w:t>
      </w:r>
      <w:r w:rsidRPr="004D443D">
        <w:rPr>
          <w:i/>
          <w:iCs/>
        </w:rPr>
        <w:t xml:space="preserve">J. </w:t>
      </w:r>
      <w:proofErr w:type="spellStart"/>
      <w:r w:rsidRPr="004D443D">
        <w:rPr>
          <w:i/>
          <w:iCs/>
        </w:rPr>
        <w:t>Neurosci</w:t>
      </w:r>
      <w:proofErr w:type="spellEnd"/>
      <w:r w:rsidRPr="004D443D">
        <w:rPr>
          <w:i/>
          <w:iCs/>
        </w:rPr>
        <w:t>.</w:t>
      </w:r>
      <w:r w:rsidRPr="004D443D">
        <w:t xml:space="preserve"> 37, 6698–6711. </w:t>
      </w:r>
      <w:proofErr w:type="spellStart"/>
      <w:r w:rsidRPr="004D443D">
        <w:t>doi</w:t>
      </w:r>
      <w:proofErr w:type="spellEnd"/>
      <w:r w:rsidRPr="004D443D">
        <w:t>: 10.1523/jneurosci.3771-16.2017</w:t>
      </w:r>
    </w:p>
    <w:p w14:paraId="1DD37BB5" w14:textId="77777777" w:rsidR="004D443D" w:rsidRPr="004D443D" w:rsidRDefault="004D443D" w:rsidP="00FE4589">
      <w:pPr>
        <w:pStyle w:val="NoSpacing"/>
        <w:ind w:left="720" w:hanging="720"/>
      </w:pPr>
      <w:bookmarkStart w:id="110" w:name="B80"/>
      <w:bookmarkEnd w:id="110"/>
      <w:r w:rsidRPr="004D443D">
        <w:t xml:space="preserve">Ross, E. D., and </w:t>
      </w:r>
      <w:proofErr w:type="spellStart"/>
      <w:r w:rsidRPr="004D443D">
        <w:t>Monnot</w:t>
      </w:r>
      <w:proofErr w:type="spellEnd"/>
      <w:r w:rsidRPr="004D443D">
        <w:t>, M. (2011). Affective prosody: what do comprehension errors tell us about hemispheric lateralization of emotions, sex and aging effects, and the role of cognitive appraisal. </w:t>
      </w:r>
      <w:proofErr w:type="spellStart"/>
      <w:r w:rsidRPr="004D443D">
        <w:rPr>
          <w:i/>
          <w:iCs/>
        </w:rPr>
        <w:t>Neuropsychologia</w:t>
      </w:r>
      <w:proofErr w:type="spellEnd"/>
      <w:r w:rsidRPr="004D443D">
        <w:t xml:space="preserve"> 49, 866–877. </w:t>
      </w:r>
      <w:proofErr w:type="spellStart"/>
      <w:r w:rsidRPr="004D443D">
        <w:t>doi</w:t>
      </w:r>
      <w:proofErr w:type="spellEnd"/>
      <w:r w:rsidRPr="004D443D">
        <w:t>: 10.1016/j.neuropsychologia.2010.12.024</w:t>
      </w:r>
    </w:p>
    <w:p w14:paraId="33B7033C" w14:textId="77777777" w:rsidR="004D443D" w:rsidRPr="004D443D" w:rsidRDefault="004D443D" w:rsidP="00FE4589">
      <w:pPr>
        <w:pStyle w:val="NoSpacing"/>
        <w:ind w:left="720" w:hanging="720"/>
      </w:pPr>
      <w:bookmarkStart w:id="111" w:name="B81"/>
      <w:bookmarkEnd w:id="111"/>
      <w:r w:rsidRPr="004D443D">
        <w:t xml:space="preserve">Rozelle, G. R., and </w:t>
      </w:r>
      <w:proofErr w:type="spellStart"/>
      <w:r w:rsidRPr="004D443D">
        <w:t>Budzynski</w:t>
      </w:r>
      <w:proofErr w:type="spellEnd"/>
      <w:r w:rsidRPr="004D443D">
        <w:t>, T. H. (1995). Neurotherapy for stroke rehabilitation: a single case study. </w:t>
      </w:r>
      <w:r w:rsidRPr="004D443D">
        <w:rPr>
          <w:i/>
          <w:iCs/>
        </w:rPr>
        <w:t>Biofeedback Self-Regulation</w:t>
      </w:r>
      <w:r w:rsidRPr="004D443D">
        <w:t xml:space="preserve"> 20, 211–228. </w:t>
      </w:r>
      <w:proofErr w:type="spellStart"/>
      <w:r w:rsidRPr="004D443D">
        <w:t>doi</w:t>
      </w:r>
      <w:proofErr w:type="spellEnd"/>
      <w:r w:rsidRPr="004D443D">
        <w:t>: 10.1007/bf01474514</w:t>
      </w:r>
    </w:p>
    <w:p w14:paraId="25738E8D" w14:textId="77777777" w:rsidR="004D443D" w:rsidRPr="004D443D" w:rsidRDefault="004D443D" w:rsidP="00FE4589">
      <w:pPr>
        <w:pStyle w:val="NoSpacing"/>
        <w:ind w:left="720" w:hanging="720"/>
      </w:pPr>
      <w:bookmarkStart w:id="112" w:name="B82"/>
      <w:bookmarkEnd w:id="112"/>
      <w:r w:rsidRPr="004D443D">
        <w:t>Ruxton, G. D. (2006). The unequal variance t-test is an underused alternative to Student’s t-test and the Mann–Whitney U test. </w:t>
      </w:r>
      <w:proofErr w:type="spellStart"/>
      <w:r w:rsidRPr="004D443D">
        <w:rPr>
          <w:i/>
          <w:iCs/>
        </w:rPr>
        <w:t>Behav</w:t>
      </w:r>
      <w:proofErr w:type="spellEnd"/>
      <w:r w:rsidRPr="004D443D">
        <w:rPr>
          <w:i/>
          <w:iCs/>
        </w:rPr>
        <w:t>. Ecol.</w:t>
      </w:r>
      <w:r w:rsidRPr="004D443D">
        <w:t xml:space="preserve"> 17, 688–690. </w:t>
      </w:r>
      <w:proofErr w:type="spellStart"/>
      <w:r w:rsidRPr="004D443D">
        <w:t>doi</w:t>
      </w:r>
      <w:proofErr w:type="spellEnd"/>
      <w:r w:rsidRPr="004D443D">
        <w:t>: 10.1093/</w:t>
      </w:r>
      <w:proofErr w:type="spellStart"/>
      <w:r w:rsidRPr="004D443D">
        <w:t>beheco</w:t>
      </w:r>
      <w:proofErr w:type="spellEnd"/>
      <w:r w:rsidRPr="004D443D">
        <w:t>/ark016</w:t>
      </w:r>
    </w:p>
    <w:p w14:paraId="29A496B9" w14:textId="77777777" w:rsidR="004D443D" w:rsidRPr="004D443D" w:rsidRDefault="004D443D" w:rsidP="00FE4589">
      <w:pPr>
        <w:pStyle w:val="NoSpacing"/>
        <w:ind w:left="720" w:hanging="720"/>
      </w:pPr>
      <w:bookmarkStart w:id="113" w:name="B83"/>
      <w:bookmarkEnd w:id="113"/>
      <w:proofErr w:type="spellStart"/>
      <w:r w:rsidRPr="004D443D">
        <w:t>Salinsky</w:t>
      </w:r>
      <w:proofErr w:type="spellEnd"/>
      <w:r w:rsidRPr="004D443D">
        <w:t xml:space="preserve">, M., </w:t>
      </w:r>
      <w:proofErr w:type="spellStart"/>
      <w:r w:rsidRPr="004D443D">
        <w:t>Oken</w:t>
      </w:r>
      <w:proofErr w:type="spellEnd"/>
      <w:r w:rsidRPr="004D443D">
        <w:t>, B., and Morehead, L. (1991). Test-retest reliability in EEG frequency analysis. </w:t>
      </w:r>
      <w:proofErr w:type="spellStart"/>
      <w:r w:rsidRPr="004D443D">
        <w:rPr>
          <w:i/>
          <w:iCs/>
        </w:rPr>
        <w:t>Electroencephalogr</w:t>
      </w:r>
      <w:proofErr w:type="spellEnd"/>
      <w:r w:rsidRPr="004D443D">
        <w:rPr>
          <w:i/>
          <w:iCs/>
        </w:rPr>
        <w:t xml:space="preserve">. Clin. </w:t>
      </w:r>
      <w:proofErr w:type="spellStart"/>
      <w:r w:rsidRPr="004D443D">
        <w:rPr>
          <w:i/>
          <w:iCs/>
        </w:rPr>
        <w:t>Neurophysiol</w:t>
      </w:r>
      <w:proofErr w:type="spellEnd"/>
      <w:r w:rsidRPr="004D443D">
        <w:rPr>
          <w:i/>
          <w:iCs/>
        </w:rPr>
        <w:t>.</w:t>
      </w:r>
      <w:r w:rsidRPr="004D443D">
        <w:t xml:space="preserve"> 79, 382–392. </w:t>
      </w:r>
      <w:proofErr w:type="spellStart"/>
      <w:r w:rsidRPr="004D443D">
        <w:t>doi</w:t>
      </w:r>
      <w:proofErr w:type="spellEnd"/>
      <w:r w:rsidRPr="004D443D">
        <w:t>: 10.1016/0013-4694(91)90203-g</w:t>
      </w:r>
    </w:p>
    <w:p w14:paraId="189C6453" w14:textId="77777777" w:rsidR="004D443D" w:rsidRPr="004D443D" w:rsidRDefault="004D443D" w:rsidP="00FE4589">
      <w:pPr>
        <w:pStyle w:val="NoSpacing"/>
        <w:ind w:left="720" w:hanging="720"/>
      </w:pPr>
      <w:bookmarkStart w:id="114" w:name="B84"/>
      <w:bookmarkEnd w:id="114"/>
      <w:r w:rsidRPr="004D443D">
        <w:t>Sandberg, C. W. (2017). Hypoconnectivity of resting-state networks in persons with aphasia compared with healthy age-matched adults. </w:t>
      </w:r>
      <w:r w:rsidRPr="004D443D">
        <w:rPr>
          <w:i/>
          <w:iCs/>
        </w:rPr>
        <w:t xml:space="preserve">Front. Hum. </w:t>
      </w:r>
      <w:proofErr w:type="spellStart"/>
      <w:r w:rsidRPr="004D443D">
        <w:rPr>
          <w:i/>
          <w:iCs/>
        </w:rPr>
        <w:t>Neurosci</w:t>
      </w:r>
      <w:proofErr w:type="spellEnd"/>
      <w:r w:rsidRPr="004D443D">
        <w:rPr>
          <w:i/>
          <w:iCs/>
        </w:rPr>
        <w:t>.</w:t>
      </w:r>
      <w:r w:rsidRPr="004D443D">
        <w:t> 11:91.</w:t>
      </w:r>
    </w:p>
    <w:p w14:paraId="16672703" w14:textId="77777777" w:rsidR="004D443D" w:rsidRPr="004D443D" w:rsidRDefault="004D443D" w:rsidP="00FE4589">
      <w:pPr>
        <w:pStyle w:val="NoSpacing"/>
        <w:ind w:left="720" w:hanging="720"/>
      </w:pPr>
      <w:bookmarkStart w:id="115" w:name="B85"/>
      <w:bookmarkEnd w:id="115"/>
      <w:r w:rsidRPr="004D443D">
        <w:t xml:space="preserve">Saur, D., Lange, R., </w:t>
      </w:r>
      <w:proofErr w:type="spellStart"/>
      <w:r w:rsidRPr="004D443D">
        <w:t>Baumgaertner</w:t>
      </w:r>
      <w:proofErr w:type="spellEnd"/>
      <w:r w:rsidRPr="004D443D">
        <w:t xml:space="preserve">, A., </w:t>
      </w:r>
      <w:proofErr w:type="spellStart"/>
      <w:r w:rsidRPr="004D443D">
        <w:t>Schraknepper</w:t>
      </w:r>
      <w:proofErr w:type="spellEnd"/>
      <w:r w:rsidRPr="004D443D">
        <w:t xml:space="preserve">, V., </w:t>
      </w:r>
      <w:proofErr w:type="spellStart"/>
      <w:r w:rsidRPr="004D443D">
        <w:t>Willmes</w:t>
      </w:r>
      <w:proofErr w:type="spellEnd"/>
      <w:r w:rsidRPr="004D443D">
        <w:t xml:space="preserve">, K., </w:t>
      </w:r>
      <w:proofErr w:type="spellStart"/>
      <w:r w:rsidRPr="004D443D">
        <w:t>Rijntjes</w:t>
      </w:r>
      <w:proofErr w:type="spellEnd"/>
      <w:r w:rsidRPr="004D443D">
        <w:t>, M., et al. (2006). Dynamics of language reorganization after stroke. </w:t>
      </w:r>
      <w:r w:rsidRPr="004D443D">
        <w:rPr>
          <w:i/>
          <w:iCs/>
        </w:rPr>
        <w:t>Brain</w:t>
      </w:r>
      <w:r w:rsidRPr="004D443D">
        <w:t xml:space="preserve"> 129, 1371–1384. </w:t>
      </w:r>
      <w:proofErr w:type="spellStart"/>
      <w:r w:rsidRPr="004D443D">
        <w:t>doi</w:t>
      </w:r>
      <w:proofErr w:type="spellEnd"/>
      <w:r w:rsidRPr="004D443D">
        <w:t>: 10.1093/brain/awl090</w:t>
      </w:r>
    </w:p>
    <w:p w14:paraId="3C0DC590" w14:textId="77777777" w:rsidR="004D443D" w:rsidRPr="004D443D" w:rsidRDefault="004D443D" w:rsidP="00FE4589">
      <w:pPr>
        <w:pStyle w:val="NoSpacing"/>
        <w:ind w:left="720" w:hanging="720"/>
      </w:pPr>
      <w:bookmarkStart w:id="116" w:name="B86"/>
      <w:bookmarkEnd w:id="116"/>
      <w:proofErr w:type="spellStart"/>
      <w:r w:rsidRPr="004D443D">
        <w:t>Schleiger</w:t>
      </w:r>
      <w:proofErr w:type="spellEnd"/>
      <w:r w:rsidRPr="004D443D">
        <w:t>, E., Sheikh, N., Rowland, T., Wong, A., Read, S., and Finnigan, S. (2014). Frontal EEG delta/alpha ratio and screening for post-stroke cognitive deficits: the power of four electrodes. </w:t>
      </w:r>
      <w:r w:rsidRPr="004D443D">
        <w:rPr>
          <w:i/>
          <w:iCs/>
        </w:rPr>
        <w:t xml:space="preserve">Int. J. </w:t>
      </w:r>
      <w:proofErr w:type="spellStart"/>
      <w:r w:rsidRPr="004D443D">
        <w:rPr>
          <w:i/>
          <w:iCs/>
        </w:rPr>
        <w:t>Psychophysiol</w:t>
      </w:r>
      <w:proofErr w:type="spellEnd"/>
      <w:r w:rsidRPr="004D443D">
        <w:rPr>
          <w:i/>
          <w:iCs/>
        </w:rPr>
        <w:t>.</w:t>
      </w:r>
      <w:r w:rsidRPr="004D443D">
        <w:t xml:space="preserve"> 94, 19–24. </w:t>
      </w:r>
      <w:proofErr w:type="spellStart"/>
      <w:r w:rsidRPr="004D443D">
        <w:t>doi</w:t>
      </w:r>
      <w:proofErr w:type="spellEnd"/>
      <w:r w:rsidRPr="004D443D">
        <w:t>: 10.1016/j.ijpsycho.2014.06.012</w:t>
      </w:r>
    </w:p>
    <w:p w14:paraId="5C970A74" w14:textId="77777777" w:rsidR="004D443D" w:rsidRPr="004D443D" w:rsidRDefault="004D443D" w:rsidP="00FE4589">
      <w:pPr>
        <w:pStyle w:val="NoSpacing"/>
        <w:ind w:left="720" w:hanging="720"/>
      </w:pPr>
      <w:bookmarkStart w:id="117" w:name="B87"/>
      <w:bookmarkEnd w:id="117"/>
      <w:proofErr w:type="spellStart"/>
      <w:r w:rsidRPr="004D443D">
        <w:t>Schmider</w:t>
      </w:r>
      <w:proofErr w:type="spellEnd"/>
      <w:r w:rsidRPr="004D443D">
        <w:t xml:space="preserve">, E., Ziegler, M., </w:t>
      </w:r>
      <w:proofErr w:type="spellStart"/>
      <w:r w:rsidRPr="004D443D">
        <w:t>Danay</w:t>
      </w:r>
      <w:proofErr w:type="spellEnd"/>
      <w:r w:rsidRPr="004D443D">
        <w:t xml:space="preserve">, E., Beyer, L., and </w:t>
      </w:r>
      <w:proofErr w:type="spellStart"/>
      <w:r w:rsidRPr="004D443D">
        <w:t>Bühner</w:t>
      </w:r>
      <w:proofErr w:type="spellEnd"/>
      <w:r w:rsidRPr="004D443D">
        <w:t xml:space="preserve">, M. (2010). Is it </w:t>
      </w:r>
      <w:proofErr w:type="gramStart"/>
      <w:r w:rsidRPr="004D443D">
        <w:t>really robust</w:t>
      </w:r>
      <w:proofErr w:type="gramEnd"/>
      <w:r w:rsidRPr="004D443D">
        <w:t>? </w:t>
      </w:r>
      <w:r w:rsidRPr="004D443D">
        <w:rPr>
          <w:i/>
          <w:iCs/>
        </w:rPr>
        <w:t>Methodology</w:t>
      </w:r>
      <w:r w:rsidRPr="004D443D">
        <w:t xml:space="preserve"> 6, 147–151. </w:t>
      </w:r>
      <w:proofErr w:type="spellStart"/>
      <w:r w:rsidRPr="004D443D">
        <w:t>doi</w:t>
      </w:r>
      <w:proofErr w:type="spellEnd"/>
      <w:r w:rsidRPr="004D443D">
        <w:t>: 10.1027/1614-2241/a000016</w:t>
      </w:r>
    </w:p>
    <w:p w14:paraId="204CD0CD" w14:textId="77777777" w:rsidR="004D443D" w:rsidRPr="004D443D" w:rsidRDefault="004D443D" w:rsidP="00FE4589">
      <w:pPr>
        <w:pStyle w:val="NoSpacing"/>
        <w:ind w:left="720" w:hanging="720"/>
      </w:pPr>
      <w:bookmarkStart w:id="118" w:name="B88"/>
      <w:bookmarkEnd w:id="118"/>
      <w:proofErr w:type="spellStart"/>
      <w:r w:rsidRPr="004D443D">
        <w:t>Sheorajpanday</w:t>
      </w:r>
      <w:proofErr w:type="spellEnd"/>
      <w:r w:rsidRPr="004D443D">
        <w:t xml:space="preserve">, R. V., </w:t>
      </w:r>
      <w:proofErr w:type="spellStart"/>
      <w:r w:rsidRPr="004D443D">
        <w:t>Nagels</w:t>
      </w:r>
      <w:proofErr w:type="spellEnd"/>
      <w:r w:rsidRPr="004D443D">
        <w:t xml:space="preserve">, G., </w:t>
      </w:r>
      <w:proofErr w:type="spellStart"/>
      <w:r w:rsidRPr="004D443D">
        <w:t>Weeren</w:t>
      </w:r>
      <w:proofErr w:type="spellEnd"/>
      <w:r w:rsidRPr="004D443D">
        <w:t xml:space="preserve">, A. J., </w:t>
      </w:r>
      <w:proofErr w:type="spellStart"/>
      <w:r w:rsidRPr="004D443D">
        <w:t>Putten</w:t>
      </w:r>
      <w:proofErr w:type="spellEnd"/>
      <w:r w:rsidRPr="004D443D">
        <w:t xml:space="preserve">, M. J., and </w:t>
      </w:r>
      <w:proofErr w:type="spellStart"/>
      <w:r w:rsidRPr="004D443D">
        <w:t>Deyn</w:t>
      </w:r>
      <w:proofErr w:type="spellEnd"/>
      <w:r w:rsidRPr="004D443D">
        <w:t>, P. P. (2009). Reproducibility and clinical relevance of quantitative EEG parameters in cerebral ischemia: a basic approach. </w:t>
      </w:r>
      <w:r w:rsidRPr="004D443D">
        <w:rPr>
          <w:i/>
          <w:iCs/>
        </w:rPr>
        <w:t xml:space="preserve">Clin. </w:t>
      </w:r>
      <w:proofErr w:type="spellStart"/>
      <w:r w:rsidRPr="004D443D">
        <w:rPr>
          <w:i/>
          <w:iCs/>
        </w:rPr>
        <w:t>Neurophysiol</w:t>
      </w:r>
      <w:proofErr w:type="spellEnd"/>
      <w:r w:rsidRPr="004D443D">
        <w:rPr>
          <w:i/>
          <w:iCs/>
        </w:rPr>
        <w:t>.</w:t>
      </w:r>
      <w:r w:rsidRPr="004D443D">
        <w:t xml:space="preserve"> 120, 845–855. </w:t>
      </w:r>
      <w:proofErr w:type="spellStart"/>
      <w:r w:rsidRPr="004D443D">
        <w:t>doi</w:t>
      </w:r>
      <w:proofErr w:type="spellEnd"/>
      <w:r w:rsidRPr="004D443D">
        <w:t>: 10.1016/j.clinph.2009.02.171</w:t>
      </w:r>
    </w:p>
    <w:p w14:paraId="30DD46BD" w14:textId="77777777" w:rsidR="004D443D" w:rsidRPr="004D443D" w:rsidRDefault="004D443D" w:rsidP="00FE4589">
      <w:pPr>
        <w:pStyle w:val="NoSpacing"/>
        <w:ind w:left="720" w:hanging="720"/>
      </w:pPr>
      <w:bookmarkStart w:id="119" w:name="B89"/>
      <w:bookmarkEnd w:id="119"/>
      <w:proofErr w:type="spellStart"/>
      <w:r w:rsidRPr="004D443D">
        <w:t>Shrout</w:t>
      </w:r>
      <w:proofErr w:type="spellEnd"/>
      <w:r w:rsidRPr="004D443D">
        <w:t xml:space="preserve">, P. E., and Fleiss, J. L. (1979). Intraclass </w:t>
      </w:r>
      <w:proofErr w:type="gramStart"/>
      <w:r w:rsidRPr="004D443D">
        <w:t>correlations:</w:t>
      </w:r>
      <w:proofErr w:type="gramEnd"/>
      <w:r w:rsidRPr="004D443D">
        <w:t xml:space="preserve"> uses in assessing rater reliability. </w:t>
      </w:r>
      <w:r w:rsidRPr="004D443D">
        <w:rPr>
          <w:i/>
          <w:iCs/>
        </w:rPr>
        <w:t>Psychol. Bull.</w:t>
      </w:r>
      <w:r w:rsidRPr="004D443D">
        <w:t xml:space="preserve"> 86:420. </w:t>
      </w:r>
      <w:proofErr w:type="spellStart"/>
      <w:r w:rsidRPr="004D443D">
        <w:t>doi</w:t>
      </w:r>
      <w:proofErr w:type="spellEnd"/>
      <w:r w:rsidRPr="004D443D">
        <w:t>: 10.1037/0033-2909.86.2.420</w:t>
      </w:r>
    </w:p>
    <w:p w14:paraId="0982B820" w14:textId="77777777" w:rsidR="004D443D" w:rsidRPr="004D443D" w:rsidRDefault="004D443D" w:rsidP="00FE4589">
      <w:pPr>
        <w:pStyle w:val="NoSpacing"/>
        <w:ind w:left="720" w:hanging="720"/>
      </w:pPr>
      <w:bookmarkStart w:id="120" w:name="B90"/>
      <w:bookmarkEnd w:id="120"/>
      <w:r w:rsidRPr="004D443D">
        <w:t>Simmons-Mackie, N. (2018). </w:t>
      </w:r>
      <w:r w:rsidRPr="004D443D">
        <w:rPr>
          <w:i/>
          <w:iCs/>
        </w:rPr>
        <w:t>The State of Aphasia in North America.</w:t>
      </w:r>
      <w:r w:rsidRPr="004D443D">
        <w:t> Moorestown, NJ: Aphasia Access.</w:t>
      </w:r>
    </w:p>
    <w:p w14:paraId="4A58D6C6" w14:textId="77777777" w:rsidR="004D443D" w:rsidRPr="004D443D" w:rsidRDefault="004D443D" w:rsidP="00FE4589">
      <w:pPr>
        <w:pStyle w:val="NoSpacing"/>
        <w:ind w:left="720" w:hanging="720"/>
      </w:pPr>
      <w:bookmarkStart w:id="121" w:name="B91"/>
      <w:bookmarkEnd w:id="121"/>
      <w:r w:rsidRPr="004D443D">
        <w:t xml:space="preserve">Song, Y., Zang, D. W., </w:t>
      </w:r>
      <w:proofErr w:type="spellStart"/>
      <w:r w:rsidRPr="004D443D">
        <w:t>Jin</w:t>
      </w:r>
      <w:proofErr w:type="spellEnd"/>
      <w:r w:rsidRPr="004D443D">
        <w:t xml:space="preserve">, Y. Y., Wang, Z. J., Ni, H. Y., Yin, J. Z., et al. (2015). Background rhythm frequency and theta power of quantitative </w:t>
      </w:r>
      <w:proofErr w:type="spellStart"/>
      <w:r w:rsidRPr="004D443D">
        <w:t>eeg</w:t>
      </w:r>
      <w:proofErr w:type="spellEnd"/>
      <w:r w:rsidRPr="004D443D">
        <w:t xml:space="preserve"> analysis: predictive biomarkers for cognitive impairment post–cerebral infarcts. </w:t>
      </w:r>
      <w:r w:rsidRPr="004D443D">
        <w:rPr>
          <w:i/>
          <w:iCs/>
        </w:rPr>
        <w:t xml:space="preserve">Clin. </w:t>
      </w:r>
      <w:proofErr w:type="spellStart"/>
      <w:r w:rsidRPr="004D443D">
        <w:rPr>
          <w:i/>
          <w:iCs/>
        </w:rPr>
        <w:t>Electroencephalogr</w:t>
      </w:r>
      <w:proofErr w:type="spellEnd"/>
      <w:r w:rsidRPr="004D443D">
        <w:rPr>
          <w:i/>
          <w:iCs/>
        </w:rPr>
        <w:t xml:space="preserve">. </w:t>
      </w:r>
      <w:proofErr w:type="spellStart"/>
      <w:r w:rsidRPr="004D443D">
        <w:rPr>
          <w:i/>
          <w:iCs/>
        </w:rPr>
        <w:t>Neurosci</w:t>
      </w:r>
      <w:proofErr w:type="spellEnd"/>
      <w:r w:rsidRPr="004D443D">
        <w:rPr>
          <w:i/>
          <w:iCs/>
        </w:rPr>
        <w:t>.</w:t>
      </w:r>
      <w:r w:rsidRPr="004D443D">
        <w:t xml:space="preserve"> 46, 142–146. </w:t>
      </w:r>
      <w:proofErr w:type="spellStart"/>
      <w:r w:rsidRPr="004D443D">
        <w:t>doi</w:t>
      </w:r>
      <w:proofErr w:type="spellEnd"/>
      <w:r w:rsidRPr="004D443D">
        <w:t>: 10.1177/1550059413517492</w:t>
      </w:r>
    </w:p>
    <w:p w14:paraId="6849B78C" w14:textId="77777777" w:rsidR="004D443D" w:rsidRPr="004D443D" w:rsidRDefault="004D443D" w:rsidP="00FE4589">
      <w:pPr>
        <w:pStyle w:val="NoSpacing"/>
        <w:ind w:left="720" w:hanging="720"/>
      </w:pPr>
      <w:bookmarkStart w:id="122" w:name="B92"/>
      <w:bookmarkEnd w:id="122"/>
      <w:proofErr w:type="spellStart"/>
      <w:r w:rsidRPr="004D443D">
        <w:t>Spironelli</w:t>
      </w:r>
      <w:proofErr w:type="spellEnd"/>
      <w:r w:rsidRPr="004D443D">
        <w:t xml:space="preserve">, C., and </w:t>
      </w:r>
      <w:proofErr w:type="spellStart"/>
      <w:r w:rsidRPr="004D443D">
        <w:t>Angrilli</w:t>
      </w:r>
      <w:proofErr w:type="spellEnd"/>
      <w:r w:rsidRPr="004D443D">
        <w:t>, A. (2009). EEG delta band as a marker of brain damage in aphasic patients after recovery of language. </w:t>
      </w:r>
      <w:proofErr w:type="spellStart"/>
      <w:r w:rsidRPr="004D443D">
        <w:rPr>
          <w:i/>
          <w:iCs/>
        </w:rPr>
        <w:t>Neuropsychologia</w:t>
      </w:r>
      <w:proofErr w:type="spellEnd"/>
      <w:r w:rsidRPr="004D443D">
        <w:t xml:space="preserve"> 47, 988–994. </w:t>
      </w:r>
      <w:proofErr w:type="spellStart"/>
      <w:r w:rsidRPr="004D443D">
        <w:t>doi</w:t>
      </w:r>
      <w:proofErr w:type="spellEnd"/>
      <w:r w:rsidRPr="004D443D">
        <w:t>: 10.1016/j.neuropsychologia.2008.10.019</w:t>
      </w:r>
    </w:p>
    <w:p w14:paraId="570CE7D9" w14:textId="77777777" w:rsidR="004D443D" w:rsidRPr="004D443D" w:rsidRDefault="004D443D" w:rsidP="00FE4589">
      <w:pPr>
        <w:pStyle w:val="NoSpacing"/>
        <w:ind w:left="720" w:hanging="720"/>
      </w:pPr>
      <w:bookmarkStart w:id="123" w:name="B93"/>
      <w:bookmarkEnd w:id="123"/>
      <w:proofErr w:type="spellStart"/>
      <w:r w:rsidRPr="004D443D">
        <w:t>Spironelli</w:t>
      </w:r>
      <w:proofErr w:type="spellEnd"/>
      <w:r w:rsidRPr="004D443D">
        <w:t xml:space="preserve">, C., </w:t>
      </w:r>
      <w:proofErr w:type="spellStart"/>
      <w:r w:rsidRPr="004D443D">
        <w:t>Busenello</w:t>
      </w:r>
      <w:proofErr w:type="spellEnd"/>
      <w:r w:rsidRPr="004D443D">
        <w:t xml:space="preserve">, J., and </w:t>
      </w:r>
      <w:proofErr w:type="spellStart"/>
      <w:r w:rsidRPr="004D443D">
        <w:t>Angrilli</w:t>
      </w:r>
      <w:proofErr w:type="spellEnd"/>
      <w:r w:rsidRPr="004D443D">
        <w:t>, A. (2016). Supine posture inhibits cortical activity: evidence from Delta and Alpha EEG bands. </w:t>
      </w:r>
      <w:proofErr w:type="spellStart"/>
      <w:r w:rsidRPr="004D443D">
        <w:rPr>
          <w:i/>
          <w:iCs/>
        </w:rPr>
        <w:t>Neuropsychologia</w:t>
      </w:r>
      <w:proofErr w:type="spellEnd"/>
      <w:r w:rsidRPr="004D443D">
        <w:t xml:space="preserve"> 89, 125–131. </w:t>
      </w:r>
      <w:proofErr w:type="spellStart"/>
      <w:r w:rsidRPr="004D443D">
        <w:t>doi</w:t>
      </w:r>
      <w:proofErr w:type="spellEnd"/>
      <w:r w:rsidRPr="004D443D">
        <w:t>: 10.1016/j.neuropsychologia.2016.06.015</w:t>
      </w:r>
    </w:p>
    <w:p w14:paraId="70A68D1E" w14:textId="77777777" w:rsidR="004D443D" w:rsidRPr="004D443D" w:rsidRDefault="004D443D" w:rsidP="00FE4589">
      <w:pPr>
        <w:pStyle w:val="NoSpacing"/>
        <w:ind w:left="720" w:hanging="720"/>
      </w:pPr>
      <w:bookmarkStart w:id="124" w:name="B94"/>
      <w:bookmarkEnd w:id="124"/>
      <w:proofErr w:type="spellStart"/>
      <w:r w:rsidRPr="004D443D">
        <w:t>Spironelli</w:t>
      </w:r>
      <w:proofErr w:type="spellEnd"/>
      <w:r w:rsidRPr="004D443D">
        <w:t xml:space="preserve">, C., Manfredi, M., and </w:t>
      </w:r>
      <w:proofErr w:type="spellStart"/>
      <w:r w:rsidRPr="004D443D">
        <w:t>Angrilli</w:t>
      </w:r>
      <w:proofErr w:type="spellEnd"/>
      <w:r w:rsidRPr="004D443D">
        <w:t>, A. (2013). Beta EEG band: a measure of functional brain damage and language reorganization in aphasic patients after recovery. </w:t>
      </w:r>
      <w:r w:rsidRPr="004D443D">
        <w:rPr>
          <w:i/>
          <w:iCs/>
        </w:rPr>
        <w:t>Cortex</w:t>
      </w:r>
      <w:r w:rsidRPr="004D443D">
        <w:t xml:space="preserve"> 49, 2650–2660. </w:t>
      </w:r>
      <w:proofErr w:type="spellStart"/>
      <w:r w:rsidRPr="004D443D">
        <w:t>doi</w:t>
      </w:r>
      <w:proofErr w:type="spellEnd"/>
      <w:r w:rsidRPr="004D443D">
        <w:t>: 10.1016/j.cortex.2013.05.003</w:t>
      </w:r>
    </w:p>
    <w:p w14:paraId="233AE52E" w14:textId="77777777" w:rsidR="004D443D" w:rsidRPr="004D443D" w:rsidRDefault="004D443D" w:rsidP="00FE4589">
      <w:pPr>
        <w:pStyle w:val="NoSpacing"/>
        <w:ind w:left="720" w:hanging="720"/>
      </w:pPr>
      <w:bookmarkStart w:id="125" w:name="B95"/>
      <w:bookmarkEnd w:id="125"/>
      <w:proofErr w:type="spellStart"/>
      <w:r w:rsidRPr="004D443D">
        <w:t>Stojanovic</w:t>
      </w:r>
      <w:proofErr w:type="spellEnd"/>
      <w:r w:rsidRPr="004D443D">
        <w:t xml:space="preserve">, B., </w:t>
      </w:r>
      <w:proofErr w:type="spellStart"/>
      <w:r w:rsidRPr="004D443D">
        <w:t>Djurasic</w:t>
      </w:r>
      <w:proofErr w:type="spellEnd"/>
      <w:r w:rsidRPr="004D443D">
        <w:t xml:space="preserve">, L., </w:t>
      </w:r>
      <w:proofErr w:type="spellStart"/>
      <w:r w:rsidRPr="004D443D">
        <w:t>Jovic</w:t>
      </w:r>
      <w:proofErr w:type="spellEnd"/>
      <w:r w:rsidRPr="004D443D">
        <w:t>, S., and Paspalj, D. (2013). EEG study of visual reactivity in aphasic patients. </w:t>
      </w:r>
      <w:r w:rsidRPr="004D443D">
        <w:rPr>
          <w:i/>
          <w:iCs/>
        </w:rPr>
        <w:t xml:space="preserve">Acta </w:t>
      </w:r>
      <w:proofErr w:type="spellStart"/>
      <w:r w:rsidRPr="004D443D">
        <w:rPr>
          <w:i/>
          <w:iCs/>
        </w:rPr>
        <w:t>Chirurgica</w:t>
      </w:r>
      <w:proofErr w:type="spellEnd"/>
      <w:r w:rsidRPr="004D443D">
        <w:rPr>
          <w:i/>
          <w:iCs/>
        </w:rPr>
        <w:t xml:space="preserve"> </w:t>
      </w:r>
      <w:proofErr w:type="spellStart"/>
      <w:r w:rsidRPr="004D443D">
        <w:rPr>
          <w:i/>
          <w:iCs/>
        </w:rPr>
        <w:t>Iugoslavica</w:t>
      </w:r>
      <w:proofErr w:type="spellEnd"/>
      <w:r w:rsidRPr="004D443D">
        <w:t xml:space="preserve"> 60, 45–56. </w:t>
      </w:r>
      <w:proofErr w:type="spellStart"/>
      <w:r w:rsidRPr="004D443D">
        <w:t>doi</w:t>
      </w:r>
      <w:proofErr w:type="spellEnd"/>
      <w:r w:rsidRPr="004D443D">
        <w:t>: 10.2298/aci1303045s</w:t>
      </w:r>
    </w:p>
    <w:p w14:paraId="5B8C4B87" w14:textId="77777777" w:rsidR="004D443D" w:rsidRPr="004D443D" w:rsidRDefault="004D443D" w:rsidP="00FE4589">
      <w:pPr>
        <w:pStyle w:val="NoSpacing"/>
        <w:ind w:left="720" w:hanging="720"/>
      </w:pPr>
      <w:bookmarkStart w:id="126" w:name="B96"/>
      <w:bookmarkEnd w:id="126"/>
      <w:r w:rsidRPr="004D443D">
        <w:t>Suarez-</w:t>
      </w:r>
      <w:proofErr w:type="spellStart"/>
      <w:r w:rsidRPr="004D443D">
        <w:t>Revelo</w:t>
      </w:r>
      <w:proofErr w:type="spellEnd"/>
      <w:r w:rsidRPr="004D443D">
        <w:t>, J. X., Ochoa-Gomez, J. F., Duque-</w:t>
      </w:r>
      <w:proofErr w:type="spellStart"/>
      <w:r w:rsidRPr="004D443D">
        <w:t>Grajales</w:t>
      </w:r>
      <w:proofErr w:type="spellEnd"/>
      <w:r w:rsidRPr="004D443D">
        <w:t>, J., Montoya-</w:t>
      </w:r>
      <w:proofErr w:type="spellStart"/>
      <w:r w:rsidRPr="004D443D">
        <w:t>Betancur</w:t>
      </w:r>
      <w:proofErr w:type="spellEnd"/>
      <w:r w:rsidRPr="004D443D">
        <w:t>, A., and Sanchez-Lopez, S. (2015). “Test-retest reliability in electroencephalographic recordings,” in </w:t>
      </w:r>
      <w:r w:rsidRPr="004D443D">
        <w:rPr>
          <w:i/>
          <w:iCs/>
        </w:rPr>
        <w:t>Proceedings of the 2015 20th Symposium on Signal Processing, Images and Computer Vision (STSIVA)</w:t>
      </w:r>
      <w:r w:rsidRPr="004D443D">
        <w:t xml:space="preserve"> (Bogota). </w:t>
      </w:r>
      <w:proofErr w:type="spellStart"/>
      <w:r w:rsidRPr="004D443D">
        <w:t>doi</w:t>
      </w:r>
      <w:proofErr w:type="spellEnd"/>
      <w:r w:rsidRPr="004D443D">
        <w:t>: 10.1109/stsiva.2015.7330412</w:t>
      </w:r>
    </w:p>
    <w:p w14:paraId="4A1DE659" w14:textId="77777777" w:rsidR="004D443D" w:rsidRPr="004D443D" w:rsidRDefault="004D443D" w:rsidP="00FE4589">
      <w:pPr>
        <w:pStyle w:val="NoSpacing"/>
        <w:ind w:left="720" w:hanging="720"/>
      </w:pPr>
      <w:bookmarkStart w:id="127" w:name="B97"/>
      <w:bookmarkEnd w:id="127"/>
      <w:proofErr w:type="spellStart"/>
      <w:r w:rsidRPr="004D443D">
        <w:t>Szaflarski</w:t>
      </w:r>
      <w:proofErr w:type="spellEnd"/>
      <w:r w:rsidRPr="004D443D">
        <w:t xml:space="preserve">, J. P., Holland, S. K., </w:t>
      </w:r>
      <w:proofErr w:type="spellStart"/>
      <w:r w:rsidRPr="004D443D">
        <w:t>Schmithorst</w:t>
      </w:r>
      <w:proofErr w:type="spellEnd"/>
      <w:r w:rsidRPr="004D443D">
        <w:t xml:space="preserve">, V. J., and </w:t>
      </w:r>
      <w:proofErr w:type="spellStart"/>
      <w:r w:rsidRPr="004D443D">
        <w:t>Byars</w:t>
      </w:r>
      <w:proofErr w:type="spellEnd"/>
      <w:r w:rsidRPr="004D443D">
        <w:t>, A. W. (2006). fMRI study of language lateralization in children and adults. </w:t>
      </w:r>
      <w:r w:rsidRPr="004D443D">
        <w:rPr>
          <w:i/>
          <w:iCs/>
        </w:rPr>
        <w:t>Hum. Brain Mapp.</w:t>
      </w:r>
      <w:r w:rsidRPr="004D443D">
        <w:t xml:space="preserve"> 27, 202–212. </w:t>
      </w:r>
      <w:proofErr w:type="spellStart"/>
      <w:r w:rsidRPr="004D443D">
        <w:t>doi</w:t>
      </w:r>
      <w:proofErr w:type="spellEnd"/>
      <w:r w:rsidRPr="004D443D">
        <w:t>: 10.1002/hbm.20177</w:t>
      </w:r>
    </w:p>
    <w:p w14:paraId="36FB38C4" w14:textId="77777777" w:rsidR="004D443D" w:rsidRPr="004D443D" w:rsidRDefault="004D443D" w:rsidP="00FE4589">
      <w:pPr>
        <w:pStyle w:val="NoSpacing"/>
        <w:ind w:left="720" w:hanging="720"/>
      </w:pPr>
      <w:bookmarkStart w:id="128" w:name="B98"/>
      <w:bookmarkEnd w:id="128"/>
      <w:r w:rsidRPr="004D443D">
        <w:t>Thibault, R. T., and Raz, A. (2016). Imaging posture veils neural signals. </w:t>
      </w:r>
      <w:r w:rsidRPr="004D443D">
        <w:rPr>
          <w:i/>
          <w:iCs/>
        </w:rPr>
        <w:t xml:space="preserve">Front. Hum. </w:t>
      </w:r>
      <w:proofErr w:type="spellStart"/>
      <w:r w:rsidRPr="004D443D">
        <w:rPr>
          <w:i/>
          <w:iCs/>
        </w:rPr>
        <w:t>Neurosci</w:t>
      </w:r>
      <w:proofErr w:type="spellEnd"/>
      <w:r w:rsidRPr="004D443D">
        <w:rPr>
          <w:i/>
          <w:iCs/>
        </w:rPr>
        <w:t>.</w:t>
      </w:r>
      <w:r w:rsidRPr="004D443D">
        <w:t xml:space="preserve"> 10:520. </w:t>
      </w:r>
      <w:proofErr w:type="spellStart"/>
      <w:r w:rsidRPr="004D443D">
        <w:t>doi</w:t>
      </w:r>
      <w:proofErr w:type="spellEnd"/>
      <w:r w:rsidRPr="004D443D">
        <w:t>: 10.3389/fnhum.2016.00520</w:t>
      </w:r>
    </w:p>
    <w:p w14:paraId="294FA639" w14:textId="77777777" w:rsidR="004D443D" w:rsidRPr="004D443D" w:rsidRDefault="004D443D" w:rsidP="00FE4589">
      <w:pPr>
        <w:pStyle w:val="NoSpacing"/>
        <w:ind w:left="720" w:hanging="720"/>
      </w:pPr>
      <w:bookmarkStart w:id="129" w:name="B99"/>
      <w:bookmarkEnd w:id="129"/>
      <w:r w:rsidRPr="004D443D">
        <w:t>Thorne, S. E., and Paterson, B. L. (2000). Two decades of insider research: what we know and don’t know about chronic illness experience. </w:t>
      </w:r>
      <w:proofErr w:type="spellStart"/>
      <w:r w:rsidRPr="004D443D">
        <w:rPr>
          <w:i/>
          <w:iCs/>
        </w:rPr>
        <w:t>Annu</w:t>
      </w:r>
      <w:proofErr w:type="spellEnd"/>
      <w:r w:rsidRPr="004D443D">
        <w:rPr>
          <w:i/>
          <w:iCs/>
        </w:rPr>
        <w:t xml:space="preserve">. Rev. </w:t>
      </w:r>
      <w:proofErr w:type="spellStart"/>
      <w:r w:rsidRPr="004D443D">
        <w:rPr>
          <w:i/>
          <w:iCs/>
        </w:rPr>
        <w:t>Nurs</w:t>
      </w:r>
      <w:proofErr w:type="spellEnd"/>
      <w:r w:rsidRPr="004D443D">
        <w:rPr>
          <w:i/>
          <w:iCs/>
        </w:rPr>
        <w:t>. Res.</w:t>
      </w:r>
      <w:r w:rsidRPr="004D443D">
        <w:t xml:space="preserve"> 18, 3–25. </w:t>
      </w:r>
      <w:proofErr w:type="spellStart"/>
      <w:r w:rsidRPr="004D443D">
        <w:t>doi</w:t>
      </w:r>
      <w:proofErr w:type="spellEnd"/>
      <w:r w:rsidRPr="004D443D">
        <w:t>: 10.1891/0739-6686.18.1.3</w:t>
      </w:r>
    </w:p>
    <w:p w14:paraId="31AEE662" w14:textId="77777777" w:rsidR="004D443D" w:rsidRPr="004D443D" w:rsidRDefault="004D443D" w:rsidP="00FE4589">
      <w:pPr>
        <w:pStyle w:val="NoSpacing"/>
        <w:ind w:left="720" w:hanging="720"/>
      </w:pPr>
      <w:bookmarkStart w:id="130" w:name="B100"/>
      <w:bookmarkEnd w:id="130"/>
      <w:r w:rsidRPr="004D443D">
        <w:t xml:space="preserve">Tombaugh, T. N., and </w:t>
      </w:r>
      <w:proofErr w:type="spellStart"/>
      <w:r w:rsidRPr="004D443D">
        <w:t>Hubiey</w:t>
      </w:r>
      <w:proofErr w:type="spellEnd"/>
      <w:r w:rsidRPr="004D443D">
        <w:t>, A. M. (1997). The 60-item Boston naming test: norms for cognitively intact adults aged 25 to 88 years. </w:t>
      </w:r>
      <w:r w:rsidRPr="004D443D">
        <w:rPr>
          <w:i/>
          <w:iCs/>
        </w:rPr>
        <w:t xml:space="preserve">J. Clin. Exp. </w:t>
      </w:r>
      <w:proofErr w:type="spellStart"/>
      <w:r w:rsidRPr="004D443D">
        <w:rPr>
          <w:i/>
          <w:iCs/>
        </w:rPr>
        <w:t>Neuropsychol</w:t>
      </w:r>
      <w:proofErr w:type="spellEnd"/>
      <w:r w:rsidRPr="004D443D">
        <w:rPr>
          <w:i/>
          <w:iCs/>
        </w:rPr>
        <w:t>.</w:t>
      </w:r>
      <w:r w:rsidRPr="004D443D">
        <w:t xml:space="preserve"> 19, 922–932. </w:t>
      </w:r>
      <w:proofErr w:type="spellStart"/>
      <w:r w:rsidRPr="004D443D">
        <w:t>doi</w:t>
      </w:r>
      <w:proofErr w:type="spellEnd"/>
      <w:r w:rsidRPr="004D443D">
        <w:t>: 10.1080/01688639708403773</w:t>
      </w:r>
    </w:p>
    <w:p w14:paraId="450E2D50" w14:textId="77777777" w:rsidR="004D443D" w:rsidRPr="004D443D" w:rsidRDefault="004D443D" w:rsidP="00FE4589">
      <w:pPr>
        <w:pStyle w:val="NoSpacing"/>
        <w:ind w:left="720" w:hanging="720"/>
      </w:pPr>
      <w:bookmarkStart w:id="131" w:name="B101"/>
      <w:bookmarkEnd w:id="131"/>
      <w:r w:rsidRPr="004D443D">
        <w:t xml:space="preserve">Townend, E., Brady, M., and </w:t>
      </w:r>
      <w:proofErr w:type="spellStart"/>
      <w:r w:rsidRPr="004D443D">
        <w:t>Mclaughlan</w:t>
      </w:r>
      <w:proofErr w:type="spellEnd"/>
      <w:r w:rsidRPr="004D443D">
        <w:t>, K. (2007). Exclusion and inclusion criteria for people with aphasia in studies of depression after stroke: a systematic review and future recommendations. </w:t>
      </w:r>
      <w:r w:rsidRPr="004D443D">
        <w:rPr>
          <w:i/>
          <w:iCs/>
        </w:rPr>
        <w:t>Neuroepidemiology</w:t>
      </w:r>
      <w:r w:rsidRPr="004D443D">
        <w:t xml:space="preserve"> 29, 1–17. </w:t>
      </w:r>
      <w:proofErr w:type="spellStart"/>
      <w:r w:rsidRPr="004D443D">
        <w:t>doi</w:t>
      </w:r>
      <w:proofErr w:type="spellEnd"/>
      <w:r w:rsidRPr="004D443D">
        <w:t>: 10.1159/000108913</w:t>
      </w:r>
    </w:p>
    <w:p w14:paraId="63035D3B" w14:textId="77777777" w:rsidR="004D443D" w:rsidRPr="004D443D" w:rsidRDefault="004D443D" w:rsidP="00FE4589">
      <w:pPr>
        <w:pStyle w:val="NoSpacing"/>
        <w:ind w:left="720" w:hanging="720"/>
      </w:pPr>
      <w:bookmarkStart w:id="132" w:name="B102"/>
      <w:bookmarkEnd w:id="132"/>
      <w:proofErr w:type="spellStart"/>
      <w:r w:rsidRPr="004D443D">
        <w:t>Veldsman</w:t>
      </w:r>
      <w:proofErr w:type="spellEnd"/>
      <w:r w:rsidRPr="004D443D">
        <w:t xml:space="preserve">, M., Cumming, T., and </w:t>
      </w:r>
      <w:proofErr w:type="spellStart"/>
      <w:r w:rsidRPr="004D443D">
        <w:t>Brodtmann</w:t>
      </w:r>
      <w:proofErr w:type="spellEnd"/>
      <w:r w:rsidRPr="004D443D">
        <w:t>, A. (2014). Beyond BOLD: optimizing functional imaging in stroke populations. </w:t>
      </w:r>
      <w:r w:rsidRPr="004D443D">
        <w:rPr>
          <w:i/>
          <w:iCs/>
        </w:rPr>
        <w:t>Hum. Brain Mapp.</w:t>
      </w:r>
      <w:r w:rsidRPr="004D443D">
        <w:t xml:space="preserve"> 36, 1620–1636. </w:t>
      </w:r>
      <w:proofErr w:type="spellStart"/>
      <w:r w:rsidRPr="004D443D">
        <w:t>doi</w:t>
      </w:r>
      <w:proofErr w:type="spellEnd"/>
      <w:r w:rsidRPr="004D443D">
        <w:t>: 10.1002/hbm.22711</w:t>
      </w:r>
    </w:p>
    <w:p w14:paraId="47381958" w14:textId="77777777" w:rsidR="004D443D" w:rsidRPr="004D443D" w:rsidRDefault="004D443D" w:rsidP="00FE4589">
      <w:pPr>
        <w:pStyle w:val="NoSpacing"/>
        <w:ind w:left="720" w:hanging="720"/>
      </w:pPr>
      <w:bookmarkStart w:id="133" w:name="B103"/>
      <w:bookmarkEnd w:id="133"/>
      <w:r w:rsidRPr="004D443D">
        <w:t>Wechsler, D., Coalson, D. L., and Raiford, S. E. (2008). </w:t>
      </w:r>
      <w:r w:rsidRPr="004D443D">
        <w:rPr>
          <w:i/>
          <w:iCs/>
        </w:rPr>
        <w:t>WAIS-IV: Wechsler Adult Intelligence Scale.</w:t>
      </w:r>
      <w:r w:rsidRPr="004D443D">
        <w:t> San Antonio, TX: Pearson.</w:t>
      </w:r>
    </w:p>
    <w:p w14:paraId="4AD71B22" w14:textId="77777777" w:rsidR="004D443D" w:rsidRPr="004D443D" w:rsidRDefault="004D443D" w:rsidP="00FE4589">
      <w:pPr>
        <w:pStyle w:val="NoSpacing"/>
        <w:ind w:left="720" w:hanging="720"/>
      </w:pPr>
      <w:bookmarkStart w:id="134" w:name="B104"/>
      <w:bookmarkEnd w:id="134"/>
      <w:r w:rsidRPr="004D443D">
        <w:t xml:space="preserve">Wilson, S. M., Eriksson, D. K., Yen, M., Demarco, A. T., </w:t>
      </w:r>
      <w:proofErr w:type="spellStart"/>
      <w:r w:rsidRPr="004D443D">
        <w:t>Schneck</w:t>
      </w:r>
      <w:proofErr w:type="spellEnd"/>
      <w:r w:rsidRPr="004D443D">
        <w:t xml:space="preserve">, S. M., and </w:t>
      </w:r>
      <w:proofErr w:type="spellStart"/>
      <w:r w:rsidRPr="004D443D">
        <w:t>Lucanie</w:t>
      </w:r>
      <w:proofErr w:type="spellEnd"/>
      <w:r w:rsidRPr="004D443D">
        <w:t>, J. M. (2019). Language mapping in aphasia. </w:t>
      </w:r>
      <w:r w:rsidRPr="004D443D">
        <w:rPr>
          <w:i/>
          <w:iCs/>
        </w:rPr>
        <w:t>J. Speech Lang. Hear. Res.</w:t>
      </w:r>
      <w:r w:rsidRPr="004D443D">
        <w:t> 62, 3937–3946.</w:t>
      </w:r>
    </w:p>
    <w:p w14:paraId="52103E32" w14:textId="77777777" w:rsidR="004D443D" w:rsidRPr="004D443D" w:rsidRDefault="004D443D" w:rsidP="00FE4589">
      <w:pPr>
        <w:pStyle w:val="NoSpacing"/>
        <w:ind w:left="720" w:hanging="720"/>
      </w:pPr>
      <w:bookmarkStart w:id="135" w:name="B105"/>
      <w:bookmarkEnd w:id="135"/>
      <w:r w:rsidRPr="004D443D">
        <w:t xml:space="preserve">Wu, J., Quinlan, E. B., </w:t>
      </w:r>
      <w:proofErr w:type="spellStart"/>
      <w:r w:rsidRPr="004D443D">
        <w:t>Dodakian</w:t>
      </w:r>
      <w:proofErr w:type="spellEnd"/>
      <w:r w:rsidRPr="004D443D">
        <w:t xml:space="preserve">, L., </w:t>
      </w:r>
      <w:proofErr w:type="spellStart"/>
      <w:r w:rsidRPr="004D443D">
        <w:t>Mckenzie</w:t>
      </w:r>
      <w:proofErr w:type="spellEnd"/>
      <w:r w:rsidRPr="004D443D">
        <w:t xml:space="preserve">, A., </w:t>
      </w:r>
      <w:proofErr w:type="spellStart"/>
      <w:r w:rsidRPr="004D443D">
        <w:t>Kathuria</w:t>
      </w:r>
      <w:proofErr w:type="spellEnd"/>
      <w:r w:rsidRPr="004D443D">
        <w:t>, N., Zhou, R. J., et al. (2015). Connectivity measures are robust biomarkers of cortical function and plasticity after stroke. </w:t>
      </w:r>
      <w:r w:rsidRPr="004D443D">
        <w:rPr>
          <w:i/>
          <w:iCs/>
        </w:rPr>
        <w:t>Brain</w:t>
      </w:r>
      <w:r w:rsidRPr="004D443D">
        <w:t xml:space="preserve"> 138, 2359–2369. </w:t>
      </w:r>
      <w:proofErr w:type="spellStart"/>
      <w:r w:rsidRPr="004D443D">
        <w:t>doi</w:t>
      </w:r>
      <w:proofErr w:type="spellEnd"/>
      <w:r w:rsidRPr="004D443D">
        <w:t>: 10.1093/brain/awv156</w:t>
      </w:r>
    </w:p>
    <w:p w14:paraId="13D0A220" w14:textId="77777777" w:rsidR="004D443D" w:rsidRDefault="004D443D" w:rsidP="004D443D"/>
    <w:p w14:paraId="7F8588B4" w14:textId="77777777" w:rsidR="004D443D" w:rsidRPr="004D443D" w:rsidRDefault="004D443D" w:rsidP="004D443D"/>
    <w:sectPr w:rsidR="004D443D" w:rsidRPr="004D443D" w:rsidSect="0019228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9F5DCF"/>
    <w:multiLevelType w:val="multilevel"/>
    <w:tmpl w:val="35268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4"/>
  </w:num>
  <w:num w:numId="5">
    <w:abstractNumId w:val="11"/>
  </w:num>
  <w:num w:numId="6">
    <w:abstractNumId w:val="15"/>
  </w:num>
  <w:num w:numId="7">
    <w:abstractNumId w:val="1"/>
  </w:num>
  <w:num w:numId="8">
    <w:abstractNumId w:val="10"/>
  </w:num>
  <w:num w:numId="9">
    <w:abstractNumId w:val="8"/>
  </w:num>
  <w:num w:numId="10">
    <w:abstractNumId w:val="3"/>
  </w:num>
  <w:num w:numId="11">
    <w:abstractNumId w:val="12"/>
  </w:num>
  <w:num w:numId="12">
    <w:abstractNumId w:val="16"/>
  </w:num>
  <w:num w:numId="13">
    <w:abstractNumId w:val="9"/>
  </w:num>
  <w:num w:numId="14">
    <w:abstractNumId w:val="6"/>
  </w:num>
  <w:num w:numId="15">
    <w:abstractNumId w:val="13"/>
  </w:num>
  <w:num w:numId="16">
    <w:abstractNumId w:val="7"/>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YxP6bUBRZw7CCzFXwuOEK4ln71JbSoA8iS8Tt9hCxR3hEmxcHcySDItpTDTJcATr4Sqo2Ql8Qd31/qIOFhN1A==" w:salt="DhNS4gs39jAgFhaPoLeE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2BD2"/>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1CB"/>
    <w:rsid w:val="00091815"/>
    <w:rsid w:val="000918DB"/>
    <w:rsid w:val="00092DFF"/>
    <w:rsid w:val="00093C1A"/>
    <w:rsid w:val="000975F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292"/>
    <w:rsid w:val="000E69EF"/>
    <w:rsid w:val="000E7C46"/>
    <w:rsid w:val="000F0449"/>
    <w:rsid w:val="000F08DA"/>
    <w:rsid w:val="000F14F0"/>
    <w:rsid w:val="000F1D5E"/>
    <w:rsid w:val="000F33D0"/>
    <w:rsid w:val="000F7D22"/>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5BE4"/>
    <w:rsid w:val="0014182B"/>
    <w:rsid w:val="0014490B"/>
    <w:rsid w:val="00146A5C"/>
    <w:rsid w:val="00146E50"/>
    <w:rsid w:val="00150DB6"/>
    <w:rsid w:val="00154D34"/>
    <w:rsid w:val="00157585"/>
    <w:rsid w:val="00160E1F"/>
    <w:rsid w:val="00161372"/>
    <w:rsid w:val="001622DB"/>
    <w:rsid w:val="00162DCD"/>
    <w:rsid w:val="00163F71"/>
    <w:rsid w:val="00173556"/>
    <w:rsid w:val="0018114F"/>
    <w:rsid w:val="00181ADF"/>
    <w:rsid w:val="00183A38"/>
    <w:rsid w:val="001854EA"/>
    <w:rsid w:val="00185C26"/>
    <w:rsid w:val="0019228D"/>
    <w:rsid w:val="00196C7C"/>
    <w:rsid w:val="001A1C71"/>
    <w:rsid w:val="001A1DF4"/>
    <w:rsid w:val="001A34C4"/>
    <w:rsid w:val="001B6E76"/>
    <w:rsid w:val="001C3A3F"/>
    <w:rsid w:val="001D1087"/>
    <w:rsid w:val="001D217C"/>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EB2"/>
    <w:rsid w:val="00211422"/>
    <w:rsid w:val="00212109"/>
    <w:rsid w:val="00224240"/>
    <w:rsid w:val="00226FA2"/>
    <w:rsid w:val="00240F2B"/>
    <w:rsid w:val="0024134B"/>
    <w:rsid w:val="00251132"/>
    <w:rsid w:val="002535DF"/>
    <w:rsid w:val="002558EB"/>
    <w:rsid w:val="00255B43"/>
    <w:rsid w:val="00255BDC"/>
    <w:rsid w:val="00255BEA"/>
    <w:rsid w:val="00260D3C"/>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52B"/>
    <w:rsid w:val="00324290"/>
    <w:rsid w:val="00327DA2"/>
    <w:rsid w:val="003305B5"/>
    <w:rsid w:val="00331737"/>
    <w:rsid w:val="0033243D"/>
    <w:rsid w:val="0033652E"/>
    <w:rsid w:val="00340617"/>
    <w:rsid w:val="00340B13"/>
    <w:rsid w:val="00340CDB"/>
    <w:rsid w:val="003427C6"/>
    <w:rsid w:val="00343472"/>
    <w:rsid w:val="003455AA"/>
    <w:rsid w:val="00347634"/>
    <w:rsid w:val="00351E90"/>
    <w:rsid w:val="00360206"/>
    <w:rsid w:val="00361C51"/>
    <w:rsid w:val="003624EE"/>
    <w:rsid w:val="003632E1"/>
    <w:rsid w:val="00363CD3"/>
    <w:rsid w:val="003656A9"/>
    <w:rsid w:val="00366852"/>
    <w:rsid w:val="003706EF"/>
    <w:rsid w:val="00370BE4"/>
    <w:rsid w:val="00371D56"/>
    <w:rsid w:val="0037755D"/>
    <w:rsid w:val="00381F0E"/>
    <w:rsid w:val="003843EA"/>
    <w:rsid w:val="0038549B"/>
    <w:rsid w:val="0038628A"/>
    <w:rsid w:val="0038634F"/>
    <w:rsid w:val="0039027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071F0"/>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8BF"/>
    <w:rsid w:val="00473B19"/>
    <w:rsid w:val="00474CB3"/>
    <w:rsid w:val="00474ECD"/>
    <w:rsid w:val="004757B5"/>
    <w:rsid w:val="004816ED"/>
    <w:rsid w:val="004829BB"/>
    <w:rsid w:val="004834F0"/>
    <w:rsid w:val="00487185"/>
    <w:rsid w:val="004873AE"/>
    <w:rsid w:val="00487718"/>
    <w:rsid w:val="00490ABE"/>
    <w:rsid w:val="004932A8"/>
    <w:rsid w:val="00497E47"/>
    <w:rsid w:val="004A0368"/>
    <w:rsid w:val="004A2715"/>
    <w:rsid w:val="004A2894"/>
    <w:rsid w:val="004A2B41"/>
    <w:rsid w:val="004A3B3E"/>
    <w:rsid w:val="004A6E44"/>
    <w:rsid w:val="004B2226"/>
    <w:rsid w:val="004B6BED"/>
    <w:rsid w:val="004B77C2"/>
    <w:rsid w:val="004C0B3D"/>
    <w:rsid w:val="004C2D7B"/>
    <w:rsid w:val="004C45D2"/>
    <w:rsid w:val="004C5EEF"/>
    <w:rsid w:val="004D118A"/>
    <w:rsid w:val="004D1930"/>
    <w:rsid w:val="004D1CB9"/>
    <w:rsid w:val="004D21C9"/>
    <w:rsid w:val="004D443D"/>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6D2D"/>
    <w:rsid w:val="0064051B"/>
    <w:rsid w:val="00645D2C"/>
    <w:rsid w:val="00650724"/>
    <w:rsid w:val="006517B5"/>
    <w:rsid w:val="00652076"/>
    <w:rsid w:val="006533A0"/>
    <w:rsid w:val="00653DA3"/>
    <w:rsid w:val="00654D37"/>
    <w:rsid w:val="006621F0"/>
    <w:rsid w:val="006647E7"/>
    <w:rsid w:val="00666FD4"/>
    <w:rsid w:val="00667217"/>
    <w:rsid w:val="006702C6"/>
    <w:rsid w:val="00672FD8"/>
    <w:rsid w:val="006769E6"/>
    <w:rsid w:val="00676C63"/>
    <w:rsid w:val="00680BCF"/>
    <w:rsid w:val="00682333"/>
    <w:rsid w:val="006844CA"/>
    <w:rsid w:val="006871E0"/>
    <w:rsid w:val="00693B53"/>
    <w:rsid w:val="006942F7"/>
    <w:rsid w:val="00697377"/>
    <w:rsid w:val="00697E6D"/>
    <w:rsid w:val="006A1F61"/>
    <w:rsid w:val="006A533C"/>
    <w:rsid w:val="006A5968"/>
    <w:rsid w:val="006A5E52"/>
    <w:rsid w:val="006A712D"/>
    <w:rsid w:val="006A7B71"/>
    <w:rsid w:val="006B20FD"/>
    <w:rsid w:val="006B3B2B"/>
    <w:rsid w:val="006B5CDC"/>
    <w:rsid w:val="006C024E"/>
    <w:rsid w:val="006C7ED1"/>
    <w:rsid w:val="006D13D5"/>
    <w:rsid w:val="006D75E1"/>
    <w:rsid w:val="006D7670"/>
    <w:rsid w:val="006E10F4"/>
    <w:rsid w:val="006E10FD"/>
    <w:rsid w:val="006E2996"/>
    <w:rsid w:val="006E2EEC"/>
    <w:rsid w:val="006E471E"/>
    <w:rsid w:val="006E4859"/>
    <w:rsid w:val="006F24E3"/>
    <w:rsid w:val="007045DD"/>
    <w:rsid w:val="007065D3"/>
    <w:rsid w:val="007071B1"/>
    <w:rsid w:val="00707EC1"/>
    <w:rsid w:val="00710582"/>
    <w:rsid w:val="00714EE9"/>
    <w:rsid w:val="00715F70"/>
    <w:rsid w:val="00717D95"/>
    <w:rsid w:val="007246B0"/>
    <w:rsid w:val="007258CB"/>
    <w:rsid w:val="00730E29"/>
    <w:rsid w:val="00732FF6"/>
    <w:rsid w:val="00735393"/>
    <w:rsid w:val="00745E32"/>
    <w:rsid w:val="007466F7"/>
    <w:rsid w:val="00747ABA"/>
    <w:rsid w:val="00757D89"/>
    <w:rsid w:val="0076194B"/>
    <w:rsid w:val="00763676"/>
    <w:rsid w:val="00771CC8"/>
    <w:rsid w:val="00772776"/>
    <w:rsid w:val="00776E56"/>
    <w:rsid w:val="00781619"/>
    <w:rsid w:val="0079146B"/>
    <w:rsid w:val="00791DD5"/>
    <w:rsid w:val="00796875"/>
    <w:rsid w:val="0079756E"/>
    <w:rsid w:val="007A1233"/>
    <w:rsid w:val="007A258F"/>
    <w:rsid w:val="007A266B"/>
    <w:rsid w:val="007A3B3A"/>
    <w:rsid w:val="007A5A32"/>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4FA"/>
    <w:rsid w:val="007F4E20"/>
    <w:rsid w:val="007F7A0B"/>
    <w:rsid w:val="0080037D"/>
    <w:rsid w:val="008061E0"/>
    <w:rsid w:val="0080711D"/>
    <w:rsid w:val="00813292"/>
    <w:rsid w:val="00813E40"/>
    <w:rsid w:val="008160F3"/>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17CF"/>
    <w:rsid w:val="00864432"/>
    <w:rsid w:val="008649A3"/>
    <w:rsid w:val="00865AB7"/>
    <w:rsid w:val="0086670A"/>
    <w:rsid w:val="00870BA1"/>
    <w:rsid w:val="0087249E"/>
    <w:rsid w:val="0087274A"/>
    <w:rsid w:val="00873094"/>
    <w:rsid w:val="00873CDE"/>
    <w:rsid w:val="00874421"/>
    <w:rsid w:val="00875997"/>
    <w:rsid w:val="0087796C"/>
    <w:rsid w:val="00880932"/>
    <w:rsid w:val="008825B5"/>
    <w:rsid w:val="00885E74"/>
    <w:rsid w:val="00886B14"/>
    <w:rsid w:val="008921B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8F7EB9"/>
    <w:rsid w:val="0090248F"/>
    <w:rsid w:val="00902F25"/>
    <w:rsid w:val="0090407E"/>
    <w:rsid w:val="00905334"/>
    <w:rsid w:val="00907ABB"/>
    <w:rsid w:val="00911307"/>
    <w:rsid w:val="00911A19"/>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0FA"/>
    <w:rsid w:val="009729A3"/>
    <w:rsid w:val="009732A9"/>
    <w:rsid w:val="009745F2"/>
    <w:rsid w:val="00977C0E"/>
    <w:rsid w:val="00977F1D"/>
    <w:rsid w:val="00982217"/>
    <w:rsid w:val="00984B39"/>
    <w:rsid w:val="00986A83"/>
    <w:rsid w:val="00990645"/>
    <w:rsid w:val="009A130B"/>
    <w:rsid w:val="009A2639"/>
    <w:rsid w:val="009A3028"/>
    <w:rsid w:val="009A30E6"/>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BE8"/>
    <w:rsid w:val="00A167B8"/>
    <w:rsid w:val="00A16981"/>
    <w:rsid w:val="00A231A4"/>
    <w:rsid w:val="00A310DA"/>
    <w:rsid w:val="00A32FCB"/>
    <w:rsid w:val="00A3561C"/>
    <w:rsid w:val="00A400BC"/>
    <w:rsid w:val="00A40701"/>
    <w:rsid w:val="00A42169"/>
    <w:rsid w:val="00A424F1"/>
    <w:rsid w:val="00A426B2"/>
    <w:rsid w:val="00A44A5C"/>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2E23"/>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95E"/>
    <w:rsid w:val="00B44237"/>
    <w:rsid w:val="00B47D09"/>
    <w:rsid w:val="00B50108"/>
    <w:rsid w:val="00B525D3"/>
    <w:rsid w:val="00B52EA4"/>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280"/>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610"/>
    <w:rsid w:val="00BE2644"/>
    <w:rsid w:val="00BE42F3"/>
    <w:rsid w:val="00BE551C"/>
    <w:rsid w:val="00BF6ECD"/>
    <w:rsid w:val="00BF790B"/>
    <w:rsid w:val="00C01E67"/>
    <w:rsid w:val="00C05302"/>
    <w:rsid w:val="00C05BF0"/>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6F6"/>
    <w:rsid w:val="00C742C3"/>
    <w:rsid w:val="00C75559"/>
    <w:rsid w:val="00C76D88"/>
    <w:rsid w:val="00C7785D"/>
    <w:rsid w:val="00C77A26"/>
    <w:rsid w:val="00C85BDD"/>
    <w:rsid w:val="00C86B81"/>
    <w:rsid w:val="00C91557"/>
    <w:rsid w:val="00C92F74"/>
    <w:rsid w:val="00CA1C19"/>
    <w:rsid w:val="00CA204D"/>
    <w:rsid w:val="00CA2E14"/>
    <w:rsid w:val="00CA343C"/>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0C10"/>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0E31"/>
    <w:rsid w:val="00D52D25"/>
    <w:rsid w:val="00D65A57"/>
    <w:rsid w:val="00D66306"/>
    <w:rsid w:val="00D66B18"/>
    <w:rsid w:val="00D726DB"/>
    <w:rsid w:val="00D73164"/>
    <w:rsid w:val="00D77E53"/>
    <w:rsid w:val="00D8135F"/>
    <w:rsid w:val="00D81DD5"/>
    <w:rsid w:val="00D82C74"/>
    <w:rsid w:val="00D878FD"/>
    <w:rsid w:val="00D87BB8"/>
    <w:rsid w:val="00D90BD9"/>
    <w:rsid w:val="00D932C5"/>
    <w:rsid w:val="00D939A7"/>
    <w:rsid w:val="00D940A9"/>
    <w:rsid w:val="00D9581C"/>
    <w:rsid w:val="00D95DCB"/>
    <w:rsid w:val="00D96228"/>
    <w:rsid w:val="00DA5459"/>
    <w:rsid w:val="00DA619A"/>
    <w:rsid w:val="00DA73A1"/>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6D93"/>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5AF"/>
    <w:rsid w:val="00EA6E8E"/>
    <w:rsid w:val="00EA7978"/>
    <w:rsid w:val="00EA7D19"/>
    <w:rsid w:val="00EB3808"/>
    <w:rsid w:val="00EB7F70"/>
    <w:rsid w:val="00EC4C2A"/>
    <w:rsid w:val="00EC54DF"/>
    <w:rsid w:val="00EC6764"/>
    <w:rsid w:val="00EC726F"/>
    <w:rsid w:val="00EC7743"/>
    <w:rsid w:val="00EC7B8C"/>
    <w:rsid w:val="00ED2540"/>
    <w:rsid w:val="00ED48A6"/>
    <w:rsid w:val="00ED521A"/>
    <w:rsid w:val="00ED6802"/>
    <w:rsid w:val="00EE1F48"/>
    <w:rsid w:val="00EE3C5A"/>
    <w:rsid w:val="00EE4E0F"/>
    <w:rsid w:val="00EE504D"/>
    <w:rsid w:val="00EE75E3"/>
    <w:rsid w:val="00EE7777"/>
    <w:rsid w:val="00EF0C86"/>
    <w:rsid w:val="00EF2D7A"/>
    <w:rsid w:val="00EF586D"/>
    <w:rsid w:val="00EF68BF"/>
    <w:rsid w:val="00F00B9A"/>
    <w:rsid w:val="00F0246E"/>
    <w:rsid w:val="00F026DB"/>
    <w:rsid w:val="00F04133"/>
    <w:rsid w:val="00F12233"/>
    <w:rsid w:val="00F12CE1"/>
    <w:rsid w:val="00F14096"/>
    <w:rsid w:val="00F14820"/>
    <w:rsid w:val="00F158F3"/>
    <w:rsid w:val="00F17E15"/>
    <w:rsid w:val="00F30DED"/>
    <w:rsid w:val="00F31DB2"/>
    <w:rsid w:val="00F37720"/>
    <w:rsid w:val="00F4046D"/>
    <w:rsid w:val="00F40A6C"/>
    <w:rsid w:val="00F44EA5"/>
    <w:rsid w:val="00F4518D"/>
    <w:rsid w:val="00F46AEA"/>
    <w:rsid w:val="00F46C28"/>
    <w:rsid w:val="00F46CF6"/>
    <w:rsid w:val="00F51019"/>
    <w:rsid w:val="00F52179"/>
    <w:rsid w:val="00F52B79"/>
    <w:rsid w:val="00F551EB"/>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8D4"/>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7DF1"/>
    <w:rsid w:val="00FD0FFF"/>
    <w:rsid w:val="00FE2208"/>
    <w:rsid w:val="00FE2769"/>
    <w:rsid w:val="00FE2ED0"/>
    <w:rsid w:val="00FE3C8C"/>
    <w:rsid w:val="00FE430B"/>
    <w:rsid w:val="00FE4589"/>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paragraph" w:customStyle="1" w:styleId="mb0">
    <w:name w:val="mb0"/>
    <w:basedOn w:val="Normal"/>
    <w:rsid w:val="004D4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4D4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4D4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4D44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42395196">
      <w:bodyDiv w:val="1"/>
      <w:marLeft w:val="0"/>
      <w:marRight w:val="0"/>
      <w:marTop w:val="0"/>
      <w:marBottom w:val="0"/>
      <w:divBdr>
        <w:top w:val="none" w:sz="0" w:space="0" w:color="auto"/>
        <w:left w:val="none" w:sz="0" w:space="0" w:color="auto"/>
        <w:bottom w:val="none" w:sz="0" w:space="0" w:color="auto"/>
        <w:right w:val="none" w:sz="0" w:space="0" w:color="auto"/>
      </w:divBdr>
      <w:divsChild>
        <w:div w:id="1530297304">
          <w:marLeft w:val="0"/>
          <w:marRight w:val="0"/>
          <w:marTop w:val="0"/>
          <w:marBottom w:val="0"/>
          <w:divBdr>
            <w:top w:val="none" w:sz="0" w:space="0" w:color="auto"/>
            <w:left w:val="none" w:sz="0" w:space="0" w:color="auto"/>
            <w:bottom w:val="none" w:sz="0" w:space="0" w:color="auto"/>
            <w:right w:val="none" w:sz="0" w:space="0" w:color="auto"/>
          </w:divBdr>
        </w:div>
        <w:div w:id="1372458532">
          <w:marLeft w:val="0"/>
          <w:marRight w:val="0"/>
          <w:marTop w:val="0"/>
          <w:marBottom w:val="0"/>
          <w:divBdr>
            <w:top w:val="none" w:sz="0" w:space="0" w:color="auto"/>
            <w:left w:val="none" w:sz="0" w:space="0" w:color="auto"/>
            <w:bottom w:val="none" w:sz="0" w:space="0" w:color="auto"/>
            <w:right w:val="none" w:sz="0" w:space="0" w:color="auto"/>
          </w:divBdr>
          <w:divsChild>
            <w:div w:id="790444324">
              <w:marLeft w:val="0"/>
              <w:marRight w:val="0"/>
              <w:marTop w:val="270"/>
              <w:marBottom w:val="0"/>
              <w:divBdr>
                <w:top w:val="none" w:sz="0" w:space="0" w:color="auto"/>
                <w:left w:val="none" w:sz="0" w:space="0" w:color="auto"/>
                <w:bottom w:val="none" w:sz="0" w:space="0" w:color="auto"/>
                <w:right w:val="none" w:sz="0" w:space="0" w:color="auto"/>
              </w:divBdr>
            </w:div>
            <w:div w:id="719674849">
              <w:marLeft w:val="0"/>
              <w:marRight w:val="0"/>
              <w:marTop w:val="0"/>
              <w:marBottom w:val="270"/>
              <w:divBdr>
                <w:top w:val="none" w:sz="0" w:space="0" w:color="auto"/>
                <w:left w:val="none" w:sz="0" w:space="0" w:color="auto"/>
                <w:bottom w:val="none" w:sz="0" w:space="0" w:color="auto"/>
                <w:right w:val="none" w:sz="0" w:space="0" w:color="auto"/>
              </w:divBdr>
            </w:div>
            <w:div w:id="596444796">
              <w:marLeft w:val="0"/>
              <w:marRight w:val="0"/>
              <w:marTop w:val="270"/>
              <w:marBottom w:val="0"/>
              <w:divBdr>
                <w:top w:val="none" w:sz="0" w:space="0" w:color="auto"/>
                <w:left w:val="none" w:sz="0" w:space="0" w:color="auto"/>
                <w:bottom w:val="none" w:sz="0" w:space="0" w:color="auto"/>
                <w:right w:val="none" w:sz="0" w:space="0" w:color="auto"/>
              </w:divBdr>
            </w:div>
            <w:div w:id="1302466800">
              <w:marLeft w:val="0"/>
              <w:marRight w:val="0"/>
              <w:marTop w:val="0"/>
              <w:marBottom w:val="270"/>
              <w:divBdr>
                <w:top w:val="none" w:sz="0" w:space="0" w:color="auto"/>
                <w:left w:val="none" w:sz="0" w:space="0" w:color="auto"/>
                <w:bottom w:val="none" w:sz="0" w:space="0" w:color="auto"/>
                <w:right w:val="none" w:sz="0" w:space="0" w:color="auto"/>
              </w:divBdr>
            </w:div>
            <w:div w:id="1247229544">
              <w:marLeft w:val="0"/>
              <w:marRight w:val="0"/>
              <w:marTop w:val="270"/>
              <w:marBottom w:val="0"/>
              <w:divBdr>
                <w:top w:val="none" w:sz="0" w:space="0" w:color="auto"/>
                <w:left w:val="none" w:sz="0" w:space="0" w:color="auto"/>
                <w:bottom w:val="none" w:sz="0" w:space="0" w:color="auto"/>
                <w:right w:val="none" w:sz="0" w:space="0" w:color="auto"/>
              </w:divBdr>
            </w:div>
            <w:div w:id="1308973669">
              <w:marLeft w:val="0"/>
              <w:marRight w:val="0"/>
              <w:marTop w:val="0"/>
              <w:marBottom w:val="270"/>
              <w:divBdr>
                <w:top w:val="none" w:sz="0" w:space="0" w:color="auto"/>
                <w:left w:val="none" w:sz="0" w:space="0" w:color="auto"/>
                <w:bottom w:val="none" w:sz="0" w:space="0" w:color="auto"/>
                <w:right w:val="none" w:sz="0" w:space="0" w:color="auto"/>
              </w:divBdr>
            </w:div>
            <w:div w:id="2116945235">
              <w:marLeft w:val="0"/>
              <w:marRight w:val="0"/>
              <w:marTop w:val="270"/>
              <w:marBottom w:val="0"/>
              <w:divBdr>
                <w:top w:val="none" w:sz="0" w:space="0" w:color="auto"/>
                <w:left w:val="none" w:sz="0" w:space="0" w:color="auto"/>
                <w:bottom w:val="none" w:sz="0" w:space="0" w:color="auto"/>
                <w:right w:val="none" w:sz="0" w:space="0" w:color="auto"/>
              </w:divBdr>
            </w:div>
            <w:div w:id="1450005539">
              <w:marLeft w:val="0"/>
              <w:marRight w:val="0"/>
              <w:marTop w:val="0"/>
              <w:marBottom w:val="270"/>
              <w:divBdr>
                <w:top w:val="none" w:sz="0" w:space="0" w:color="auto"/>
                <w:left w:val="none" w:sz="0" w:space="0" w:color="auto"/>
                <w:bottom w:val="none" w:sz="0" w:space="0" w:color="auto"/>
                <w:right w:val="none" w:sz="0" w:space="0" w:color="auto"/>
              </w:divBdr>
            </w:div>
            <w:div w:id="1362826787">
              <w:marLeft w:val="0"/>
              <w:marRight w:val="0"/>
              <w:marTop w:val="270"/>
              <w:marBottom w:val="0"/>
              <w:divBdr>
                <w:top w:val="none" w:sz="0" w:space="0" w:color="auto"/>
                <w:left w:val="none" w:sz="0" w:space="0" w:color="auto"/>
                <w:bottom w:val="none" w:sz="0" w:space="0" w:color="auto"/>
                <w:right w:val="none" w:sz="0" w:space="0" w:color="auto"/>
              </w:divBdr>
            </w:div>
            <w:div w:id="1229805956">
              <w:marLeft w:val="0"/>
              <w:marRight w:val="0"/>
              <w:marTop w:val="0"/>
              <w:marBottom w:val="270"/>
              <w:divBdr>
                <w:top w:val="none" w:sz="0" w:space="0" w:color="auto"/>
                <w:left w:val="none" w:sz="0" w:space="0" w:color="auto"/>
                <w:bottom w:val="none" w:sz="0" w:space="0" w:color="auto"/>
                <w:right w:val="none" w:sz="0" w:space="0" w:color="auto"/>
              </w:divBdr>
            </w:div>
            <w:div w:id="1156268078">
              <w:marLeft w:val="0"/>
              <w:marRight w:val="0"/>
              <w:marTop w:val="270"/>
              <w:marBottom w:val="0"/>
              <w:divBdr>
                <w:top w:val="none" w:sz="0" w:space="0" w:color="auto"/>
                <w:left w:val="none" w:sz="0" w:space="0" w:color="auto"/>
                <w:bottom w:val="none" w:sz="0" w:space="0" w:color="auto"/>
                <w:right w:val="none" w:sz="0" w:space="0" w:color="auto"/>
              </w:divBdr>
            </w:div>
            <w:div w:id="1149396331">
              <w:marLeft w:val="0"/>
              <w:marRight w:val="0"/>
              <w:marTop w:val="0"/>
              <w:marBottom w:val="270"/>
              <w:divBdr>
                <w:top w:val="none" w:sz="0" w:space="0" w:color="auto"/>
                <w:left w:val="none" w:sz="0" w:space="0" w:color="auto"/>
                <w:bottom w:val="none" w:sz="0" w:space="0" w:color="auto"/>
                <w:right w:val="none" w:sz="0" w:space="0" w:color="auto"/>
              </w:divBdr>
            </w:div>
            <w:div w:id="1622571621">
              <w:marLeft w:val="0"/>
              <w:marRight w:val="0"/>
              <w:marTop w:val="270"/>
              <w:marBottom w:val="0"/>
              <w:divBdr>
                <w:top w:val="none" w:sz="0" w:space="0" w:color="auto"/>
                <w:left w:val="none" w:sz="0" w:space="0" w:color="auto"/>
                <w:bottom w:val="none" w:sz="0" w:space="0" w:color="auto"/>
                <w:right w:val="none" w:sz="0" w:space="0" w:color="auto"/>
              </w:divBdr>
            </w:div>
            <w:div w:id="736632946">
              <w:marLeft w:val="0"/>
              <w:marRight w:val="0"/>
              <w:marTop w:val="0"/>
              <w:marBottom w:val="270"/>
              <w:divBdr>
                <w:top w:val="none" w:sz="0" w:space="0" w:color="auto"/>
                <w:left w:val="none" w:sz="0" w:space="0" w:color="auto"/>
                <w:bottom w:val="none" w:sz="0" w:space="0" w:color="auto"/>
                <w:right w:val="none" w:sz="0" w:space="0" w:color="auto"/>
              </w:divBdr>
            </w:div>
            <w:div w:id="1447848952">
              <w:marLeft w:val="0"/>
              <w:marRight w:val="0"/>
              <w:marTop w:val="270"/>
              <w:marBottom w:val="0"/>
              <w:divBdr>
                <w:top w:val="none" w:sz="0" w:space="0" w:color="auto"/>
                <w:left w:val="none" w:sz="0" w:space="0" w:color="auto"/>
                <w:bottom w:val="none" w:sz="0" w:space="0" w:color="auto"/>
                <w:right w:val="none" w:sz="0" w:space="0" w:color="auto"/>
              </w:divBdr>
            </w:div>
            <w:div w:id="1604603606">
              <w:marLeft w:val="0"/>
              <w:marRight w:val="0"/>
              <w:marTop w:val="0"/>
              <w:marBottom w:val="270"/>
              <w:divBdr>
                <w:top w:val="none" w:sz="0" w:space="0" w:color="auto"/>
                <w:left w:val="none" w:sz="0" w:space="0" w:color="auto"/>
                <w:bottom w:val="none" w:sz="0" w:space="0" w:color="auto"/>
                <w:right w:val="none" w:sz="0" w:space="0" w:color="auto"/>
              </w:divBdr>
              <w:divsChild>
                <w:div w:id="734083330">
                  <w:marLeft w:val="0"/>
                  <w:marRight w:val="0"/>
                  <w:marTop w:val="270"/>
                  <w:marBottom w:val="0"/>
                  <w:divBdr>
                    <w:top w:val="none" w:sz="0" w:space="0" w:color="auto"/>
                    <w:left w:val="none" w:sz="0" w:space="0" w:color="auto"/>
                    <w:bottom w:val="none" w:sz="0" w:space="0" w:color="auto"/>
                    <w:right w:val="none" w:sz="0" w:space="0" w:color="auto"/>
                  </w:divBdr>
                </w:div>
                <w:div w:id="419184667">
                  <w:marLeft w:val="0"/>
                  <w:marRight w:val="0"/>
                  <w:marTop w:val="0"/>
                  <w:marBottom w:val="270"/>
                  <w:divBdr>
                    <w:top w:val="none" w:sz="0" w:space="0" w:color="auto"/>
                    <w:left w:val="none" w:sz="0" w:space="0" w:color="auto"/>
                    <w:bottom w:val="none" w:sz="0" w:space="0" w:color="auto"/>
                    <w:right w:val="none" w:sz="0" w:space="0" w:color="auto"/>
                  </w:divBdr>
                </w:div>
              </w:divsChild>
            </w:div>
            <w:div w:id="1176765420">
              <w:marLeft w:val="0"/>
              <w:marRight w:val="0"/>
              <w:marTop w:val="0"/>
              <w:marBottom w:val="120"/>
              <w:divBdr>
                <w:top w:val="none" w:sz="0" w:space="0" w:color="auto"/>
                <w:left w:val="none" w:sz="0" w:space="0" w:color="auto"/>
                <w:bottom w:val="none" w:sz="0" w:space="0" w:color="auto"/>
                <w:right w:val="none" w:sz="0" w:space="0" w:color="auto"/>
              </w:divBdr>
            </w:div>
            <w:div w:id="1967732442">
              <w:marLeft w:val="0"/>
              <w:marRight w:val="0"/>
              <w:marTop w:val="0"/>
              <w:marBottom w:val="120"/>
              <w:divBdr>
                <w:top w:val="none" w:sz="0" w:space="0" w:color="auto"/>
                <w:left w:val="none" w:sz="0" w:space="0" w:color="auto"/>
                <w:bottom w:val="none" w:sz="0" w:space="0" w:color="auto"/>
                <w:right w:val="none" w:sz="0" w:space="0" w:color="auto"/>
              </w:divBdr>
            </w:div>
            <w:div w:id="1432629571">
              <w:marLeft w:val="0"/>
              <w:marRight w:val="0"/>
              <w:marTop w:val="0"/>
              <w:marBottom w:val="120"/>
              <w:divBdr>
                <w:top w:val="none" w:sz="0" w:space="0" w:color="auto"/>
                <w:left w:val="none" w:sz="0" w:space="0" w:color="auto"/>
                <w:bottom w:val="none" w:sz="0" w:space="0" w:color="auto"/>
                <w:right w:val="none" w:sz="0" w:space="0" w:color="auto"/>
              </w:divBdr>
            </w:div>
            <w:div w:id="1606233948">
              <w:marLeft w:val="0"/>
              <w:marRight w:val="0"/>
              <w:marTop w:val="0"/>
              <w:marBottom w:val="120"/>
              <w:divBdr>
                <w:top w:val="none" w:sz="0" w:space="0" w:color="auto"/>
                <w:left w:val="none" w:sz="0" w:space="0" w:color="auto"/>
                <w:bottom w:val="none" w:sz="0" w:space="0" w:color="auto"/>
                <w:right w:val="none" w:sz="0" w:space="0" w:color="auto"/>
              </w:divBdr>
            </w:div>
            <w:div w:id="1793209927">
              <w:marLeft w:val="0"/>
              <w:marRight w:val="0"/>
              <w:marTop w:val="0"/>
              <w:marBottom w:val="120"/>
              <w:divBdr>
                <w:top w:val="none" w:sz="0" w:space="0" w:color="auto"/>
                <w:left w:val="none" w:sz="0" w:space="0" w:color="auto"/>
                <w:bottom w:val="none" w:sz="0" w:space="0" w:color="auto"/>
                <w:right w:val="none" w:sz="0" w:space="0" w:color="auto"/>
              </w:divBdr>
            </w:div>
            <w:div w:id="1451894799">
              <w:marLeft w:val="0"/>
              <w:marRight w:val="0"/>
              <w:marTop w:val="0"/>
              <w:marBottom w:val="120"/>
              <w:divBdr>
                <w:top w:val="none" w:sz="0" w:space="0" w:color="auto"/>
                <w:left w:val="none" w:sz="0" w:space="0" w:color="auto"/>
                <w:bottom w:val="none" w:sz="0" w:space="0" w:color="auto"/>
                <w:right w:val="none" w:sz="0" w:space="0" w:color="auto"/>
              </w:divBdr>
            </w:div>
            <w:div w:id="1260137327">
              <w:marLeft w:val="0"/>
              <w:marRight w:val="0"/>
              <w:marTop w:val="0"/>
              <w:marBottom w:val="120"/>
              <w:divBdr>
                <w:top w:val="none" w:sz="0" w:space="0" w:color="auto"/>
                <w:left w:val="none" w:sz="0" w:space="0" w:color="auto"/>
                <w:bottom w:val="none" w:sz="0" w:space="0" w:color="auto"/>
                <w:right w:val="none" w:sz="0" w:space="0" w:color="auto"/>
              </w:divBdr>
            </w:div>
            <w:div w:id="1368680082">
              <w:marLeft w:val="0"/>
              <w:marRight w:val="0"/>
              <w:marTop w:val="0"/>
              <w:marBottom w:val="120"/>
              <w:divBdr>
                <w:top w:val="none" w:sz="0" w:space="0" w:color="auto"/>
                <w:left w:val="none" w:sz="0" w:space="0" w:color="auto"/>
                <w:bottom w:val="none" w:sz="0" w:space="0" w:color="auto"/>
                <w:right w:val="none" w:sz="0" w:space="0" w:color="auto"/>
              </w:divBdr>
            </w:div>
            <w:div w:id="214589849">
              <w:marLeft w:val="0"/>
              <w:marRight w:val="0"/>
              <w:marTop w:val="0"/>
              <w:marBottom w:val="120"/>
              <w:divBdr>
                <w:top w:val="none" w:sz="0" w:space="0" w:color="auto"/>
                <w:left w:val="none" w:sz="0" w:space="0" w:color="auto"/>
                <w:bottom w:val="none" w:sz="0" w:space="0" w:color="auto"/>
                <w:right w:val="none" w:sz="0" w:space="0" w:color="auto"/>
              </w:divBdr>
            </w:div>
            <w:div w:id="1186285635">
              <w:marLeft w:val="0"/>
              <w:marRight w:val="0"/>
              <w:marTop w:val="0"/>
              <w:marBottom w:val="120"/>
              <w:divBdr>
                <w:top w:val="none" w:sz="0" w:space="0" w:color="auto"/>
                <w:left w:val="none" w:sz="0" w:space="0" w:color="auto"/>
                <w:bottom w:val="none" w:sz="0" w:space="0" w:color="auto"/>
                <w:right w:val="none" w:sz="0" w:space="0" w:color="auto"/>
              </w:divBdr>
            </w:div>
            <w:div w:id="1329792751">
              <w:marLeft w:val="0"/>
              <w:marRight w:val="0"/>
              <w:marTop w:val="0"/>
              <w:marBottom w:val="120"/>
              <w:divBdr>
                <w:top w:val="none" w:sz="0" w:space="0" w:color="auto"/>
                <w:left w:val="none" w:sz="0" w:space="0" w:color="auto"/>
                <w:bottom w:val="none" w:sz="0" w:space="0" w:color="auto"/>
                <w:right w:val="none" w:sz="0" w:space="0" w:color="auto"/>
              </w:divBdr>
            </w:div>
            <w:div w:id="445150990">
              <w:marLeft w:val="0"/>
              <w:marRight w:val="0"/>
              <w:marTop w:val="0"/>
              <w:marBottom w:val="120"/>
              <w:divBdr>
                <w:top w:val="none" w:sz="0" w:space="0" w:color="auto"/>
                <w:left w:val="none" w:sz="0" w:space="0" w:color="auto"/>
                <w:bottom w:val="none" w:sz="0" w:space="0" w:color="auto"/>
                <w:right w:val="none" w:sz="0" w:space="0" w:color="auto"/>
              </w:divBdr>
            </w:div>
            <w:div w:id="2031032179">
              <w:marLeft w:val="0"/>
              <w:marRight w:val="0"/>
              <w:marTop w:val="0"/>
              <w:marBottom w:val="120"/>
              <w:divBdr>
                <w:top w:val="none" w:sz="0" w:space="0" w:color="auto"/>
                <w:left w:val="none" w:sz="0" w:space="0" w:color="auto"/>
                <w:bottom w:val="none" w:sz="0" w:space="0" w:color="auto"/>
                <w:right w:val="none" w:sz="0" w:space="0" w:color="auto"/>
              </w:divBdr>
            </w:div>
            <w:div w:id="899050761">
              <w:marLeft w:val="0"/>
              <w:marRight w:val="0"/>
              <w:marTop w:val="0"/>
              <w:marBottom w:val="120"/>
              <w:divBdr>
                <w:top w:val="none" w:sz="0" w:space="0" w:color="auto"/>
                <w:left w:val="none" w:sz="0" w:space="0" w:color="auto"/>
                <w:bottom w:val="none" w:sz="0" w:space="0" w:color="auto"/>
                <w:right w:val="none" w:sz="0" w:space="0" w:color="auto"/>
              </w:divBdr>
            </w:div>
            <w:div w:id="187067063">
              <w:marLeft w:val="0"/>
              <w:marRight w:val="0"/>
              <w:marTop w:val="0"/>
              <w:marBottom w:val="120"/>
              <w:divBdr>
                <w:top w:val="none" w:sz="0" w:space="0" w:color="auto"/>
                <w:left w:val="none" w:sz="0" w:space="0" w:color="auto"/>
                <w:bottom w:val="none" w:sz="0" w:space="0" w:color="auto"/>
                <w:right w:val="none" w:sz="0" w:space="0" w:color="auto"/>
              </w:divBdr>
            </w:div>
            <w:div w:id="403260220">
              <w:marLeft w:val="0"/>
              <w:marRight w:val="0"/>
              <w:marTop w:val="0"/>
              <w:marBottom w:val="120"/>
              <w:divBdr>
                <w:top w:val="none" w:sz="0" w:space="0" w:color="auto"/>
                <w:left w:val="none" w:sz="0" w:space="0" w:color="auto"/>
                <w:bottom w:val="none" w:sz="0" w:space="0" w:color="auto"/>
                <w:right w:val="none" w:sz="0" w:space="0" w:color="auto"/>
              </w:divBdr>
            </w:div>
            <w:div w:id="1610238496">
              <w:marLeft w:val="0"/>
              <w:marRight w:val="0"/>
              <w:marTop w:val="0"/>
              <w:marBottom w:val="120"/>
              <w:divBdr>
                <w:top w:val="none" w:sz="0" w:space="0" w:color="auto"/>
                <w:left w:val="none" w:sz="0" w:space="0" w:color="auto"/>
                <w:bottom w:val="none" w:sz="0" w:space="0" w:color="auto"/>
                <w:right w:val="none" w:sz="0" w:space="0" w:color="auto"/>
              </w:divBdr>
            </w:div>
            <w:div w:id="1419327014">
              <w:marLeft w:val="0"/>
              <w:marRight w:val="0"/>
              <w:marTop w:val="0"/>
              <w:marBottom w:val="120"/>
              <w:divBdr>
                <w:top w:val="none" w:sz="0" w:space="0" w:color="auto"/>
                <w:left w:val="none" w:sz="0" w:space="0" w:color="auto"/>
                <w:bottom w:val="none" w:sz="0" w:space="0" w:color="auto"/>
                <w:right w:val="none" w:sz="0" w:space="0" w:color="auto"/>
              </w:divBdr>
            </w:div>
            <w:div w:id="1877816710">
              <w:marLeft w:val="0"/>
              <w:marRight w:val="0"/>
              <w:marTop w:val="0"/>
              <w:marBottom w:val="120"/>
              <w:divBdr>
                <w:top w:val="none" w:sz="0" w:space="0" w:color="auto"/>
                <w:left w:val="none" w:sz="0" w:space="0" w:color="auto"/>
                <w:bottom w:val="none" w:sz="0" w:space="0" w:color="auto"/>
                <w:right w:val="none" w:sz="0" w:space="0" w:color="auto"/>
              </w:divBdr>
            </w:div>
            <w:div w:id="1965039418">
              <w:marLeft w:val="0"/>
              <w:marRight w:val="0"/>
              <w:marTop w:val="0"/>
              <w:marBottom w:val="120"/>
              <w:divBdr>
                <w:top w:val="none" w:sz="0" w:space="0" w:color="auto"/>
                <w:left w:val="none" w:sz="0" w:space="0" w:color="auto"/>
                <w:bottom w:val="none" w:sz="0" w:space="0" w:color="auto"/>
                <w:right w:val="none" w:sz="0" w:space="0" w:color="auto"/>
              </w:divBdr>
            </w:div>
            <w:div w:id="169297373">
              <w:marLeft w:val="0"/>
              <w:marRight w:val="0"/>
              <w:marTop w:val="0"/>
              <w:marBottom w:val="120"/>
              <w:divBdr>
                <w:top w:val="none" w:sz="0" w:space="0" w:color="auto"/>
                <w:left w:val="none" w:sz="0" w:space="0" w:color="auto"/>
                <w:bottom w:val="none" w:sz="0" w:space="0" w:color="auto"/>
                <w:right w:val="none" w:sz="0" w:space="0" w:color="auto"/>
              </w:divBdr>
            </w:div>
            <w:div w:id="1044062260">
              <w:marLeft w:val="0"/>
              <w:marRight w:val="0"/>
              <w:marTop w:val="0"/>
              <w:marBottom w:val="120"/>
              <w:divBdr>
                <w:top w:val="none" w:sz="0" w:space="0" w:color="auto"/>
                <w:left w:val="none" w:sz="0" w:space="0" w:color="auto"/>
                <w:bottom w:val="none" w:sz="0" w:space="0" w:color="auto"/>
                <w:right w:val="none" w:sz="0" w:space="0" w:color="auto"/>
              </w:divBdr>
            </w:div>
            <w:div w:id="1883782445">
              <w:marLeft w:val="0"/>
              <w:marRight w:val="0"/>
              <w:marTop w:val="0"/>
              <w:marBottom w:val="120"/>
              <w:divBdr>
                <w:top w:val="none" w:sz="0" w:space="0" w:color="auto"/>
                <w:left w:val="none" w:sz="0" w:space="0" w:color="auto"/>
                <w:bottom w:val="none" w:sz="0" w:space="0" w:color="auto"/>
                <w:right w:val="none" w:sz="0" w:space="0" w:color="auto"/>
              </w:divBdr>
            </w:div>
            <w:div w:id="13653745">
              <w:marLeft w:val="0"/>
              <w:marRight w:val="0"/>
              <w:marTop w:val="0"/>
              <w:marBottom w:val="120"/>
              <w:divBdr>
                <w:top w:val="none" w:sz="0" w:space="0" w:color="auto"/>
                <w:left w:val="none" w:sz="0" w:space="0" w:color="auto"/>
                <w:bottom w:val="none" w:sz="0" w:space="0" w:color="auto"/>
                <w:right w:val="none" w:sz="0" w:space="0" w:color="auto"/>
              </w:divBdr>
            </w:div>
            <w:div w:id="249238851">
              <w:marLeft w:val="0"/>
              <w:marRight w:val="0"/>
              <w:marTop w:val="0"/>
              <w:marBottom w:val="120"/>
              <w:divBdr>
                <w:top w:val="none" w:sz="0" w:space="0" w:color="auto"/>
                <w:left w:val="none" w:sz="0" w:space="0" w:color="auto"/>
                <w:bottom w:val="none" w:sz="0" w:space="0" w:color="auto"/>
                <w:right w:val="none" w:sz="0" w:space="0" w:color="auto"/>
              </w:divBdr>
            </w:div>
            <w:div w:id="1093093539">
              <w:marLeft w:val="0"/>
              <w:marRight w:val="0"/>
              <w:marTop w:val="0"/>
              <w:marBottom w:val="120"/>
              <w:divBdr>
                <w:top w:val="none" w:sz="0" w:space="0" w:color="auto"/>
                <w:left w:val="none" w:sz="0" w:space="0" w:color="auto"/>
                <w:bottom w:val="none" w:sz="0" w:space="0" w:color="auto"/>
                <w:right w:val="none" w:sz="0" w:space="0" w:color="auto"/>
              </w:divBdr>
            </w:div>
            <w:div w:id="1137455505">
              <w:marLeft w:val="0"/>
              <w:marRight w:val="0"/>
              <w:marTop w:val="0"/>
              <w:marBottom w:val="120"/>
              <w:divBdr>
                <w:top w:val="none" w:sz="0" w:space="0" w:color="auto"/>
                <w:left w:val="none" w:sz="0" w:space="0" w:color="auto"/>
                <w:bottom w:val="none" w:sz="0" w:space="0" w:color="auto"/>
                <w:right w:val="none" w:sz="0" w:space="0" w:color="auto"/>
              </w:divBdr>
            </w:div>
            <w:div w:id="723142269">
              <w:marLeft w:val="0"/>
              <w:marRight w:val="0"/>
              <w:marTop w:val="0"/>
              <w:marBottom w:val="120"/>
              <w:divBdr>
                <w:top w:val="none" w:sz="0" w:space="0" w:color="auto"/>
                <w:left w:val="none" w:sz="0" w:space="0" w:color="auto"/>
                <w:bottom w:val="none" w:sz="0" w:space="0" w:color="auto"/>
                <w:right w:val="none" w:sz="0" w:space="0" w:color="auto"/>
              </w:divBdr>
            </w:div>
            <w:div w:id="955254492">
              <w:marLeft w:val="0"/>
              <w:marRight w:val="0"/>
              <w:marTop w:val="0"/>
              <w:marBottom w:val="120"/>
              <w:divBdr>
                <w:top w:val="none" w:sz="0" w:space="0" w:color="auto"/>
                <w:left w:val="none" w:sz="0" w:space="0" w:color="auto"/>
                <w:bottom w:val="none" w:sz="0" w:space="0" w:color="auto"/>
                <w:right w:val="none" w:sz="0" w:space="0" w:color="auto"/>
              </w:divBdr>
            </w:div>
            <w:div w:id="534274644">
              <w:marLeft w:val="0"/>
              <w:marRight w:val="0"/>
              <w:marTop w:val="0"/>
              <w:marBottom w:val="120"/>
              <w:divBdr>
                <w:top w:val="none" w:sz="0" w:space="0" w:color="auto"/>
                <w:left w:val="none" w:sz="0" w:space="0" w:color="auto"/>
                <w:bottom w:val="none" w:sz="0" w:space="0" w:color="auto"/>
                <w:right w:val="none" w:sz="0" w:space="0" w:color="auto"/>
              </w:divBdr>
            </w:div>
            <w:div w:id="1237589344">
              <w:marLeft w:val="0"/>
              <w:marRight w:val="0"/>
              <w:marTop w:val="0"/>
              <w:marBottom w:val="120"/>
              <w:divBdr>
                <w:top w:val="none" w:sz="0" w:space="0" w:color="auto"/>
                <w:left w:val="none" w:sz="0" w:space="0" w:color="auto"/>
                <w:bottom w:val="none" w:sz="0" w:space="0" w:color="auto"/>
                <w:right w:val="none" w:sz="0" w:space="0" w:color="auto"/>
              </w:divBdr>
            </w:div>
            <w:div w:id="1984692615">
              <w:marLeft w:val="0"/>
              <w:marRight w:val="0"/>
              <w:marTop w:val="0"/>
              <w:marBottom w:val="120"/>
              <w:divBdr>
                <w:top w:val="none" w:sz="0" w:space="0" w:color="auto"/>
                <w:left w:val="none" w:sz="0" w:space="0" w:color="auto"/>
                <w:bottom w:val="none" w:sz="0" w:space="0" w:color="auto"/>
                <w:right w:val="none" w:sz="0" w:space="0" w:color="auto"/>
              </w:divBdr>
            </w:div>
            <w:div w:id="787168379">
              <w:marLeft w:val="0"/>
              <w:marRight w:val="0"/>
              <w:marTop w:val="0"/>
              <w:marBottom w:val="120"/>
              <w:divBdr>
                <w:top w:val="none" w:sz="0" w:space="0" w:color="auto"/>
                <w:left w:val="none" w:sz="0" w:space="0" w:color="auto"/>
                <w:bottom w:val="none" w:sz="0" w:space="0" w:color="auto"/>
                <w:right w:val="none" w:sz="0" w:space="0" w:color="auto"/>
              </w:divBdr>
            </w:div>
            <w:div w:id="1669824467">
              <w:marLeft w:val="0"/>
              <w:marRight w:val="0"/>
              <w:marTop w:val="0"/>
              <w:marBottom w:val="120"/>
              <w:divBdr>
                <w:top w:val="none" w:sz="0" w:space="0" w:color="auto"/>
                <w:left w:val="none" w:sz="0" w:space="0" w:color="auto"/>
                <w:bottom w:val="none" w:sz="0" w:space="0" w:color="auto"/>
                <w:right w:val="none" w:sz="0" w:space="0" w:color="auto"/>
              </w:divBdr>
            </w:div>
            <w:div w:id="2136751674">
              <w:marLeft w:val="0"/>
              <w:marRight w:val="0"/>
              <w:marTop w:val="0"/>
              <w:marBottom w:val="120"/>
              <w:divBdr>
                <w:top w:val="none" w:sz="0" w:space="0" w:color="auto"/>
                <w:left w:val="none" w:sz="0" w:space="0" w:color="auto"/>
                <w:bottom w:val="none" w:sz="0" w:space="0" w:color="auto"/>
                <w:right w:val="none" w:sz="0" w:space="0" w:color="auto"/>
              </w:divBdr>
            </w:div>
            <w:div w:id="1454448108">
              <w:marLeft w:val="0"/>
              <w:marRight w:val="0"/>
              <w:marTop w:val="0"/>
              <w:marBottom w:val="120"/>
              <w:divBdr>
                <w:top w:val="none" w:sz="0" w:space="0" w:color="auto"/>
                <w:left w:val="none" w:sz="0" w:space="0" w:color="auto"/>
                <w:bottom w:val="none" w:sz="0" w:space="0" w:color="auto"/>
                <w:right w:val="none" w:sz="0" w:space="0" w:color="auto"/>
              </w:divBdr>
            </w:div>
            <w:div w:id="1780488935">
              <w:marLeft w:val="0"/>
              <w:marRight w:val="0"/>
              <w:marTop w:val="0"/>
              <w:marBottom w:val="120"/>
              <w:divBdr>
                <w:top w:val="none" w:sz="0" w:space="0" w:color="auto"/>
                <w:left w:val="none" w:sz="0" w:space="0" w:color="auto"/>
                <w:bottom w:val="none" w:sz="0" w:space="0" w:color="auto"/>
                <w:right w:val="none" w:sz="0" w:space="0" w:color="auto"/>
              </w:divBdr>
            </w:div>
            <w:div w:id="371274849">
              <w:marLeft w:val="0"/>
              <w:marRight w:val="0"/>
              <w:marTop w:val="0"/>
              <w:marBottom w:val="120"/>
              <w:divBdr>
                <w:top w:val="none" w:sz="0" w:space="0" w:color="auto"/>
                <w:left w:val="none" w:sz="0" w:space="0" w:color="auto"/>
                <w:bottom w:val="none" w:sz="0" w:space="0" w:color="auto"/>
                <w:right w:val="none" w:sz="0" w:space="0" w:color="auto"/>
              </w:divBdr>
            </w:div>
            <w:div w:id="1924800036">
              <w:marLeft w:val="0"/>
              <w:marRight w:val="0"/>
              <w:marTop w:val="0"/>
              <w:marBottom w:val="120"/>
              <w:divBdr>
                <w:top w:val="none" w:sz="0" w:space="0" w:color="auto"/>
                <w:left w:val="none" w:sz="0" w:space="0" w:color="auto"/>
                <w:bottom w:val="none" w:sz="0" w:space="0" w:color="auto"/>
                <w:right w:val="none" w:sz="0" w:space="0" w:color="auto"/>
              </w:divBdr>
            </w:div>
            <w:div w:id="1564833970">
              <w:marLeft w:val="0"/>
              <w:marRight w:val="0"/>
              <w:marTop w:val="0"/>
              <w:marBottom w:val="120"/>
              <w:divBdr>
                <w:top w:val="none" w:sz="0" w:space="0" w:color="auto"/>
                <w:left w:val="none" w:sz="0" w:space="0" w:color="auto"/>
                <w:bottom w:val="none" w:sz="0" w:space="0" w:color="auto"/>
                <w:right w:val="none" w:sz="0" w:space="0" w:color="auto"/>
              </w:divBdr>
            </w:div>
            <w:div w:id="1863081767">
              <w:marLeft w:val="0"/>
              <w:marRight w:val="0"/>
              <w:marTop w:val="0"/>
              <w:marBottom w:val="120"/>
              <w:divBdr>
                <w:top w:val="none" w:sz="0" w:space="0" w:color="auto"/>
                <w:left w:val="none" w:sz="0" w:space="0" w:color="auto"/>
                <w:bottom w:val="none" w:sz="0" w:space="0" w:color="auto"/>
                <w:right w:val="none" w:sz="0" w:space="0" w:color="auto"/>
              </w:divBdr>
            </w:div>
            <w:div w:id="2098137654">
              <w:marLeft w:val="0"/>
              <w:marRight w:val="0"/>
              <w:marTop w:val="0"/>
              <w:marBottom w:val="120"/>
              <w:divBdr>
                <w:top w:val="none" w:sz="0" w:space="0" w:color="auto"/>
                <w:left w:val="none" w:sz="0" w:space="0" w:color="auto"/>
                <w:bottom w:val="none" w:sz="0" w:space="0" w:color="auto"/>
                <w:right w:val="none" w:sz="0" w:space="0" w:color="auto"/>
              </w:divBdr>
            </w:div>
            <w:div w:id="1397123337">
              <w:marLeft w:val="0"/>
              <w:marRight w:val="0"/>
              <w:marTop w:val="0"/>
              <w:marBottom w:val="120"/>
              <w:divBdr>
                <w:top w:val="none" w:sz="0" w:space="0" w:color="auto"/>
                <w:left w:val="none" w:sz="0" w:space="0" w:color="auto"/>
                <w:bottom w:val="none" w:sz="0" w:space="0" w:color="auto"/>
                <w:right w:val="none" w:sz="0" w:space="0" w:color="auto"/>
              </w:divBdr>
            </w:div>
            <w:div w:id="697392141">
              <w:marLeft w:val="0"/>
              <w:marRight w:val="0"/>
              <w:marTop w:val="0"/>
              <w:marBottom w:val="120"/>
              <w:divBdr>
                <w:top w:val="none" w:sz="0" w:space="0" w:color="auto"/>
                <w:left w:val="none" w:sz="0" w:space="0" w:color="auto"/>
                <w:bottom w:val="none" w:sz="0" w:space="0" w:color="auto"/>
                <w:right w:val="none" w:sz="0" w:space="0" w:color="auto"/>
              </w:divBdr>
            </w:div>
            <w:div w:id="2010206860">
              <w:marLeft w:val="0"/>
              <w:marRight w:val="0"/>
              <w:marTop w:val="0"/>
              <w:marBottom w:val="120"/>
              <w:divBdr>
                <w:top w:val="none" w:sz="0" w:space="0" w:color="auto"/>
                <w:left w:val="none" w:sz="0" w:space="0" w:color="auto"/>
                <w:bottom w:val="none" w:sz="0" w:space="0" w:color="auto"/>
                <w:right w:val="none" w:sz="0" w:space="0" w:color="auto"/>
              </w:divBdr>
            </w:div>
            <w:div w:id="1880125133">
              <w:marLeft w:val="0"/>
              <w:marRight w:val="0"/>
              <w:marTop w:val="0"/>
              <w:marBottom w:val="120"/>
              <w:divBdr>
                <w:top w:val="none" w:sz="0" w:space="0" w:color="auto"/>
                <w:left w:val="none" w:sz="0" w:space="0" w:color="auto"/>
                <w:bottom w:val="none" w:sz="0" w:space="0" w:color="auto"/>
                <w:right w:val="none" w:sz="0" w:space="0" w:color="auto"/>
              </w:divBdr>
            </w:div>
            <w:div w:id="1449466258">
              <w:marLeft w:val="0"/>
              <w:marRight w:val="0"/>
              <w:marTop w:val="0"/>
              <w:marBottom w:val="120"/>
              <w:divBdr>
                <w:top w:val="none" w:sz="0" w:space="0" w:color="auto"/>
                <w:left w:val="none" w:sz="0" w:space="0" w:color="auto"/>
                <w:bottom w:val="none" w:sz="0" w:space="0" w:color="auto"/>
                <w:right w:val="none" w:sz="0" w:space="0" w:color="auto"/>
              </w:divBdr>
            </w:div>
            <w:div w:id="361781369">
              <w:marLeft w:val="0"/>
              <w:marRight w:val="0"/>
              <w:marTop w:val="0"/>
              <w:marBottom w:val="120"/>
              <w:divBdr>
                <w:top w:val="none" w:sz="0" w:space="0" w:color="auto"/>
                <w:left w:val="none" w:sz="0" w:space="0" w:color="auto"/>
                <w:bottom w:val="none" w:sz="0" w:space="0" w:color="auto"/>
                <w:right w:val="none" w:sz="0" w:space="0" w:color="auto"/>
              </w:divBdr>
            </w:div>
            <w:div w:id="959065819">
              <w:marLeft w:val="0"/>
              <w:marRight w:val="0"/>
              <w:marTop w:val="0"/>
              <w:marBottom w:val="120"/>
              <w:divBdr>
                <w:top w:val="none" w:sz="0" w:space="0" w:color="auto"/>
                <w:left w:val="none" w:sz="0" w:space="0" w:color="auto"/>
                <w:bottom w:val="none" w:sz="0" w:space="0" w:color="auto"/>
                <w:right w:val="none" w:sz="0" w:space="0" w:color="auto"/>
              </w:divBdr>
            </w:div>
            <w:div w:id="676806363">
              <w:marLeft w:val="0"/>
              <w:marRight w:val="0"/>
              <w:marTop w:val="0"/>
              <w:marBottom w:val="120"/>
              <w:divBdr>
                <w:top w:val="none" w:sz="0" w:space="0" w:color="auto"/>
                <w:left w:val="none" w:sz="0" w:space="0" w:color="auto"/>
                <w:bottom w:val="none" w:sz="0" w:space="0" w:color="auto"/>
                <w:right w:val="none" w:sz="0" w:space="0" w:color="auto"/>
              </w:divBdr>
            </w:div>
            <w:div w:id="22439512">
              <w:marLeft w:val="0"/>
              <w:marRight w:val="0"/>
              <w:marTop w:val="0"/>
              <w:marBottom w:val="120"/>
              <w:divBdr>
                <w:top w:val="none" w:sz="0" w:space="0" w:color="auto"/>
                <w:left w:val="none" w:sz="0" w:space="0" w:color="auto"/>
                <w:bottom w:val="none" w:sz="0" w:space="0" w:color="auto"/>
                <w:right w:val="none" w:sz="0" w:space="0" w:color="auto"/>
              </w:divBdr>
            </w:div>
            <w:div w:id="1807700038">
              <w:marLeft w:val="0"/>
              <w:marRight w:val="0"/>
              <w:marTop w:val="0"/>
              <w:marBottom w:val="120"/>
              <w:divBdr>
                <w:top w:val="none" w:sz="0" w:space="0" w:color="auto"/>
                <w:left w:val="none" w:sz="0" w:space="0" w:color="auto"/>
                <w:bottom w:val="none" w:sz="0" w:space="0" w:color="auto"/>
                <w:right w:val="none" w:sz="0" w:space="0" w:color="auto"/>
              </w:divBdr>
            </w:div>
            <w:div w:id="610935007">
              <w:marLeft w:val="0"/>
              <w:marRight w:val="0"/>
              <w:marTop w:val="0"/>
              <w:marBottom w:val="120"/>
              <w:divBdr>
                <w:top w:val="none" w:sz="0" w:space="0" w:color="auto"/>
                <w:left w:val="none" w:sz="0" w:space="0" w:color="auto"/>
                <w:bottom w:val="none" w:sz="0" w:space="0" w:color="auto"/>
                <w:right w:val="none" w:sz="0" w:space="0" w:color="auto"/>
              </w:divBdr>
            </w:div>
            <w:div w:id="435908347">
              <w:marLeft w:val="0"/>
              <w:marRight w:val="0"/>
              <w:marTop w:val="0"/>
              <w:marBottom w:val="120"/>
              <w:divBdr>
                <w:top w:val="none" w:sz="0" w:space="0" w:color="auto"/>
                <w:left w:val="none" w:sz="0" w:space="0" w:color="auto"/>
                <w:bottom w:val="none" w:sz="0" w:space="0" w:color="auto"/>
                <w:right w:val="none" w:sz="0" w:space="0" w:color="auto"/>
              </w:divBdr>
            </w:div>
            <w:div w:id="999692351">
              <w:marLeft w:val="0"/>
              <w:marRight w:val="0"/>
              <w:marTop w:val="0"/>
              <w:marBottom w:val="120"/>
              <w:divBdr>
                <w:top w:val="none" w:sz="0" w:space="0" w:color="auto"/>
                <w:left w:val="none" w:sz="0" w:space="0" w:color="auto"/>
                <w:bottom w:val="none" w:sz="0" w:space="0" w:color="auto"/>
                <w:right w:val="none" w:sz="0" w:space="0" w:color="auto"/>
              </w:divBdr>
            </w:div>
            <w:div w:id="994799815">
              <w:marLeft w:val="0"/>
              <w:marRight w:val="0"/>
              <w:marTop w:val="0"/>
              <w:marBottom w:val="120"/>
              <w:divBdr>
                <w:top w:val="none" w:sz="0" w:space="0" w:color="auto"/>
                <w:left w:val="none" w:sz="0" w:space="0" w:color="auto"/>
                <w:bottom w:val="none" w:sz="0" w:space="0" w:color="auto"/>
                <w:right w:val="none" w:sz="0" w:space="0" w:color="auto"/>
              </w:divBdr>
            </w:div>
            <w:div w:id="491800637">
              <w:marLeft w:val="0"/>
              <w:marRight w:val="0"/>
              <w:marTop w:val="0"/>
              <w:marBottom w:val="120"/>
              <w:divBdr>
                <w:top w:val="none" w:sz="0" w:space="0" w:color="auto"/>
                <w:left w:val="none" w:sz="0" w:space="0" w:color="auto"/>
                <w:bottom w:val="none" w:sz="0" w:space="0" w:color="auto"/>
                <w:right w:val="none" w:sz="0" w:space="0" w:color="auto"/>
              </w:divBdr>
            </w:div>
            <w:div w:id="1754430709">
              <w:marLeft w:val="0"/>
              <w:marRight w:val="0"/>
              <w:marTop w:val="0"/>
              <w:marBottom w:val="120"/>
              <w:divBdr>
                <w:top w:val="none" w:sz="0" w:space="0" w:color="auto"/>
                <w:left w:val="none" w:sz="0" w:space="0" w:color="auto"/>
                <w:bottom w:val="none" w:sz="0" w:space="0" w:color="auto"/>
                <w:right w:val="none" w:sz="0" w:space="0" w:color="auto"/>
              </w:divBdr>
            </w:div>
            <w:div w:id="1920937943">
              <w:marLeft w:val="0"/>
              <w:marRight w:val="0"/>
              <w:marTop w:val="0"/>
              <w:marBottom w:val="120"/>
              <w:divBdr>
                <w:top w:val="none" w:sz="0" w:space="0" w:color="auto"/>
                <w:left w:val="none" w:sz="0" w:space="0" w:color="auto"/>
                <w:bottom w:val="none" w:sz="0" w:space="0" w:color="auto"/>
                <w:right w:val="none" w:sz="0" w:space="0" w:color="auto"/>
              </w:divBdr>
            </w:div>
            <w:div w:id="1582107336">
              <w:marLeft w:val="0"/>
              <w:marRight w:val="0"/>
              <w:marTop w:val="0"/>
              <w:marBottom w:val="120"/>
              <w:divBdr>
                <w:top w:val="none" w:sz="0" w:space="0" w:color="auto"/>
                <w:left w:val="none" w:sz="0" w:space="0" w:color="auto"/>
                <w:bottom w:val="none" w:sz="0" w:space="0" w:color="auto"/>
                <w:right w:val="none" w:sz="0" w:space="0" w:color="auto"/>
              </w:divBdr>
            </w:div>
            <w:div w:id="399713162">
              <w:marLeft w:val="0"/>
              <w:marRight w:val="0"/>
              <w:marTop w:val="0"/>
              <w:marBottom w:val="120"/>
              <w:divBdr>
                <w:top w:val="none" w:sz="0" w:space="0" w:color="auto"/>
                <w:left w:val="none" w:sz="0" w:space="0" w:color="auto"/>
                <w:bottom w:val="none" w:sz="0" w:space="0" w:color="auto"/>
                <w:right w:val="none" w:sz="0" w:space="0" w:color="auto"/>
              </w:divBdr>
            </w:div>
            <w:div w:id="41439936">
              <w:marLeft w:val="0"/>
              <w:marRight w:val="0"/>
              <w:marTop w:val="0"/>
              <w:marBottom w:val="120"/>
              <w:divBdr>
                <w:top w:val="none" w:sz="0" w:space="0" w:color="auto"/>
                <w:left w:val="none" w:sz="0" w:space="0" w:color="auto"/>
                <w:bottom w:val="none" w:sz="0" w:space="0" w:color="auto"/>
                <w:right w:val="none" w:sz="0" w:space="0" w:color="auto"/>
              </w:divBdr>
            </w:div>
            <w:div w:id="596334235">
              <w:marLeft w:val="0"/>
              <w:marRight w:val="0"/>
              <w:marTop w:val="0"/>
              <w:marBottom w:val="120"/>
              <w:divBdr>
                <w:top w:val="none" w:sz="0" w:space="0" w:color="auto"/>
                <w:left w:val="none" w:sz="0" w:space="0" w:color="auto"/>
                <w:bottom w:val="none" w:sz="0" w:space="0" w:color="auto"/>
                <w:right w:val="none" w:sz="0" w:space="0" w:color="auto"/>
              </w:divBdr>
            </w:div>
            <w:div w:id="446967456">
              <w:marLeft w:val="0"/>
              <w:marRight w:val="0"/>
              <w:marTop w:val="0"/>
              <w:marBottom w:val="120"/>
              <w:divBdr>
                <w:top w:val="none" w:sz="0" w:space="0" w:color="auto"/>
                <w:left w:val="none" w:sz="0" w:space="0" w:color="auto"/>
                <w:bottom w:val="none" w:sz="0" w:space="0" w:color="auto"/>
                <w:right w:val="none" w:sz="0" w:space="0" w:color="auto"/>
              </w:divBdr>
            </w:div>
            <w:div w:id="1488284885">
              <w:marLeft w:val="0"/>
              <w:marRight w:val="0"/>
              <w:marTop w:val="0"/>
              <w:marBottom w:val="120"/>
              <w:divBdr>
                <w:top w:val="none" w:sz="0" w:space="0" w:color="auto"/>
                <w:left w:val="none" w:sz="0" w:space="0" w:color="auto"/>
                <w:bottom w:val="none" w:sz="0" w:space="0" w:color="auto"/>
                <w:right w:val="none" w:sz="0" w:space="0" w:color="auto"/>
              </w:divBdr>
            </w:div>
            <w:div w:id="1455102469">
              <w:marLeft w:val="0"/>
              <w:marRight w:val="0"/>
              <w:marTop w:val="0"/>
              <w:marBottom w:val="120"/>
              <w:divBdr>
                <w:top w:val="none" w:sz="0" w:space="0" w:color="auto"/>
                <w:left w:val="none" w:sz="0" w:space="0" w:color="auto"/>
                <w:bottom w:val="none" w:sz="0" w:space="0" w:color="auto"/>
                <w:right w:val="none" w:sz="0" w:space="0" w:color="auto"/>
              </w:divBdr>
            </w:div>
            <w:div w:id="1344093467">
              <w:marLeft w:val="0"/>
              <w:marRight w:val="0"/>
              <w:marTop w:val="0"/>
              <w:marBottom w:val="120"/>
              <w:divBdr>
                <w:top w:val="none" w:sz="0" w:space="0" w:color="auto"/>
                <w:left w:val="none" w:sz="0" w:space="0" w:color="auto"/>
                <w:bottom w:val="none" w:sz="0" w:space="0" w:color="auto"/>
                <w:right w:val="none" w:sz="0" w:space="0" w:color="auto"/>
              </w:divBdr>
            </w:div>
            <w:div w:id="1563640169">
              <w:marLeft w:val="0"/>
              <w:marRight w:val="0"/>
              <w:marTop w:val="0"/>
              <w:marBottom w:val="120"/>
              <w:divBdr>
                <w:top w:val="none" w:sz="0" w:space="0" w:color="auto"/>
                <w:left w:val="none" w:sz="0" w:space="0" w:color="auto"/>
                <w:bottom w:val="none" w:sz="0" w:space="0" w:color="auto"/>
                <w:right w:val="none" w:sz="0" w:space="0" w:color="auto"/>
              </w:divBdr>
            </w:div>
            <w:div w:id="2050373613">
              <w:marLeft w:val="0"/>
              <w:marRight w:val="0"/>
              <w:marTop w:val="0"/>
              <w:marBottom w:val="120"/>
              <w:divBdr>
                <w:top w:val="none" w:sz="0" w:space="0" w:color="auto"/>
                <w:left w:val="none" w:sz="0" w:space="0" w:color="auto"/>
                <w:bottom w:val="none" w:sz="0" w:space="0" w:color="auto"/>
                <w:right w:val="none" w:sz="0" w:space="0" w:color="auto"/>
              </w:divBdr>
            </w:div>
            <w:div w:id="695424334">
              <w:marLeft w:val="0"/>
              <w:marRight w:val="0"/>
              <w:marTop w:val="0"/>
              <w:marBottom w:val="120"/>
              <w:divBdr>
                <w:top w:val="none" w:sz="0" w:space="0" w:color="auto"/>
                <w:left w:val="none" w:sz="0" w:space="0" w:color="auto"/>
                <w:bottom w:val="none" w:sz="0" w:space="0" w:color="auto"/>
                <w:right w:val="none" w:sz="0" w:space="0" w:color="auto"/>
              </w:divBdr>
            </w:div>
            <w:div w:id="1061906730">
              <w:marLeft w:val="0"/>
              <w:marRight w:val="0"/>
              <w:marTop w:val="0"/>
              <w:marBottom w:val="120"/>
              <w:divBdr>
                <w:top w:val="none" w:sz="0" w:space="0" w:color="auto"/>
                <w:left w:val="none" w:sz="0" w:space="0" w:color="auto"/>
                <w:bottom w:val="none" w:sz="0" w:space="0" w:color="auto"/>
                <w:right w:val="none" w:sz="0" w:space="0" w:color="auto"/>
              </w:divBdr>
            </w:div>
            <w:div w:id="338969810">
              <w:marLeft w:val="0"/>
              <w:marRight w:val="0"/>
              <w:marTop w:val="0"/>
              <w:marBottom w:val="120"/>
              <w:divBdr>
                <w:top w:val="none" w:sz="0" w:space="0" w:color="auto"/>
                <w:left w:val="none" w:sz="0" w:space="0" w:color="auto"/>
                <w:bottom w:val="none" w:sz="0" w:space="0" w:color="auto"/>
                <w:right w:val="none" w:sz="0" w:space="0" w:color="auto"/>
              </w:divBdr>
            </w:div>
            <w:div w:id="915164568">
              <w:marLeft w:val="0"/>
              <w:marRight w:val="0"/>
              <w:marTop w:val="0"/>
              <w:marBottom w:val="120"/>
              <w:divBdr>
                <w:top w:val="none" w:sz="0" w:space="0" w:color="auto"/>
                <w:left w:val="none" w:sz="0" w:space="0" w:color="auto"/>
                <w:bottom w:val="none" w:sz="0" w:space="0" w:color="auto"/>
                <w:right w:val="none" w:sz="0" w:space="0" w:color="auto"/>
              </w:divBdr>
            </w:div>
            <w:div w:id="1860191834">
              <w:marLeft w:val="0"/>
              <w:marRight w:val="0"/>
              <w:marTop w:val="0"/>
              <w:marBottom w:val="120"/>
              <w:divBdr>
                <w:top w:val="none" w:sz="0" w:space="0" w:color="auto"/>
                <w:left w:val="none" w:sz="0" w:space="0" w:color="auto"/>
                <w:bottom w:val="none" w:sz="0" w:space="0" w:color="auto"/>
                <w:right w:val="none" w:sz="0" w:space="0" w:color="auto"/>
              </w:divBdr>
            </w:div>
            <w:div w:id="81024510">
              <w:marLeft w:val="0"/>
              <w:marRight w:val="0"/>
              <w:marTop w:val="0"/>
              <w:marBottom w:val="120"/>
              <w:divBdr>
                <w:top w:val="none" w:sz="0" w:space="0" w:color="auto"/>
                <w:left w:val="none" w:sz="0" w:space="0" w:color="auto"/>
                <w:bottom w:val="none" w:sz="0" w:space="0" w:color="auto"/>
                <w:right w:val="none" w:sz="0" w:space="0" w:color="auto"/>
              </w:divBdr>
            </w:div>
            <w:div w:id="615449724">
              <w:marLeft w:val="0"/>
              <w:marRight w:val="0"/>
              <w:marTop w:val="0"/>
              <w:marBottom w:val="120"/>
              <w:divBdr>
                <w:top w:val="none" w:sz="0" w:space="0" w:color="auto"/>
                <w:left w:val="none" w:sz="0" w:space="0" w:color="auto"/>
                <w:bottom w:val="none" w:sz="0" w:space="0" w:color="auto"/>
                <w:right w:val="none" w:sz="0" w:space="0" w:color="auto"/>
              </w:divBdr>
            </w:div>
            <w:div w:id="156850336">
              <w:marLeft w:val="0"/>
              <w:marRight w:val="0"/>
              <w:marTop w:val="0"/>
              <w:marBottom w:val="120"/>
              <w:divBdr>
                <w:top w:val="none" w:sz="0" w:space="0" w:color="auto"/>
                <w:left w:val="none" w:sz="0" w:space="0" w:color="auto"/>
                <w:bottom w:val="none" w:sz="0" w:space="0" w:color="auto"/>
                <w:right w:val="none" w:sz="0" w:space="0" w:color="auto"/>
              </w:divBdr>
            </w:div>
            <w:div w:id="663899265">
              <w:marLeft w:val="0"/>
              <w:marRight w:val="0"/>
              <w:marTop w:val="0"/>
              <w:marBottom w:val="120"/>
              <w:divBdr>
                <w:top w:val="none" w:sz="0" w:space="0" w:color="auto"/>
                <w:left w:val="none" w:sz="0" w:space="0" w:color="auto"/>
                <w:bottom w:val="none" w:sz="0" w:space="0" w:color="auto"/>
                <w:right w:val="none" w:sz="0" w:space="0" w:color="auto"/>
              </w:divBdr>
            </w:div>
            <w:div w:id="283073800">
              <w:marLeft w:val="0"/>
              <w:marRight w:val="0"/>
              <w:marTop w:val="0"/>
              <w:marBottom w:val="120"/>
              <w:divBdr>
                <w:top w:val="none" w:sz="0" w:space="0" w:color="auto"/>
                <w:left w:val="none" w:sz="0" w:space="0" w:color="auto"/>
                <w:bottom w:val="none" w:sz="0" w:space="0" w:color="auto"/>
                <w:right w:val="none" w:sz="0" w:space="0" w:color="auto"/>
              </w:divBdr>
            </w:div>
            <w:div w:id="714158543">
              <w:marLeft w:val="0"/>
              <w:marRight w:val="0"/>
              <w:marTop w:val="0"/>
              <w:marBottom w:val="120"/>
              <w:divBdr>
                <w:top w:val="none" w:sz="0" w:space="0" w:color="auto"/>
                <w:left w:val="none" w:sz="0" w:space="0" w:color="auto"/>
                <w:bottom w:val="none" w:sz="0" w:space="0" w:color="auto"/>
                <w:right w:val="none" w:sz="0" w:space="0" w:color="auto"/>
              </w:divBdr>
            </w:div>
            <w:div w:id="1956985242">
              <w:marLeft w:val="0"/>
              <w:marRight w:val="0"/>
              <w:marTop w:val="0"/>
              <w:marBottom w:val="120"/>
              <w:divBdr>
                <w:top w:val="none" w:sz="0" w:space="0" w:color="auto"/>
                <w:left w:val="none" w:sz="0" w:space="0" w:color="auto"/>
                <w:bottom w:val="none" w:sz="0" w:space="0" w:color="auto"/>
                <w:right w:val="none" w:sz="0" w:space="0" w:color="auto"/>
              </w:divBdr>
            </w:div>
            <w:div w:id="1933008145">
              <w:marLeft w:val="0"/>
              <w:marRight w:val="0"/>
              <w:marTop w:val="0"/>
              <w:marBottom w:val="120"/>
              <w:divBdr>
                <w:top w:val="none" w:sz="0" w:space="0" w:color="auto"/>
                <w:left w:val="none" w:sz="0" w:space="0" w:color="auto"/>
                <w:bottom w:val="none" w:sz="0" w:space="0" w:color="auto"/>
                <w:right w:val="none" w:sz="0" w:space="0" w:color="auto"/>
              </w:divBdr>
            </w:div>
            <w:div w:id="1811436599">
              <w:marLeft w:val="0"/>
              <w:marRight w:val="0"/>
              <w:marTop w:val="0"/>
              <w:marBottom w:val="120"/>
              <w:divBdr>
                <w:top w:val="none" w:sz="0" w:space="0" w:color="auto"/>
                <w:left w:val="none" w:sz="0" w:space="0" w:color="auto"/>
                <w:bottom w:val="none" w:sz="0" w:space="0" w:color="auto"/>
                <w:right w:val="none" w:sz="0" w:space="0" w:color="auto"/>
              </w:divBdr>
            </w:div>
            <w:div w:id="1422414253">
              <w:marLeft w:val="0"/>
              <w:marRight w:val="0"/>
              <w:marTop w:val="0"/>
              <w:marBottom w:val="120"/>
              <w:divBdr>
                <w:top w:val="none" w:sz="0" w:space="0" w:color="auto"/>
                <w:left w:val="none" w:sz="0" w:space="0" w:color="auto"/>
                <w:bottom w:val="none" w:sz="0" w:space="0" w:color="auto"/>
                <w:right w:val="none" w:sz="0" w:space="0" w:color="auto"/>
              </w:divBdr>
            </w:div>
            <w:div w:id="1836917083">
              <w:marLeft w:val="0"/>
              <w:marRight w:val="0"/>
              <w:marTop w:val="0"/>
              <w:marBottom w:val="120"/>
              <w:divBdr>
                <w:top w:val="none" w:sz="0" w:space="0" w:color="auto"/>
                <w:left w:val="none" w:sz="0" w:space="0" w:color="auto"/>
                <w:bottom w:val="none" w:sz="0" w:space="0" w:color="auto"/>
                <w:right w:val="none" w:sz="0" w:space="0" w:color="auto"/>
              </w:divBdr>
            </w:div>
            <w:div w:id="883056254">
              <w:marLeft w:val="0"/>
              <w:marRight w:val="0"/>
              <w:marTop w:val="0"/>
              <w:marBottom w:val="120"/>
              <w:divBdr>
                <w:top w:val="none" w:sz="0" w:space="0" w:color="auto"/>
                <w:left w:val="none" w:sz="0" w:space="0" w:color="auto"/>
                <w:bottom w:val="none" w:sz="0" w:space="0" w:color="auto"/>
                <w:right w:val="none" w:sz="0" w:space="0" w:color="auto"/>
              </w:divBdr>
            </w:div>
            <w:div w:id="717317522">
              <w:marLeft w:val="0"/>
              <w:marRight w:val="0"/>
              <w:marTop w:val="0"/>
              <w:marBottom w:val="120"/>
              <w:divBdr>
                <w:top w:val="none" w:sz="0" w:space="0" w:color="auto"/>
                <w:left w:val="none" w:sz="0" w:space="0" w:color="auto"/>
                <w:bottom w:val="none" w:sz="0" w:space="0" w:color="auto"/>
                <w:right w:val="none" w:sz="0" w:space="0" w:color="auto"/>
              </w:divBdr>
            </w:div>
            <w:div w:id="958726692">
              <w:marLeft w:val="0"/>
              <w:marRight w:val="0"/>
              <w:marTop w:val="0"/>
              <w:marBottom w:val="120"/>
              <w:divBdr>
                <w:top w:val="none" w:sz="0" w:space="0" w:color="auto"/>
                <w:left w:val="none" w:sz="0" w:space="0" w:color="auto"/>
                <w:bottom w:val="none" w:sz="0" w:space="0" w:color="auto"/>
                <w:right w:val="none" w:sz="0" w:space="0" w:color="auto"/>
              </w:divBdr>
            </w:div>
            <w:div w:id="944653037">
              <w:marLeft w:val="0"/>
              <w:marRight w:val="0"/>
              <w:marTop w:val="0"/>
              <w:marBottom w:val="120"/>
              <w:divBdr>
                <w:top w:val="none" w:sz="0" w:space="0" w:color="auto"/>
                <w:left w:val="none" w:sz="0" w:space="0" w:color="auto"/>
                <w:bottom w:val="none" w:sz="0" w:space="0" w:color="auto"/>
                <w:right w:val="none" w:sz="0" w:space="0" w:color="auto"/>
              </w:divBdr>
            </w:div>
            <w:div w:id="733164959">
              <w:marLeft w:val="0"/>
              <w:marRight w:val="0"/>
              <w:marTop w:val="0"/>
              <w:marBottom w:val="120"/>
              <w:divBdr>
                <w:top w:val="none" w:sz="0" w:space="0" w:color="auto"/>
                <w:left w:val="none" w:sz="0" w:space="0" w:color="auto"/>
                <w:bottom w:val="none" w:sz="0" w:space="0" w:color="auto"/>
                <w:right w:val="none" w:sz="0" w:space="0" w:color="auto"/>
              </w:divBdr>
            </w:div>
            <w:div w:id="584653346">
              <w:marLeft w:val="0"/>
              <w:marRight w:val="0"/>
              <w:marTop w:val="0"/>
              <w:marBottom w:val="120"/>
              <w:divBdr>
                <w:top w:val="none" w:sz="0" w:space="0" w:color="auto"/>
                <w:left w:val="none" w:sz="0" w:space="0" w:color="auto"/>
                <w:bottom w:val="none" w:sz="0" w:space="0" w:color="auto"/>
                <w:right w:val="none" w:sz="0" w:space="0" w:color="auto"/>
              </w:divBdr>
            </w:div>
            <w:div w:id="701712580">
              <w:marLeft w:val="0"/>
              <w:marRight w:val="0"/>
              <w:marTop w:val="0"/>
              <w:marBottom w:val="120"/>
              <w:divBdr>
                <w:top w:val="none" w:sz="0" w:space="0" w:color="auto"/>
                <w:left w:val="none" w:sz="0" w:space="0" w:color="auto"/>
                <w:bottom w:val="none" w:sz="0" w:space="0" w:color="auto"/>
                <w:right w:val="none" w:sz="0" w:space="0" w:color="auto"/>
              </w:divBdr>
            </w:div>
            <w:div w:id="586764675">
              <w:marLeft w:val="0"/>
              <w:marRight w:val="0"/>
              <w:marTop w:val="0"/>
              <w:marBottom w:val="120"/>
              <w:divBdr>
                <w:top w:val="none" w:sz="0" w:space="0" w:color="auto"/>
                <w:left w:val="none" w:sz="0" w:space="0" w:color="auto"/>
                <w:bottom w:val="none" w:sz="0" w:space="0" w:color="auto"/>
                <w:right w:val="none" w:sz="0" w:space="0" w:color="auto"/>
              </w:divBdr>
            </w:div>
            <w:div w:id="933246602">
              <w:marLeft w:val="0"/>
              <w:marRight w:val="0"/>
              <w:marTop w:val="0"/>
              <w:marBottom w:val="120"/>
              <w:divBdr>
                <w:top w:val="none" w:sz="0" w:space="0" w:color="auto"/>
                <w:left w:val="none" w:sz="0" w:space="0" w:color="auto"/>
                <w:bottom w:val="none" w:sz="0" w:space="0" w:color="auto"/>
                <w:right w:val="none" w:sz="0" w:space="0" w:color="auto"/>
              </w:divBdr>
            </w:div>
            <w:div w:id="1376275041">
              <w:marLeft w:val="0"/>
              <w:marRight w:val="0"/>
              <w:marTop w:val="0"/>
              <w:marBottom w:val="120"/>
              <w:divBdr>
                <w:top w:val="none" w:sz="0" w:space="0" w:color="auto"/>
                <w:left w:val="none" w:sz="0" w:space="0" w:color="auto"/>
                <w:bottom w:val="none" w:sz="0" w:space="0" w:color="auto"/>
                <w:right w:val="none" w:sz="0" w:space="0" w:color="auto"/>
              </w:divBdr>
            </w:div>
            <w:div w:id="95180961">
              <w:marLeft w:val="0"/>
              <w:marRight w:val="0"/>
              <w:marTop w:val="0"/>
              <w:marBottom w:val="120"/>
              <w:divBdr>
                <w:top w:val="none" w:sz="0" w:space="0" w:color="auto"/>
                <w:left w:val="none" w:sz="0" w:space="0" w:color="auto"/>
                <w:bottom w:val="none" w:sz="0" w:space="0" w:color="auto"/>
                <w:right w:val="none" w:sz="0" w:space="0" w:color="auto"/>
              </w:divBdr>
            </w:div>
            <w:div w:id="691759003">
              <w:marLeft w:val="0"/>
              <w:marRight w:val="0"/>
              <w:marTop w:val="0"/>
              <w:marBottom w:val="120"/>
              <w:divBdr>
                <w:top w:val="none" w:sz="0" w:space="0" w:color="auto"/>
                <w:left w:val="none" w:sz="0" w:space="0" w:color="auto"/>
                <w:bottom w:val="none" w:sz="0" w:space="0" w:color="auto"/>
                <w:right w:val="none" w:sz="0" w:space="0" w:color="auto"/>
              </w:divBdr>
            </w:div>
            <w:div w:id="1507134640">
              <w:marLeft w:val="0"/>
              <w:marRight w:val="0"/>
              <w:marTop w:val="0"/>
              <w:marBottom w:val="120"/>
              <w:divBdr>
                <w:top w:val="none" w:sz="0" w:space="0" w:color="auto"/>
                <w:left w:val="none" w:sz="0" w:space="0" w:color="auto"/>
                <w:bottom w:val="none" w:sz="0" w:space="0" w:color="auto"/>
                <w:right w:val="none" w:sz="0" w:space="0" w:color="auto"/>
              </w:divBdr>
            </w:div>
            <w:div w:id="1334720517">
              <w:marLeft w:val="0"/>
              <w:marRight w:val="0"/>
              <w:marTop w:val="0"/>
              <w:marBottom w:val="120"/>
              <w:divBdr>
                <w:top w:val="none" w:sz="0" w:space="0" w:color="auto"/>
                <w:left w:val="none" w:sz="0" w:space="0" w:color="auto"/>
                <w:bottom w:val="none" w:sz="0" w:space="0" w:color="auto"/>
                <w:right w:val="none" w:sz="0" w:space="0" w:color="auto"/>
              </w:divBdr>
            </w:div>
            <w:div w:id="859855678">
              <w:marLeft w:val="0"/>
              <w:marRight w:val="0"/>
              <w:marTop w:val="0"/>
              <w:marBottom w:val="120"/>
              <w:divBdr>
                <w:top w:val="none" w:sz="0" w:space="0" w:color="auto"/>
                <w:left w:val="none" w:sz="0" w:space="0" w:color="auto"/>
                <w:bottom w:val="none" w:sz="0" w:space="0" w:color="auto"/>
                <w:right w:val="none" w:sz="0" w:space="0" w:color="auto"/>
              </w:divBdr>
            </w:div>
            <w:div w:id="1996450896">
              <w:marLeft w:val="0"/>
              <w:marRight w:val="0"/>
              <w:marTop w:val="0"/>
              <w:marBottom w:val="120"/>
              <w:divBdr>
                <w:top w:val="none" w:sz="0" w:space="0" w:color="auto"/>
                <w:left w:val="none" w:sz="0" w:space="0" w:color="auto"/>
                <w:bottom w:val="none" w:sz="0" w:space="0" w:color="auto"/>
                <w:right w:val="none" w:sz="0" w:space="0" w:color="auto"/>
              </w:divBdr>
            </w:div>
            <w:div w:id="1825077302">
              <w:marLeft w:val="0"/>
              <w:marRight w:val="0"/>
              <w:marTop w:val="0"/>
              <w:marBottom w:val="120"/>
              <w:divBdr>
                <w:top w:val="none" w:sz="0" w:space="0" w:color="auto"/>
                <w:left w:val="none" w:sz="0" w:space="0" w:color="auto"/>
                <w:bottom w:val="none" w:sz="0" w:space="0" w:color="auto"/>
                <w:right w:val="none" w:sz="0" w:space="0" w:color="auto"/>
              </w:divBdr>
            </w:div>
            <w:div w:id="1658344438">
              <w:marLeft w:val="0"/>
              <w:marRight w:val="0"/>
              <w:marTop w:val="0"/>
              <w:marBottom w:val="120"/>
              <w:divBdr>
                <w:top w:val="none" w:sz="0" w:space="0" w:color="auto"/>
                <w:left w:val="none" w:sz="0" w:space="0" w:color="auto"/>
                <w:bottom w:val="none" w:sz="0" w:space="0" w:color="auto"/>
                <w:right w:val="none" w:sz="0" w:space="0" w:color="auto"/>
              </w:divBdr>
            </w:div>
            <w:div w:id="545681183">
              <w:marLeft w:val="0"/>
              <w:marRight w:val="0"/>
              <w:marTop w:val="0"/>
              <w:marBottom w:val="120"/>
              <w:divBdr>
                <w:top w:val="none" w:sz="0" w:space="0" w:color="auto"/>
                <w:left w:val="none" w:sz="0" w:space="0" w:color="auto"/>
                <w:bottom w:val="none" w:sz="0" w:space="0" w:color="auto"/>
                <w:right w:val="none" w:sz="0" w:space="0" w:color="auto"/>
              </w:divBdr>
            </w:div>
            <w:div w:id="56140569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nhum.2021.624660" TargetMode="External"/><Relationship Id="rId13" Type="http://schemas.openxmlformats.org/officeDocument/2006/relationships/hyperlink" Target="https://www.frontiersin.org/files/Articles/624660/fnhum-15-624660-HTML-r1/image_m/fnhum-15-624660-g002.jpg" TargetMode="External"/><Relationship Id="rId18"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gif"/><Relationship Id="rId17" Type="http://schemas.openxmlformats.org/officeDocument/2006/relationships/hyperlink" Target="https://www.frontiersin.org/files/Articles/624660/fnhum-15-624660-HTML-r1/image_m/fnhum-15-624660-g004.jpg"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rontiersin.org/files/Articles/624660/fnhum-15-624660-HTML-r1/image_m/fnhum-15-624660-g001.jpg" TargetMode="External"/><Relationship Id="rId5" Type="http://schemas.openxmlformats.org/officeDocument/2006/relationships/styles" Target="styles.xml"/><Relationship Id="rId15" Type="http://schemas.openxmlformats.org/officeDocument/2006/relationships/hyperlink" Target="https://www.frontiersin.org/files/Articles/624660/fnhum-15-624660-HTML-r1/image_m/fnhum-15-624660-g003.jpg" TargetMode="External"/><Relationship Id="rId10" Type="http://schemas.openxmlformats.org/officeDocument/2006/relationships/hyperlink" Target="http://creativecommons.org/licenses/by/4.0/"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27</Pages>
  <Words>13156</Words>
  <Characters>74995</Characters>
  <Application>Microsoft Office Word</Application>
  <DocSecurity>8</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82</cp:revision>
  <dcterms:created xsi:type="dcterms:W3CDTF">2021-12-06T19:30:00Z</dcterms:created>
  <dcterms:modified xsi:type="dcterms:W3CDTF">2022-01-11T20:04:00Z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