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E0DD8F2" w:rsidR="000A7622" w:rsidRPr="00C04F25" w:rsidRDefault="00787E4C" w:rsidP="00D14423">
      <w:pPr>
        <w:autoSpaceDE w:val="0"/>
        <w:autoSpaceDN w:val="0"/>
        <w:adjustRightInd w:val="0"/>
        <w:rPr>
          <w:rFonts w:cstheme="minorHAnsi"/>
          <w:b/>
          <w:bCs/>
          <w:i/>
          <w:iCs/>
          <w:sz w:val="32"/>
          <w:szCs w:val="32"/>
        </w:rPr>
      </w:pPr>
      <w:r>
        <w:rPr>
          <w:rFonts w:cstheme="minorHAnsi"/>
          <w:b/>
          <w:bCs/>
          <w:i/>
          <w:iCs/>
          <w:sz w:val="32"/>
          <w:szCs w:val="32"/>
        </w:rPr>
        <w:t xml:space="preserve">Clinical Laboratory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Health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76BBA749" w:rsidR="000A7622" w:rsidRPr="00C04F25" w:rsidRDefault="00321D91" w:rsidP="00D14423">
      <w:pPr>
        <w:rPr>
          <w:rFonts w:cstheme="minorHAnsi"/>
          <w:sz w:val="24"/>
          <w:szCs w:val="24"/>
        </w:rPr>
      </w:pPr>
      <w:proofErr w:type="spellStart"/>
      <w:r w:rsidRPr="00321D91">
        <w:rPr>
          <w:rFonts w:cstheme="minorHAnsi"/>
          <w:i/>
          <w:sz w:val="24"/>
          <w:szCs w:val="24"/>
          <w:lang w:val="fr-FR"/>
        </w:rPr>
        <w:t>Sexually</w:t>
      </w:r>
      <w:proofErr w:type="spellEnd"/>
      <w:r w:rsidRPr="00321D91">
        <w:rPr>
          <w:rFonts w:cstheme="minorHAnsi"/>
          <w:i/>
          <w:sz w:val="24"/>
          <w:szCs w:val="24"/>
          <w:lang w:val="fr-FR"/>
        </w:rPr>
        <w:t xml:space="preserve"> </w:t>
      </w:r>
      <w:proofErr w:type="spellStart"/>
      <w:r w:rsidRPr="00321D91">
        <w:rPr>
          <w:rFonts w:cstheme="minorHAnsi"/>
          <w:i/>
          <w:sz w:val="24"/>
          <w:szCs w:val="24"/>
          <w:lang w:val="fr-FR"/>
        </w:rPr>
        <w:t>Transmitted</w:t>
      </w:r>
      <w:proofErr w:type="spellEnd"/>
      <w:r w:rsidRPr="00321D91">
        <w:rPr>
          <w:rFonts w:cstheme="minorHAnsi"/>
          <w:i/>
          <w:sz w:val="24"/>
          <w:szCs w:val="24"/>
          <w:lang w:val="fr-FR"/>
        </w:rPr>
        <w:t xml:space="preserve"> </w:t>
      </w:r>
      <w:proofErr w:type="spellStart"/>
      <w:r w:rsidRPr="00321D91">
        <w:rPr>
          <w:rFonts w:cstheme="minorHAnsi"/>
          <w:i/>
          <w:sz w:val="24"/>
          <w:szCs w:val="24"/>
          <w:lang w:val="fr-FR"/>
        </w:rPr>
        <w:t>Diseases</w:t>
      </w:r>
      <w:proofErr w:type="spellEnd"/>
      <w:r w:rsidR="000A7622" w:rsidRPr="00C04F25">
        <w:rPr>
          <w:rFonts w:cstheme="minorHAnsi"/>
          <w:sz w:val="24"/>
          <w:szCs w:val="24"/>
          <w:lang w:val="fr-FR"/>
        </w:rPr>
        <w:t xml:space="preserve">, Vol. </w:t>
      </w:r>
      <w:r>
        <w:rPr>
          <w:rFonts w:cstheme="minorHAnsi"/>
          <w:sz w:val="24"/>
          <w:szCs w:val="24"/>
          <w:lang w:val="fr-FR"/>
        </w:rPr>
        <w:t>47</w:t>
      </w:r>
      <w:r w:rsidR="000A7622" w:rsidRPr="00C04F25">
        <w:rPr>
          <w:rFonts w:cstheme="minorHAnsi"/>
          <w:sz w:val="24"/>
          <w:szCs w:val="24"/>
          <w:lang w:val="fr-FR"/>
        </w:rPr>
        <w:t xml:space="preserve">, No. </w:t>
      </w:r>
      <w:r>
        <w:rPr>
          <w:rFonts w:cstheme="minorHAnsi"/>
          <w:sz w:val="24"/>
          <w:szCs w:val="24"/>
          <w:lang w:val="fr-FR"/>
        </w:rPr>
        <w:t>11</w:t>
      </w:r>
      <w:r w:rsidR="000A7622" w:rsidRPr="00C04F25">
        <w:rPr>
          <w:rFonts w:cstheme="minorHAnsi"/>
          <w:sz w:val="24"/>
          <w:szCs w:val="24"/>
          <w:lang w:val="fr-FR"/>
        </w:rPr>
        <w:t xml:space="preserve"> (</w:t>
      </w:r>
      <w:proofErr w:type="spellStart"/>
      <w:r>
        <w:rPr>
          <w:rFonts w:cstheme="minorHAnsi"/>
          <w:sz w:val="24"/>
          <w:szCs w:val="24"/>
          <w:lang w:val="fr-FR"/>
        </w:rPr>
        <w:t>November</w:t>
      </w:r>
      <w:proofErr w:type="spellEnd"/>
      <w:r>
        <w:rPr>
          <w:rFonts w:cstheme="minorHAnsi"/>
          <w:sz w:val="24"/>
          <w:szCs w:val="24"/>
          <w:lang w:val="fr-FR"/>
        </w:rPr>
        <w:t xml:space="preserve"> </w:t>
      </w:r>
      <w:r w:rsidR="00A9481C">
        <w:rPr>
          <w:rFonts w:cstheme="minorHAnsi"/>
          <w:sz w:val="24"/>
          <w:szCs w:val="24"/>
          <w:lang w:val="fr-FR"/>
        </w:rPr>
        <w:t>2020</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A9481C">
        <w:rPr>
          <w:rFonts w:cstheme="minorHAnsi"/>
          <w:sz w:val="24"/>
          <w:szCs w:val="24"/>
          <w:lang w:val="fr-FR"/>
        </w:rPr>
        <w:t>748-753</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A9481C">
        <w:rPr>
          <w:rFonts w:cstheme="minorHAnsi"/>
          <w:sz w:val="24"/>
          <w:szCs w:val="24"/>
        </w:rPr>
        <w:t>Lippincott</w:t>
      </w:r>
      <w:r w:rsidR="007B5122">
        <w:rPr>
          <w:rFonts w:cstheme="minorHAnsi"/>
          <w:sz w:val="24"/>
          <w:szCs w:val="24"/>
        </w:rPr>
        <w:t xml:space="preserve"> Williams &amp; Wilkins, Inc.</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7B5122">
        <w:rPr>
          <w:rFonts w:cstheme="minorHAnsi"/>
          <w:sz w:val="24"/>
          <w:szCs w:val="24"/>
        </w:rPr>
        <w:t>Lippincott Williams &amp; Wilkins, Inc.</w:t>
      </w:r>
      <w:r w:rsidR="000A7622" w:rsidRPr="00C04F25">
        <w:rPr>
          <w:rFonts w:cstheme="minorHAnsi"/>
          <w:sz w:val="24"/>
          <w:szCs w:val="24"/>
        </w:rPr>
        <w:t xml:space="preserve"> does not grant permission for this article to be further copied/distributed or hosted elsewhere without the express permission from </w:t>
      </w:r>
      <w:r w:rsidR="007B5122">
        <w:rPr>
          <w:rFonts w:cstheme="minorHAnsi"/>
          <w:sz w:val="24"/>
          <w:szCs w:val="24"/>
        </w:rPr>
        <w:t>Lippincott Williams &amp; Wilkins, Inc.</w:t>
      </w:r>
      <w:r w:rsidR="000A7622" w:rsidRPr="00C04F25">
        <w:rPr>
          <w:rFonts w:cstheme="minorHAnsi"/>
          <w:sz w:val="24"/>
          <w:szCs w:val="24"/>
        </w:rPr>
        <w:t xml:space="preserve"> </w:t>
      </w:r>
    </w:p>
    <w:bookmarkEnd w:id="1"/>
    <w:p w14:paraId="5BC0075B" w14:textId="3E066754" w:rsidR="000A7622" w:rsidRPr="007D31A0" w:rsidRDefault="000A7622" w:rsidP="000A7622">
      <w:pPr>
        <w:rPr>
          <w:rFonts w:cstheme="minorHAnsi"/>
          <w:sz w:val="24"/>
          <w:szCs w:val="24"/>
        </w:rPr>
      </w:pPr>
    </w:p>
    <w:p w14:paraId="538E2DD1" w14:textId="6A2C7548" w:rsidR="007D31A0" w:rsidRDefault="007D31A0" w:rsidP="00787E4C">
      <w:pPr>
        <w:pStyle w:val="Title"/>
      </w:pPr>
      <w:r w:rsidRPr="007D31A0">
        <w:t xml:space="preserve">Comprehensive Molecular Screening in a Cohort of Young Men Who Have Sex </w:t>
      </w:r>
      <w:r w:rsidR="00787E4C" w:rsidRPr="007D31A0">
        <w:t>with</w:t>
      </w:r>
      <w:r w:rsidRPr="007D31A0">
        <w:t xml:space="preserve"> Men and Transgender Women: Effect of Additive Rectal Specimen Source Collection and Analyte Testing</w:t>
      </w:r>
    </w:p>
    <w:p w14:paraId="7320EFD1" w14:textId="77777777" w:rsidR="00787E4C" w:rsidRPr="00787E4C" w:rsidRDefault="00787E4C" w:rsidP="00787E4C"/>
    <w:p w14:paraId="14D9F269" w14:textId="4DA4DB83" w:rsidR="00787E4C" w:rsidRPr="00886790" w:rsidRDefault="00A14CE1" w:rsidP="00886790">
      <w:pPr>
        <w:pStyle w:val="NoSpacing"/>
        <w:rPr>
          <w:sz w:val="32"/>
          <w:szCs w:val="32"/>
        </w:rPr>
      </w:pPr>
      <w:r w:rsidRPr="00886790">
        <w:rPr>
          <w:sz w:val="32"/>
          <w:szCs w:val="32"/>
        </w:rPr>
        <w:t>Erik</w:t>
      </w:r>
      <w:r w:rsidRPr="00886790">
        <w:rPr>
          <w:sz w:val="32"/>
          <w:szCs w:val="32"/>
        </w:rPr>
        <w:t xml:space="preserve"> </w:t>
      </w:r>
      <w:r w:rsidR="007D31A0" w:rsidRPr="00886790">
        <w:rPr>
          <w:sz w:val="32"/>
          <w:szCs w:val="32"/>
        </w:rPr>
        <w:t>Munson</w:t>
      </w:r>
    </w:p>
    <w:p w14:paraId="0317CACA" w14:textId="7104F6A9" w:rsidR="00787E4C" w:rsidRPr="00886790" w:rsidRDefault="00A14CE1" w:rsidP="00886790">
      <w:pPr>
        <w:pStyle w:val="NoSpacing"/>
        <w:rPr>
          <w:sz w:val="24"/>
          <w:szCs w:val="24"/>
        </w:rPr>
      </w:pPr>
      <w:r w:rsidRPr="00886790">
        <w:rPr>
          <w:sz w:val="24"/>
          <w:szCs w:val="24"/>
        </w:rPr>
        <w:t>College of Health Sciences, Marquette University, Milwaukee, WI</w:t>
      </w:r>
    </w:p>
    <w:p w14:paraId="0E5B1C3F" w14:textId="61EC3192" w:rsidR="00787E4C" w:rsidRPr="00886790" w:rsidRDefault="00A14CE1" w:rsidP="00886790">
      <w:pPr>
        <w:pStyle w:val="NoSpacing"/>
        <w:rPr>
          <w:sz w:val="32"/>
          <w:szCs w:val="32"/>
        </w:rPr>
      </w:pPr>
      <w:r w:rsidRPr="00886790">
        <w:rPr>
          <w:sz w:val="32"/>
          <w:szCs w:val="32"/>
        </w:rPr>
        <w:t>Alyssa</w:t>
      </w:r>
      <w:r w:rsidRPr="00886790">
        <w:rPr>
          <w:sz w:val="32"/>
          <w:szCs w:val="32"/>
        </w:rPr>
        <w:t xml:space="preserve"> </w:t>
      </w:r>
      <w:r w:rsidR="007D31A0" w:rsidRPr="00886790">
        <w:rPr>
          <w:sz w:val="32"/>
          <w:szCs w:val="32"/>
        </w:rPr>
        <w:t>Reynoso</w:t>
      </w:r>
    </w:p>
    <w:p w14:paraId="296AC92F" w14:textId="422C6665" w:rsidR="00787E4C" w:rsidRPr="00886790" w:rsidRDefault="00A14CE1" w:rsidP="00886790">
      <w:pPr>
        <w:pStyle w:val="NoSpacing"/>
        <w:rPr>
          <w:sz w:val="24"/>
          <w:szCs w:val="24"/>
        </w:rPr>
      </w:pPr>
      <w:r w:rsidRPr="00886790">
        <w:rPr>
          <w:sz w:val="24"/>
          <w:szCs w:val="24"/>
        </w:rPr>
        <w:t>College of Health Sciences, Marquette University, Milwaukee, WI</w:t>
      </w:r>
    </w:p>
    <w:p w14:paraId="32658265" w14:textId="41398FB5" w:rsidR="00787E4C" w:rsidRPr="00886790" w:rsidRDefault="00A14CE1" w:rsidP="00886790">
      <w:pPr>
        <w:pStyle w:val="NoSpacing"/>
        <w:rPr>
          <w:sz w:val="32"/>
          <w:szCs w:val="32"/>
        </w:rPr>
      </w:pPr>
      <w:r w:rsidRPr="00886790">
        <w:rPr>
          <w:sz w:val="32"/>
          <w:szCs w:val="32"/>
        </w:rPr>
        <w:t xml:space="preserve">Morena </w:t>
      </w:r>
      <w:r w:rsidR="007D31A0" w:rsidRPr="00886790">
        <w:rPr>
          <w:sz w:val="32"/>
          <w:szCs w:val="32"/>
        </w:rPr>
        <w:t>Pass</w:t>
      </w:r>
    </w:p>
    <w:p w14:paraId="1AFC6C9E" w14:textId="5CD73D04" w:rsidR="00787E4C" w:rsidRPr="00886790" w:rsidRDefault="00A14CE1" w:rsidP="00886790">
      <w:pPr>
        <w:pStyle w:val="NoSpacing"/>
        <w:rPr>
          <w:sz w:val="24"/>
          <w:szCs w:val="24"/>
        </w:rPr>
      </w:pPr>
      <w:r w:rsidRPr="00886790">
        <w:rPr>
          <w:sz w:val="24"/>
          <w:szCs w:val="24"/>
        </w:rPr>
        <w:t>College of Health Sciences, Marquette University, Milwaukee, WI</w:t>
      </w:r>
    </w:p>
    <w:p w14:paraId="018BA145" w14:textId="68AFDABD" w:rsidR="00787E4C" w:rsidRPr="00886790" w:rsidRDefault="00886790" w:rsidP="00886790">
      <w:pPr>
        <w:pStyle w:val="NoSpacing"/>
        <w:rPr>
          <w:sz w:val="32"/>
          <w:szCs w:val="32"/>
        </w:rPr>
      </w:pPr>
      <w:r w:rsidRPr="00886790">
        <w:rPr>
          <w:sz w:val="32"/>
          <w:szCs w:val="32"/>
        </w:rPr>
        <w:t>Kathleen</w:t>
      </w:r>
      <w:r w:rsidRPr="00886790">
        <w:rPr>
          <w:sz w:val="32"/>
          <w:szCs w:val="32"/>
        </w:rPr>
        <w:t xml:space="preserve"> </w:t>
      </w:r>
      <w:r w:rsidR="007D31A0" w:rsidRPr="00886790">
        <w:rPr>
          <w:sz w:val="32"/>
          <w:szCs w:val="32"/>
        </w:rPr>
        <w:t>Buehler</w:t>
      </w:r>
    </w:p>
    <w:p w14:paraId="494133C1" w14:textId="0357EFCB" w:rsidR="00787E4C" w:rsidRPr="00886790" w:rsidRDefault="00886790" w:rsidP="00886790">
      <w:pPr>
        <w:pStyle w:val="NoSpacing"/>
        <w:rPr>
          <w:sz w:val="24"/>
          <w:szCs w:val="24"/>
        </w:rPr>
      </w:pPr>
      <w:r w:rsidRPr="00886790">
        <w:rPr>
          <w:sz w:val="24"/>
          <w:szCs w:val="24"/>
        </w:rPr>
        <w:t>Northwestern University Institute for Sexual and Gender Minority Health and Wellbeing, Chicago, IL</w:t>
      </w:r>
    </w:p>
    <w:p w14:paraId="62F50179" w14:textId="662A05E8" w:rsidR="00787E4C" w:rsidRPr="00886790" w:rsidRDefault="00886790" w:rsidP="00886790">
      <w:pPr>
        <w:pStyle w:val="NoSpacing"/>
        <w:rPr>
          <w:sz w:val="32"/>
          <w:szCs w:val="32"/>
        </w:rPr>
      </w:pPr>
      <w:r w:rsidRPr="00886790">
        <w:rPr>
          <w:sz w:val="32"/>
          <w:szCs w:val="32"/>
        </w:rPr>
        <w:t xml:space="preserve">Daniel </w:t>
      </w:r>
      <w:r w:rsidR="007D31A0" w:rsidRPr="00886790">
        <w:rPr>
          <w:sz w:val="32"/>
          <w:szCs w:val="32"/>
        </w:rPr>
        <w:t>Ryan</w:t>
      </w:r>
    </w:p>
    <w:p w14:paraId="61FA3995" w14:textId="2C8CD6C8" w:rsidR="00787E4C" w:rsidRPr="00886790" w:rsidRDefault="00886790" w:rsidP="00886790">
      <w:pPr>
        <w:pStyle w:val="NoSpacing"/>
        <w:rPr>
          <w:sz w:val="24"/>
          <w:szCs w:val="24"/>
        </w:rPr>
      </w:pPr>
      <w:r w:rsidRPr="00886790">
        <w:rPr>
          <w:sz w:val="24"/>
          <w:szCs w:val="24"/>
        </w:rPr>
        <w:t>Northwestern University Institute for Sexual and Gender Minority Health and Wellbeing, Chicago, IL</w:t>
      </w:r>
    </w:p>
    <w:p w14:paraId="61248AE7" w14:textId="087BC89C" w:rsidR="00787E4C" w:rsidRPr="00886790" w:rsidRDefault="00886790" w:rsidP="00886790">
      <w:pPr>
        <w:pStyle w:val="NoSpacing"/>
        <w:rPr>
          <w:sz w:val="32"/>
          <w:szCs w:val="32"/>
        </w:rPr>
      </w:pPr>
      <w:r w:rsidRPr="00886790">
        <w:rPr>
          <w:sz w:val="32"/>
          <w:szCs w:val="32"/>
        </w:rPr>
        <w:t>Antonia</w:t>
      </w:r>
      <w:r w:rsidRPr="00886790">
        <w:rPr>
          <w:sz w:val="32"/>
          <w:szCs w:val="32"/>
        </w:rPr>
        <w:t xml:space="preserve"> </w:t>
      </w:r>
      <w:r w:rsidR="007D31A0" w:rsidRPr="00886790">
        <w:rPr>
          <w:sz w:val="32"/>
          <w:szCs w:val="32"/>
        </w:rPr>
        <w:t>Clifford</w:t>
      </w:r>
    </w:p>
    <w:p w14:paraId="3C70BB7A" w14:textId="4DB60DBA" w:rsidR="00787E4C" w:rsidRPr="00886790" w:rsidRDefault="00886790" w:rsidP="00886790">
      <w:pPr>
        <w:pStyle w:val="NoSpacing"/>
        <w:rPr>
          <w:sz w:val="24"/>
          <w:szCs w:val="24"/>
        </w:rPr>
      </w:pPr>
      <w:r w:rsidRPr="00886790">
        <w:rPr>
          <w:sz w:val="24"/>
          <w:szCs w:val="24"/>
        </w:rPr>
        <w:t>Northwestern University Institute for Sexual and Gender Minority Health and Wellbeing, Chicago, IL</w:t>
      </w:r>
    </w:p>
    <w:p w14:paraId="478D28BD" w14:textId="5716AEC3" w:rsidR="00787E4C" w:rsidRPr="00886790" w:rsidRDefault="00886790" w:rsidP="00886790">
      <w:pPr>
        <w:pStyle w:val="NoSpacing"/>
        <w:rPr>
          <w:sz w:val="32"/>
          <w:szCs w:val="32"/>
        </w:rPr>
      </w:pPr>
      <w:r w:rsidRPr="00886790">
        <w:rPr>
          <w:sz w:val="32"/>
          <w:szCs w:val="32"/>
        </w:rPr>
        <w:t xml:space="preserve">Ethan </w:t>
      </w:r>
      <w:r w:rsidR="007D31A0" w:rsidRPr="00886790">
        <w:rPr>
          <w:sz w:val="32"/>
          <w:szCs w:val="32"/>
        </w:rPr>
        <w:t>Morgan</w:t>
      </w:r>
    </w:p>
    <w:p w14:paraId="539D114A" w14:textId="5ABDC17A" w:rsidR="00787E4C" w:rsidRPr="00886790" w:rsidRDefault="00886790" w:rsidP="00886790">
      <w:pPr>
        <w:pStyle w:val="NoSpacing"/>
        <w:rPr>
          <w:sz w:val="24"/>
          <w:szCs w:val="24"/>
        </w:rPr>
      </w:pPr>
      <w:r w:rsidRPr="00886790">
        <w:rPr>
          <w:sz w:val="24"/>
          <w:szCs w:val="24"/>
        </w:rPr>
        <w:t>Northwestern University Institute for Sexual and Gender Minority Health and Wellbeing, Chicago, IL</w:t>
      </w:r>
    </w:p>
    <w:p w14:paraId="10808E82" w14:textId="6B642CE4" w:rsidR="007D31A0" w:rsidRPr="00886790" w:rsidRDefault="00886790" w:rsidP="00886790">
      <w:pPr>
        <w:pStyle w:val="NoSpacing"/>
        <w:rPr>
          <w:sz w:val="32"/>
          <w:szCs w:val="32"/>
        </w:rPr>
      </w:pPr>
      <w:r w:rsidRPr="00886790">
        <w:rPr>
          <w:sz w:val="32"/>
          <w:szCs w:val="32"/>
        </w:rPr>
        <w:t xml:space="preserve">Brian </w:t>
      </w:r>
      <w:proofErr w:type="spellStart"/>
      <w:r w:rsidR="007D31A0" w:rsidRPr="00886790">
        <w:rPr>
          <w:sz w:val="32"/>
          <w:szCs w:val="32"/>
        </w:rPr>
        <w:t>Mustanski</w:t>
      </w:r>
      <w:proofErr w:type="spellEnd"/>
    </w:p>
    <w:p w14:paraId="0EF474CA" w14:textId="485E0D3B" w:rsidR="00787E4C" w:rsidRPr="00886790" w:rsidRDefault="00886790" w:rsidP="00886790">
      <w:pPr>
        <w:pStyle w:val="NoSpacing"/>
        <w:rPr>
          <w:sz w:val="24"/>
          <w:szCs w:val="24"/>
        </w:rPr>
      </w:pPr>
      <w:r w:rsidRPr="00886790">
        <w:rPr>
          <w:sz w:val="24"/>
          <w:szCs w:val="24"/>
        </w:rPr>
        <w:t>Northwestern University Institute for Sexual and Gender Minority Health and Wellbeing, Chicago, IL</w:t>
      </w:r>
    </w:p>
    <w:p w14:paraId="1F29EA37" w14:textId="77777777" w:rsidR="00787E4C" w:rsidRDefault="00787E4C" w:rsidP="007D31A0"/>
    <w:p w14:paraId="0BDF3BAD" w14:textId="11D8E991" w:rsidR="007D31A0" w:rsidRPr="007D31A0" w:rsidRDefault="00886790" w:rsidP="00886790">
      <w:pPr>
        <w:pStyle w:val="Heading1"/>
      </w:pPr>
      <w:r>
        <w:t>A</w:t>
      </w:r>
      <w:r w:rsidR="007D31A0" w:rsidRPr="007D31A0">
        <w:t>bstract</w:t>
      </w:r>
      <w:r>
        <w:t xml:space="preserve"> </w:t>
      </w:r>
    </w:p>
    <w:p w14:paraId="0E012249" w14:textId="77777777" w:rsidR="007D31A0" w:rsidRPr="007D31A0" w:rsidRDefault="007D31A0" w:rsidP="00886790">
      <w:pPr>
        <w:pStyle w:val="Heading2"/>
      </w:pPr>
      <w:r w:rsidRPr="007D31A0">
        <w:t>Background </w:t>
      </w:r>
    </w:p>
    <w:p w14:paraId="5C8CF41A" w14:textId="77777777" w:rsidR="007D31A0" w:rsidRPr="007D31A0" w:rsidRDefault="007D31A0" w:rsidP="007D31A0">
      <w:pPr>
        <w:rPr>
          <w:rFonts w:cstheme="minorHAnsi"/>
          <w:sz w:val="24"/>
          <w:szCs w:val="24"/>
        </w:rPr>
      </w:pPr>
      <w:r w:rsidRPr="007D31A0">
        <w:rPr>
          <w:rFonts w:cstheme="minorHAnsi"/>
          <w:sz w:val="24"/>
          <w:szCs w:val="24"/>
        </w:rPr>
        <w:t>This study's purposes were to characterize detection rates of several sexually transmitted infection (STI) agents and describe the effect additional specimen source and analyte screening has on STI detection within a cohort of young men who have sex with men and transgender women.</w:t>
      </w:r>
    </w:p>
    <w:p w14:paraId="267D8262" w14:textId="77777777" w:rsidR="007D31A0" w:rsidRPr="007D31A0" w:rsidRDefault="007D31A0" w:rsidP="00886790">
      <w:pPr>
        <w:pStyle w:val="Heading2"/>
      </w:pPr>
      <w:r w:rsidRPr="007D31A0">
        <w:t>Methods </w:t>
      </w:r>
    </w:p>
    <w:p w14:paraId="37FFA386" w14:textId="77777777" w:rsidR="007D31A0" w:rsidRPr="007D31A0" w:rsidRDefault="007D31A0" w:rsidP="007D31A0">
      <w:pPr>
        <w:rPr>
          <w:rFonts w:cstheme="minorHAnsi"/>
          <w:sz w:val="24"/>
          <w:szCs w:val="24"/>
        </w:rPr>
      </w:pPr>
      <w:r w:rsidRPr="007D31A0">
        <w:rPr>
          <w:rFonts w:cstheme="minorHAnsi"/>
          <w:sz w:val="24"/>
          <w:szCs w:val="24"/>
        </w:rPr>
        <w:t>Within a 16-month interval, 1966 encounters involved dual urine and rectal swab submissions assessed by commercial transcription-mediated amplification–based assays for </w:t>
      </w:r>
      <w:r w:rsidRPr="007D31A0">
        <w:rPr>
          <w:rFonts w:cstheme="minorHAnsi"/>
          <w:i/>
          <w:iCs/>
          <w:sz w:val="24"/>
          <w:szCs w:val="24"/>
        </w:rPr>
        <w:t>Chlamydia trachomatis</w:t>
      </w:r>
      <w:r w:rsidRPr="007D31A0">
        <w:rPr>
          <w:rFonts w:cstheme="minorHAnsi"/>
          <w:sz w:val="24"/>
          <w:szCs w:val="24"/>
        </w:rPr>
        <w:t> and </w:t>
      </w:r>
      <w:r w:rsidRPr="007D31A0">
        <w:rPr>
          <w:rFonts w:cstheme="minorHAnsi"/>
          <w:i/>
          <w:iCs/>
          <w:sz w:val="24"/>
          <w:szCs w:val="24"/>
        </w:rPr>
        <w:t>Neisseria gonorrhoeae</w:t>
      </w:r>
      <w:r w:rsidRPr="007D31A0">
        <w:rPr>
          <w:rFonts w:cstheme="minorHAnsi"/>
          <w:sz w:val="24"/>
          <w:szCs w:val="24"/>
        </w:rPr>
        <w:t> and by off-label transcription-mediated amplification–based </w:t>
      </w:r>
      <w:r w:rsidRPr="007D31A0">
        <w:rPr>
          <w:rFonts w:cstheme="minorHAnsi"/>
          <w:i/>
          <w:iCs/>
          <w:sz w:val="24"/>
          <w:szCs w:val="24"/>
        </w:rPr>
        <w:t>Trichomonas vaginalis</w:t>
      </w:r>
      <w:r w:rsidRPr="007D31A0">
        <w:rPr>
          <w:rFonts w:cstheme="minorHAnsi"/>
          <w:sz w:val="24"/>
          <w:szCs w:val="24"/>
        </w:rPr>
        <w:t> and </w:t>
      </w:r>
      <w:r w:rsidRPr="007D31A0">
        <w:rPr>
          <w:rFonts w:cstheme="minorHAnsi"/>
          <w:i/>
          <w:iCs/>
          <w:sz w:val="24"/>
          <w:szCs w:val="24"/>
        </w:rPr>
        <w:t xml:space="preserve">Mycoplasma </w:t>
      </w:r>
      <w:proofErr w:type="spellStart"/>
      <w:r w:rsidRPr="007D31A0">
        <w:rPr>
          <w:rFonts w:cstheme="minorHAnsi"/>
          <w:i/>
          <w:iCs/>
          <w:sz w:val="24"/>
          <w:szCs w:val="24"/>
        </w:rPr>
        <w:t>genitalium</w:t>
      </w:r>
      <w:proofErr w:type="spellEnd"/>
      <w:r w:rsidRPr="007D31A0">
        <w:rPr>
          <w:rFonts w:cstheme="minorHAnsi"/>
          <w:sz w:val="24"/>
          <w:szCs w:val="24"/>
        </w:rPr>
        <w:t xml:space="preserve"> testing. Identification of STI carriers used algorithms involving Food and Drug Administration–cleared screening methods, laboratory-modified testing for </w:t>
      </w:r>
      <w:proofErr w:type="spellStart"/>
      <w:r w:rsidRPr="007D31A0">
        <w:rPr>
          <w:rFonts w:cstheme="minorHAnsi"/>
          <w:sz w:val="24"/>
          <w:szCs w:val="24"/>
        </w:rPr>
        <w:t>extraurogenital</w:t>
      </w:r>
      <w:proofErr w:type="spellEnd"/>
      <w:r w:rsidRPr="007D31A0">
        <w:rPr>
          <w:rFonts w:cstheme="minorHAnsi"/>
          <w:sz w:val="24"/>
          <w:szCs w:val="24"/>
        </w:rPr>
        <w:t> </w:t>
      </w:r>
      <w:r w:rsidRPr="007D31A0">
        <w:rPr>
          <w:rFonts w:cstheme="minorHAnsi"/>
          <w:i/>
          <w:iCs/>
          <w:sz w:val="24"/>
          <w:szCs w:val="24"/>
        </w:rPr>
        <w:t>C. trachomatis</w:t>
      </w:r>
      <w:r w:rsidRPr="007D31A0">
        <w:rPr>
          <w:rFonts w:cstheme="minorHAnsi"/>
          <w:sz w:val="24"/>
          <w:szCs w:val="24"/>
        </w:rPr>
        <w:t> and </w:t>
      </w:r>
      <w:r w:rsidRPr="007D31A0">
        <w:rPr>
          <w:rFonts w:cstheme="minorHAnsi"/>
          <w:i/>
          <w:iCs/>
          <w:sz w:val="24"/>
          <w:szCs w:val="24"/>
        </w:rPr>
        <w:t>N. gonorrhoeae</w:t>
      </w:r>
      <w:r w:rsidRPr="007D31A0">
        <w:rPr>
          <w:rFonts w:cstheme="minorHAnsi"/>
          <w:sz w:val="24"/>
          <w:szCs w:val="24"/>
        </w:rPr>
        <w:t>, and laboratory-developed tests for </w:t>
      </w:r>
      <w:r w:rsidRPr="007D31A0">
        <w:rPr>
          <w:rFonts w:cstheme="minorHAnsi"/>
          <w:i/>
          <w:iCs/>
          <w:sz w:val="24"/>
          <w:szCs w:val="24"/>
        </w:rPr>
        <w:t>T. vaginalis</w:t>
      </w:r>
      <w:r w:rsidRPr="007D31A0">
        <w:rPr>
          <w:rFonts w:cstheme="minorHAnsi"/>
          <w:sz w:val="24"/>
          <w:szCs w:val="24"/>
        </w:rPr>
        <w:t> and </w:t>
      </w:r>
      <w:r w:rsidRPr="007D31A0">
        <w:rPr>
          <w:rFonts w:cstheme="minorHAnsi"/>
          <w:i/>
          <w:iCs/>
          <w:sz w:val="24"/>
          <w:szCs w:val="24"/>
        </w:rPr>
        <w:t xml:space="preserve">M. </w:t>
      </w:r>
      <w:proofErr w:type="spellStart"/>
      <w:r w:rsidRPr="007D31A0">
        <w:rPr>
          <w:rFonts w:cstheme="minorHAnsi"/>
          <w:i/>
          <w:iCs/>
          <w:sz w:val="24"/>
          <w:szCs w:val="24"/>
        </w:rPr>
        <w:t>genitalium</w:t>
      </w:r>
      <w:proofErr w:type="spellEnd"/>
      <w:r w:rsidRPr="007D31A0">
        <w:rPr>
          <w:rFonts w:cstheme="minorHAnsi"/>
          <w:sz w:val="24"/>
          <w:szCs w:val="24"/>
        </w:rPr>
        <w:t>.</w:t>
      </w:r>
    </w:p>
    <w:p w14:paraId="65310ED0" w14:textId="77777777" w:rsidR="007D31A0" w:rsidRPr="007D31A0" w:rsidRDefault="007D31A0" w:rsidP="00886790">
      <w:pPr>
        <w:pStyle w:val="Heading2"/>
      </w:pPr>
      <w:r w:rsidRPr="007D31A0">
        <w:t>Results </w:t>
      </w:r>
    </w:p>
    <w:p w14:paraId="2612382D" w14:textId="77777777" w:rsidR="007D31A0" w:rsidRPr="007D31A0" w:rsidRDefault="007D31A0" w:rsidP="007D31A0">
      <w:pPr>
        <w:rPr>
          <w:rFonts w:cstheme="minorHAnsi"/>
          <w:sz w:val="24"/>
          <w:szCs w:val="24"/>
        </w:rPr>
      </w:pPr>
      <w:r w:rsidRPr="007D31A0">
        <w:rPr>
          <w:rFonts w:cstheme="minorHAnsi"/>
          <w:sz w:val="24"/>
          <w:szCs w:val="24"/>
        </w:rPr>
        <w:t>Food and Drug Administration–indicated urine </w:t>
      </w:r>
      <w:r w:rsidRPr="007D31A0">
        <w:rPr>
          <w:rFonts w:cstheme="minorHAnsi"/>
          <w:i/>
          <w:iCs/>
          <w:sz w:val="24"/>
          <w:szCs w:val="24"/>
        </w:rPr>
        <w:t>C. trachomatis</w:t>
      </w:r>
      <w:r w:rsidRPr="007D31A0">
        <w:rPr>
          <w:rFonts w:cstheme="minorHAnsi"/>
          <w:sz w:val="24"/>
          <w:szCs w:val="24"/>
        </w:rPr>
        <w:t> and </w:t>
      </w:r>
      <w:r w:rsidRPr="007D31A0">
        <w:rPr>
          <w:rFonts w:cstheme="minorHAnsi"/>
          <w:i/>
          <w:iCs/>
          <w:sz w:val="24"/>
          <w:szCs w:val="24"/>
        </w:rPr>
        <w:t>N. gonorrhoeae</w:t>
      </w:r>
      <w:r w:rsidRPr="007D31A0">
        <w:rPr>
          <w:rFonts w:cstheme="minorHAnsi"/>
          <w:sz w:val="24"/>
          <w:szCs w:val="24"/>
        </w:rPr>
        <w:t> screening revealed 39 encounters (2.0%) yielding one or both agents. Via </w:t>
      </w:r>
      <w:r w:rsidRPr="007D31A0">
        <w:rPr>
          <w:rFonts w:cstheme="minorHAnsi"/>
          <w:i/>
          <w:iCs/>
          <w:sz w:val="24"/>
          <w:szCs w:val="24"/>
        </w:rPr>
        <w:t>C. trachomatis</w:t>
      </w:r>
      <w:r w:rsidRPr="007D31A0">
        <w:rPr>
          <w:rFonts w:cstheme="minorHAnsi"/>
          <w:sz w:val="24"/>
          <w:szCs w:val="24"/>
        </w:rPr>
        <w:t> and </w:t>
      </w:r>
      <w:r w:rsidRPr="007D31A0">
        <w:rPr>
          <w:rFonts w:cstheme="minorHAnsi"/>
          <w:i/>
          <w:iCs/>
          <w:sz w:val="24"/>
          <w:szCs w:val="24"/>
        </w:rPr>
        <w:t>N. gonorrhoeae</w:t>
      </w:r>
      <w:r w:rsidRPr="007D31A0">
        <w:rPr>
          <w:rFonts w:cstheme="minorHAnsi"/>
          <w:sz w:val="24"/>
          <w:szCs w:val="24"/>
        </w:rPr>
        <w:t> screening that included rectal swab analysis, 264 encounters (13.4%) yielded evidence of either (140 </w:t>
      </w:r>
      <w:r w:rsidRPr="007D31A0">
        <w:rPr>
          <w:rFonts w:cstheme="minorHAnsi"/>
          <w:i/>
          <w:iCs/>
          <w:sz w:val="24"/>
          <w:szCs w:val="24"/>
        </w:rPr>
        <w:t>C. trachomatis</w:t>
      </w:r>
      <w:r w:rsidRPr="007D31A0">
        <w:rPr>
          <w:rFonts w:cstheme="minorHAnsi"/>
          <w:sz w:val="24"/>
          <w:szCs w:val="24"/>
        </w:rPr>
        <w:t>, 88 </w:t>
      </w:r>
      <w:r w:rsidRPr="007D31A0">
        <w:rPr>
          <w:rFonts w:cstheme="minorHAnsi"/>
          <w:i/>
          <w:iCs/>
          <w:sz w:val="24"/>
          <w:szCs w:val="24"/>
        </w:rPr>
        <w:t>N. gonorrhoeae</w:t>
      </w:r>
      <w:r w:rsidRPr="007D31A0">
        <w:rPr>
          <w:rFonts w:cstheme="minorHAnsi"/>
          <w:sz w:val="24"/>
          <w:szCs w:val="24"/>
        </w:rPr>
        <w:t>) or both (36 participants) infections. Detection rates for </w:t>
      </w:r>
      <w:r w:rsidRPr="007D31A0">
        <w:rPr>
          <w:rFonts w:cstheme="minorHAnsi"/>
          <w:i/>
          <w:iCs/>
          <w:sz w:val="24"/>
          <w:szCs w:val="24"/>
        </w:rPr>
        <w:t>C. trachomatis</w:t>
      </w:r>
      <w:r w:rsidRPr="007D31A0">
        <w:rPr>
          <w:rFonts w:cstheme="minorHAnsi"/>
          <w:sz w:val="24"/>
          <w:szCs w:val="24"/>
        </w:rPr>
        <w:t> and </w:t>
      </w:r>
      <w:r w:rsidRPr="007D31A0">
        <w:rPr>
          <w:rFonts w:cstheme="minorHAnsi"/>
          <w:i/>
          <w:iCs/>
          <w:sz w:val="24"/>
          <w:szCs w:val="24"/>
        </w:rPr>
        <w:t>N. gonorrhoeae</w:t>
      </w:r>
      <w:r w:rsidRPr="007D31A0">
        <w:rPr>
          <w:rFonts w:cstheme="minorHAnsi"/>
          <w:sz w:val="24"/>
          <w:szCs w:val="24"/>
        </w:rPr>
        <w:t> were 1.4% and 0.6% for urine screening and 8.2% and 6.2% for rectal screening, respectively. Off-label screening identified 413 additional encounters with STI (5 </w:t>
      </w:r>
      <w:r w:rsidRPr="007D31A0">
        <w:rPr>
          <w:rFonts w:cstheme="minorHAnsi"/>
          <w:i/>
          <w:iCs/>
          <w:sz w:val="24"/>
          <w:szCs w:val="24"/>
        </w:rPr>
        <w:t>T. vaginalis</w:t>
      </w:r>
      <w:r w:rsidRPr="007D31A0">
        <w:rPr>
          <w:rFonts w:cstheme="minorHAnsi"/>
          <w:sz w:val="24"/>
          <w:szCs w:val="24"/>
        </w:rPr>
        <w:t>, 396 </w:t>
      </w:r>
      <w:r w:rsidRPr="007D31A0">
        <w:rPr>
          <w:rFonts w:cstheme="minorHAnsi"/>
          <w:i/>
          <w:iCs/>
          <w:sz w:val="24"/>
          <w:szCs w:val="24"/>
        </w:rPr>
        <w:t xml:space="preserve">M. </w:t>
      </w:r>
      <w:proofErr w:type="spellStart"/>
      <w:r w:rsidRPr="007D31A0">
        <w:rPr>
          <w:rFonts w:cstheme="minorHAnsi"/>
          <w:i/>
          <w:iCs/>
          <w:sz w:val="24"/>
          <w:szCs w:val="24"/>
        </w:rPr>
        <w:t>genitalium</w:t>
      </w:r>
      <w:proofErr w:type="spellEnd"/>
      <w:r w:rsidRPr="007D31A0">
        <w:rPr>
          <w:rFonts w:cstheme="minorHAnsi"/>
          <w:sz w:val="24"/>
          <w:szCs w:val="24"/>
        </w:rPr>
        <w:t>, 12 with both). Of these identifications, 82.1% were generated from analysis of rectal swabs (4 participants with </w:t>
      </w:r>
      <w:r w:rsidRPr="007D31A0">
        <w:rPr>
          <w:rFonts w:cstheme="minorHAnsi"/>
          <w:i/>
          <w:iCs/>
          <w:sz w:val="24"/>
          <w:szCs w:val="24"/>
        </w:rPr>
        <w:t>T. vaginalis</w:t>
      </w:r>
      <w:r w:rsidRPr="007D31A0">
        <w:rPr>
          <w:rFonts w:cstheme="minorHAnsi"/>
          <w:sz w:val="24"/>
          <w:szCs w:val="24"/>
        </w:rPr>
        <w:t>, 323 participants with </w:t>
      </w:r>
      <w:r w:rsidRPr="007D31A0">
        <w:rPr>
          <w:rFonts w:cstheme="minorHAnsi"/>
          <w:i/>
          <w:iCs/>
          <w:sz w:val="24"/>
          <w:szCs w:val="24"/>
        </w:rPr>
        <w:t xml:space="preserve">M. </w:t>
      </w:r>
      <w:proofErr w:type="spellStart"/>
      <w:r w:rsidRPr="007D31A0">
        <w:rPr>
          <w:rFonts w:cstheme="minorHAnsi"/>
          <w:i/>
          <w:iCs/>
          <w:sz w:val="24"/>
          <w:szCs w:val="24"/>
        </w:rPr>
        <w:t>genitalium</w:t>
      </w:r>
      <w:proofErr w:type="spellEnd"/>
      <w:r w:rsidRPr="007D31A0">
        <w:rPr>
          <w:rFonts w:cstheme="minorHAnsi"/>
          <w:sz w:val="24"/>
          <w:szCs w:val="24"/>
        </w:rPr>
        <w:t>, 12 with both). Overall detection rates of </w:t>
      </w:r>
      <w:r w:rsidRPr="007D31A0">
        <w:rPr>
          <w:rFonts w:cstheme="minorHAnsi"/>
          <w:i/>
          <w:iCs/>
          <w:sz w:val="24"/>
          <w:szCs w:val="24"/>
        </w:rPr>
        <w:t>T. vaginalis</w:t>
      </w:r>
      <w:r w:rsidRPr="007D31A0">
        <w:rPr>
          <w:rFonts w:cstheme="minorHAnsi"/>
          <w:sz w:val="24"/>
          <w:szCs w:val="24"/>
        </w:rPr>
        <w:t> (0.2% urine, 1.3% rectal) and </w:t>
      </w:r>
      <w:r w:rsidRPr="007D31A0">
        <w:rPr>
          <w:rFonts w:cstheme="minorHAnsi"/>
          <w:i/>
          <w:iCs/>
          <w:sz w:val="24"/>
          <w:szCs w:val="24"/>
        </w:rPr>
        <w:t xml:space="preserve">M. </w:t>
      </w:r>
      <w:proofErr w:type="spellStart"/>
      <w:r w:rsidRPr="007D31A0">
        <w:rPr>
          <w:rFonts w:cstheme="minorHAnsi"/>
          <w:i/>
          <w:iCs/>
          <w:sz w:val="24"/>
          <w:szCs w:val="24"/>
        </w:rPr>
        <w:t>genitalium</w:t>
      </w:r>
      <w:proofErr w:type="spellEnd"/>
      <w:r w:rsidRPr="007D31A0">
        <w:rPr>
          <w:rFonts w:cstheme="minorHAnsi"/>
          <w:sz w:val="24"/>
          <w:szCs w:val="24"/>
        </w:rPr>
        <w:t> (9.1% urine, 21.5% rectal) were variable.</w:t>
      </w:r>
    </w:p>
    <w:p w14:paraId="2401DE6E" w14:textId="77777777" w:rsidR="007D31A0" w:rsidRPr="007D31A0" w:rsidRDefault="007D31A0" w:rsidP="00886790">
      <w:pPr>
        <w:pStyle w:val="Heading2"/>
      </w:pPr>
      <w:r w:rsidRPr="007D31A0">
        <w:t>Conclusions </w:t>
      </w:r>
    </w:p>
    <w:p w14:paraId="76BEF1C2" w14:textId="77777777" w:rsidR="007D31A0" w:rsidRPr="007D31A0" w:rsidRDefault="007D31A0" w:rsidP="007D31A0">
      <w:pPr>
        <w:rPr>
          <w:rFonts w:cstheme="minorHAnsi"/>
          <w:sz w:val="24"/>
          <w:szCs w:val="24"/>
        </w:rPr>
      </w:pPr>
      <w:r w:rsidRPr="007D31A0">
        <w:rPr>
          <w:rFonts w:cstheme="minorHAnsi"/>
          <w:sz w:val="24"/>
          <w:szCs w:val="24"/>
        </w:rPr>
        <w:t xml:space="preserve">Additive analyte testing, including </w:t>
      </w:r>
      <w:proofErr w:type="spellStart"/>
      <w:r w:rsidRPr="007D31A0">
        <w:rPr>
          <w:rFonts w:cstheme="minorHAnsi"/>
          <w:sz w:val="24"/>
          <w:szCs w:val="24"/>
        </w:rPr>
        <w:t>extraurogenital</w:t>
      </w:r>
      <w:proofErr w:type="spellEnd"/>
      <w:r w:rsidRPr="007D31A0">
        <w:rPr>
          <w:rFonts w:cstheme="minorHAnsi"/>
          <w:sz w:val="24"/>
          <w:szCs w:val="24"/>
        </w:rPr>
        <w:t xml:space="preserve"> collections, contributes to comprehensive STI screening within a high-risk demographic.</w:t>
      </w:r>
    </w:p>
    <w:p w14:paraId="1164D27C" w14:textId="77777777" w:rsidR="00886790" w:rsidRDefault="00886790" w:rsidP="007D31A0">
      <w:pPr>
        <w:rPr>
          <w:rFonts w:cstheme="minorHAnsi"/>
          <w:sz w:val="24"/>
          <w:szCs w:val="24"/>
        </w:rPr>
      </w:pPr>
    </w:p>
    <w:p w14:paraId="164D8A7A" w14:textId="1A9997E4" w:rsidR="007D31A0" w:rsidRPr="007D31A0" w:rsidRDefault="007D31A0" w:rsidP="007D31A0">
      <w:pPr>
        <w:rPr>
          <w:rFonts w:cstheme="minorHAnsi"/>
          <w:sz w:val="24"/>
          <w:szCs w:val="24"/>
        </w:rPr>
      </w:pPr>
      <w:r w:rsidRPr="007D31A0">
        <w:rPr>
          <w:rFonts w:cstheme="minorHAnsi"/>
          <w:sz w:val="24"/>
          <w:szCs w:val="24"/>
        </w:rPr>
        <w:t>Men who have sex with men (MSM) and transgender women are at increased risk for acquisition of sexually transmitted infection (STI), with the rectal mucosa being particularly susceptible to infection by a number of bacterial pathogens.</w:t>
      </w:r>
      <w:r w:rsidRPr="007D31A0">
        <w:rPr>
          <w:rFonts w:cstheme="minorHAnsi"/>
          <w:sz w:val="24"/>
          <w:szCs w:val="24"/>
          <w:vertAlign w:val="superscript"/>
        </w:rPr>
        <w:t>1</w:t>
      </w:r>
      <w:r w:rsidRPr="007D31A0">
        <w:rPr>
          <w:rFonts w:cstheme="minorHAnsi"/>
          <w:sz w:val="24"/>
          <w:szCs w:val="24"/>
        </w:rPr>
        <w:t> Several factors may be responsible for the increased risk of STI among this population including a greater number of sexual partners, increased use of illicit substances, and declining rates of condom use.</w:t>
      </w:r>
      <w:r w:rsidRPr="007D31A0">
        <w:rPr>
          <w:rFonts w:cstheme="minorHAnsi"/>
          <w:sz w:val="24"/>
          <w:szCs w:val="24"/>
          <w:vertAlign w:val="superscript"/>
        </w:rPr>
        <w:t>2</w:t>
      </w:r>
      <w:r w:rsidRPr="007D31A0">
        <w:rPr>
          <w:rFonts w:cstheme="minorHAnsi"/>
          <w:sz w:val="24"/>
          <w:szCs w:val="24"/>
        </w:rPr>
        <w:t xml:space="preserve"> Among transgender women specifically, past research has observed that those who have sex with men often engage in receptive anal intercourse, increasing risk of STI acquisition when compared with </w:t>
      </w:r>
      <w:proofErr w:type="spellStart"/>
      <w:r w:rsidRPr="007D31A0">
        <w:rPr>
          <w:rFonts w:cstheme="minorHAnsi"/>
          <w:sz w:val="24"/>
          <w:szCs w:val="24"/>
        </w:rPr>
        <w:t>insertive</w:t>
      </w:r>
      <w:proofErr w:type="spellEnd"/>
      <w:r w:rsidRPr="007D31A0">
        <w:rPr>
          <w:rFonts w:cstheme="minorHAnsi"/>
          <w:sz w:val="24"/>
          <w:szCs w:val="24"/>
        </w:rPr>
        <w:t xml:space="preserve"> sexual partners.</w:t>
      </w:r>
      <w:r w:rsidRPr="007D31A0">
        <w:rPr>
          <w:rFonts w:cstheme="minorHAnsi"/>
          <w:sz w:val="24"/>
          <w:szCs w:val="24"/>
          <w:vertAlign w:val="superscript"/>
        </w:rPr>
        <w:t>3</w:t>
      </w:r>
      <w:r w:rsidRPr="007D31A0">
        <w:rPr>
          <w:rFonts w:cstheme="minorHAnsi"/>
          <w:sz w:val="24"/>
          <w:szCs w:val="24"/>
        </w:rPr>
        <w:t> In turn, the higher prevalence of STI among these high-risk populations increases risk for HIV acquisition.</w:t>
      </w:r>
      <w:r w:rsidRPr="007D31A0">
        <w:rPr>
          <w:rFonts w:cstheme="minorHAnsi"/>
          <w:sz w:val="24"/>
          <w:szCs w:val="24"/>
          <w:vertAlign w:val="superscript"/>
        </w:rPr>
        <w:t>4</w:t>
      </w:r>
      <w:r w:rsidRPr="007D31A0">
        <w:rPr>
          <w:rFonts w:cstheme="minorHAnsi"/>
          <w:sz w:val="24"/>
          <w:szCs w:val="24"/>
        </w:rPr>
        <w:t> More specifically, both rectal </w:t>
      </w:r>
      <w:r w:rsidRPr="007D31A0">
        <w:rPr>
          <w:rFonts w:cstheme="minorHAnsi"/>
          <w:i/>
          <w:iCs/>
          <w:sz w:val="24"/>
          <w:szCs w:val="24"/>
        </w:rPr>
        <w:t>Chlamydia trachomatis</w:t>
      </w:r>
      <w:r w:rsidRPr="007D31A0">
        <w:rPr>
          <w:rFonts w:cstheme="minorHAnsi"/>
          <w:sz w:val="24"/>
          <w:szCs w:val="24"/>
        </w:rPr>
        <w:t> and </w:t>
      </w:r>
      <w:r w:rsidRPr="007D31A0">
        <w:rPr>
          <w:rFonts w:cstheme="minorHAnsi"/>
          <w:i/>
          <w:iCs/>
          <w:sz w:val="24"/>
          <w:szCs w:val="24"/>
        </w:rPr>
        <w:t>Neisseria gonorrhoeae</w:t>
      </w:r>
      <w:r w:rsidRPr="007D31A0">
        <w:rPr>
          <w:rFonts w:cstheme="minorHAnsi"/>
          <w:sz w:val="24"/>
          <w:szCs w:val="24"/>
        </w:rPr>
        <w:t> infections have been associated with increased risk of HIV seroconversion among MSM.</w:t>
      </w:r>
      <w:r w:rsidRPr="007D31A0">
        <w:rPr>
          <w:rFonts w:cstheme="minorHAnsi"/>
          <w:sz w:val="24"/>
          <w:szCs w:val="24"/>
          <w:vertAlign w:val="superscript"/>
        </w:rPr>
        <w:t>5</w:t>
      </w:r>
      <w:r w:rsidRPr="007D31A0">
        <w:rPr>
          <w:rFonts w:cstheme="minorHAnsi"/>
          <w:sz w:val="24"/>
          <w:szCs w:val="24"/>
        </w:rPr>
        <w:t> Furthermore, MSM who were newly diagnosed with HIV infection were more likely to be asymptomatically infected with either </w:t>
      </w:r>
      <w:r w:rsidRPr="007D31A0">
        <w:rPr>
          <w:rFonts w:cstheme="minorHAnsi"/>
          <w:i/>
          <w:iCs/>
          <w:sz w:val="24"/>
          <w:szCs w:val="24"/>
        </w:rPr>
        <w:t>C. trachomatis</w:t>
      </w:r>
      <w:r w:rsidRPr="007D31A0">
        <w:rPr>
          <w:rFonts w:cstheme="minorHAnsi"/>
          <w:sz w:val="24"/>
          <w:szCs w:val="24"/>
        </w:rPr>
        <w:t> or </w:t>
      </w:r>
      <w:r w:rsidRPr="007D31A0">
        <w:rPr>
          <w:rFonts w:cstheme="minorHAnsi"/>
          <w:i/>
          <w:iCs/>
          <w:sz w:val="24"/>
          <w:szCs w:val="24"/>
        </w:rPr>
        <w:t>N. gonorrhoeae</w:t>
      </w:r>
      <w:r w:rsidRPr="007D31A0">
        <w:rPr>
          <w:rFonts w:cstheme="minorHAnsi"/>
          <w:sz w:val="24"/>
          <w:szCs w:val="24"/>
        </w:rPr>
        <w:t> than those who were HIV seronegative.</w:t>
      </w:r>
      <w:r w:rsidRPr="007D31A0">
        <w:rPr>
          <w:rFonts w:cstheme="minorHAnsi"/>
          <w:sz w:val="24"/>
          <w:szCs w:val="24"/>
          <w:vertAlign w:val="superscript"/>
        </w:rPr>
        <w:t>6</w:t>
      </w:r>
    </w:p>
    <w:p w14:paraId="37C62C7C" w14:textId="77777777" w:rsidR="007D31A0" w:rsidRPr="007D31A0" w:rsidRDefault="007D31A0" w:rsidP="007D31A0">
      <w:pPr>
        <w:rPr>
          <w:rFonts w:cstheme="minorHAnsi"/>
          <w:sz w:val="24"/>
          <w:szCs w:val="24"/>
        </w:rPr>
      </w:pPr>
      <w:r w:rsidRPr="007D31A0">
        <w:rPr>
          <w:rFonts w:cstheme="minorHAnsi"/>
          <w:sz w:val="24"/>
          <w:szCs w:val="24"/>
        </w:rPr>
        <w:t xml:space="preserve">In its most recent STI guidelines, the US Centers for Disease Control and Prevention (CDC) recommended annual screening of urethral STI (urine testing cited as a preferred approach) for sexually active MSM who participate in </w:t>
      </w:r>
      <w:proofErr w:type="spellStart"/>
      <w:r w:rsidRPr="007D31A0">
        <w:rPr>
          <w:rFonts w:cstheme="minorHAnsi"/>
          <w:sz w:val="24"/>
          <w:szCs w:val="24"/>
        </w:rPr>
        <w:t>insertive</w:t>
      </w:r>
      <w:proofErr w:type="spellEnd"/>
      <w:r w:rsidRPr="007D31A0">
        <w:rPr>
          <w:rFonts w:cstheme="minorHAnsi"/>
          <w:sz w:val="24"/>
          <w:szCs w:val="24"/>
        </w:rPr>
        <w:t xml:space="preserve"> anal intercourse.</w:t>
      </w:r>
      <w:r w:rsidRPr="007D31A0">
        <w:rPr>
          <w:rFonts w:cstheme="minorHAnsi"/>
          <w:sz w:val="24"/>
          <w:szCs w:val="24"/>
          <w:vertAlign w:val="superscript"/>
        </w:rPr>
        <w:t>1</w:t>
      </w:r>
      <w:r w:rsidRPr="007D31A0">
        <w:rPr>
          <w:rFonts w:cstheme="minorHAnsi"/>
          <w:sz w:val="24"/>
          <w:szCs w:val="24"/>
        </w:rPr>
        <w:t> Screening for rectal STI is also recommended for MSM who have engaged in receptive anal intercourse within the past year. Although preferred assays within the guidelines for both </w:t>
      </w:r>
      <w:r w:rsidRPr="007D31A0">
        <w:rPr>
          <w:rFonts w:cstheme="minorHAnsi"/>
          <w:i/>
          <w:iCs/>
          <w:sz w:val="24"/>
          <w:szCs w:val="24"/>
        </w:rPr>
        <w:t>C. trachomatis</w:t>
      </w:r>
      <w:r w:rsidRPr="007D31A0">
        <w:rPr>
          <w:rFonts w:cstheme="minorHAnsi"/>
          <w:sz w:val="24"/>
          <w:szCs w:val="24"/>
        </w:rPr>
        <w:t> and </w:t>
      </w:r>
      <w:r w:rsidRPr="007D31A0">
        <w:rPr>
          <w:rFonts w:cstheme="minorHAnsi"/>
          <w:i/>
          <w:iCs/>
          <w:sz w:val="24"/>
          <w:szCs w:val="24"/>
        </w:rPr>
        <w:t>N. gonorrhoeae</w:t>
      </w:r>
      <w:r w:rsidRPr="007D31A0">
        <w:rPr>
          <w:rFonts w:cstheme="minorHAnsi"/>
          <w:sz w:val="24"/>
          <w:szCs w:val="24"/>
        </w:rPr>
        <w:t> detection are those based on nucleic acid amplification testing (NAAT),</w:t>
      </w:r>
      <w:r w:rsidRPr="007D31A0">
        <w:rPr>
          <w:rFonts w:cstheme="minorHAnsi"/>
          <w:sz w:val="24"/>
          <w:szCs w:val="24"/>
          <w:vertAlign w:val="superscript"/>
        </w:rPr>
        <w:t>1</w:t>
      </w:r>
      <w:r w:rsidRPr="007D31A0">
        <w:rPr>
          <w:rFonts w:cstheme="minorHAnsi"/>
          <w:sz w:val="24"/>
          <w:szCs w:val="24"/>
        </w:rPr>
        <w:t xml:space="preserve"> such commercialized testing assays have not traditionally possessed US Food and Drug Administration (FDA) indications for </w:t>
      </w:r>
      <w:proofErr w:type="spellStart"/>
      <w:r w:rsidRPr="007D31A0">
        <w:rPr>
          <w:rFonts w:cstheme="minorHAnsi"/>
          <w:sz w:val="24"/>
          <w:szCs w:val="24"/>
        </w:rPr>
        <w:t>extraurogenital</w:t>
      </w:r>
      <w:proofErr w:type="spellEnd"/>
      <w:r w:rsidRPr="007D31A0">
        <w:rPr>
          <w:rFonts w:cstheme="minorHAnsi"/>
          <w:sz w:val="24"/>
          <w:szCs w:val="24"/>
        </w:rPr>
        <w:t xml:space="preserve"> testing. Laboratories with sufficient resources and technical expertise have the capability to bring laboratory-developed tests or laboratory-modified assays onto their respective testing platforms</w:t>
      </w:r>
      <w:r w:rsidRPr="007D31A0">
        <w:rPr>
          <w:rFonts w:cstheme="minorHAnsi"/>
          <w:sz w:val="24"/>
          <w:szCs w:val="24"/>
          <w:vertAlign w:val="superscript"/>
        </w:rPr>
        <w:t>7</w:t>
      </w:r>
      <w:r w:rsidRPr="007D31A0">
        <w:rPr>
          <w:rFonts w:cstheme="minorHAnsi"/>
          <w:sz w:val="24"/>
          <w:szCs w:val="24"/>
        </w:rPr>
        <w:t> to assist their clinician and community partners in following CDC STI screening guidelines. One investigation of 2 commercial NAAT assays for off-label detection of STI agents from rectal sources</w:t>
      </w:r>
      <w:r w:rsidRPr="007D31A0">
        <w:rPr>
          <w:rFonts w:cstheme="minorHAnsi"/>
          <w:sz w:val="24"/>
          <w:szCs w:val="24"/>
          <w:vertAlign w:val="superscript"/>
        </w:rPr>
        <w:t>8</w:t>
      </w:r>
      <w:r w:rsidRPr="007D31A0">
        <w:rPr>
          <w:rFonts w:cstheme="minorHAnsi"/>
          <w:sz w:val="24"/>
          <w:szCs w:val="24"/>
        </w:rPr>
        <w:t> revealed sensitivity values of ≥93.1% and ≥94.7% for detection of </w:t>
      </w:r>
      <w:r w:rsidRPr="007D31A0">
        <w:rPr>
          <w:rFonts w:cstheme="minorHAnsi"/>
          <w:i/>
          <w:iCs/>
          <w:sz w:val="24"/>
          <w:szCs w:val="24"/>
        </w:rPr>
        <w:t>N. gonorrhoeae</w:t>
      </w:r>
      <w:r w:rsidRPr="007D31A0">
        <w:rPr>
          <w:rFonts w:cstheme="minorHAnsi"/>
          <w:sz w:val="24"/>
          <w:szCs w:val="24"/>
        </w:rPr>
        <w:t> and </w:t>
      </w:r>
      <w:r w:rsidRPr="007D31A0">
        <w:rPr>
          <w:rFonts w:cstheme="minorHAnsi"/>
          <w:i/>
          <w:iCs/>
          <w:sz w:val="24"/>
          <w:szCs w:val="24"/>
        </w:rPr>
        <w:t>C. trachomatis</w:t>
      </w:r>
      <w:r w:rsidRPr="007D31A0">
        <w:rPr>
          <w:rFonts w:cstheme="minorHAnsi"/>
          <w:sz w:val="24"/>
          <w:szCs w:val="24"/>
        </w:rPr>
        <w:t>, respectively. Corresponding culture sensitivity indices were 41.4% and 21.1%.</w:t>
      </w:r>
    </w:p>
    <w:p w14:paraId="48A5536F" w14:textId="77777777" w:rsidR="007D31A0" w:rsidRPr="007D31A0" w:rsidRDefault="007D31A0" w:rsidP="007D31A0">
      <w:pPr>
        <w:rPr>
          <w:rFonts w:cstheme="minorHAnsi"/>
          <w:sz w:val="24"/>
          <w:szCs w:val="24"/>
        </w:rPr>
      </w:pPr>
      <w:r w:rsidRPr="007D31A0">
        <w:rPr>
          <w:rFonts w:cstheme="minorHAnsi"/>
          <w:sz w:val="24"/>
          <w:szCs w:val="24"/>
        </w:rPr>
        <w:t>Recent studies have documented significant detection of </w:t>
      </w:r>
      <w:r w:rsidRPr="007D31A0">
        <w:rPr>
          <w:rFonts w:cstheme="minorHAnsi"/>
          <w:i/>
          <w:iCs/>
          <w:sz w:val="24"/>
          <w:szCs w:val="24"/>
        </w:rPr>
        <w:t>C. trachomatis</w:t>
      </w:r>
      <w:r w:rsidRPr="007D31A0">
        <w:rPr>
          <w:rFonts w:cstheme="minorHAnsi"/>
          <w:sz w:val="24"/>
          <w:szCs w:val="24"/>
        </w:rPr>
        <w:t>– and </w:t>
      </w:r>
      <w:r w:rsidRPr="007D31A0">
        <w:rPr>
          <w:rFonts w:cstheme="minorHAnsi"/>
          <w:i/>
          <w:iCs/>
          <w:sz w:val="24"/>
          <w:szCs w:val="24"/>
        </w:rPr>
        <w:t>N. gonorrhoeae</w:t>
      </w:r>
      <w:r w:rsidRPr="007D31A0">
        <w:rPr>
          <w:rFonts w:cstheme="minorHAnsi"/>
          <w:sz w:val="24"/>
          <w:szCs w:val="24"/>
        </w:rPr>
        <w:t xml:space="preserve">–specific nucleic acid from </w:t>
      </w:r>
      <w:proofErr w:type="spellStart"/>
      <w:r w:rsidRPr="007D31A0">
        <w:rPr>
          <w:rFonts w:cstheme="minorHAnsi"/>
          <w:sz w:val="24"/>
          <w:szCs w:val="24"/>
        </w:rPr>
        <w:t>extraurogenital</w:t>
      </w:r>
      <w:proofErr w:type="spellEnd"/>
      <w:r w:rsidRPr="007D31A0">
        <w:rPr>
          <w:rFonts w:cstheme="minorHAnsi"/>
          <w:sz w:val="24"/>
          <w:szCs w:val="24"/>
        </w:rPr>
        <w:t xml:space="preserve"> specimens collected from STI clinic populations and from other at-risk demographics.</w:t>
      </w:r>
      <w:r w:rsidRPr="007D31A0">
        <w:rPr>
          <w:rFonts w:cstheme="minorHAnsi"/>
          <w:sz w:val="24"/>
          <w:szCs w:val="24"/>
          <w:vertAlign w:val="superscript"/>
        </w:rPr>
        <w:t>9,10</w:t>
      </w:r>
      <w:r w:rsidRPr="007D31A0">
        <w:rPr>
          <w:rFonts w:cstheme="minorHAnsi"/>
          <w:sz w:val="24"/>
          <w:szCs w:val="24"/>
        </w:rPr>
        <w:t> The urogenital parasite </w:t>
      </w:r>
      <w:r w:rsidRPr="007D31A0">
        <w:rPr>
          <w:rFonts w:cstheme="minorHAnsi"/>
          <w:i/>
          <w:iCs/>
          <w:sz w:val="24"/>
          <w:szCs w:val="24"/>
        </w:rPr>
        <w:t>Trichomonas vaginalis</w:t>
      </w:r>
      <w:r w:rsidRPr="007D31A0">
        <w:rPr>
          <w:rFonts w:cstheme="minorHAnsi"/>
          <w:sz w:val="24"/>
          <w:szCs w:val="24"/>
        </w:rPr>
        <w:t> and the cell wall–devoid bacterium </w:t>
      </w:r>
      <w:r w:rsidRPr="007D31A0">
        <w:rPr>
          <w:rFonts w:cstheme="minorHAnsi"/>
          <w:i/>
          <w:iCs/>
          <w:sz w:val="24"/>
          <w:szCs w:val="24"/>
        </w:rPr>
        <w:t xml:space="preserve">Mycoplasma </w:t>
      </w:r>
      <w:proofErr w:type="spellStart"/>
      <w:r w:rsidRPr="007D31A0">
        <w:rPr>
          <w:rFonts w:cstheme="minorHAnsi"/>
          <w:i/>
          <w:iCs/>
          <w:sz w:val="24"/>
          <w:szCs w:val="24"/>
        </w:rPr>
        <w:t>genitalium</w:t>
      </w:r>
      <w:proofErr w:type="spellEnd"/>
      <w:r w:rsidRPr="007D31A0">
        <w:rPr>
          <w:rFonts w:cstheme="minorHAnsi"/>
          <w:sz w:val="24"/>
          <w:szCs w:val="24"/>
        </w:rPr>
        <w:t> have been found to be more commonly identified agents of STI than previously considered. Nucleic acid amplification testing technologies have advanced to the point where men can now be screened for these agents, with the assistance of laboratory-modified testing.</w:t>
      </w:r>
      <w:r w:rsidRPr="007D31A0">
        <w:rPr>
          <w:rFonts w:cstheme="minorHAnsi"/>
          <w:sz w:val="24"/>
          <w:szCs w:val="24"/>
          <w:vertAlign w:val="superscript"/>
        </w:rPr>
        <w:t>11,12</w:t>
      </w:r>
      <w:r w:rsidRPr="007D31A0">
        <w:rPr>
          <w:rFonts w:cstheme="minorHAnsi"/>
          <w:sz w:val="24"/>
          <w:szCs w:val="24"/>
        </w:rPr>
        <w:t> However, few reports have documented the prevalence of these agents in the young MSM and transgender women demographics. We hereby provide preliminary insight into the utility of </w:t>
      </w:r>
      <w:r w:rsidRPr="007D31A0">
        <w:rPr>
          <w:rFonts w:cstheme="minorHAnsi"/>
          <w:i/>
          <w:iCs/>
          <w:sz w:val="24"/>
          <w:szCs w:val="24"/>
        </w:rPr>
        <w:t>T. vaginalis</w:t>
      </w:r>
      <w:r w:rsidRPr="007D31A0">
        <w:rPr>
          <w:rFonts w:cstheme="minorHAnsi"/>
          <w:sz w:val="24"/>
          <w:szCs w:val="24"/>
        </w:rPr>
        <w:t> and </w:t>
      </w:r>
      <w:r w:rsidRPr="007D31A0">
        <w:rPr>
          <w:rFonts w:cstheme="minorHAnsi"/>
          <w:i/>
          <w:iCs/>
          <w:sz w:val="24"/>
          <w:szCs w:val="24"/>
        </w:rPr>
        <w:t xml:space="preserve">M. </w:t>
      </w:r>
      <w:proofErr w:type="spellStart"/>
      <w:r w:rsidRPr="007D31A0">
        <w:rPr>
          <w:rFonts w:cstheme="minorHAnsi"/>
          <w:i/>
          <w:iCs/>
          <w:sz w:val="24"/>
          <w:szCs w:val="24"/>
        </w:rPr>
        <w:t>genitalium</w:t>
      </w:r>
      <w:proofErr w:type="spellEnd"/>
      <w:r w:rsidRPr="007D31A0">
        <w:rPr>
          <w:rFonts w:cstheme="minorHAnsi"/>
          <w:sz w:val="24"/>
          <w:szCs w:val="24"/>
        </w:rPr>
        <w:t> screening of both urogenital and rectal swab specimens within this high-risk cohort.</w:t>
      </w:r>
    </w:p>
    <w:p w14:paraId="097EA09F" w14:textId="77777777" w:rsidR="007D31A0" w:rsidRPr="007D31A0" w:rsidRDefault="007D31A0" w:rsidP="00886790">
      <w:pPr>
        <w:pStyle w:val="Heading1"/>
      </w:pPr>
      <w:r w:rsidRPr="007D31A0">
        <w:t>MATERIALS AND METHODS</w:t>
      </w:r>
    </w:p>
    <w:p w14:paraId="59E49853" w14:textId="77777777" w:rsidR="007D31A0" w:rsidRPr="007D31A0" w:rsidRDefault="007D31A0" w:rsidP="00886790">
      <w:pPr>
        <w:pStyle w:val="Heading2"/>
      </w:pPr>
      <w:r w:rsidRPr="007D31A0">
        <w:t>Cohort Eligibility</w:t>
      </w:r>
    </w:p>
    <w:p w14:paraId="31B49A92" w14:textId="77777777" w:rsidR="007D31A0" w:rsidRPr="007D31A0" w:rsidRDefault="007D31A0" w:rsidP="007D31A0">
      <w:pPr>
        <w:rPr>
          <w:rFonts w:cstheme="minorHAnsi"/>
          <w:sz w:val="24"/>
          <w:szCs w:val="24"/>
        </w:rPr>
      </w:pPr>
      <w:r w:rsidRPr="007D31A0">
        <w:rPr>
          <w:rFonts w:cstheme="minorHAnsi"/>
          <w:sz w:val="24"/>
          <w:szCs w:val="24"/>
        </w:rPr>
        <w:t xml:space="preserve">RADAR is a cohort study (current n = 1132) examining HIV risk factors, substance use, and relationship patterns among young MSM and transgender women in the Chicago, Illinois region. The study's multilevel design focuses on individual, dyadic, network and biologic factors that may be associated with HIV. Participants are followed up through the developmental period of late adolescence to early adulthood, which is a critical period of initiation and acceleration of sexual behavior and substance use. This cohort and methods of recruitment have been described previously and were selected in order to achieve the </w:t>
      </w:r>
      <w:proofErr w:type="gramStart"/>
      <w:r w:rsidRPr="007D31A0">
        <w:rPr>
          <w:rFonts w:cstheme="minorHAnsi"/>
          <w:sz w:val="24"/>
          <w:szCs w:val="24"/>
        </w:rPr>
        <w:t>multiple-cohort</w:t>
      </w:r>
      <w:proofErr w:type="gramEnd"/>
      <w:r w:rsidRPr="007D31A0">
        <w:rPr>
          <w:rFonts w:cstheme="minorHAnsi"/>
          <w:sz w:val="24"/>
          <w:szCs w:val="24"/>
        </w:rPr>
        <w:t>, accelerated longitudinal study design. Eligibility requirements at time of participant enrollment include the following: ages 16 to 29 years, male assignment at birth, English speaking, and report of a sexual encounter with a man in the previous year or identification as gay, bisexual, or transgender. The overall sample is also augmented by recruitment of serious partners of RADAR cohort members who meet the eligibility criteria, with “serious” being self-defined by the participant. Participant interviews included both self-reported and interviewer-administered sections. Data collection began in February 2015, with participants being followed up for 4.5 years and study visits occurring every 6 months. This investigation received institutional review board approval through Northwestern University. Informed consent was obtained from all study participants.</w:t>
      </w:r>
    </w:p>
    <w:p w14:paraId="789A9486" w14:textId="77777777" w:rsidR="007D31A0" w:rsidRPr="007D31A0" w:rsidRDefault="007D31A0" w:rsidP="00886790">
      <w:pPr>
        <w:pStyle w:val="Heading2"/>
      </w:pPr>
      <w:r w:rsidRPr="007D31A0">
        <w:t>Collection of Participant Data and Provision of Specimens</w:t>
      </w:r>
    </w:p>
    <w:p w14:paraId="5D40CF71" w14:textId="77777777" w:rsidR="007D31A0" w:rsidRPr="007D31A0" w:rsidRDefault="007D31A0" w:rsidP="007D31A0">
      <w:pPr>
        <w:rPr>
          <w:rFonts w:cstheme="minorHAnsi"/>
          <w:sz w:val="24"/>
          <w:szCs w:val="24"/>
        </w:rPr>
      </w:pPr>
      <w:r w:rsidRPr="007D31A0">
        <w:rPr>
          <w:rFonts w:cstheme="minorHAnsi"/>
          <w:sz w:val="24"/>
          <w:szCs w:val="24"/>
        </w:rPr>
        <w:t>Data used in these analyses were collected from March 2018 through June 2019, as screening for </w:t>
      </w:r>
      <w:r w:rsidRPr="007D31A0">
        <w:rPr>
          <w:rFonts w:cstheme="minorHAnsi"/>
          <w:i/>
          <w:iCs/>
          <w:sz w:val="24"/>
          <w:szCs w:val="24"/>
        </w:rPr>
        <w:t>T. vaginalis</w:t>
      </w:r>
      <w:r w:rsidRPr="007D31A0">
        <w:rPr>
          <w:rFonts w:cstheme="minorHAnsi"/>
          <w:sz w:val="24"/>
          <w:szCs w:val="24"/>
        </w:rPr>
        <w:t> and </w:t>
      </w:r>
      <w:r w:rsidRPr="007D31A0">
        <w:rPr>
          <w:rFonts w:cstheme="minorHAnsi"/>
          <w:i/>
          <w:iCs/>
          <w:sz w:val="24"/>
          <w:szCs w:val="24"/>
        </w:rPr>
        <w:t xml:space="preserve">M. </w:t>
      </w:r>
      <w:proofErr w:type="spellStart"/>
      <w:r w:rsidRPr="007D31A0">
        <w:rPr>
          <w:rFonts w:cstheme="minorHAnsi"/>
          <w:i/>
          <w:iCs/>
          <w:sz w:val="24"/>
          <w:szCs w:val="24"/>
        </w:rPr>
        <w:t>genitalium</w:t>
      </w:r>
      <w:proofErr w:type="spellEnd"/>
      <w:r w:rsidRPr="007D31A0">
        <w:rPr>
          <w:rFonts w:cstheme="minorHAnsi"/>
          <w:sz w:val="24"/>
          <w:szCs w:val="24"/>
        </w:rPr>
        <w:t xml:space="preserve"> was added to the protocol during this time. Participants were asked to provide 10 to 15 mL of first-void urine (subsequently aliquoted to an Aptima Urine Specimen Collection Kit [Hologic, Incorporated, San Diego, CA] at the study site) and to self-collect a rectal swab specimen using the Aptima </w:t>
      </w:r>
      <w:proofErr w:type="spellStart"/>
      <w:r w:rsidRPr="007D31A0">
        <w:rPr>
          <w:rFonts w:cstheme="minorHAnsi"/>
          <w:sz w:val="24"/>
          <w:szCs w:val="24"/>
        </w:rPr>
        <w:t>Multitest</w:t>
      </w:r>
      <w:proofErr w:type="spellEnd"/>
      <w:r w:rsidRPr="007D31A0">
        <w:rPr>
          <w:rFonts w:cstheme="minorHAnsi"/>
          <w:sz w:val="24"/>
          <w:szCs w:val="24"/>
        </w:rPr>
        <w:t xml:space="preserve"> Swab Specimen Collection Kit (Hologic). All specimens were maintained at 2°C to 30°C before test performance. All specimens were tested within 2 to 14 days of collection.</w:t>
      </w:r>
    </w:p>
    <w:p w14:paraId="1A62F825" w14:textId="77777777" w:rsidR="007D31A0" w:rsidRPr="007D31A0" w:rsidRDefault="007D31A0" w:rsidP="00886790">
      <w:pPr>
        <w:pStyle w:val="Heading2"/>
      </w:pPr>
      <w:r w:rsidRPr="007D31A0">
        <w:t>Molecular Assays</w:t>
      </w:r>
    </w:p>
    <w:p w14:paraId="61D671F7" w14:textId="77777777" w:rsidR="007D31A0" w:rsidRPr="007D31A0" w:rsidRDefault="007D31A0" w:rsidP="007D31A0">
      <w:pPr>
        <w:rPr>
          <w:rFonts w:cstheme="minorHAnsi"/>
          <w:sz w:val="24"/>
          <w:szCs w:val="24"/>
        </w:rPr>
      </w:pPr>
      <w:r w:rsidRPr="007D31A0">
        <w:rPr>
          <w:rFonts w:cstheme="minorHAnsi"/>
          <w:sz w:val="24"/>
          <w:szCs w:val="24"/>
        </w:rPr>
        <w:t>Simultaneous detection of </w:t>
      </w:r>
      <w:r w:rsidRPr="007D31A0">
        <w:rPr>
          <w:rFonts w:cstheme="minorHAnsi"/>
          <w:i/>
          <w:iCs/>
          <w:sz w:val="24"/>
          <w:szCs w:val="24"/>
        </w:rPr>
        <w:t>C. trachomatis</w:t>
      </w:r>
      <w:r w:rsidRPr="007D31A0">
        <w:rPr>
          <w:rFonts w:cstheme="minorHAnsi"/>
          <w:sz w:val="24"/>
          <w:szCs w:val="24"/>
        </w:rPr>
        <w:t>–specific 23S ribosomal (r)RNA and </w:t>
      </w:r>
      <w:r w:rsidRPr="007D31A0">
        <w:rPr>
          <w:rFonts w:cstheme="minorHAnsi"/>
          <w:i/>
          <w:iCs/>
          <w:sz w:val="24"/>
          <w:szCs w:val="24"/>
        </w:rPr>
        <w:t>N. gonorrhoeae</w:t>
      </w:r>
      <w:r w:rsidRPr="007D31A0">
        <w:rPr>
          <w:rFonts w:cstheme="minorHAnsi"/>
          <w:sz w:val="24"/>
          <w:szCs w:val="24"/>
        </w:rPr>
        <w:t>-specific 16S rRNA from separate first-void urine and rectal swab specimens occurred by FDA-indicated and off-label utilizations, respectively, of Aptima Combo 2 (Hologic). Detection of </w:t>
      </w:r>
      <w:r w:rsidRPr="007D31A0">
        <w:rPr>
          <w:rFonts w:cstheme="minorHAnsi"/>
          <w:i/>
          <w:iCs/>
          <w:sz w:val="24"/>
          <w:szCs w:val="24"/>
        </w:rPr>
        <w:t>T. vaginalis</w:t>
      </w:r>
      <w:r w:rsidRPr="007D31A0">
        <w:rPr>
          <w:rFonts w:cstheme="minorHAnsi"/>
          <w:sz w:val="24"/>
          <w:szCs w:val="24"/>
        </w:rPr>
        <w:t> 18S rRNA from both specimen sources occurred by off-label utilization of Aptima </w:t>
      </w:r>
      <w:r w:rsidRPr="007D31A0">
        <w:rPr>
          <w:rFonts w:cstheme="minorHAnsi"/>
          <w:i/>
          <w:iCs/>
          <w:sz w:val="24"/>
          <w:szCs w:val="24"/>
        </w:rPr>
        <w:t>T. vaginalis</w:t>
      </w:r>
      <w:r w:rsidRPr="007D31A0">
        <w:rPr>
          <w:rFonts w:cstheme="minorHAnsi"/>
          <w:sz w:val="24"/>
          <w:szCs w:val="24"/>
        </w:rPr>
        <w:t> (Hologic). Detection of </w:t>
      </w:r>
      <w:r w:rsidRPr="007D31A0">
        <w:rPr>
          <w:rFonts w:cstheme="minorHAnsi"/>
          <w:i/>
          <w:iCs/>
          <w:sz w:val="24"/>
          <w:szCs w:val="24"/>
        </w:rPr>
        <w:t xml:space="preserve">M. </w:t>
      </w:r>
      <w:proofErr w:type="spellStart"/>
      <w:r w:rsidRPr="007D31A0">
        <w:rPr>
          <w:rFonts w:cstheme="minorHAnsi"/>
          <w:i/>
          <w:iCs/>
          <w:sz w:val="24"/>
          <w:szCs w:val="24"/>
        </w:rPr>
        <w:t>genitalium</w:t>
      </w:r>
      <w:proofErr w:type="spellEnd"/>
      <w:r w:rsidRPr="007D31A0">
        <w:rPr>
          <w:rFonts w:cstheme="minorHAnsi"/>
          <w:sz w:val="24"/>
          <w:szCs w:val="24"/>
        </w:rPr>
        <w:t xml:space="preserve"> 16S rRNA was facilitated by a laboratory-developed test using an analyte-specific reagent provided by Hologic. Accuracy of the </w:t>
      </w:r>
      <w:proofErr w:type="gramStart"/>
      <w:r w:rsidRPr="007D31A0">
        <w:rPr>
          <w:rFonts w:cstheme="minorHAnsi"/>
          <w:sz w:val="24"/>
          <w:szCs w:val="24"/>
        </w:rPr>
        <w:t>aforementioned transcription-mediated</w:t>
      </w:r>
      <w:proofErr w:type="gramEnd"/>
      <w:r w:rsidRPr="007D31A0">
        <w:rPr>
          <w:rFonts w:cstheme="minorHAnsi"/>
          <w:sz w:val="24"/>
          <w:szCs w:val="24"/>
        </w:rPr>
        <w:t xml:space="preserve"> amplification (TMA)–based assays for off-label detection of </w:t>
      </w:r>
      <w:r w:rsidRPr="007D31A0">
        <w:rPr>
          <w:rFonts w:cstheme="minorHAnsi"/>
          <w:i/>
          <w:iCs/>
          <w:sz w:val="24"/>
          <w:szCs w:val="24"/>
        </w:rPr>
        <w:t>T. vaginalis</w:t>
      </w:r>
      <w:r w:rsidRPr="007D31A0">
        <w:rPr>
          <w:rFonts w:cstheme="minorHAnsi"/>
          <w:sz w:val="24"/>
          <w:szCs w:val="24"/>
        </w:rPr>
        <w:t> rRNA and for detection of </w:t>
      </w:r>
      <w:r w:rsidRPr="007D31A0">
        <w:rPr>
          <w:rFonts w:cstheme="minorHAnsi"/>
          <w:i/>
          <w:iCs/>
          <w:sz w:val="24"/>
          <w:szCs w:val="24"/>
        </w:rPr>
        <w:t xml:space="preserve">M. </w:t>
      </w:r>
      <w:proofErr w:type="spellStart"/>
      <w:r w:rsidRPr="007D31A0">
        <w:rPr>
          <w:rFonts w:cstheme="minorHAnsi"/>
          <w:i/>
          <w:iCs/>
          <w:sz w:val="24"/>
          <w:szCs w:val="24"/>
        </w:rPr>
        <w:t>genitalium</w:t>
      </w:r>
      <w:proofErr w:type="spellEnd"/>
      <w:r w:rsidRPr="007D31A0">
        <w:rPr>
          <w:rFonts w:cstheme="minorHAnsi"/>
          <w:sz w:val="24"/>
          <w:szCs w:val="24"/>
        </w:rPr>
        <w:t> rRNA has previously been demonstrated.</w:t>
      </w:r>
      <w:r w:rsidRPr="007D31A0">
        <w:rPr>
          <w:rFonts w:cstheme="minorHAnsi"/>
          <w:sz w:val="24"/>
          <w:szCs w:val="24"/>
          <w:vertAlign w:val="superscript"/>
        </w:rPr>
        <w:t>10,13</w:t>
      </w:r>
      <w:r w:rsidRPr="007D31A0">
        <w:rPr>
          <w:rFonts w:cstheme="minorHAnsi"/>
          <w:sz w:val="24"/>
          <w:szCs w:val="24"/>
        </w:rPr>
        <w:t> All testing was performed via direct tube sampling on the Panther automated system (Hologic). The analyzer provided qualitative interpretive data from </w:t>
      </w:r>
      <w:r w:rsidRPr="007D31A0">
        <w:rPr>
          <w:rFonts w:cstheme="minorHAnsi"/>
          <w:i/>
          <w:iCs/>
          <w:sz w:val="24"/>
          <w:szCs w:val="24"/>
        </w:rPr>
        <w:t>C. trachomatis</w:t>
      </w:r>
      <w:r w:rsidRPr="007D31A0">
        <w:rPr>
          <w:rFonts w:cstheme="minorHAnsi"/>
          <w:sz w:val="24"/>
          <w:szCs w:val="24"/>
        </w:rPr>
        <w:t>, </w:t>
      </w:r>
      <w:r w:rsidRPr="007D31A0">
        <w:rPr>
          <w:rFonts w:cstheme="minorHAnsi"/>
          <w:i/>
          <w:iCs/>
          <w:sz w:val="24"/>
          <w:szCs w:val="24"/>
        </w:rPr>
        <w:t>N. gonorrhoeae</w:t>
      </w:r>
      <w:r w:rsidRPr="007D31A0">
        <w:rPr>
          <w:rFonts w:cstheme="minorHAnsi"/>
          <w:sz w:val="24"/>
          <w:szCs w:val="24"/>
        </w:rPr>
        <w:t>, and </w:t>
      </w:r>
      <w:r w:rsidRPr="007D31A0">
        <w:rPr>
          <w:rFonts w:cstheme="minorHAnsi"/>
          <w:i/>
          <w:iCs/>
          <w:sz w:val="24"/>
          <w:szCs w:val="24"/>
        </w:rPr>
        <w:t>T. vaginalis</w:t>
      </w:r>
      <w:r w:rsidRPr="007D31A0">
        <w:rPr>
          <w:rFonts w:cstheme="minorHAnsi"/>
          <w:sz w:val="24"/>
          <w:szCs w:val="24"/>
        </w:rPr>
        <w:t> testing. Relative light unit values ≥50,000 generated from </w:t>
      </w:r>
      <w:r w:rsidRPr="007D31A0">
        <w:rPr>
          <w:rFonts w:cstheme="minorHAnsi"/>
          <w:i/>
          <w:iCs/>
          <w:sz w:val="24"/>
          <w:szCs w:val="24"/>
        </w:rPr>
        <w:t xml:space="preserve">M. </w:t>
      </w:r>
      <w:proofErr w:type="spellStart"/>
      <w:r w:rsidRPr="007D31A0">
        <w:rPr>
          <w:rFonts w:cstheme="minorHAnsi"/>
          <w:i/>
          <w:iCs/>
          <w:sz w:val="24"/>
          <w:szCs w:val="24"/>
        </w:rPr>
        <w:t>genitalium</w:t>
      </w:r>
      <w:proofErr w:type="spellEnd"/>
      <w:r w:rsidRPr="007D31A0">
        <w:rPr>
          <w:rFonts w:cstheme="minorHAnsi"/>
          <w:sz w:val="24"/>
          <w:szCs w:val="24"/>
        </w:rPr>
        <w:t> TMA were interpreted positive for </w:t>
      </w:r>
      <w:r w:rsidRPr="007D31A0">
        <w:rPr>
          <w:rFonts w:cstheme="minorHAnsi"/>
          <w:i/>
          <w:iCs/>
          <w:sz w:val="24"/>
          <w:szCs w:val="24"/>
        </w:rPr>
        <w:t xml:space="preserve">M. </w:t>
      </w:r>
      <w:proofErr w:type="spellStart"/>
      <w:r w:rsidRPr="007D31A0">
        <w:rPr>
          <w:rFonts w:cstheme="minorHAnsi"/>
          <w:i/>
          <w:iCs/>
          <w:sz w:val="24"/>
          <w:szCs w:val="24"/>
        </w:rPr>
        <w:t>genitalium</w:t>
      </w:r>
      <w:proofErr w:type="spellEnd"/>
      <w:r w:rsidRPr="007D31A0">
        <w:rPr>
          <w:rFonts w:cstheme="minorHAnsi"/>
          <w:sz w:val="24"/>
          <w:szCs w:val="24"/>
        </w:rPr>
        <w:t> rRNA detection.</w:t>
      </w:r>
      <w:r w:rsidRPr="007D31A0">
        <w:rPr>
          <w:rFonts w:cstheme="minorHAnsi"/>
          <w:sz w:val="24"/>
          <w:szCs w:val="24"/>
          <w:vertAlign w:val="superscript"/>
        </w:rPr>
        <w:t>14</w:t>
      </w:r>
    </w:p>
    <w:p w14:paraId="7ADEF85A" w14:textId="77777777" w:rsidR="007D31A0" w:rsidRPr="007D31A0" w:rsidRDefault="007D31A0" w:rsidP="00886790">
      <w:pPr>
        <w:pStyle w:val="Heading2"/>
      </w:pPr>
      <w:r w:rsidRPr="007D31A0">
        <w:t>Data Analysis</w:t>
      </w:r>
    </w:p>
    <w:p w14:paraId="56EA9CEA" w14:textId="77777777" w:rsidR="007D31A0" w:rsidRPr="007D31A0" w:rsidRDefault="007D31A0" w:rsidP="007D31A0">
      <w:pPr>
        <w:rPr>
          <w:rFonts w:cstheme="minorHAnsi"/>
          <w:sz w:val="24"/>
          <w:szCs w:val="24"/>
        </w:rPr>
      </w:pPr>
      <w:r w:rsidRPr="007D31A0">
        <w:rPr>
          <w:rFonts w:cstheme="minorHAnsi"/>
          <w:sz w:val="24"/>
          <w:szCs w:val="24"/>
        </w:rPr>
        <w:t xml:space="preserve">Frequency and proportion of detectable STI results were examined for each STI agent and specimen source. </w:t>
      </w:r>
      <w:proofErr w:type="gramStart"/>
      <w:r w:rsidRPr="007D31A0">
        <w:rPr>
          <w:rFonts w:cstheme="minorHAnsi"/>
          <w:sz w:val="24"/>
          <w:szCs w:val="24"/>
        </w:rPr>
        <w:t>In order to</w:t>
      </w:r>
      <w:proofErr w:type="gramEnd"/>
      <w:r w:rsidRPr="007D31A0">
        <w:rPr>
          <w:rFonts w:cstheme="minorHAnsi"/>
          <w:sz w:val="24"/>
          <w:szCs w:val="24"/>
        </w:rPr>
        <w:t xml:space="preserve"> account for within-subject correlation produced through repeated STI testing, generalized estimating equations using a binary distribution were used to compute 95% confidence intervals (CIs) and to test for statistical significance in proportions between STI agents and specimen sources. An a priori decision was made to examine statistical significance using a 2-tailed test with an α level of 0.05. In instances where missing data were present (&lt;1.0%), observations were excluded from analyses.</w:t>
      </w:r>
    </w:p>
    <w:p w14:paraId="01929F8B" w14:textId="77777777" w:rsidR="007D31A0" w:rsidRPr="007D31A0" w:rsidRDefault="007D31A0" w:rsidP="00886790">
      <w:pPr>
        <w:pStyle w:val="Heading1"/>
      </w:pPr>
      <w:r w:rsidRPr="007D31A0">
        <w:t>RESULTS</w:t>
      </w:r>
    </w:p>
    <w:p w14:paraId="70FF4580" w14:textId="77777777" w:rsidR="007D31A0" w:rsidRPr="007D31A0" w:rsidRDefault="007D31A0" w:rsidP="00886790">
      <w:pPr>
        <w:pStyle w:val="Heading2"/>
      </w:pPr>
      <w:r w:rsidRPr="007D31A0">
        <w:t xml:space="preserve">Demographic Characteristics Associated </w:t>
      </w:r>
      <w:proofErr w:type="gramStart"/>
      <w:r w:rsidRPr="007D31A0">
        <w:t>With</w:t>
      </w:r>
      <w:proofErr w:type="gramEnd"/>
      <w:r w:rsidRPr="007D31A0">
        <w:t xml:space="preserve"> Patient Encounters</w:t>
      </w:r>
    </w:p>
    <w:p w14:paraId="0C1A2D93" w14:textId="6587DE05" w:rsidR="007D31A0" w:rsidRPr="007D31A0" w:rsidRDefault="007D31A0" w:rsidP="007D31A0">
      <w:pPr>
        <w:rPr>
          <w:rFonts w:cstheme="minorHAnsi"/>
          <w:sz w:val="24"/>
          <w:szCs w:val="24"/>
        </w:rPr>
      </w:pPr>
      <w:r w:rsidRPr="007D31A0">
        <w:rPr>
          <w:rFonts w:cstheme="minorHAnsi"/>
          <w:sz w:val="24"/>
          <w:szCs w:val="24"/>
        </w:rPr>
        <w:t xml:space="preserve">From March 2018 through June 2019, </w:t>
      </w:r>
      <w:proofErr w:type="gramStart"/>
      <w:r w:rsidRPr="007D31A0">
        <w:rPr>
          <w:rFonts w:cstheme="minorHAnsi"/>
          <w:sz w:val="24"/>
          <w:szCs w:val="24"/>
        </w:rPr>
        <w:t>1983</w:t>
      </w:r>
      <w:proofErr w:type="gramEnd"/>
      <w:r w:rsidRPr="007D31A0">
        <w:rPr>
          <w:rFonts w:cstheme="minorHAnsi"/>
          <w:sz w:val="24"/>
          <w:szCs w:val="24"/>
        </w:rPr>
        <w:t xml:space="preserve"> patient encounters among 888 unique participants within the RADAR cohort study involved collection of rectal swab and/or first-void urine specimens for molecular detection of </w:t>
      </w:r>
      <w:r w:rsidRPr="007D31A0">
        <w:rPr>
          <w:rFonts w:cstheme="minorHAnsi"/>
          <w:i/>
          <w:iCs/>
          <w:sz w:val="24"/>
          <w:szCs w:val="24"/>
        </w:rPr>
        <w:t>C. trachomatis</w:t>
      </w:r>
      <w:r w:rsidRPr="007D31A0">
        <w:rPr>
          <w:rFonts w:cstheme="minorHAnsi"/>
          <w:sz w:val="24"/>
          <w:szCs w:val="24"/>
        </w:rPr>
        <w:t>, </w:t>
      </w:r>
      <w:r w:rsidRPr="007D31A0">
        <w:rPr>
          <w:rFonts w:cstheme="minorHAnsi"/>
          <w:i/>
          <w:iCs/>
          <w:sz w:val="24"/>
          <w:szCs w:val="24"/>
        </w:rPr>
        <w:t>N. gonorrhoeae</w:t>
      </w:r>
      <w:r w:rsidRPr="007D31A0">
        <w:rPr>
          <w:rFonts w:cstheme="minorHAnsi"/>
          <w:sz w:val="24"/>
          <w:szCs w:val="24"/>
        </w:rPr>
        <w:t>, </w:t>
      </w:r>
      <w:r w:rsidRPr="007D31A0">
        <w:rPr>
          <w:rFonts w:cstheme="minorHAnsi"/>
          <w:i/>
          <w:iCs/>
          <w:sz w:val="24"/>
          <w:szCs w:val="24"/>
        </w:rPr>
        <w:t>T. vaginalis</w:t>
      </w:r>
      <w:r w:rsidRPr="007D31A0">
        <w:rPr>
          <w:rFonts w:cstheme="minorHAnsi"/>
          <w:sz w:val="24"/>
          <w:szCs w:val="24"/>
        </w:rPr>
        <w:t>, and </w:t>
      </w:r>
      <w:r w:rsidRPr="007D31A0">
        <w:rPr>
          <w:rFonts w:cstheme="minorHAnsi"/>
          <w:i/>
          <w:iCs/>
          <w:sz w:val="24"/>
          <w:szCs w:val="24"/>
        </w:rPr>
        <w:t xml:space="preserve">M. </w:t>
      </w:r>
      <w:proofErr w:type="spellStart"/>
      <w:r w:rsidRPr="007D31A0">
        <w:rPr>
          <w:rFonts w:cstheme="minorHAnsi"/>
          <w:i/>
          <w:iCs/>
          <w:sz w:val="24"/>
          <w:szCs w:val="24"/>
        </w:rPr>
        <w:t>genitalium</w:t>
      </w:r>
      <w:proofErr w:type="spellEnd"/>
      <w:r w:rsidRPr="007D31A0">
        <w:rPr>
          <w:rFonts w:cstheme="minorHAnsi"/>
          <w:sz w:val="24"/>
          <w:szCs w:val="24"/>
        </w:rPr>
        <w:t>. The mean age of participants at their first visit within this period was 23.6 ± 3.1 years. Of the participants, 89.0% were young MSM, with the remainder being young transgender women (</w:t>
      </w:r>
      <w:r w:rsidRPr="00886790">
        <w:rPr>
          <w:rFonts w:cstheme="minorHAnsi"/>
          <w:sz w:val="24"/>
          <w:szCs w:val="24"/>
        </w:rPr>
        <w:t>Table 1</w:t>
      </w:r>
      <w:r w:rsidRPr="007D31A0">
        <w:rPr>
          <w:rFonts w:cstheme="minorHAnsi"/>
          <w:sz w:val="24"/>
          <w:szCs w:val="24"/>
        </w:rPr>
        <w:t xml:space="preserve">). Race/ethnicity distribution included 34.5% Black, 23.5% White, and 31.5% Latinx. An overall HIV-seropositive rate of 21.3% was documented, which included participants who were known positive at baseline and those who seroconverted </w:t>
      </w:r>
      <w:proofErr w:type="gramStart"/>
      <w:r w:rsidRPr="007D31A0">
        <w:rPr>
          <w:rFonts w:cstheme="minorHAnsi"/>
          <w:sz w:val="24"/>
          <w:szCs w:val="24"/>
        </w:rPr>
        <w:t>during the course of</w:t>
      </w:r>
      <w:proofErr w:type="gramEnd"/>
      <w:r w:rsidRPr="007D31A0">
        <w:rPr>
          <w:rFonts w:cstheme="minorHAnsi"/>
          <w:sz w:val="24"/>
          <w:szCs w:val="24"/>
        </w:rPr>
        <w:t xml:space="preserve"> the study. HIV point-of-care testing was conducted for all HIV-negative participants, with confirmatory testing performed on all reactive results following CDC guidelines.</w:t>
      </w:r>
      <w:r w:rsidRPr="007D31A0">
        <w:rPr>
          <w:rFonts w:cstheme="minorHAnsi"/>
          <w:sz w:val="24"/>
          <w:szCs w:val="24"/>
          <w:vertAlign w:val="superscript"/>
        </w:rPr>
        <w:t>15</w:t>
      </w:r>
      <w:r w:rsidRPr="007D31A0">
        <w:rPr>
          <w:rFonts w:cstheme="minorHAnsi"/>
          <w:sz w:val="24"/>
          <w:szCs w:val="24"/>
        </w:rPr>
        <w:t xml:space="preserve"> Sexually transmitted infection transmission-risk sexual practices described among participants included 46.2% being engaged in </w:t>
      </w:r>
      <w:proofErr w:type="spellStart"/>
      <w:r w:rsidRPr="007D31A0">
        <w:rPr>
          <w:rFonts w:cstheme="minorHAnsi"/>
          <w:sz w:val="24"/>
          <w:szCs w:val="24"/>
        </w:rPr>
        <w:t>insertive</w:t>
      </w:r>
      <w:proofErr w:type="spellEnd"/>
      <w:r w:rsidRPr="007D31A0">
        <w:rPr>
          <w:rFonts w:cstheme="minorHAnsi"/>
          <w:sz w:val="24"/>
          <w:szCs w:val="24"/>
        </w:rPr>
        <w:t xml:space="preserve"> condomless anal/vaginal sex and 46.3% involved in receptive condomless anal sex (</w:t>
      </w:r>
      <w:r w:rsidRPr="00886790">
        <w:rPr>
          <w:rFonts w:cstheme="minorHAnsi"/>
          <w:sz w:val="24"/>
          <w:szCs w:val="24"/>
        </w:rPr>
        <w:t>Table 1</w:t>
      </w:r>
      <w:r w:rsidRPr="007D31A0">
        <w:rPr>
          <w:rFonts w:cstheme="minorHAnsi"/>
          <w:sz w:val="24"/>
          <w:szCs w:val="24"/>
        </w:rPr>
        <w:t>).</w:t>
      </w:r>
    </w:p>
    <w:p w14:paraId="635318F9" w14:textId="77777777" w:rsidR="007D31A0" w:rsidRPr="007D31A0" w:rsidRDefault="007D31A0" w:rsidP="00886790">
      <w:pPr>
        <w:spacing w:after="0"/>
        <w:rPr>
          <w:rFonts w:cstheme="minorHAnsi"/>
          <w:sz w:val="24"/>
          <w:szCs w:val="24"/>
        </w:rPr>
      </w:pPr>
      <w:r w:rsidRPr="007D31A0">
        <w:rPr>
          <w:rFonts w:cstheme="minorHAnsi"/>
          <w:sz w:val="24"/>
          <w:szCs w:val="24"/>
        </w:rPr>
        <w:t xml:space="preserve">TABLE 1 - Selected Demographics Associated </w:t>
      </w:r>
      <w:proofErr w:type="gramStart"/>
      <w:r w:rsidRPr="007D31A0">
        <w:rPr>
          <w:rFonts w:cstheme="minorHAnsi"/>
          <w:sz w:val="24"/>
          <w:szCs w:val="24"/>
        </w:rPr>
        <w:t>With</w:t>
      </w:r>
      <w:proofErr w:type="gramEnd"/>
      <w:r w:rsidRPr="007D31A0">
        <w:rPr>
          <w:rFonts w:cstheme="minorHAnsi"/>
          <w:sz w:val="24"/>
          <w:szCs w:val="24"/>
        </w:rPr>
        <w:t xml:space="preserve"> Participants in the RADAR Cohort Study at Their First Screening for </w:t>
      </w:r>
      <w:r w:rsidRPr="007D31A0">
        <w:rPr>
          <w:rFonts w:cstheme="minorHAnsi"/>
          <w:i/>
          <w:iCs/>
          <w:sz w:val="24"/>
          <w:szCs w:val="24"/>
        </w:rPr>
        <w:t>Trichomonas vaginalis</w:t>
      </w:r>
      <w:r w:rsidRPr="007D31A0">
        <w:rPr>
          <w:rFonts w:cstheme="minorHAnsi"/>
          <w:sz w:val="24"/>
          <w:szCs w:val="24"/>
        </w:rPr>
        <w:t> and </w:t>
      </w:r>
      <w:r w:rsidRPr="007D31A0">
        <w:rPr>
          <w:rFonts w:cstheme="minorHAnsi"/>
          <w:i/>
          <w:iCs/>
          <w:sz w:val="24"/>
          <w:szCs w:val="24"/>
        </w:rPr>
        <w:t xml:space="preserve">Mycoplasma </w:t>
      </w:r>
      <w:proofErr w:type="spellStart"/>
      <w:r w:rsidRPr="007D31A0">
        <w:rPr>
          <w:rFonts w:cstheme="minorHAnsi"/>
          <w:i/>
          <w:iCs/>
          <w:sz w:val="24"/>
          <w:szCs w:val="24"/>
        </w:rPr>
        <w:t>genitalium</w:t>
      </w:r>
      <w:proofErr w:type="spellEnd"/>
    </w:p>
    <w:tbl>
      <w:tblPr>
        <w:tblStyle w:val="TableGrid"/>
        <w:tblW w:w="0" w:type="auto"/>
        <w:tblLook w:val="04A0" w:firstRow="1" w:lastRow="0" w:firstColumn="1" w:lastColumn="0" w:noHBand="0" w:noVBand="1"/>
      </w:tblPr>
      <w:tblGrid>
        <w:gridCol w:w="5550"/>
        <w:gridCol w:w="1207"/>
      </w:tblGrid>
      <w:tr w:rsidR="007D31A0" w:rsidRPr="007D31A0" w14:paraId="7D0CB4C8" w14:textId="77777777" w:rsidTr="00886790">
        <w:tc>
          <w:tcPr>
            <w:tcW w:w="0" w:type="auto"/>
            <w:hideMark/>
          </w:tcPr>
          <w:p w14:paraId="05F1E79F" w14:textId="77777777" w:rsidR="007D31A0" w:rsidRPr="007D31A0" w:rsidRDefault="007D31A0" w:rsidP="007D31A0">
            <w:pPr>
              <w:rPr>
                <w:rFonts w:cstheme="minorHAnsi"/>
                <w:sz w:val="24"/>
                <w:szCs w:val="24"/>
              </w:rPr>
            </w:pPr>
          </w:p>
        </w:tc>
        <w:tc>
          <w:tcPr>
            <w:tcW w:w="0" w:type="auto"/>
            <w:hideMark/>
          </w:tcPr>
          <w:p w14:paraId="2C4F661A" w14:textId="77777777" w:rsidR="007D31A0" w:rsidRPr="007D31A0" w:rsidRDefault="007D31A0" w:rsidP="007D31A0">
            <w:pPr>
              <w:rPr>
                <w:rFonts w:cstheme="minorHAnsi"/>
                <w:b/>
                <w:bCs/>
                <w:sz w:val="24"/>
                <w:szCs w:val="24"/>
              </w:rPr>
            </w:pPr>
            <w:r w:rsidRPr="007D31A0">
              <w:rPr>
                <w:rFonts w:cstheme="minorHAnsi"/>
                <w:b/>
                <w:bCs/>
                <w:sz w:val="24"/>
                <w:szCs w:val="24"/>
              </w:rPr>
              <w:t>n (%)</w:t>
            </w:r>
          </w:p>
        </w:tc>
      </w:tr>
      <w:tr w:rsidR="007D31A0" w:rsidRPr="007D31A0" w14:paraId="3081B3AB" w14:textId="77777777" w:rsidTr="00886790">
        <w:tc>
          <w:tcPr>
            <w:tcW w:w="0" w:type="auto"/>
            <w:hideMark/>
          </w:tcPr>
          <w:p w14:paraId="6B80457B" w14:textId="77777777" w:rsidR="007D31A0" w:rsidRPr="007D31A0" w:rsidRDefault="007D31A0" w:rsidP="007D31A0">
            <w:pPr>
              <w:rPr>
                <w:rFonts w:cstheme="minorHAnsi"/>
                <w:sz w:val="24"/>
                <w:szCs w:val="24"/>
              </w:rPr>
            </w:pPr>
            <w:r w:rsidRPr="007D31A0">
              <w:rPr>
                <w:rFonts w:cstheme="minorHAnsi"/>
                <w:sz w:val="24"/>
                <w:szCs w:val="24"/>
              </w:rPr>
              <w:t>Gender</w:t>
            </w:r>
          </w:p>
        </w:tc>
        <w:tc>
          <w:tcPr>
            <w:tcW w:w="0" w:type="auto"/>
            <w:hideMark/>
          </w:tcPr>
          <w:p w14:paraId="32F65E05" w14:textId="77777777" w:rsidR="007D31A0" w:rsidRPr="007D31A0" w:rsidRDefault="007D31A0" w:rsidP="007D31A0">
            <w:pPr>
              <w:rPr>
                <w:rFonts w:cstheme="minorHAnsi"/>
                <w:sz w:val="24"/>
                <w:szCs w:val="24"/>
              </w:rPr>
            </w:pPr>
          </w:p>
        </w:tc>
      </w:tr>
      <w:tr w:rsidR="007D31A0" w:rsidRPr="007D31A0" w14:paraId="6E371983" w14:textId="77777777" w:rsidTr="00886790">
        <w:tc>
          <w:tcPr>
            <w:tcW w:w="0" w:type="auto"/>
            <w:hideMark/>
          </w:tcPr>
          <w:p w14:paraId="7AD67664" w14:textId="77777777" w:rsidR="007D31A0" w:rsidRPr="007D31A0" w:rsidRDefault="007D31A0" w:rsidP="007D31A0">
            <w:pPr>
              <w:rPr>
                <w:rFonts w:cstheme="minorHAnsi"/>
                <w:sz w:val="24"/>
                <w:szCs w:val="24"/>
              </w:rPr>
            </w:pPr>
            <w:r w:rsidRPr="007D31A0">
              <w:rPr>
                <w:rFonts w:cstheme="minorHAnsi"/>
                <w:sz w:val="24"/>
                <w:szCs w:val="24"/>
              </w:rPr>
              <w:t> </w:t>
            </w:r>
            <w:r w:rsidRPr="007D31A0">
              <w:rPr>
                <w:rFonts w:cstheme="minorHAnsi"/>
                <w:sz w:val="24"/>
                <w:szCs w:val="24"/>
              </w:rPr>
              <w:t>Cisgender man</w:t>
            </w:r>
          </w:p>
        </w:tc>
        <w:tc>
          <w:tcPr>
            <w:tcW w:w="0" w:type="auto"/>
            <w:hideMark/>
          </w:tcPr>
          <w:p w14:paraId="1088E147" w14:textId="77777777" w:rsidR="007D31A0" w:rsidRPr="007D31A0" w:rsidRDefault="007D31A0" w:rsidP="007D31A0">
            <w:pPr>
              <w:rPr>
                <w:rFonts w:cstheme="minorHAnsi"/>
                <w:sz w:val="24"/>
                <w:szCs w:val="24"/>
              </w:rPr>
            </w:pPr>
            <w:r w:rsidRPr="007D31A0">
              <w:rPr>
                <w:rFonts w:cstheme="minorHAnsi"/>
                <w:sz w:val="24"/>
                <w:szCs w:val="24"/>
              </w:rPr>
              <w:t>790 (89.0)</w:t>
            </w:r>
          </w:p>
        </w:tc>
      </w:tr>
      <w:tr w:rsidR="007D31A0" w:rsidRPr="007D31A0" w14:paraId="5CD37724" w14:textId="77777777" w:rsidTr="00886790">
        <w:tc>
          <w:tcPr>
            <w:tcW w:w="0" w:type="auto"/>
            <w:hideMark/>
          </w:tcPr>
          <w:p w14:paraId="52DAA3AF" w14:textId="77777777" w:rsidR="007D31A0" w:rsidRPr="007D31A0" w:rsidRDefault="007D31A0" w:rsidP="007D31A0">
            <w:pPr>
              <w:rPr>
                <w:rFonts w:cstheme="minorHAnsi"/>
                <w:sz w:val="24"/>
                <w:szCs w:val="24"/>
              </w:rPr>
            </w:pPr>
            <w:r w:rsidRPr="007D31A0">
              <w:rPr>
                <w:rFonts w:cstheme="minorHAnsi"/>
                <w:sz w:val="24"/>
                <w:szCs w:val="24"/>
              </w:rPr>
              <w:t> </w:t>
            </w:r>
            <w:r w:rsidRPr="007D31A0">
              <w:rPr>
                <w:rFonts w:cstheme="minorHAnsi"/>
                <w:sz w:val="24"/>
                <w:szCs w:val="24"/>
              </w:rPr>
              <w:t>Transgender woman</w:t>
            </w:r>
          </w:p>
        </w:tc>
        <w:tc>
          <w:tcPr>
            <w:tcW w:w="0" w:type="auto"/>
            <w:hideMark/>
          </w:tcPr>
          <w:p w14:paraId="28C65C66" w14:textId="77777777" w:rsidR="007D31A0" w:rsidRPr="007D31A0" w:rsidRDefault="007D31A0" w:rsidP="007D31A0">
            <w:pPr>
              <w:rPr>
                <w:rFonts w:cstheme="minorHAnsi"/>
                <w:sz w:val="24"/>
                <w:szCs w:val="24"/>
              </w:rPr>
            </w:pPr>
            <w:r w:rsidRPr="007D31A0">
              <w:rPr>
                <w:rFonts w:cstheme="minorHAnsi"/>
                <w:sz w:val="24"/>
                <w:szCs w:val="24"/>
              </w:rPr>
              <w:t>57 (6.4)</w:t>
            </w:r>
          </w:p>
        </w:tc>
      </w:tr>
      <w:tr w:rsidR="007D31A0" w:rsidRPr="007D31A0" w14:paraId="5B319DCB" w14:textId="77777777" w:rsidTr="00886790">
        <w:tc>
          <w:tcPr>
            <w:tcW w:w="0" w:type="auto"/>
            <w:hideMark/>
          </w:tcPr>
          <w:p w14:paraId="378E81DC" w14:textId="77777777" w:rsidR="007D31A0" w:rsidRPr="007D31A0" w:rsidRDefault="007D31A0" w:rsidP="007D31A0">
            <w:pPr>
              <w:rPr>
                <w:rFonts w:cstheme="minorHAnsi"/>
                <w:sz w:val="24"/>
                <w:szCs w:val="24"/>
              </w:rPr>
            </w:pPr>
            <w:r w:rsidRPr="007D31A0">
              <w:rPr>
                <w:rFonts w:cstheme="minorHAnsi"/>
                <w:sz w:val="24"/>
                <w:szCs w:val="24"/>
              </w:rPr>
              <w:t> </w:t>
            </w:r>
            <w:r w:rsidRPr="007D31A0">
              <w:rPr>
                <w:rFonts w:cstheme="minorHAnsi"/>
                <w:sz w:val="24"/>
                <w:szCs w:val="24"/>
              </w:rPr>
              <w:t>Other gender</w:t>
            </w:r>
          </w:p>
        </w:tc>
        <w:tc>
          <w:tcPr>
            <w:tcW w:w="0" w:type="auto"/>
            <w:hideMark/>
          </w:tcPr>
          <w:p w14:paraId="7118B055" w14:textId="77777777" w:rsidR="007D31A0" w:rsidRPr="007D31A0" w:rsidRDefault="007D31A0" w:rsidP="007D31A0">
            <w:pPr>
              <w:rPr>
                <w:rFonts w:cstheme="minorHAnsi"/>
                <w:sz w:val="24"/>
                <w:szCs w:val="24"/>
              </w:rPr>
            </w:pPr>
            <w:r w:rsidRPr="007D31A0">
              <w:rPr>
                <w:rFonts w:cstheme="minorHAnsi"/>
                <w:sz w:val="24"/>
                <w:szCs w:val="24"/>
              </w:rPr>
              <w:t>41 (4.6)</w:t>
            </w:r>
          </w:p>
        </w:tc>
      </w:tr>
      <w:tr w:rsidR="007D31A0" w:rsidRPr="007D31A0" w14:paraId="5F238589" w14:textId="77777777" w:rsidTr="00886790">
        <w:tc>
          <w:tcPr>
            <w:tcW w:w="0" w:type="auto"/>
            <w:hideMark/>
          </w:tcPr>
          <w:p w14:paraId="197F6AC3" w14:textId="77777777" w:rsidR="007D31A0" w:rsidRPr="007D31A0" w:rsidRDefault="007D31A0" w:rsidP="007D31A0">
            <w:pPr>
              <w:rPr>
                <w:rFonts w:cstheme="minorHAnsi"/>
                <w:sz w:val="24"/>
                <w:szCs w:val="24"/>
              </w:rPr>
            </w:pPr>
            <w:r w:rsidRPr="007D31A0">
              <w:rPr>
                <w:rFonts w:cstheme="minorHAnsi"/>
                <w:sz w:val="24"/>
                <w:szCs w:val="24"/>
              </w:rPr>
              <w:t>Race/ethnicity</w:t>
            </w:r>
          </w:p>
        </w:tc>
        <w:tc>
          <w:tcPr>
            <w:tcW w:w="0" w:type="auto"/>
            <w:hideMark/>
          </w:tcPr>
          <w:p w14:paraId="482F718A" w14:textId="77777777" w:rsidR="007D31A0" w:rsidRPr="007D31A0" w:rsidRDefault="007D31A0" w:rsidP="007D31A0">
            <w:pPr>
              <w:rPr>
                <w:rFonts w:cstheme="minorHAnsi"/>
                <w:sz w:val="24"/>
                <w:szCs w:val="24"/>
              </w:rPr>
            </w:pPr>
          </w:p>
        </w:tc>
      </w:tr>
      <w:tr w:rsidR="007D31A0" w:rsidRPr="007D31A0" w14:paraId="4C1422C5" w14:textId="77777777" w:rsidTr="00886790">
        <w:tc>
          <w:tcPr>
            <w:tcW w:w="0" w:type="auto"/>
            <w:hideMark/>
          </w:tcPr>
          <w:p w14:paraId="70C6C0C4" w14:textId="77777777" w:rsidR="007D31A0" w:rsidRPr="007D31A0" w:rsidRDefault="007D31A0" w:rsidP="007D31A0">
            <w:pPr>
              <w:rPr>
                <w:rFonts w:cstheme="minorHAnsi"/>
                <w:sz w:val="24"/>
                <w:szCs w:val="24"/>
              </w:rPr>
            </w:pPr>
            <w:r w:rsidRPr="007D31A0">
              <w:rPr>
                <w:rFonts w:cstheme="minorHAnsi"/>
                <w:sz w:val="24"/>
                <w:szCs w:val="24"/>
              </w:rPr>
              <w:t> </w:t>
            </w:r>
            <w:r w:rsidRPr="007D31A0">
              <w:rPr>
                <w:rFonts w:cstheme="minorHAnsi"/>
                <w:sz w:val="24"/>
                <w:szCs w:val="24"/>
              </w:rPr>
              <w:t>Black</w:t>
            </w:r>
          </w:p>
        </w:tc>
        <w:tc>
          <w:tcPr>
            <w:tcW w:w="0" w:type="auto"/>
            <w:hideMark/>
          </w:tcPr>
          <w:p w14:paraId="13DE23E7" w14:textId="77777777" w:rsidR="007D31A0" w:rsidRPr="007D31A0" w:rsidRDefault="007D31A0" w:rsidP="007D31A0">
            <w:pPr>
              <w:rPr>
                <w:rFonts w:cstheme="minorHAnsi"/>
                <w:sz w:val="24"/>
                <w:szCs w:val="24"/>
              </w:rPr>
            </w:pPr>
            <w:r w:rsidRPr="007D31A0">
              <w:rPr>
                <w:rFonts w:cstheme="minorHAnsi"/>
                <w:sz w:val="24"/>
                <w:szCs w:val="24"/>
              </w:rPr>
              <w:t>306 (34.5)</w:t>
            </w:r>
          </w:p>
        </w:tc>
      </w:tr>
      <w:tr w:rsidR="007D31A0" w:rsidRPr="007D31A0" w14:paraId="294D94F3" w14:textId="77777777" w:rsidTr="00886790">
        <w:tc>
          <w:tcPr>
            <w:tcW w:w="0" w:type="auto"/>
            <w:hideMark/>
          </w:tcPr>
          <w:p w14:paraId="3B86AED7" w14:textId="77777777" w:rsidR="007D31A0" w:rsidRPr="007D31A0" w:rsidRDefault="007D31A0" w:rsidP="007D31A0">
            <w:pPr>
              <w:rPr>
                <w:rFonts w:cstheme="minorHAnsi"/>
                <w:sz w:val="24"/>
                <w:szCs w:val="24"/>
              </w:rPr>
            </w:pPr>
            <w:r w:rsidRPr="007D31A0">
              <w:rPr>
                <w:rFonts w:cstheme="minorHAnsi"/>
                <w:sz w:val="24"/>
                <w:szCs w:val="24"/>
              </w:rPr>
              <w:t> </w:t>
            </w:r>
            <w:r w:rsidRPr="007D31A0">
              <w:rPr>
                <w:rFonts w:cstheme="minorHAnsi"/>
                <w:sz w:val="24"/>
                <w:szCs w:val="24"/>
              </w:rPr>
              <w:t>Hispanic/Latinx</w:t>
            </w:r>
          </w:p>
        </w:tc>
        <w:tc>
          <w:tcPr>
            <w:tcW w:w="0" w:type="auto"/>
            <w:hideMark/>
          </w:tcPr>
          <w:p w14:paraId="38EE4EB0" w14:textId="77777777" w:rsidR="007D31A0" w:rsidRPr="007D31A0" w:rsidRDefault="007D31A0" w:rsidP="007D31A0">
            <w:pPr>
              <w:rPr>
                <w:rFonts w:cstheme="minorHAnsi"/>
                <w:sz w:val="24"/>
                <w:szCs w:val="24"/>
              </w:rPr>
            </w:pPr>
            <w:r w:rsidRPr="007D31A0">
              <w:rPr>
                <w:rFonts w:cstheme="minorHAnsi"/>
                <w:sz w:val="24"/>
                <w:szCs w:val="24"/>
              </w:rPr>
              <w:t>280 (31.5)</w:t>
            </w:r>
          </w:p>
        </w:tc>
      </w:tr>
      <w:tr w:rsidR="007D31A0" w:rsidRPr="007D31A0" w14:paraId="759B207A" w14:textId="77777777" w:rsidTr="00886790">
        <w:tc>
          <w:tcPr>
            <w:tcW w:w="0" w:type="auto"/>
            <w:hideMark/>
          </w:tcPr>
          <w:p w14:paraId="2057EE0B" w14:textId="77777777" w:rsidR="007D31A0" w:rsidRPr="007D31A0" w:rsidRDefault="007D31A0" w:rsidP="007D31A0">
            <w:pPr>
              <w:rPr>
                <w:rFonts w:cstheme="minorHAnsi"/>
                <w:sz w:val="24"/>
                <w:szCs w:val="24"/>
              </w:rPr>
            </w:pPr>
            <w:r w:rsidRPr="007D31A0">
              <w:rPr>
                <w:rFonts w:cstheme="minorHAnsi"/>
                <w:sz w:val="24"/>
                <w:szCs w:val="24"/>
              </w:rPr>
              <w:t> </w:t>
            </w:r>
            <w:r w:rsidRPr="007D31A0">
              <w:rPr>
                <w:rFonts w:cstheme="minorHAnsi"/>
                <w:sz w:val="24"/>
                <w:szCs w:val="24"/>
              </w:rPr>
              <w:t>White</w:t>
            </w:r>
          </w:p>
        </w:tc>
        <w:tc>
          <w:tcPr>
            <w:tcW w:w="0" w:type="auto"/>
            <w:hideMark/>
          </w:tcPr>
          <w:p w14:paraId="6853E593" w14:textId="77777777" w:rsidR="007D31A0" w:rsidRPr="007D31A0" w:rsidRDefault="007D31A0" w:rsidP="007D31A0">
            <w:pPr>
              <w:rPr>
                <w:rFonts w:cstheme="minorHAnsi"/>
                <w:sz w:val="24"/>
                <w:szCs w:val="24"/>
              </w:rPr>
            </w:pPr>
            <w:r w:rsidRPr="007D31A0">
              <w:rPr>
                <w:rFonts w:cstheme="minorHAnsi"/>
                <w:sz w:val="24"/>
                <w:szCs w:val="24"/>
              </w:rPr>
              <w:t>209 (23.5)</w:t>
            </w:r>
          </w:p>
        </w:tc>
      </w:tr>
      <w:tr w:rsidR="007D31A0" w:rsidRPr="007D31A0" w14:paraId="2C328D57" w14:textId="77777777" w:rsidTr="00886790">
        <w:tc>
          <w:tcPr>
            <w:tcW w:w="0" w:type="auto"/>
            <w:hideMark/>
          </w:tcPr>
          <w:p w14:paraId="5B39CD9F" w14:textId="77777777" w:rsidR="007D31A0" w:rsidRPr="007D31A0" w:rsidRDefault="007D31A0" w:rsidP="007D31A0">
            <w:pPr>
              <w:rPr>
                <w:rFonts w:cstheme="minorHAnsi"/>
                <w:sz w:val="24"/>
                <w:szCs w:val="24"/>
              </w:rPr>
            </w:pPr>
            <w:r w:rsidRPr="007D31A0">
              <w:rPr>
                <w:rFonts w:cstheme="minorHAnsi"/>
                <w:sz w:val="24"/>
                <w:szCs w:val="24"/>
              </w:rPr>
              <w:t> </w:t>
            </w:r>
            <w:r w:rsidRPr="007D31A0">
              <w:rPr>
                <w:rFonts w:cstheme="minorHAnsi"/>
                <w:sz w:val="24"/>
                <w:szCs w:val="24"/>
              </w:rPr>
              <w:t>Other</w:t>
            </w:r>
          </w:p>
        </w:tc>
        <w:tc>
          <w:tcPr>
            <w:tcW w:w="0" w:type="auto"/>
            <w:hideMark/>
          </w:tcPr>
          <w:p w14:paraId="53923CC7" w14:textId="77777777" w:rsidR="007D31A0" w:rsidRPr="007D31A0" w:rsidRDefault="007D31A0" w:rsidP="007D31A0">
            <w:pPr>
              <w:rPr>
                <w:rFonts w:cstheme="minorHAnsi"/>
                <w:sz w:val="24"/>
                <w:szCs w:val="24"/>
              </w:rPr>
            </w:pPr>
            <w:r w:rsidRPr="007D31A0">
              <w:rPr>
                <w:rFonts w:cstheme="minorHAnsi"/>
                <w:sz w:val="24"/>
                <w:szCs w:val="24"/>
              </w:rPr>
              <w:t>93 (10.5)</w:t>
            </w:r>
          </w:p>
        </w:tc>
      </w:tr>
      <w:tr w:rsidR="007D31A0" w:rsidRPr="007D31A0" w14:paraId="6266CDA5" w14:textId="77777777" w:rsidTr="00886790">
        <w:tc>
          <w:tcPr>
            <w:tcW w:w="0" w:type="auto"/>
            <w:hideMark/>
          </w:tcPr>
          <w:p w14:paraId="2A64FD6D" w14:textId="77777777" w:rsidR="007D31A0" w:rsidRPr="007D31A0" w:rsidRDefault="007D31A0" w:rsidP="007D31A0">
            <w:pPr>
              <w:rPr>
                <w:rFonts w:cstheme="minorHAnsi"/>
                <w:sz w:val="24"/>
                <w:szCs w:val="24"/>
              </w:rPr>
            </w:pPr>
            <w:r w:rsidRPr="007D31A0">
              <w:rPr>
                <w:rFonts w:cstheme="minorHAnsi"/>
                <w:sz w:val="24"/>
                <w:szCs w:val="24"/>
              </w:rPr>
              <w:t>HIV serostatus</w:t>
            </w:r>
          </w:p>
        </w:tc>
        <w:tc>
          <w:tcPr>
            <w:tcW w:w="0" w:type="auto"/>
            <w:hideMark/>
          </w:tcPr>
          <w:p w14:paraId="7F5B08A0" w14:textId="77777777" w:rsidR="007D31A0" w:rsidRPr="007D31A0" w:rsidRDefault="007D31A0" w:rsidP="007D31A0">
            <w:pPr>
              <w:rPr>
                <w:rFonts w:cstheme="minorHAnsi"/>
                <w:sz w:val="24"/>
                <w:szCs w:val="24"/>
              </w:rPr>
            </w:pPr>
          </w:p>
        </w:tc>
      </w:tr>
      <w:tr w:rsidR="007D31A0" w:rsidRPr="007D31A0" w14:paraId="7E3D392A" w14:textId="77777777" w:rsidTr="00886790">
        <w:tc>
          <w:tcPr>
            <w:tcW w:w="0" w:type="auto"/>
            <w:hideMark/>
          </w:tcPr>
          <w:p w14:paraId="1CEC25F5" w14:textId="77777777" w:rsidR="007D31A0" w:rsidRPr="007D31A0" w:rsidRDefault="007D31A0" w:rsidP="007D31A0">
            <w:pPr>
              <w:rPr>
                <w:rFonts w:cstheme="minorHAnsi"/>
                <w:sz w:val="24"/>
                <w:szCs w:val="24"/>
              </w:rPr>
            </w:pPr>
            <w:r w:rsidRPr="007D31A0">
              <w:rPr>
                <w:rFonts w:cstheme="minorHAnsi"/>
                <w:sz w:val="24"/>
                <w:szCs w:val="24"/>
              </w:rPr>
              <w:t> </w:t>
            </w:r>
            <w:r w:rsidRPr="007D31A0">
              <w:rPr>
                <w:rFonts w:cstheme="minorHAnsi"/>
                <w:sz w:val="24"/>
                <w:szCs w:val="24"/>
              </w:rPr>
              <w:t>Positive</w:t>
            </w:r>
          </w:p>
        </w:tc>
        <w:tc>
          <w:tcPr>
            <w:tcW w:w="0" w:type="auto"/>
            <w:hideMark/>
          </w:tcPr>
          <w:p w14:paraId="2A78FAE0" w14:textId="77777777" w:rsidR="007D31A0" w:rsidRPr="007D31A0" w:rsidRDefault="007D31A0" w:rsidP="007D31A0">
            <w:pPr>
              <w:rPr>
                <w:rFonts w:cstheme="minorHAnsi"/>
                <w:sz w:val="24"/>
                <w:szCs w:val="24"/>
              </w:rPr>
            </w:pPr>
            <w:r w:rsidRPr="007D31A0">
              <w:rPr>
                <w:rFonts w:cstheme="minorHAnsi"/>
                <w:sz w:val="24"/>
                <w:szCs w:val="24"/>
              </w:rPr>
              <w:t>189 (21.3)</w:t>
            </w:r>
          </w:p>
        </w:tc>
      </w:tr>
      <w:tr w:rsidR="007D31A0" w:rsidRPr="007D31A0" w14:paraId="7B6E7AB9" w14:textId="77777777" w:rsidTr="00886790">
        <w:tc>
          <w:tcPr>
            <w:tcW w:w="0" w:type="auto"/>
            <w:hideMark/>
          </w:tcPr>
          <w:p w14:paraId="0DC6FFA4" w14:textId="77777777" w:rsidR="007D31A0" w:rsidRPr="007D31A0" w:rsidRDefault="007D31A0" w:rsidP="007D31A0">
            <w:pPr>
              <w:rPr>
                <w:rFonts w:cstheme="minorHAnsi"/>
                <w:sz w:val="24"/>
                <w:szCs w:val="24"/>
              </w:rPr>
            </w:pPr>
            <w:r w:rsidRPr="007D31A0">
              <w:rPr>
                <w:rFonts w:cstheme="minorHAnsi"/>
                <w:sz w:val="24"/>
                <w:szCs w:val="24"/>
              </w:rPr>
              <w:t> </w:t>
            </w:r>
            <w:r w:rsidRPr="007D31A0">
              <w:rPr>
                <w:rFonts w:cstheme="minorHAnsi"/>
                <w:sz w:val="24"/>
                <w:szCs w:val="24"/>
              </w:rPr>
              <w:t>Negative</w:t>
            </w:r>
          </w:p>
        </w:tc>
        <w:tc>
          <w:tcPr>
            <w:tcW w:w="0" w:type="auto"/>
            <w:hideMark/>
          </w:tcPr>
          <w:p w14:paraId="2649E1F7" w14:textId="77777777" w:rsidR="007D31A0" w:rsidRPr="007D31A0" w:rsidRDefault="007D31A0" w:rsidP="007D31A0">
            <w:pPr>
              <w:rPr>
                <w:rFonts w:cstheme="minorHAnsi"/>
                <w:sz w:val="24"/>
                <w:szCs w:val="24"/>
              </w:rPr>
            </w:pPr>
            <w:r w:rsidRPr="007D31A0">
              <w:rPr>
                <w:rFonts w:cstheme="minorHAnsi"/>
                <w:sz w:val="24"/>
                <w:szCs w:val="24"/>
              </w:rPr>
              <w:t>699 (78.7)</w:t>
            </w:r>
          </w:p>
        </w:tc>
      </w:tr>
      <w:tr w:rsidR="007D31A0" w:rsidRPr="007D31A0" w14:paraId="6CC00A25" w14:textId="77777777" w:rsidTr="00886790">
        <w:tc>
          <w:tcPr>
            <w:tcW w:w="0" w:type="auto"/>
            <w:hideMark/>
          </w:tcPr>
          <w:p w14:paraId="5866FBAC" w14:textId="77777777" w:rsidR="007D31A0" w:rsidRPr="007D31A0" w:rsidRDefault="007D31A0" w:rsidP="007D31A0">
            <w:pPr>
              <w:rPr>
                <w:rFonts w:cstheme="minorHAnsi"/>
                <w:sz w:val="24"/>
                <w:szCs w:val="24"/>
              </w:rPr>
            </w:pPr>
            <w:r w:rsidRPr="007D31A0">
              <w:rPr>
                <w:rFonts w:cstheme="minorHAnsi"/>
                <w:sz w:val="24"/>
                <w:szCs w:val="24"/>
              </w:rPr>
              <w:t xml:space="preserve">Condomless </w:t>
            </w:r>
            <w:proofErr w:type="spellStart"/>
            <w:r w:rsidRPr="007D31A0">
              <w:rPr>
                <w:rFonts w:cstheme="minorHAnsi"/>
                <w:sz w:val="24"/>
                <w:szCs w:val="24"/>
              </w:rPr>
              <w:t>insertive</w:t>
            </w:r>
            <w:proofErr w:type="spellEnd"/>
            <w:r w:rsidRPr="007D31A0">
              <w:rPr>
                <w:rFonts w:cstheme="minorHAnsi"/>
                <w:sz w:val="24"/>
                <w:szCs w:val="24"/>
              </w:rPr>
              <w:t xml:space="preserve"> anal/vaginal sex in the past 6 </w:t>
            </w:r>
            <w:proofErr w:type="spellStart"/>
            <w:r w:rsidRPr="007D31A0">
              <w:rPr>
                <w:rFonts w:cstheme="minorHAnsi"/>
                <w:sz w:val="24"/>
                <w:szCs w:val="24"/>
              </w:rPr>
              <w:t>mo</w:t>
            </w:r>
            <w:proofErr w:type="spellEnd"/>
          </w:p>
        </w:tc>
        <w:tc>
          <w:tcPr>
            <w:tcW w:w="0" w:type="auto"/>
            <w:hideMark/>
          </w:tcPr>
          <w:p w14:paraId="01D1E80E" w14:textId="77777777" w:rsidR="007D31A0" w:rsidRPr="007D31A0" w:rsidRDefault="007D31A0" w:rsidP="007D31A0">
            <w:pPr>
              <w:rPr>
                <w:rFonts w:cstheme="minorHAnsi"/>
                <w:sz w:val="24"/>
                <w:szCs w:val="24"/>
              </w:rPr>
            </w:pPr>
          </w:p>
        </w:tc>
      </w:tr>
      <w:tr w:rsidR="007D31A0" w:rsidRPr="007D31A0" w14:paraId="71B10E86" w14:textId="77777777" w:rsidTr="00886790">
        <w:tc>
          <w:tcPr>
            <w:tcW w:w="0" w:type="auto"/>
            <w:hideMark/>
          </w:tcPr>
          <w:p w14:paraId="1E521BF7" w14:textId="77777777" w:rsidR="007D31A0" w:rsidRPr="007D31A0" w:rsidRDefault="007D31A0" w:rsidP="007D31A0">
            <w:pPr>
              <w:rPr>
                <w:rFonts w:cstheme="minorHAnsi"/>
                <w:sz w:val="24"/>
                <w:szCs w:val="24"/>
              </w:rPr>
            </w:pPr>
            <w:r w:rsidRPr="007D31A0">
              <w:rPr>
                <w:rFonts w:cstheme="minorHAnsi"/>
                <w:sz w:val="24"/>
                <w:szCs w:val="24"/>
              </w:rPr>
              <w:t> </w:t>
            </w:r>
            <w:r w:rsidRPr="007D31A0">
              <w:rPr>
                <w:rFonts w:cstheme="minorHAnsi"/>
                <w:sz w:val="24"/>
                <w:szCs w:val="24"/>
              </w:rPr>
              <w:t>No</w:t>
            </w:r>
          </w:p>
        </w:tc>
        <w:tc>
          <w:tcPr>
            <w:tcW w:w="0" w:type="auto"/>
            <w:hideMark/>
          </w:tcPr>
          <w:p w14:paraId="4F079A23" w14:textId="77777777" w:rsidR="007D31A0" w:rsidRPr="007D31A0" w:rsidRDefault="007D31A0" w:rsidP="007D31A0">
            <w:pPr>
              <w:rPr>
                <w:rFonts w:cstheme="minorHAnsi"/>
                <w:sz w:val="24"/>
                <w:szCs w:val="24"/>
              </w:rPr>
            </w:pPr>
            <w:r w:rsidRPr="007D31A0">
              <w:rPr>
                <w:rFonts w:cstheme="minorHAnsi"/>
                <w:sz w:val="24"/>
                <w:szCs w:val="24"/>
              </w:rPr>
              <w:t>478 (53.8)</w:t>
            </w:r>
          </w:p>
        </w:tc>
      </w:tr>
      <w:tr w:rsidR="007D31A0" w:rsidRPr="007D31A0" w14:paraId="68BADAFD" w14:textId="77777777" w:rsidTr="00886790">
        <w:tc>
          <w:tcPr>
            <w:tcW w:w="0" w:type="auto"/>
            <w:hideMark/>
          </w:tcPr>
          <w:p w14:paraId="30871468" w14:textId="77777777" w:rsidR="007D31A0" w:rsidRPr="007D31A0" w:rsidRDefault="007D31A0" w:rsidP="007D31A0">
            <w:pPr>
              <w:rPr>
                <w:rFonts w:cstheme="minorHAnsi"/>
                <w:sz w:val="24"/>
                <w:szCs w:val="24"/>
              </w:rPr>
            </w:pPr>
            <w:r w:rsidRPr="007D31A0">
              <w:rPr>
                <w:rFonts w:cstheme="minorHAnsi"/>
                <w:sz w:val="24"/>
                <w:szCs w:val="24"/>
              </w:rPr>
              <w:t> </w:t>
            </w:r>
            <w:r w:rsidRPr="007D31A0">
              <w:rPr>
                <w:rFonts w:cstheme="minorHAnsi"/>
                <w:sz w:val="24"/>
                <w:szCs w:val="24"/>
              </w:rPr>
              <w:t>Yes</w:t>
            </w:r>
          </w:p>
        </w:tc>
        <w:tc>
          <w:tcPr>
            <w:tcW w:w="0" w:type="auto"/>
            <w:hideMark/>
          </w:tcPr>
          <w:p w14:paraId="492698A5" w14:textId="77777777" w:rsidR="007D31A0" w:rsidRPr="007D31A0" w:rsidRDefault="007D31A0" w:rsidP="007D31A0">
            <w:pPr>
              <w:rPr>
                <w:rFonts w:cstheme="minorHAnsi"/>
                <w:sz w:val="24"/>
                <w:szCs w:val="24"/>
              </w:rPr>
            </w:pPr>
            <w:r w:rsidRPr="007D31A0">
              <w:rPr>
                <w:rFonts w:cstheme="minorHAnsi"/>
                <w:sz w:val="24"/>
                <w:szCs w:val="24"/>
              </w:rPr>
              <w:t>410 (46.2)</w:t>
            </w:r>
          </w:p>
        </w:tc>
      </w:tr>
      <w:tr w:rsidR="007D31A0" w:rsidRPr="007D31A0" w14:paraId="44630FAB" w14:textId="77777777" w:rsidTr="00886790">
        <w:tc>
          <w:tcPr>
            <w:tcW w:w="0" w:type="auto"/>
            <w:hideMark/>
          </w:tcPr>
          <w:p w14:paraId="63700F13" w14:textId="77777777" w:rsidR="007D31A0" w:rsidRPr="007D31A0" w:rsidRDefault="007D31A0" w:rsidP="007D31A0">
            <w:pPr>
              <w:rPr>
                <w:rFonts w:cstheme="minorHAnsi"/>
                <w:sz w:val="24"/>
                <w:szCs w:val="24"/>
              </w:rPr>
            </w:pPr>
            <w:r w:rsidRPr="007D31A0">
              <w:rPr>
                <w:rFonts w:cstheme="minorHAnsi"/>
                <w:sz w:val="24"/>
                <w:szCs w:val="24"/>
              </w:rPr>
              <w:t xml:space="preserve">Condomless receptive anal sex in the past 6 </w:t>
            </w:r>
            <w:proofErr w:type="spellStart"/>
            <w:r w:rsidRPr="007D31A0">
              <w:rPr>
                <w:rFonts w:cstheme="minorHAnsi"/>
                <w:sz w:val="24"/>
                <w:szCs w:val="24"/>
              </w:rPr>
              <w:t>mo</w:t>
            </w:r>
            <w:proofErr w:type="spellEnd"/>
          </w:p>
        </w:tc>
        <w:tc>
          <w:tcPr>
            <w:tcW w:w="0" w:type="auto"/>
            <w:hideMark/>
          </w:tcPr>
          <w:p w14:paraId="5CFF2CB5" w14:textId="77777777" w:rsidR="007D31A0" w:rsidRPr="007D31A0" w:rsidRDefault="007D31A0" w:rsidP="007D31A0">
            <w:pPr>
              <w:rPr>
                <w:rFonts w:cstheme="minorHAnsi"/>
                <w:sz w:val="24"/>
                <w:szCs w:val="24"/>
              </w:rPr>
            </w:pPr>
          </w:p>
        </w:tc>
      </w:tr>
      <w:tr w:rsidR="007D31A0" w:rsidRPr="007D31A0" w14:paraId="03FFCE23" w14:textId="77777777" w:rsidTr="00886790">
        <w:tc>
          <w:tcPr>
            <w:tcW w:w="0" w:type="auto"/>
            <w:hideMark/>
          </w:tcPr>
          <w:p w14:paraId="275CECE3" w14:textId="77777777" w:rsidR="007D31A0" w:rsidRPr="007D31A0" w:rsidRDefault="007D31A0" w:rsidP="007D31A0">
            <w:pPr>
              <w:rPr>
                <w:rFonts w:cstheme="minorHAnsi"/>
                <w:sz w:val="24"/>
                <w:szCs w:val="24"/>
              </w:rPr>
            </w:pPr>
            <w:r w:rsidRPr="007D31A0">
              <w:rPr>
                <w:rFonts w:cstheme="minorHAnsi"/>
                <w:sz w:val="24"/>
                <w:szCs w:val="24"/>
              </w:rPr>
              <w:t> </w:t>
            </w:r>
            <w:r w:rsidRPr="007D31A0">
              <w:rPr>
                <w:rFonts w:cstheme="minorHAnsi"/>
                <w:sz w:val="24"/>
                <w:szCs w:val="24"/>
              </w:rPr>
              <w:t>No</w:t>
            </w:r>
          </w:p>
        </w:tc>
        <w:tc>
          <w:tcPr>
            <w:tcW w:w="0" w:type="auto"/>
            <w:hideMark/>
          </w:tcPr>
          <w:p w14:paraId="32F88B2B" w14:textId="77777777" w:rsidR="007D31A0" w:rsidRPr="007D31A0" w:rsidRDefault="007D31A0" w:rsidP="007D31A0">
            <w:pPr>
              <w:rPr>
                <w:rFonts w:cstheme="minorHAnsi"/>
                <w:sz w:val="24"/>
                <w:szCs w:val="24"/>
              </w:rPr>
            </w:pPr>
            <w:r w:rsidRPr="007D31A0">
              <w:rPr>
                <w:rFonts w:cstheme="minorHAnsi"/>
                <w:sz w:val="24"/>
                <w:szCs w:val="24"/>
              </w:rPr>
              <w:t>477 (53.7)</w:t>
            </w:r>
          </w:p>
        </w:tc>
      </w:tr>
      <w:tr w:rsidR="007D31A0" w:rsidRPr="007D31A0" w14:paraId="4935B9D7" w14:textId="77777777" w:rsidTr="00886790">
        <w:tc>
          <w:tcPr>
            <w:tcW w:w="0" w:type="auto"/>
            <w:hideMark/>
          </w:tcPr>
          <w:p w14:paraId="0793BC35" w14:textId="77777777" w:rsidR="007D31A0" w:rsidRPr="007D31A0" w:rsidRDefault="007D31A0" w:rsidP="007D31A0">
            <w:pPr>
              <w:rPr>
                <w:rFonts w:cstheme="minorHAnsi"/>
                <w:sz w:val="24"/>
                <w:szCs w:val="24"/>
              </w:rPr>
            </w:pPr>
            <w:r w:rsidRPr="007D31A0">
              <w:rPr>
                <w:rFonts w:cstheme="minorHAnsi"/>
                <w:sz w:val="24"/>
                <w:szCs w:val="24"/>
              </w:rPr>
              <w:t> </w:t>
            </w:r>
            <w:r w:rsidRPr="007D31A0">
              <w:rPr>
                <w:rFonts w:cstheme="minorHAnsi"/>
                <w:sz w:val="24"/>
                <w:szCs w:val="24"/>
              </w:rPr>
              <w:t>Yes</w:t>
            </w:r>
          </w:p>
        </w:tc>
        <w:tc>
          <w:tcPr>
            <w:tcW w:w="0" w:type="auto"/>
            <w:hideMark/>
          </w:tcPr>
          <w:p w14:paraId="49A7E62A" w14:textId="77777777" w:rsidR="007D31A0" w:rsidRPr="007D31A0" w:rsidRDefault="007D31A0" w:rsidP="007D31A0">
            <w:pPr>
              <w:rPr>
                <w:rFonts w:cstheme="minorHAnsi"/>
                <w:sz w:val="24"/>
                <w:szCs w:val="24"/>
              </w:rPr>
            </w:pPr>
            <w:r w:rsidRPr="007D31A0">
              <w:rPr>
                <w:rFonts w:cstheme="minorHAnsi"/>
                <w:sz w:val="24"/>
                <w:szCs w:val="24"/>
              </w:rPr>
              <w:t>411 (46.3)</w:t>
            </w:r>
          </w:p>
        </w:tc>
      </w:tr>
    </w:tbl>
    <w:p w14:paraId="579FDAA9" w14:textId="7A2CB1ED" w:rsidR="007D31A0" w:rsidRPr="007D31A0" w:rsidRDefault="007D31A0" w:rsidP="00886790">
      <w:pPr>
        <w:pStyle w:val="Heading2"/>
      </w:pPr>
      <w:r w:rsidRPr="007D31A0">
        <w:rPr>
          <w:rFonts w:cstheme="minorHAnsi"/>
          <w:sz w:val="24"/>
          <w:szCs w:val="24"/>
        </w:rPr>
        <w:br/>
      </w:r>
      <w:r w:rsidRPr="007D31A0">
        <w:t xml:space="preserve">Detection Rates of STI Pathogens </w:t>
      </w:r>
      <w:r w:rsidR="00886790" w:rsidRPr="007D31A0">
        <w:t>from</w:t>
      </w:r>
      <w:r w:rsidRPr="007D31A0">
        <w:t xml:space="preserve"> First-Void Urine and Rectal Swab Specimens</w:t>
      </w:r>
    </w:p>
    <w:p w14:paraId="2A947557" w14:textId="68721D7F" w:rsidR="007D31A0" w:rsidRPr="007D31A0" w:rsidRDefault="007D31A0" w:rsidP="007D31A0">
      <w:pPr>
        <w:rPr>
          <w:rFonts w:cstheme="minorHAnsi"/>
          <w:sz w:val="24"/>
          <w:szCs w:val="24"/>
        </w:rPr>
      </w:pPr>
      <w:r w:rsidRPr="007D31A0">
        <w:rPr>
          <w:rFonts w:cstheme="minorHAnsi"/>
          <w:sz w:val="24"/>
          <w:szCs w:val="24"/>
        </w:rPr>
        <w:t>From 1977 encounters in which urine specimens were collected, 28 (1.4%; 95% CI, 0.9%–2.0%) yielded detectable </w:t>
      </w:r>
      <w:r w:rsidRPr="007D31A0">
        <w:rPr>
          <w:rFonts w:cstheme="minorHAnsi"/>
          <w:i/>
          <w:iCs/>
          <w:sz w:val="24"/>
          <w:szCs w:val="24"/>
        </w:rPr>
        <w:t>C. trachomatis</w:t>
      </w:r>
      <w:r w:rsidRPr="007D31A0">
        <w:rPr>
          <w:rFonts w:cstheme="minorHAnsi"/>
          <w:sz w:val="24"/>
          <w:szCs w:val="24"/>
        </w:rPr>
        <w:t> rRNA and 12 (0.6%; 95% CI, 0.2%–1.0%) were positive for </w:t>
      </w:r>
      <w:r w:rsidRPr="007D31A0">
        <w:rPr>
          <w:rFonts w:cstheme="minorHAnsi"/>
          <w:i/>
          <w:iCs/>
          <w:sz w:val="24"/>
          <w:szCs w:val="24"/>
        </w:rPr>
        <w:t>N. gonorrhoeae</w:t>
      </w:r>
      <w:r w:rsidRPr="007D31A0">
        <w:rPr>
          <w:rFonts w:cstheme="minorHAnsi"/>
          <w:sz w:val="24"/>
          <w:szCs w:val="24"/>
        </w:rPr>
        <w:t> rRNA (</w:t>
      </w:r>
      <w:r w:rsidRPr="00886790">
        <w:rPr>
          <w:rFonts w:cstheme="minorHAnsi"/>
          <w:sz w:val="24"/>
          <w:szCs w:val="24"/>
        </w:rPr>
        <w:t>Fig. 1</w:t>
      </w:r>
      <w:r w:rsidRPr="007D31A0">
        <w:rPr>
          <w:rFonts w:cstheme="minorHAnsi"/>
          <w:sz w:val="24"/>
          <w:szCs w:val="24"/>
        </w:rPr>
        <w:t>). The urine detection rate for </w:t>
      </w:r>
      <w:r w:rsidRPr="007D31A0">
        <w:rPr>
          <w:rFonts w:cstheme="minorHAnsi"/>
          <w:i/>
          <w:iCs/>
          <w:sz w:val="24"/>
          <w:szCs w:val="24"/>
        </w:rPr>
        <w:t>T. vaginalis</w:t>
      </w:r>
      <w:r w:rsidRPr="007D31A0">
        <w:rPr>
          <w:rFonts w:cstheme="minorHAnsi"/>
          <w:sz w:val="24"/>
          <w:szCs w:val="24"/>
        </w:rPr>
        <w:t xml:space="preserve"> rRNA (0.2%; 95% CI, 0.0%–0.5%) was </w:t>
      </w:r>
      <w:proofErr w:type="gramStart"/>
      <w:r w:rsidRPr="007D31A0">
        <w:rPr>
          <w:rFonts w:cstheme="minorHAnsi"/>
          <w:sz w:val="24"/>
          <w:szCs w:val="24"/>
        </w:rPr>
        <w:t>similar to</w:t>
      </w:r>
      <w:proofErr w:type="gramEnd"/>
      <w:r w:rsidRPr="007D31A0">
        <w:rPr>
          <w:rFonts w:cstheme="minorHAnsi"/>
          <w:sz w:val="24"/>
          <w:szCs w:val="24"/>
        </w:rPr>
        <w:t xml:space="preserve"> that for </w:t>
      </w:r>
      <w:r w:rsidRPr="007D31A0">
        <w:rPr>
          <w:rFonts w:cstheme="minorHAnsi"/>
          <w:i/>
          <w:iCs/>
          <w:sz w:val="24"/>
          <w:szCs w:val="24"/>
        </w:rPr>
        <w:t>N. gonorrhoeae</w:t>
      </w:r>
      <w:r w:rsidRPr="007D31A0">
        <w:rPr>
          <w:rFonts w:cstheme="minorHAnsi"/>
          <w:sz w:val="24"/>
          <w:szCs w:val="24"/>
        </w:rPr>
        <w:t>; however, </w:t>
      </w:r>
      <w:r w:rsidRPr="007D31A0">
        <w:rPr>
          <w:rFonts w:cstheme="minorHAnsi"/>
          <w:i/>
          <w:iCs/>
          <w:sz w:val="24"/>
          <w:szCs w:val="24"/>
        </w:rPr>
        <w:t xml:space="preserve">M. </w:t>
      </w:r>
      <w:proofErr w:type="spellStart"/>
      <w:r w:rsidRPr="007D31A0">
        <w:rPr>
          <w:rFonts w:cstheme="minorHAnsi"/>
          <w:i/>
          <w:iCs/>
          <w:sz w:val="24"/>
          <w:szCs w:val="24"/>
        </w:rPr>
        <w:t>genitalium</w:t>
      </w:r>
      <w:proofErr w:type="spellEnd"/>
      <w:r w:rsidRPr="007D31A0">
        <w:rPr>
          <w:rFonts w:cstheme="minorHAnsi"/>
          <w:sz w:val="24"/>
          <w:szCs w:val="24"/>
        </w:rPr>
        <w:t> rRNA was detected from 179 (9.1%; 95% CI, 7.3%–10.9%) urine specimens. From 1972 encounters in which rectal swab specimens were collected, rRNA detection rates of 8.2% (95% CI, 6.9%–9.5%) and 6.2% (95% CI, 5.0%–7.4%) were observed for </w:t>
      </w:r>
      <w:r w:rsidRPr="007D31A0">
        <w:rPr>
          <w:rFonts w:cstheme="minorHAnsi"/>
          <w:i/>
          <w:iCs/>
          <w:sz w:val="24"/>
          <w:szCs w:val="24"/>
        </w:rPr>
        <w:t>C. trachomatis</w:t>
      </w:r>
      <w:r w:rsidRPr="007D31A0">
        <w:rPr>
          <w:rFonts w:cstheme="minorHAnsi"/>
          <w:sz w:val="24"/>
          <w:szCs w:val="24"/>
        </w:rPr>
        <w:t> and </w:t>
      </w:r>
      <w:r w:rsidRPr="007D31A0">
        <w:rPr>
          <w:rFonts w:cstheme="minorHAnsi"/>
          <w:i/>
          <w:iCs/>
          <w:sz w:val="24"/>
          <w:szCs w:val="24"/>
        </w:rPr>
        <w:t>N. gonorrhoeae</w:t>
      </w:r>
      <w:r w:rsidRPr="007D31A0">
        <w:rPr>
          <w:rFonts w:cstheme="minorHAnsi"/>
          <w:sz w:val="24"/>
          <w:szCs w:val="24"/>
        </w:rPr>
        <w:t>, respectively (</w:t>
      </w:r>
      <w:r w:rsidRPr="00886790">
        <w:rPr>
          <w:rFonts w:cstheme="minorHAnsi"/>
          <w:sz w:val="24"/>
          <w:szCs w:val="24"/>
        </w:rPr>
        <w:t>Fig. 1</w:t>
      </w:r>
      <w:r w:rsidRPr="007D31A0">
        <w:rPr>
          <w:rFonts w:cstheme="minorHAnsi"/>
          <w:sz w:val="24"/>
          <w:szCs w:val="24"/>
        </w:rPr>
        <w:t>). </w:t>
      </w:r>
      <w:r w:rsidRPr="007D31A0">
        <w:rPr>
          <w:rFonts w:cstheme="minorHAnsi"/>
          <w:i/>
          <w:iCs/>
          <w:sz w:val="24"/>
          <w:szCs w:val="24"/>
        </w:rPr>
        <w:t>T. vaginalis</w:t>
      </w:r>
      <w:r w:rsidRPr="007D31A0">
        <w:rPr>
          <w:rFonts w:cstheme="minorHAnsi"/>
          <w:sz w:val="24"/>
          <w:szCs w:val="24"/>
        </w:rPr>
        <w:t> rRNA was detected from 26 (1.3%; 95% CI, 0.7%–1.9%) rectal swab specimens. In contrast, 423 (21.5%; 95% CI, 19.1%–23.8%) rectal swab specimens yielded detectable </w:t>
      </w:r>
      <w:r w:rsidRPr="007D31A0">
        <w:rPr>
          <w:rFonts w:cstheme="minorHAnsi"/>
          <w:i/>
          <w:iCs/>
          <w:sz w:val="24"/>
          <w:szCs w:val="24"/>
        </w:rPr>
        <w:t xml:space="preserve">M. </w:t>
      </w:r>
      <w:proofErr w:type="spellStart"/>
      <w:r w:rsidRPr="007D31A0">
        <w:rPr>
          <w:rFonts w:cstheme="minorHAnsi"/>
          <w:i/>
          <w:iCs/>
          <w:sz w:val="24"/>
          <w:szCs w:val="24"/>
        </w:rPr>
        <w:t>genitalium</w:t>
      </w:r>
      <w:proofErr w:type="spellEnd"/>
      <w:r w:rsidRPr="007D31A0">
        <w:rPr>
          <w:rFonts w:cstheme="minorHAnsi"/>
          <w:sz w:val="24"/>
          <w:szCs w:val="24"/>
        </w:rPr>
        <w:t> rRNA (</w:t>
      </w:r>
      <w:r w:rsidRPr="00886790">
        <w:rPr>
          <w:rFonts w:cstheme="minorHAnsi"/>
          <w:sz w:val="24"/>
          <w:szCs w:val="24"/>
        </w:rPr>
        <w:t>Fig. 1</w:t>
      </w:r>
      <w:r w:rsidRPr="007D31A0">
        <w:rPr>
          <w:rFonts w:cstheme="minorHAnsi"/>
          <w:sz w:val="24"/>
          <w:szCs w:val="24"/>
        </w:rPr>
        <w:t>). This percentage exceeded those of other STI agent rectal swab detections (</w:t>
      </w:r>
      <w:r w:rsidRPr="007D31A0">
        <w:rPr>
          <w:rFonts w:cstheme="minorHAnsi"/>
          <w:i/>
          <w:iCs/>
          <w:sz w:val="24"/>
          <w:szCs w:val="24"/>
        </w:rPr>
        <w:t>P</w:t>
      </w:r>
      <w:r w:rsidRPr="007D31A0">
        <w:rPr>
          <w:rFonts w:cstheme="minorHAnsi"/>
          <w:sz w:val="24"/>
          <w:szCs w:val="24"/>
        </w:rPr>
        <w:t> &lt; 0.0001). All increases in rectal swab detection rates per analyte when compared with first-void urine specimens were significant (</w:t>
      </w:r>
      <w:r w:rsidRPr="007D31A0">
        <w:rPr>
          <w:rFonts w:cstheme="minorHAnsi"/>
          <w:i/>
          <w:iCs/>
          <w:sz w:val="24"/>
          <w:szCs w:val="24"/>
        </w:rPr>
        <w:t>P</w:t>
      </w:r>
      <w:r w:rsidRPr="007D31A0">
        <w:rPr>
          <w:rFonts w:cstheme="minorHAnsi"/>
          <w:sz w:val="24"/>
          <w:szCs w:val="24"/>
        </w:rPr>
        <w:t> &lt; 0.01). Multisite detection rates for </w:t>
      </w:r>
      <w:r w:rsidRPr="007D31A0">
        <w:rPr>
          <w:rFonts w:cstheme="minorHAnsi"/>
          <w:i/>
          <w:iCs/>
          <w:sz w:val="24"/>
          <w:szCs w:val="24"/>
        </w:rPr>
        <w:t>C. trachomatis, N. gonorrhoeae, T. vaginalis</w:t>
      </w:r>
      <w:r w:rsidRPr="007D31A0">
        <w:rPr>
          <w:rFonts w:cstheme="minorHAnsi"/>
          <w:sz w:val="24"/>
          <w:szCs w:val="24"/>
        </w:rPr>
        <w:t>, and </w:t>
      </w:r>
      <w:r w:rsidRPr="007D31A0">
        <w:rPr>
          <w:rFonts w:cstheme="minorHAnsi"/>
          <w:i/>
          <w:iCs/>
          <w:sz w:val="24"/>
          <w:szCs w:val="24"/>
        </w:rPr>
        <w:t xml:space="preserve">M. </w:t>
      </w:r>
      <w:proofErr w:type="spellStart"/>
      <w:r w:rsidRPr="007D31A0">
        <w:rPr>
          <w:rFonts w:cstheme="minorHAnsi"/>
          <w:i/>
          <w:iCs/>
          <w:sz w:val="24"/>
          <w:szCs w:val="24"/>
        </w:rPr>
        <w:t>genitalium</w:t>
      </w:r>
      <w:proofErr w:type="spellEnd"/>
      <w:r w:rsidRPr="007D31A0">
        <w:rPr>
          <w:rFonts w:cstheme="minorHAnsi"/>
          <w:sz w:val="24"/>
          <w:szCs w:val="24"/>
        </w:rPr>
        <w:t> were 0.6% (95% CI, 0.3%–1.0%), 0.5% (95% CI, 0.2%–0.8%), 0.2% (95% CI, 0.0%–0.4%), and 4.2% (95% CI, 3.1%–5.3%).</w:t>
      </w:r>
    </w:p>
    <w:p w14:paraId="2AA1224F" w14:textId="77777777" w:rsidR="00886790" w:rsidRDefault="007D31A0" w:rsidP="00886790">
      <w:pPr>
        <w:pStyle w:val="NoSpacing"/>
      </w:pPr>
      <w:r w:rsidRPr="007D31A0">
        <w:rPr>
          <w:noProof/>
        </w:rPr>
        <w:drawing>
          <wp:inline distT="0" distB="0" distL="0" distR="0" wp14:anchorId="6369BA8A" wp14:editId="4FFBE77A">
            <wp:extent cx="2190750" cy="1303655"/>
            <wp:effectExtent l="0" t="0" r="0" b="0"/>
            <wp:docPr id="2" name="Picture 2" descr="F1">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1">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90750" cy="1303655"/>
                    </a:xfrm>
                    <a:prstGeom prst="rect">
                      <a:avLst/>
                    </a:prstGeom>
                    <a:noFill/>
                    <a:ln>
                      <a:noFill/>
                    </a:ln>
                  </pic:spPr>
                </pic:pic>
              </a:graphicData>
            </a:graphic>
          </wp:inline>
        </w:drawing>
      </w:r>
    </w:p>
    <w:p w14:paraId="1B8AA4BB" w14:textId="3EAE4B0B" w:rsidR="007D31A0" w:rsidRDefault="007D31A0" w:rsidP="00886790">
      <w:pPr>
        <w:pStyle w:val="NoSpacing"/>
      </w:pPr>
      <w:r w:rsidRPr="00886790">
        <w:rPr>
          <w:rFonts w:cstheme="minorHAnsi"/>
          <w:b/>
          <w:bCs/>
          <w:sz w:val="24"/>
          <w:szCs w:val="24"/>
        </w:rPr>
        <w:t>Figure 1: </w:t>
      </w:r>
      <w:r w:rsidRPr="007D31A0">
        <w:t>Detection rates of sexually transmitted agent–specific rRNA from primary urine (yellow bars) and rectal swab (blue bars) specimens from 1983 participant encounters in the RADAR cohort study.</w:t>
      </w:r>
    </w:p>
    <w:p w14:paraId="705B7E2D" w14:textId="77777777" w:rsidR="00886790" w:rsidRPr="007D31A0" w:rsidRDefault="00886790" w:rsidP="00886790">
      <w:pPr>
        <w:pStyle w:val="NoSpacing"/>
      </w:pPr>
    </w:p>
    <w:p w14:paraId="30DE6397" w14:textId="77777777" w:rsidR="007D31A0" w:rsidRPr="007D31A0" w:rsidRDefault="007D31A0" w:rsidP="00886790">
      <w:pPr>
        <w:pStyle w:val="Heading2"/>
      </w:pPr>
      <w:r w:rsidRPr="007D31A0">
        <w:t>Effects of Additive Specimen Source on Detection of </w:t>
      </w:r>
      <w:r w:rsidRPr="007D31A0">
        <w:rPr>
          <w:i/>
          <w:iCs/>
        </w:rPr>
        <w:t>C. trachomatis</w:t>
      </w:r>
      <w:r w:rsidRPr="007D31A0">
        <w:t> and </w:t>
      </w:r>
      <w:r w:rsidRPr="007D31A0">
        <w:rPr>
          <w:i/>
          <w:iCs/>
        </w:rPr>
        <w:t>N. gonorrhoeae</w:t>
      </w:r>
      <w:r w:rsidRPr="007D31A0">
        <w:t> rRNA</w:t>
      </w:r>
    </w:p>
    <w:p w14:paraId="5E9F6089" w14:textId="27B45B78" w:rsidR="007D31A0" w:rsidRPr="007D31A0" w:rsidRDefault="007D31A0" w:rsidP="007D31A0">
      <w:pPr>
        <w:rPr>
          <w:rFonts w:cstheme="minorHAnsi"/>
          <w:sz w:val="24"/>
          <w:szCs w:val="24"/>
        </w:rPr>
      </w:pPr>
      <w:r w:rsidRPr="007D31A0">
        <w:rPr>
          <w:rFonts w:cstheme="minorHAnsi"/>
          <w:sz w:val="24"/>
          <w:szCs w:val="24"/>
        </w:rPr>
        <w:t>A total of 1966 (99.1%) participant encounters were involved the collection of both first-void urine and rectal swab specimens. Utilization of FDA-indicated NAAT for </w:t>
      </w:r>
      <w:r w:rsidRPr="007D31A0">
        <w:rPr>
          <w:rFonts w:cstheme="minorHAnsi"/>
          <w:i/>
          <w:iCs/>
          <w:sz w:val="24"/>
          <w:szCs w:val="24"/>
        </w:rPr>
        <w:t>C. trachomatis</w:t>
      </w:r>
      <w:r w:rsidRPr="007D31A0">
        <w:rPr>
          <w:rFonts w:cstheme="minorHAnsi"/>
          <w:sz w:val="24"/>
          <w:szCs w:val="24"/>
        </w:rPr>
        <w:t> and </w:t>
      </w:r>
      <w:r w:rsidRPr="007D31A0">
        <w:rPr>
          <w:rFonts w:cstheme="minorHAnsi"/>
          <w:i/>
          <w:iCs/>
          <w:sz w:val="24"/>
          <w:szCs w:val="24"/>
        </w:rPr>
        <w:t>N. gonorrhoeae</w:t>
      </w:r>
      <w:r w:rsidRPr="007D31A0">
        <w:rPr>
          <w:rFonts w:cstheme="minorHAnsi"/>
          <w:sz w:val="24"/>
          <w:szCs w:val="24"/>
        </w:rPr>
        <w:t> detection (urine testing only) would have resulted in 39 encounters with documented STI detection (</w:t>
      </w:r>
      <w:r w:rsidRPr="00886790">
        <w:rPr>
          <w:rFonts w:cstheme="minorHAnsi"/>
          <w:sz w:val="24"/>
          <w:szCs w:val="24"/>
        </w:rPr>
        <w:t>Fig. 2</w:t>
      </w:r>
      <w:r w:rsidRPr="007D31A0">
        <w:rPr>
          <w:rFonts w:cstheme="minorHAnsi"/>
          <w:sz w:val="24"/>
          <w:szCs w:val="24"/>
        </w:rPr>
        <w:t>). One urine specimen yielded codetection of </w:t>
      </w:r>
      <w:r w:rsidRPr="007D31A0">
        <w:rPr>
          <w:rFonts w:cstheme="minorHAnsi"/>
          <w:i/>
          <w:iCs/>
          <w:sz w:val="24"/>
          <w:szCs w:val="24"/>
        </w:rPr>
        <w:t>C. trachomatis</w:t>
      </w:r>
      <w:r w:rsidRPr="007D31A0">
        <w:rPr>
          <w:rFonts w:cstheme="minorHAnsi"/>
          <w:sz w:val="24"/>
          <w:szCs w:val="24"/>
        </w:rPr>
        <w:t> and </w:t>
      </w:r>
      <w:r w:rsidRPr="007D31A0">
        <w:rPr>
          <w:rFonts w:cstheme="minorHAnsi"/>
          <w:i/>
          <w:iCs/>
          <w:sz w:val="24"/>
          <w:szCs w:val="24"/>
        </w:rPr>
        <w:t>N. gonorrhoeae</w:t>
      </w:r>
      <w:r w:rsidRPr="007D31A0">
        <w:rPr>
          <w:rFonts w:cstheme="minorHAnsi"/>
          <w:sz w:val="24"/>
          <w:szCs w:val="24"/>
        </w:rPr>
        <w:t> rRNA. Additive off-label rectal swab testing increased the frequency of </w:t>
      </w:r>
      <w:r w:rsidRPr="007D31A0">
        <w:rPr>
          <w:rFonts w:cstheme="minorHAnsi"/>
          <w:i/>
          <w:iCs/>
          <w:sz w:val="24"/>
          <w:szCs w:val="24"/>
        </w:rPr>
        <w:t>C. trachomatis</w:t>
      </w:r>
      <w:r w:rsidRPr="007D31A0">
        <w:rPr>
          <w:rFonts w:cstheme="minorHAnsi"/>
          <w:sz w:val="24"/>
          <w:szCs w:val="24"/>
        </w:rPr>
        <w:t> and/or </w:t>
      </w:r>
      <w:r w:rsidRPr="007D31A0">
        <w:rPr>
          <w:rFonts w:cstheme="minorHAnsi"/>
          <w:i/>
          <w:iCs/>
          <w:sz w:val="24"/>
          <w:szCs w:val="24"/>
        </w:rPr>
        <w:t>N. gonorrhoeae</w:t>
      </w:r>
      <w:r w:rsidRPr="007D31A0">
        <w:rPr>
          <w:rFonts w:cstheme="minorHAnsi"/>
          <w:sz w:val="24"/>
          <w:szCs w:val="24"/>
        </w:rPr>
        <w:t> rRNA detections to 13.4% (95% CI, 11.7%–15.2%; n = 264 encounters) of the testing sample. Thirty-two codetections of </w:t>
      </w:r>
      <w:r w:rsidRPr="007D31A0">
        <w:rPr>
          <w:rFonts w:cstheme="minorHAnsi"/>
          <w:i/>
          <w:iCs/>
          <w:sz w:val="24"/>
          <w:szCs w:val="24"/>
        </w:rPr>
        <w:t>C. trachomatis</w:t>
      </w:r>
      <w:r w:rsidRPr="007D31A0">
        <w:rPr>
          <w:rFonts w:cstheme="minorHAnsi"/>
          <w:sz w:val="24"/>
          <w:szCs w:val="24"/>
        </w:rPr>
        <w:t> and </w:t>
      </w:r>
      <w:r w:rsidRPr="007D31A0">
        <w:rPr>
          <w:rFonts w:cstheme="minorHAnsi"/>
          <w:i/>
          <w:iCs/>
          <w:sz w:val="24"/>
          <w:szCs w:val="24"/>
        </w:rPr>
        <w:t>N. gonorrhoeae</w:t>
      </w:r>
      <w:r w:rsidRPr="007D31A0">
        <w:rPr>
          <w:rFonts w:cstheme="minorHAnsi"/>
          <w:sz w:val="24"/>
          <w:szCs w:val="24"/>
        </w:rPr>
        <w:t> rRNA were observed from rectal swab testing. The number of negative patient encounters decreased from 1927 to 1702 with the addition of off-label rectal swab NAAT (</w:t>
      </w:r>
      <w:r w:rsidRPr="00886790">
        <w:rPr>
          <w:rFonts w:cstheme="minorHAnsi"/>
          <w:sz w:val="24"/>
          <w:szCs w:val="24"/>
        </w:rPr>
        <w:t>Fig. 2</w:t>
      </w:r>
      <w:r w:rsidRPr="007D31A0">
        <w:rPr>
          <w:rFonts w:cstheme="minorHAnsi"/>
          <w:sz w:val="24"/>
          <w:szCs w:val="24"/>
        </w:rPr>
        <w:t>).</w:t>
      </w:r>
    </w:p>
    <w:p w14:paraId="20EB9A2F" w14:textId="77777777" w:rsidR="00886790" w:rsidRDefault="007D31A0" w:rsidP="00886790">
      <w:pPr>
        <w:pStyle w:val="NoSpacing"/>
      </w:pPr>
      <w:r w:rsidRPr="007D31A0">
        <w:rPr>
          <w:noProof/>
        </w:rPr>
        <w:drawing>
          <wp:inline distT="0" distB="0" distL="0" distR="0" wp14:anchorId="6A261F5D" wp14:editId="0FE8E720">
            <wp:extent cx="2190750" cy="1588770"/>
            <wp:effectExtent l="0" t="0" r="0" b="0"/>
            <wp:docPr id="1" name="Picture 1" descr="F2">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2">
                      <a:hlinkClick r:id="rId10"/>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90750" cy="1588770"/>
                    </a:xfrm>
                    <a:prstGeom prst="rect">
                      <a:avLst/>
                    </a:prstGeom>
                    <a:noFill/>
                    <a:ln>
                      <a:noFill/>
                    </a:ln>
                  </pic:spPr>
                </pic:pic>
              </a:graphicData>
            </a:graphic>
          </wp:inline>
        </w:drawing>
      </w:r>
    </w:p>
    <w:p w14:paraId="00C682AD" w14:textId="7F3C5633" w:rsidR="007D31A0" w:rsidRDefault="007D31A0" w:rsidP="00886790">
      <w:pPr>
        <w:pStyle w:val="NoSpacing"/>
      </w:pPr>
      <w:r w:rsidRPr="00886790">
        <w:rPr>
          <w:rFonts w:cstheme="minorHAnsi"/>
          <w:b/>
          <w:bCs/>
          <w:sz w:val="24"/>
          <w:szCs w:val="24"/>
        </w:rPr>
        <w:t>Figure 2: </w:t>
      </w:r>
      <w:r w:rsidRPr="007D31A0">
        <w:t>Detection of </w:t>
      </w:r>
      <w:r w:rsidRPr="007D31A0">
        <w:rPr>
          <w:i/>
          <w:iCs/>
        </w:rPr>
        <w:t>C. trachomatis</w:t>
      </w:r>
      <w:r w:rsidRPr="007D31A0">
        <w:t> (Ct)–, </w:t>
      </w:r>
      <w:r w:rsidRPr="007D31A0">
        <w:rPr>
          <w:i/>
          <w:iCs/>
        </w:rPr>
        <w:t>N. gonorrhoeae</w:t>
      </w:r>
      <w:r w:rsidRPr="007D31A0">
        <w:t> (Ng)–, </w:t>
      </w:r>
      <w:r w:rsidRPr="007D31A0">
        <w:rPr>
          <w:i/>
          <w:iCs/>
        </w:rPr>
        <w:t>T. vaginalis</w:t>
      </w:r>
      <w:r w:rsidRPr="007D31A0">
        <w:t> (Tv)–, and </w:t>
      </w:r>
      <w:r w:rsidRPr="007D31A0">
        <w:rPr>
          <w:i/>
          <w:iCs/>
        </w:rPr>
        <w:t xml:space="preserve">M. </w:t>
      </w:r>
      <w:proofErr w:type="spellStart"/>
      <w:r w:rsidRPr="007D31A0">
        <w:rPr>
          <w:i/>
          <w:iCs/>
        </w:rPr>
        <w:t>genitalium</w:t>
      </w:r>
      <w:proofErr w:type="spellEnd"/>
      <w:r w:rsidRPr="007D31A0">
        <w:t> (Mg)–specific rRNA from a 1966-encounter cohort. Data are presented in terms of FDA-indicated testing of first-void urine specimens (urine specimens testing negative for C. </w:t>
      </w:r>
      <w:r w:rsidRPr="007D31A0">
        <w:rPr>
          <w:i/>
          <w:iCs/>
        </w:rPr>
        <w:t>trachomatis</w:t>
      </w:r>
      <w:r w:rsidRPr="007D31A0">
        <w:t> and </w:t>
      </w:r>
      <w:r w:rsidRPr="007D31A0">
        <w:rPr>
          <w:i/>
          <w:iCs/>
        </w:rPr>
        <w:t>N. gonorrhoeae</w:t>
      </w:r>
      <w:r w:rsidRPr="007D31A0">
        <w:t> are indicated by the bar labeled “Negative1”), followed by additive testing of rectal specimens for Ct- and Ng-specific rRNA (urine and rectal specimens testing negative for Ct and Ng are indicated by the bar labeled “Negative2”), and followed by additive analysis of all specimens for Tv- and Mg-specific rRNA (specimens testing negative for all eight analyte permutations are indicated by the bar labeled “Negative3”).</w:t>
      </w:r>
    </w:p>
    <w:p w14:paraId="48C6A6E2" w14:textId="77777777" w:rsidR="00886790" w:rsidRPr="007D31A0" w:rsidRDefault="00886790" w:rsidP="007D31A0">
      <w:pPr>
        <w:rPr>
          <w:rFonts w:cstheme="minorHAnsi"/>
          <w:sz w:val="24"/>
          <w:szCs w:val="24"/>
        </w:rPr>
      </w:pPr>
    </w:p>
    <w:p w14:paraId="5A8FC5A4" w14:textId="77777777" w:rsidR="007D31A0" w:rsidRPr="007D31A0" w:rsidRDefault="007D31A0" w:rsidP="00886790">
      <w:pPr>
        <w:pStyle w:val="Heading2"/>
      </w:pPr>
      <w:r w:rsidRPr="007D31A0">
        <w:t>Detection of </w:t>
      </w:r>
      <w:r w:rsidRPr="007D31A0">
        <w:rPr>
          <w:i/>
          <w:iCs/>
        </w:rPr>
        <w:t>T. vaginalis</w:t>
      </w:r>
      <w:r w:rsidRPr="007D31A0">
        <w:t> and </w:t>
      </w:r>
      <w:r w:rsidRPr="007D31A0">
        <w:rPr>
          <w:i/>
          <w:iCs/>
        </w:rPr>
        <w:t xml:space="preserve">M. </w:t>
      </w:r>
      <w:proofErr w:type="spellStart"/>
      <w:r w:rsidRPr="007D31A0">
        <w:rPr>
          <w:i/>
          <w:iCs/>
        </w:rPr>
        <w:t>genitalium</w:t>
      </w:r>
      <w:proofErr w:type="spellEnd"/>
      <w:r w:rsidRPr="007D31A0">
        <w:t> rRNA From Encounters Yielding Negative Screening Results for Both </w:t>
      </w:r>
      <w:r w:rsidRPr="007D31A0">
        <w:rPr>
          <w:i/>
          <w:iCs/>
        </w:rPr>
        <w:t>C. trachomatis</w:t>
      </w:r>
      <w:r w:rsidRPr="007D31A0">
        <w:t> and </w:t>
      </w:r>
      <w:r w:rsidRPr="007D31A0">
        <w:rPr>
          <w:i/>
          <w:iCs/>
        </w:rPr>
        <w:t>N. gonorrhoeae</w:t>
      </w:r>
    </w:p>
    <w:p w14:paraId="589E1785" w14:textId="3ABDF79C" w:rsidR="007D31A0" w:rsidRPr="007D31A0" w:rsidRDefault="007D31A0" w:rsidP="007D31A0">
      <w:pPr>
        <w:rPr>
          <w:rFonts w:cstheme="minorHAnsi"/>
          <w:sz w:val="24"/>
          <w:szCs w:val="24"/>
        </w:rPr>
      </w:pPr>
      <w:r w:rsidRPr="007D31A0">
        <w:rPr>
          <w:rFonts w:cstheme="minorHAnsi"/>
          <w:sz w:val="24"/>
          <w:szCs w:val="24"/>
        </w:rPr>
        <w:t>Addition of off-label and laboratory-developed NAAT resulted in nominal and substantial increases in </w:t>
      </w:r>
      <w:r w:rsidRPr="007D31A0">
        <w:rPr>
          <w:rFonts w:cstheme="minorHAnsi"/>
          <w:i/>
          <w:iCs/>
          <w:sz w:val="24"/>
          <w:szCs w:val="24"/>
        </w:rPr>
        <w:t>T. vaginalis</w:t>
      </w:r>
      <w:r w:rsidRPr="007D31A0">
        <w:rPr>
          <w:rFonts w:cstheme="minorHAnsi"/>
          <w:sz w:val="24"/>
          <w:szCs w:val="24"/>
        </w:rPr>
        <w:t> and </w:t>
      </w:r>
      <w:r w:rsidRPr="007D31A0">
        <w:rPr>
          <w:rFonts w:cstheme="minorHAnsi"/>
          <w:i/>
          <w:iCs/>
          <w:sz w:val="24"/>
          <w:szCs w:val="24"/>
        </w:rPr>
        <w:t xml:space="preserve">M. </w:t>
      </w:r>
      <w:proofErr w:type="spellStart"/>
      <w:r w:rsidRPr="007D31A0">
        <w:rPr>
          <w:rFonts w:cstheme="minorHAnsi"/>
          <w:i/>
          <w:iCs/>
          <w:sz w:val="24"/>
          <w:szCs w:val="24"/>
        </w:rPr>
        <w:t>genitalium</w:t>
      </w:r>
      <w:proofErr w:type="spellEnd"/>
      <w:r w:rsidRPr="007D31A0">
        <w:rPr>
          <w:rFonts w:cstheme="minorHAnsi"/>
          <w:sz w:val="24"/>
          <w:szCs w:val="24"/>
        </w:rPr>
        <w:t> detection, respectively (</w:t>
      </w:r>
      <w:r w:rsidRPr="00886790">
        <w:rPr>
          <w:rFonts w:cstheme="minorHAnsi"/>
          <w:sz w:val="24"/>
          <w:szCs w:val="24"/>
        </w:rPr>
        <w:t>Fig. 2</w:t>
      </w:r>
      <w:r w:rsidRPr="007D31A0">
        <w:rPr>
          <w:rFonts w:cstheme="minorHAnsi"/>
          <w:sz w:val="24"/>
          <w:szCs w:val="24"/>
        </w:rPr>
        <w:t xml:space="preserve">). From encounters that screened negative for urogenital and </w:t>
      </w:r>
      <w:proofErr w:type="spellStart"/>
      <w:r w:rsidRPr="007D31A0">
        <w:rPr>
          <w:rFonts w:cstheme="minorHAnsi"/>
          <w:sz w:val="24"/>
          <w:szCs w:val="24"/>
        </w:rPr>
        <w:t>extraurogenital</w:t>
      </w:r>
      <w:proofErr w:type="spellEnd"/>
      <w:r w:rsidRPr="007D31A0">
        <w:rPr>
          <w:rFonts w:cstheme="minorHAnsi"/>
          <w:sz w:val="24"/>
          <w:szCs w:val="24"/>
        </w:rPr>
        <w:t> </w:t>
      </w:r>
      <w:r w:rsidRPr="007D31A0">
        <w:rPr>
          <w:rFonts w:cstheme="minorHAnsi"/>
          <w:i/>
          <w:iCs/>
          <w:sz w:val="24"/>
          <w:szCs w:val="24"/>
        </w:rPr>
        <w:t>C. trachomatis</w:t>
      </w:r>
      <w:r w:rsidRPr="007D31A0">
        <w:rPr>
          <w:rFonts w:cstheme="minorHAnsi"/>
          <w:sz w:val="24"/>
          <w:szCs w:val="24"/>
        </w:rPr>
        <w:t> and </w:t>
      </w:r>
      <w:r w:rsidRPr="007D31A0">
        <w:rPr>
          <w:rFonts w:cstheme="minorHAnsi"/>
          <w:i/>
          <w:iCs/>
          <w:sz w:val="24"/>
          <w:szCs w:val="24"/>
        </w:rPr>
        <w:t>N. gonorrhoeae</w:t>
      </w:r>
      <w:r w:rsidRPr="007D31A0">
        <w:rPr>
          <w:rFonts w:cstheme="minorHAnsi"/>
          <w:sz w:val="24"/>
          <w:szCs w:val="24"/>
        </w:rPr>
        <w:t>, </w:t>
      </w:r>
      <w:r w:rsidRPr="007D31A0">
        <w:rPr>
          <w:rFonts w:cstheme="minorHAnsi"/>
          <w:i/>
          <w:iCs/>
          <w:sz w:val="24"/>
          <w:szCs w:val="24"/>
        </w:rPr>
        <w:t>T. vaginalis</w:t>
      </w:r>
      <w:r w:rsidRPr="007D31A0">
        <w:rPr>
          <w:rFonts w:cstheme="minorHAnsi"/>
          <w:sz w:val="24"/>
          <w:szCs w:val="24"/>
        </w:rPr>
        <w:t> rRNA was detected from a urine specimen at one encounter, from a rectal swab specimen during 14 encounters, and from both specimen sources during 2 encounters. These positive results were duplicated upon repeat analysis.</w:t>
      </w:r>
    </w:p>
    <w:p w14:paraId="43F920AF" w14:textId="77777777" w:rsidR="007D31A0" w:rsidRPr="007D31A0" w:rsidRDefault="007D31A0" w:rsidP="007D31A0">
      <w:pPr>
        <w:rPr>
          <w:rFonts w:cstheme="minorHAnsi"/>
          <w:sz w:val="24"/>
          <w:szCs w:val="24"/>
        </w:rPr>
      </w:pPr>
      <w:r w:rsidRPr="007D31A0">
        <w:rPr>
          <w:rFonts w:cstheme="minorHAnsi"/>
          <w:sz w:val="24"/>
          <w:szCs w:val="24"/>
        </w:rPr>
        <w:t xml:space="preserve">In contrast, from encounters that screened negative for urogenital and </w:t>
      </w:r>
      <w:proofErr w:type="spellStart"/>
      <w:r w:rsidRPr="007D31A0">
        <w:rPr>
          <w:rFonts w:cstheme="minorHAnsi"/>
          <w:sz w:val="24"/>
          <w:szCs w:val="24"/>
        </w:rPr>
        <w:t>extraurogenital</w:t>
      </w:r>
      <w:proofErr w:type="spellEnd"/>
      <w:r w:rsidRPr="007D31A0">
        <w:rPr>
          <w:rFonts w:cstheme="minorHAnsi"/>
          <w:sz w:val="24"/>
          <w:szCs w:val="24"/>
        </w:rPr>
        <w:t> </w:t>
      </w:r>
      <w:r w:rsidRPr="007D31A0">
        <w:rPr>
          <w:rFonts w:cstheme="minorHAnsi"/>
          <w:i/>
          <w:iCs/>
          <w:sz w:val="24"/>
          <w:szCs w:val="24"/>
        </w:rPr>
        <w:t>C. trachomatis</w:t>
      </w:r>
      <w:r w:rsidRPr="007D31A0">
        <w:rPr>
          <w:rFonts w:cstheme="minorHAnsi"/>
          <w:sz w:val="24"/>
          <w:szCs w:val="24"/>
        </w:rPr>
        <w:t>, </w:t>
      </w:r>
      <w:r w:rsidRPr="007D31A0">
        <w:rPr>
          <w:rFonts w:cstheme="minorHAnsi"/>
          <w:i/>
          <w:iCs/>
          <w:sz w:val="24"/>
          <w:szCs w:val="24"/>
        </w:rPr>
        <w:t>N. gonorrhoeae</w:t>
      </w:r>
      <w:r w:rsidRPr="007D31A0">
        <w:rPr>
          <w:rFonts w:cstheme="minorHAnsi"/>
          <w:sz w:val="24"/>
          <w:szCs w:val="24"/>
        </w:rPr>
        <w:t>, and </w:t>
      </w:r>
      <w:r w:rsidRPr="007D31A0">
        <w:rPr>
          <w:rFonts w:cstheme="minorHAnsi"/>
          <w:i/>
          <w:iCs/>
          <w:sz w:val="24"/>
          <w:szCs w:val="24"/>
        </w:rPr>
        <w:t>T. vaginalis</w:t>
      </w:r>
      <w:r w:rsidRPr="007D31A0">
        <w:rPr>
          <w:rFonts w:cstheme="minorHAnsi"/>
          <w:sz w:val="24"/>
          <w:szCs w:val="24"/>
        </w:rPr>
        <w:t>, </w:t>
      </w:r>
      <w:r w:rsidRPr="007D31A0">
        <w:rPr>
          <w:rFonts w:cstheme="minorHAnsi"/>
          <w:i/>
          <w:iCs/>
          <w:sz w:val="24"/>
          <w:szCs w:val="24"/>
        </w:rPr>
        <w:t xml:space="preserve">M. </w:t>
      </w:r>
      <w:proofErr w:type="spellStart"/>
      <w:r w:rsidRPr="007D31A0">
        <w:rPr>
          <w:rFonts w:cstheme="minorHAnsi"/>
          <w:i/>
          <w:iCs/>
          <w:sz w:val="24"/>
          <w:szCs w:val="24"/>
        </w:rPr>
        <w:t>genitalium</w:t>
      </w:r>
      <w:proofErr w:type="spellEnd"/>
      <w:r w:rsidRPr="007D31A0">
        <w:rPr>
          <w:rFonts w:cstheme="minorHAnsi"/>
          <w:sz w:val="24"/>
          <w:szCs w:val="24"/>
        </w:rPr>
        <w:t> rRNA was detected from urine specimens in 74 instances, from rectal swab specimens during 256 encounters, and from both specimen sources during 66 encounters. In total, addition of </w:t>
      </w:r>
      <w:r w:rsidRPr="007D31A0">
        <w:rPr>
          <w:rFonts w:cstheme="minorHAnsi"/>
          <w:i/>
          <w:iCs/>
          <w:sz w:val="24"/>
          <w:szCs w:val="24"/>
        </w:rPr>
        <w:t xml:space="preserve">M. </w:t>
      </w:r>
      <w:proofErr w:type="spellStart"/>
      <w:r w:rsidRPr="007D31A0">
        <w:rPr>
          <w:rFonts w:cstheme="minorHAnsi"/>
          <w:i/>
          <w:iCs/>
          <w:sz w:val="24"/>
          <w:szCs w:val="24"/>
        </w:rPr>
        <w:t>genitalium</w:t>
      </w:r>
      <w:proofErr w:type="spellEnd"/>
      <w:r w:rsidRPr="007D31A0">
        <w:rPr>
          <w:rFonts w:cstheme="minorHAnsi"/>
          <w:sz w:val="24"/>
          <w:szCs w:val="24"/>
        </w:rPr>
        <w:t> rRNA detection resulted in 409 (24.0%) of 1702 positive patient encounters without detectable </w:t>
      </w:r>
      <w:r w:rsidRPr="007D31A0">
        <w:rPr>
          <w:rFonts w:cstheme="minorHAnsi"/>
          <w:i/>
          <w:iCs/>
          <w:sz w:val="24"/>
          <w:szCs w:val="24"/>
        </w:rPr>
        <w:t>C. trachomatis</w:t>
      </w:r>
      <w:r w:rsidRPr="007D31A0">
        <w:rPr>
          <w:rFonts w:cstheme="minorHAnsi"/>
          <w:sz w:val="24"/>
          <w:szCs w:val="24"/>
        </w:rPr>
        <w:t> or </w:t>
      </w:r>
      <w:r w:rsidRPr="007D31A0">
        <w:rPr>
          <w:rFonts w:cstheme="minorHAnsi"/>
          <w:i/>
          <w:iCs/>
          <w:sz w:val="24"/>
          <w:szCs w:val="24"/>
        </w:rPr>
        <w:t>N. gonorrhoeae</w:t>
      </w:r>
      <w:r w:rsidRPr="007D31A0">
        <w:rPr>
          <w:rFonts w:cstheme="minorHAnsi"/>
          <w:sz w:val="24"/>
          <w:szCs w:val="24"/>
        </w:rPr>
        <w:t> rRNA (95% CI, 21.4%–26.7%).</w:t>
      </w:r>
    </w:p>
    <w:p w14:paraId="4767AB79" w14:textId="32421F85" w:rsidR="007D31A0" w:rsidRPr="007D31A0" w:rsidRDefault="007D31A0" w:rsidP="007D31A0">
      <w:pPr>
        <w:rPr>
          <w:rFonts w:cstheme="minorHAnsi"/>
          <w:sz w:val="24"/>
          <w:szCs w:val="24"/>
        </w:rPr>
      </w:pPr>
      <w:r w:rsidRPr="007D31A0">
        <w:rPr>
          <w:rFonts w:cstheme="minorHAnsi"/>
          <w:sz w:val="24"/>
          <w:szCs w:val="24"/>
        </w:rPr>
        <w:t>Addition of </w:t>
      </w:r>
      <w:r w:rsidRPr="007D31A0">
        <w:rPr>
          <w:rFonts w:cstheme="minorHAnsi"/>
          <w:i/>
          <w:iCs/>
          <w:sz w:val="24"/>
          <w:szCs w:val="24"/>
        </w:rPr>
        <w:t>T. vaginalis</w:t>
      </w:r>
      <w:r w:rsidRPr="007D31A0">
        <w:rPr>
          <w:rFonts w:cstheme="minorHAnsi"/>
          <w:sz w:val="24"/>
          <w:szCs w:val="24"/>
        </w:rPr>
        <w:t> and </w:t>
      </w:r>
      <w:r w:rsidRPr="007D31A0">
        <w:rPr>
          <w:rFonts w:cstheme="minorHAnsi"/>
          <w:i/>
          <w:iCs/>
          <w:sz w:val="24"/>
          <w:szCs w:val="24"/>
        </w:rPr>
        <w:t xml:space="preserve">M. </w:t>
      </w:r>
      <w:proofErr w:type="spellStart"/>
      <w:r w:rsidRPr="007D31A0">
        <w:rPr>
          <w:rFonts w:cstheme="minorHAnsi"/>
          <w:i/>
          <w:iCs/>
          <w:sz w:val="24"/>
          <w:szCs w:val="24"/>
        </w:rPr>
        <w:t>genitalium</w:t>
      </w:r>
      <w:proofErr w:type="spellEnd"/>
      <w:r w:rsidRPr="007D31A0">
        <w:rPr>
          <w:rFonts w:cstheme="minorHAnsi"/>
          <w:sz w:val="24"/>
          <w:szCs w:val="24"/>
        </w:rPr>
        <w:t> analytes to the comprehensive STI screen resulted in a 34.4% (95% CI, 31.7%–37.3%) positive participant encounter rate. This value represented a 156% increase over the level of </w:t>
      </w:r>
      <w:r w:rsidRPr="007D31A0">
        <w:rPr>
          <w:rFonts w:cstheme="minorHAnsi"/>
          <w:i/>
          <w:iCs/>
          <w:sz w:val="24"/>
          <w:szCs w:val="24"/>
        </w:rPr>
        <w:t>C. trachomatis</w:t>
      </w:r>
      <w:r w:rsidRPr="007D31A0">
        <w:rPr>
          <w:rFonts w:cstheme="minorHAnsi"/>
          <w:sz w:val="24"/>
          <w:szCs w:val="24"/>
        </w:rPr>
        <w:t> and/or </w:t>
      </w:r>
      <w:r w:rsidRPr="007D31A0">
        <w:rPr>
          <w:rFonts w:cstheme="minorHAnsi"/>
          <w:i/>
          <w:iCs/>
          <w:sz w:val="24"/>
          <w:szCs w:val="24"/>
        </w:rPr>
        <w:t>N. gonorrhoeae</w:t>
      </w:r>
      <w:r w:rsidRPr="007D31A0">
        <w:rPr>
          <w:rFonts w:cstheme="minorHAnsi"/>
          <w:sz w:val="24"/>
          <w:szCs w:val="24"/>
        </w:rPr>
        <w:t xml:space="preserve"> rRNA detection, even when factoring </w:t>
      </w:r>
      <w:proofErr w:type="spellStart"/>
      <w:r w:rsidRPr="007D31A0">
        <w:rPr>
          <w:rFonts w:cstheme="minorHAnsi"/>
          <w:sz w:val="24"/>
          <w:szCs w:val="24"/>
        </w:rPr>
        <w:t>extraurogenital</w:t>
      </w:r>
      <w:proofErr w:type="spellEnd"/>
      <w:r w:rsidRPr="007D31A0">
        <w:rPr>
          <w:rFonts w:cstheme="minorHAnsi"/>
          <w:sz w:val="24"/>
          <w:szCs w:val="24"/>
        </w:rPr>
        <w:t xml:space="preserve"> testing. The number of </w:t>
      </w:r>
      <w:proofErr w:type="gramStart"/>
      <w:r w:rsidRPr="007D31A0">
        <w:rPr>
          <w:rFonts w:cstheme="minorHAnsi"/>
          <w:sz w:val="24"/>
          <w:szCs w:val="24"/>
        </w:rPr>
        <w:t>participant</w:t>
      </w:r>
      <w:proofErr w:type="gramEnd"/>
      <w:r w:rsidRPr="007D31A0">
        <w:rPr>
          <w:rFonts w:cstheme="minorHAnsi"/>
          <w:sz w:val="24"/>
          <w:szCs w:val="24"/>
        </w:rPr>
        <w:t xml:space="preserve"> encounters negative for the four STI agents decreased from the original value of 1927 to 1289 (</w:t>
      </w:r>
      <w:r w:rsidRPr="00886790">
        <w:rPr>
          <w:rFonts w:cstheme="minorHAnsi"/>
          <w:sz w:val="24"/>
          <w:szCs w:val="24"/>
        </w:rPr>
        <w:t>Fig. 2</w:t>
      </w:r>
      <w:r w:rsidRPr="007D31A0">
        <w:rPr>
          <w:rFonts w:cstheme="minorHAnsi"/>
          <w:sz w:val="24"/>
          <w:szCs w:val="24"/>
        </w:rPr>
        <w:t>).</w:t>
      </w:r>
    </w:p>
    <w:p w14:paraId="6F2A08E3" w14:textId="77777777" w:rsidR="007D31A0" w:rsidRPr="007D31A0" w:rsidRDefault="007D31A0" w:rsidP="00886790">
      <w:pPr>
        <w:pStyle w:val="Heading2"/>
      </w:pPr>
      <w:r w:rsidRPr="007D31A0">
        <w:rPr>
          <w:i/>
          <w:iCs/>
        </w:rPr>
        <w:t xml:space="preserve">M. </w:t>
      </w:r>
      <w:proofErr w:type="spellStart"/>
      <w:r w:rsidRPr="007D31A0">
        <w:rPr>
          <w:i/>
          <w:iCs/>
        </w:rPr>
        <w:t>genitalium</w:t>
      </w:r>
      <w:proofErr w:type="spellEnd"/>
      <w:r w:rsidRPr="007D31A0">
        <w:t> rRNA Codetection Data</w:t>
      </w:r>
    </w:p>
    <w:p w14:paraId="3AA3D4B1" w14:textId="77777777" w:rsidR="007D31A0" w:rsidRPr="007D31A0" w:rsidRDefault="007D31A0" w:rsidP="007D31A0">
      <w:pPr>
        <w:rPr>
          <w:rFonts w:cstheme="minorHAnsi"/>
          <w:sz w:val="24"/>
          <w:szCs w:val="24"/>
        </w:rPr>
      </w:pPr>
      <w:r w:rsidRPr="007D31A0">
        <w:rPr>
          <w:rFonts w:cstheme="minorHAnsi"/>
          <w:i/>
          <w:iCs/>
          <w:sz w:val="24"/>
          <w:szCs w:val="24"/>
        </w:rPr>
        <w:t xml:space="preserve">M. </w:t>
      </w:r>
      <w:proofErr w:type="spellStart"/>
      <w:r w:rsidRPr="007D31A0">
        <w:rPr>
          <w:rFonts w:cstheme="minorHAnsi"/>
          <w:i/>
          <w:iCs/>
          <w:sz w:val="24"/>
          <w:szCs w:val="24"/>
        </w:rPr>
        <w:t>genitalium</w:t>
      </w:r>
      <w:proofErr w:type="spellEnd"/>
      <w:r w:rsidRPr="007D31A0">
        <w:rPr>
          <w:rFonts w:cstheme="minorHAnsi"/>
          <w:sz w:val="24"/>
          <w:szCs w:val="24"/>
        </w:rPr>
        <w:t xml:space="preserve"> rRNA was </w:t>
      </w:r>
      <w:proofErr w:type="spellStart"/>
      <w:r w:rsidRPr="007D31A0">
        <w:rPr>
          <w:rFonts w:cstheme="minorHAnsi"/>
          <w:sz w:val="24"/>
          <w:szCs w:val="24"/>
        </w:rPr>
        <w:t>codetected</w:t>
      </w:r>
      <w:proofErr w:type="spellEnd"/>
      <w:r w:rsidRPr="007D31A0">
        <w:rPr>
          <w:rFonts w:cstheme="minorHAnsi"/>
          <w:sz w:val="24"/>
          <w:szCs w:val="24"/>
        </w:rPr>
        <w:t xml:space="preserve"> in 15 of the 26 rectal swab specimens with detectable </w:t>
      </w:r>
      <w:r w:rsidRPr="007D31A0">
        <w:rPr>
          <w:rFonts w:cstheme="minorHAnsi"/>
          <w:i/>
          <w:iCs/>
          <w:sz w:val="24"/>
          <w:szCs w:val="24"/>
        </w:rPr>
        <w:t>T. vaginalis</w:t>
      </w:r>
      <w:r w:rsidRPr="007D31A0">
        <w:rPr>
          <w:rFonts w:cstheme="minorHAnsi"/>
          <w:sz w:val="24"/>
          <w:szCs w:val="24"/>
        </w:rPr>
        <w:t> rRNA. In addition, </w:t>
      </w:r>
      <w:r w:rsidRPr="007D31A0">
        <w:rPr>
          <w:rFonts w:cstheme="minorHAnsi"/>
          <w:i/>
          <w:iCs/>
          <w:sz w:val="24"/>
          <w:szCs w:val="24"/>
        </w:rPr>
        <w:t xml:space="preserve">M. </w:t>
      </w:r>
      <w:proofErr w:type="spellStart"/>
      <w:r w:rsidRPr="007D31A0">
        <w:rPr>
          <w:rFonts w:cstheme="minorHAnsi"/>
          <w:i/>
          <w:iCs/>
          <w:sz w:val="24"/>
          <w:szCs w:val="24"/>
        </w:rPr>
        <w:t>genitalium</w:t>
      </w:r>
      <w:proofErr w:type="spellEnd"/>
      <w:r w:rsidRPr="007D31A0">
        <w:rPr>
          <w:rFonts w:cstheme="minorHAnsi"/>
          <w:sz w:val="24"/>
          <w:szCs w:val="24"/>
        </w:rPr>
        <w:t xml:space="preserve"> rRNA was </w:t>
      </w:r>
      <w:proofErr w:type="spellStart"/>
      <w:r w:rsidRPr="007D31A0">
        <w:rPr>
          <w:rFonts w:cstheme="minorHAnsi"/>
          <w:sz w:val="24"/>
          <w:szCs w:val="24"/>
        </w:rPr>
        <w:t>codetected</w:t>
      </w:r>
      <w:proofErr w:type="spellEnd"/>
      <w:r w:rsidRPr="007D31A0">
        <w:rPr>
          <w:rFonts w:cstheme="minorHAnsi"/>
          <w:sz w:val="24"/>
          <w:szCs w:val="24"/>
        </w:rPr>
        <w:t xml:space="preserve"> in 53 rectal swab specimens with detectable </w:t>
      </w:r>
      <w:r w:rsidRPr="007D31A0">
        <w:rPr>
          <w:rFonts w:cstheme="minorHAnsi"/>
          <w:i/>
          <w:iCs/>
          <w:sz w:val="24"/>
          <w:szCs w:val="24"/>
        </w:rPr>
        <w:t>C. trachomatis</w:t>
      </w:r>
      <w:r w:rsidRPr="007D31A0">
        <w:rPr>
          <w:rFonts w:cstheme="minorHAnsi"/>
          <w:sz w:val="24"/>
          <w:szCs w:val="24"/>
        </w:rPr>
        <w:t> rRNA, in 43 rectal swab specimens with detectable </w:t>
      </w:r>
      <w:r w:rsidRPr="007D31A0">
        <w:rPr>
          <w:rFonts w:cstheme="minorHAnsi"/>
          <w:i/>
          <w:iCs/>
          <w:sz w:val="24"/>
          <w:szCs w:val="24"/>
        </w:rPr>
        <w:t>N. gonorrhoeae</w:t>
      </w:r>
      <w:r w:rsidRPr="007D31A0">
        <w:rPr>
          <w:rFonts w:cstheme="minorHAnsi"/>
          <w:sz w:val="24"/>
          <w:szCs w:val="24"/>
        </w:rPr>
        <w:t> rRNA, in 6 urine specimens with detectable </w:t>
      </w:r>
      <w:r w:rsidRPr="007D31A0">
        <w:rPr>
          <w:rFonts w:cstheme="minorHAnsi"/>
          <w:i/>
          <w:iCs/>
          <w:sz w:val="24"/>
          <w:szCs w:val="24"/>
        </w:rPr>
        <w:t>C. trachomatis</w:t>
      </w:r>
      <w:r w:rsidRPr="007D31A0">
        <w:rPr>
          <w:rFonts w:cstheme="minorHAnsi"/>
          <w:sz w:val="24"/>
          <w:szCs w:val="24"/>
        </w:rPr>
        <w:t> rRNA, and in 5 urine specimens with detectable </w:t>
      </w:r>
      <w:r w:rsidRPr="007D31A0">
        <w:rPr>
          <w:rFonts w:cstheme="minorHAnsi"/>
          <w:i/>
          <w:iCs/>
          <w:sz w:val="24"/>
          <w:szCs w:val="24"/>
        </w:rPr>
        <w:t>N. gonorrhoeae</w:t>
      </w:r>
      <w:r w:rsidRPr="007D31A0">
        <w:rPr>
          <w:rFonts w:cstheme="minorHAnsi"/>
          <w:sz w:val="24"/>
          <w:szCs w:val="24"/>
        </w:rPr>
        <w:t> rRNA (data not illustrated).</w:t>
      </w:r>
    </w:p>
    <w:p w14:paraId="3A235741" w14:textId="77777777" w:rsidR="007D31A0" w:rsidRPr="007D31A0" w:rsidRDefault="007D31A0" w:rsidP="00886790">
      <w:pPr>
        <w:pStyle w:val="Heading1"/>
      </w:pPr>
      <w:r w:rsidRPr="007D31A0">
        <w:t>DISCUSSION</w:t>
      </w:r>
    </w:p>
    <w:p w14:paraId="78D720FE" w14:textId="77777777" w:rsidR="007D31A0" w:rsidRPr="007D31A0" w:rsidRDefault="007D31A0" w:rsidP="007D31A0">
      <w:pPr>
        <w:rPr>
          <w:rFonts w:cstheme="minorHAnsi"/>
          <w:sz w:val="24"/>
          <w:szCs w:val="24"/>
        </w:rPr>
      </w:pPr>
      <w:r w:rsidRPr="007D31A0">
        <w:rPr>
          <w:rFonts w:cstheme="minorHAnsi"/>
          <w:sz w:val="24"/>
          <w:szCs w:val="24"/>
        </w:rPr>
        <w:t xml:space="preserve">Nucleic acid amplification testing has become a reference method for laboratory detection of nonulcerative STI agents. However, at the inception of this study, commercial assays did not possess FDA indications for performance on </w:t>
      </w:r>
      <w:proofErr w:type="spellStart"/>
      <w:r w:rsidRPr="007D31A0">
        <w:rPr>
          <w:rFonts w:cstheme="minorHAnsi"/>
          <w:sz w:val="24"/>
          <w:szCs w:val="24"/>
        </w:rPr>
        <w:t>extraurogenital</w:t>
      </w:r>
      <w:proofErr w:type="spellEnd"/>
      <w:r w:rsidRPr="007D31A0">
        <w:rPr>
          <w:rFonts w:cstheme="minorHAnsi"/>
          <w:sz w:val="24"/>
          <w:szCs w:val="24"/>
        </w:rPr>
        <w:t xml:space="preserve"> specimens, such as rectal swab specimens. Laboratory-developed assays or laboratory-modified tests are therefore alternative means for detection of </w:t>
      </w:r>
      <w:r w:rsidRPr="007D31A0">
        <w:rPr>
          <w:rFonts w:cstheme="minorHAnsi"/>
          <w:i/>
          <w:iCs/>
          <w:sz w:val="24"/>
          <w:szCs w:val="24"/>
        </w:rPr>
        <w:t>C. trachomatis</w:t>
      </w:r>
      <w:r w:rsidRPr="007D31A0">
        <w:rPr>
          <w:rFonts w:cstheme="minorHAnsi"/>
          <w:sz w:val="24"/>
          <w:szCs w:val="24"/>
        </w:rPr>
        <w:t> and </w:t>
      </w:r>
      <w:r w:rsidRPr="007D31A0">
        <w:rPr>
          <w:rFonts w:cstheme="minorHAnsi"/>
          <w:i/>
          <w:iCs/>
          <w:sz w:val="24"/>
          <w:szCs w:val="24"/>
        </w:rPr>
        <w:t>N. gonorrhoeae</w:t>
      </w:r>
      <w:r w:rsidRPr="007D31A0">
        <w:rPr>
          <w:rFonts w:cstheme="minorHAnsi"/>
          <w:sz w:val="24"/>
          <w:szCs w:val="24"/>
        </w:rPr>
        <w:t> nucleic acid from at-risk demographics. When developing these assays, the potential effect of endogenous specimen inhibitors of nucleic acid amplification on assay performance must be considered. With respect to analysis of rectal swab specimens, inhibitory agents endogenous to feces</w:t>
      </w:r>
      <w:r w:rsidRPr="007D31A0">
        <w:rPr>
          <w:rFonts w:cstheme="minorHAnsi"/>
          <w:sz w:val="24"/>
          <w:szCs w:val="24"/>
          <w:vertAlign w:val="superscript"/>
        </w:rPr>
        <w:t>16</w:t>
      </w:r>
      <w:r w:rsidRPr="007D31A0">
        <w:rPr>
          <w:rFonts w:cstheme="minorHAnsi"/>
          <w:sz w:val="24"/>
          <w:szCs w:val="24"/>
        </w:rPr>
        <w:t> and commensal enteric gram-negative bacteria</w:t>
      </w:r>
      <w:r w:rsidRPr="007D31A0">
        <w:rPr>
          <w:rFonts w:cstheme="minorHAnsi"/>
          <w:sz w:val="24"/>
          <w:szCs w:val="24"/>
          <w:vertAlign w:val="superscript"/>
        </w:rPr>
        <w:t>17</w:t>
      </w:r>
      <w:r w:rsidRPr="007D31A0">
        <w:rPr>
          <w:rFonts w:cstheme="minorHAnsi"/>
          <w:sz w:val="24"/>
          <w:szCs w:val="24"/>
        </w:rPr>
        <w:t> may be encountered. Despite the potential of encountering these endogenous specimen inhibitors during the analysis of rectal swab specimens in our investigation, we report significant detection rates of </w:t>
      </w:r>
      <w:r w:rsidRPr="007D31A0">
        <w:rPr>
          <w:rFonts w:cstheme="minorHAnsi"/>
          <w:i/>
          <w:iCs/>
          <w:sz w:val="24"/>
          <w:szCs w:val="24"/>
        </w:rPr>
        <w:t>N. gonorrhoeae</w:t>
      </w:r>
      <w:r w:rsidRPr="007D31A0">
        <w:rPr>
          <w:rFonts w:cstheme="minorHAnsi"/>
          <w:sz w:val="24"/>
          <w:szCs w:val="24"/>
        </w:rPr>
        <w:t>– (6.2%), </w:t>
      </w:r>
      <w:r w:rsidRPr="007D31A0">
        <w:rPr>
          <w:rFonts w:cstheme="minorHAnsi"/>
          <w:i/>
          <w:iCs/>
          <w:sz w:val="24"/>
          <w:szCs w:val="24"/>
        </w:rPr>
        <w:t>C. trachomatis</w:t>
      </w:r>
      <w:r w:rsidRPr="007D31A0">
        <w:rPr>
          <w:rFonts w:cstheme="minorHAnsi"/>
          <w:sz w:val="24"/>
          <w:szCs w:val="24"/>
        </w:rPr>
        <w:t>– (8.2%), and </w:t>
      </w:r>
      <w:r w:rsidRPr="007D31A0">
        <w:rPr>
          <w:rFonts w:cstheme="minorHAnsi"/>
          <w:i/>
          <w:iCs/>
          <w:sz w:val="24"/>
          <w:szCs w:val="24"/>
        </w:rPr>
        <w:t xml:space="preserve">M. </w:t>
      </w:r>
      <w:proofErr w:type="spellStart"/>
      <w:r w:rsidRPr="007D31A0">
        <w:rPr>
          <w:rFonts w:cstheme="minorHAnsi"/>
          <w:i/>
          <w:iCs/>
          <w:sz w:val="24"/>
          <w:szCs w:val="24"/>
        </w:rPr>
        <w:t>genitalium</w:t>
      </w:r>
      <w:proofErr w:type="spellEnd"/>
      <w:r w:rsidRPr="007D31A0">
        <w:rPr>
          <w:rFonts w:cstheme="minorHAnsi"/>
          <w:sz w:val="24"/>
          <w:szCs w:val="24"/>
        </w:rPr>
        <w:t xml:space="preserve">–specific (21.5%) nucleic acid from this specimen source. Analogous detection rates of the </w:t>
      </w:r>
      <w:proofErr w:type="gramStart"/>
      <w:r w:rsidRPr="007D31A0">
        <w:rPr>
          <w:rFonts w:cstheme="minorHAnsi"/>
          <w:sz w:val="24"/>
          <w:szCs w:val="24"/>
        </w:rPr>
        <w:t>aforementioned STI</w:t>
      </w:r>
      <w:proofErr w:type="gramEnd"/>
      <w:r w:rsidRPr="007D31A0">
        <w:rPr>
          <w:rFonts w:cstheme="minorHAnsi"/>
          <w:sz w:val="24"/>
          <w:szCs w:val="24"/>
        </w:rPr>
        <w:t xml:space="preserve"> agents from first-void urine were 0.6%, 1.4%, and 9.1%, respectively.</w:t>
      </w:r>
    </w:p>
    <w:p w14:paraId="70199BF1" w14:textId="77777777" w:rsidR="007D31A0" w:rsidRPr="007D31A0" w:rsidRDefault="007D31A0" w:rsidP="007D31A0">
      <w:pPr>
        <w:rPr>
          <w:rFonts w:cstheme="minorHAnsi"/>
          <w:sz w:val="24"/>
          <w:szCs w:val="24"/>
        </w:rPr>
      </w:pPr>
      <w:r w:rsidRPr="007D31A0">
        <w:rPr>
          <w:rFonts w:cstheme="minorHAnsi"/>
          <w:sz w:val="24"/>
          <w:szCs w:val="24"/>
        </w:rPr>
        <w:t>One component of the commercial amplification assay used in this study is a mechanism in which magnetic-linked oligonucleotide sequences specific for the pathogen being assayed are allowed to hybridize to target nucleic acid before the amplification process. This system of target capture essentially sequesters hybridized target nucleic acid to the side of a reaction tube (in the presence of a magnetic field), whereas a vacuum aspiration system washes the contents of the reaction tube, effectively removing endogenous agents of inhibition before the initiation of amplification. The target capture paradigm contributes to enhanced analytic sensitivity of the system. Using first-void urine specimens as an example, substances noted to inhibit </w:t>
      </w:r>
      <w:r w:rsidRPr="007D31A0">
        <w:rPr>
          <w:rFonts w:cstheme="minorHAnsi"/>
          <w:i/>
          <w:iCs/>
          <w:sz w:val="24"/>
          <w:szCs w:val="24"/>
        </w:rPr>
        <w:t>C. trachomatis</w:t>
      </w:r>
      <w:r w:rsidRPr="007D31A0">
        <w:rPr>
          <w:rFonts w:cstheme="minorHAnsi"/>
          <w:sz w:val="24"/>
          <w:szCs w:val="24"/>
        </w:rPr>
        <w:t> nucleic acid amplification have included hemoglobin, urine crystals, iron, urine nitrites, and phosphate.</w:t>
      </w:r>
      <w:r w:rsidRPr="007D31A0">
        <w:rPr>
          <w:rFonts w:cstheme="minorHAnsi"/>
          <w:sz w:val="24"/>
          <w:szCs w:val="24"/>
          <w:vertAlign w:val="superscript"/>
        </w:rPr>
        <w:t>18,19</w:t>
      </w:r>
      <w:r w:rsidRPr="007D31A0">
        <w:rPr>
          <w:rFonts w:cstheme="minorHAnsi"/>
          <w:sz w:val="24"/>
          <w:szCs w:val="24"/>
        </w:rPr>
        <w:t> One first-generation commercial amplification assay revealed an 11.9% rate of amplification inhibition from 388 urine specimens.</w:t>
      </w:r>
      <w:r w:rsidRPr="007D31A0">
        <w:rPr>
          <w:rFonts w:cstheme="minorHAnsi"/>
          <w:sz w:val="24"/>
          <w:szCs w:val="24"/>
          <w:vertAlign w:val="superscript"/>
        </w:rPr>
        <w:t>20</w:t>
      </w:r>
      <w:r w:rsidRPr="007D31A0">
        <w:rPr>
          <w:rFonts w:cstheme="minorHAnsi"/>
          <w:sz w:val="24"/>
          <w:szCs w:val="24"/>
        </w:rPr>
        <w:t> One subsequent study</w:t>
      </w:r>
      <w:r w:rsidRPr="007D31A0">
        <w:rPr>
          <w:rFonts w:cstheme="minorHAnsi"/>
          <w:sz w:val="24"/>
          <w:szCs w:val="24"/>
          <w:vertAlign w:val="superscript"/>
        </w:rPr>
        <w:t>21</w:t>
      </w:r>
      <w:r w:rsidRPr="007D31A0">
        <w:rPr>
          <w:rFonts w:cstheme="minorHAnsi"/>
          <w:sz w:val="24"/>
          <w:szCs w:val="24"/>
        </w:rPr>
        <w:t> revealed an inhibition rate of 0.3% from urine specimens when using a second-generation commercial amplification assay employing target capture.</w:t>
      </w:r>
    </w:p>
    <w:p w14:paraId="21806D81" w14:textId="77777777" w:rsidR="007D31A0" w:rsidRPr="007D31A0" w:rsidRDefault="007D31A0" w:rsidP="007D31A0">
      <w:pPr>
        <w:rPr>
          <w:rFonts w:cstheme="minorHAnsi"/>
          <w:sz w:val="24"/>
          <w:szCs w:val="24"/>
        </w:rPr>
      </w:pPr>
      <w:r w:rsidRPr="007D31A0">
        <w:rPr>
          <w:rFonts w:cstheme="minorHAnsi"/>
          <w:sz w:val="24"/>
          <w:szCs w:val="24"/>
        </w:rPr>
        <w:t xml:space="preserve">In addition to the mitigation of endogenous inhibitory factors via target capture, laboratory detection of STI agents from </w:t>
      </w:r>
      <w:proofErr w:type="spellStart"/>
      <w:r w:rsidRPr="007D31A0">
        <w:rPr>
          <w:rFonts w:cstheme="minorHAnsi"/>
          <w:sz w:val="24"/>
          <w:szCs w:val="24"/>
        </w:rPr>
        <w:t>extraurogenital</w:t>
      </w:r>
      <w:proofErr w:type="spellEnd"/>
      <w:r w:rsidRPr="007D31A0">
        <w:rPr>
          <w:rFonts w:cstheme="minorHAnsi"/>
          <w:sz w:val="24"/>
          <w:szCs w:val="24"/>
        </w:rPr>
        <w:t xml:space="preserve"> specimens (particularly rectal swab specimens) is facilitated by RNA amplification assays. Schachter et al.</w:t>
      </w:r>
      <w:r w:rsidRPr="007D31A0">
        <w:rPr>
          <w:rFonts w:cstheme="minorHAnsi"/>
          <w:sz w:val="24"/>
          <w:szCs w:val="24"/>
          <w:vertAlign w:val="superscript"/>
        </w:rPr>
        <w:t>22</w:t>
      </w:r>
      <w:r w:rsidRPr="007D31A0">
        <w:rPr>
          <w:rFonts w:cstheme="minorHAnsi"/>
          <w:sz w:val="24"/>
          <w:szCs w:val="24"/>
        </w:rPr>
        <w:t> reported 44.4% sensitivity of one commercial DNA amplification assay for detection of </w:t>
      </w:r>
      <w:r w:rsidRPr="007D31A0">
        <w:rPr>
          <w:rFonts w:cstheme="minorHAnsi"/>
          <w:i/>
          <w:iCs/>
          <w:sz w:val="24"/>
          <w:szCs w:val="24"/>
        </w:rPr>
        <w:t>N. gonorrhoeae</w:t>
      </w:r>
      <w:r w:rsidRPr="007D31A0">
        <w:rPr>
          <w:rFonts w:cstheme="minorHAnsi"/>
          <w:sz w:val="24"/>
          <w:szCs w:val="24"/>
        </w:rPr>
        <w:t> nucleic acid from rectal swab specimens when compared with commercial RNA amplification. Commercial RNA amplification was also 14.8% more sensitive than a second format of DNA amplification in detection of </w:t>
      </w:r>
      <w:r w:rsidRPr="007D31A0">
        <w:rPr>
          <w:rFonts w:cstheme="minorHAnsi"/>
          <w:i/>
          <w:iCs/>
          <w:sz w:val="24"/>
          <w:szCs w:val="24"/>
        </w:rPr>
        <w:t>N. gonorrhoeae</w:t>
      </w:r>
      <w:r w:rsidRPr="007D31A0">
        <w:rPr>
          <w:rFonts w:cstheme="minorHAnsi"/>
          <w:sz w:val="24"/>
          <w:szCs w:val="24"/>
        </w:rPr>
        <w:t> nucleic acid from rectal swab specimens. Ota et al.</w:t>
      </w:r>
      <w:r w:rsidRPr="007D31A0">
        <w:rPr>
          <w:rFonts w:cstheme="minorHAnsi"/>
          <w:sz w:val="24"/>
          <w:szCs w:val="24"/>
          <w:vertAlign w:val="superscript"/>
        </w:rPr>
        <w:t>8</w:t>
      </w:r>
      <w:r w:rsidRPr="007D31A0">
        <w:rPr>
          <w:rFonts w:cstheme="minorHAnsi"/>
          <w:sz w:val="24"/>
          <w:szCs w:val="24"/>
        </w:rPr>
        <w:t> reported 64.7% sensitivity of DNA amplification for detection of </w:t>
      </w:r>
      <w:r w:rsidRPr="007D31A0">
        <w:rPr>
          <w:rFonts w:cstheme="minorHAnsi"/>
          <w:i/>
          <w:iCs/>
          <w:sz w:val="24"/>
          <w:szCs w:val="24"/>
        </w:rPr>
        <w:t>C. trachomatis</w:t>
      </w:r>
      <w:r w:rsidRPr="007D31A0">
        <w:rPr>
          <w:rFonts w:cstheme="minorHAnsi"/>
          <w:sz w:val="24"/>
          <w:szCs w:val="24"/>
        </w:rPr>
        <w:t> nucleic acid from rectal swab specimens when compared with second-generation RNA amplification. Furthermore, RNA amplification was 30% more sensitive than a second format of DNA amplification testing in detection of </w:t>
      </w:r>
      <w:r w:rsidRPr="007D31A0">
        <w:rPr>
          <w:rFonts w:cstheme="minorHAnsi"/>
          <w:i/>
          <w:iCs/>
          <w:sz w:val="24"/>
          <w:szCs w:val="24"/>
        </w:rPr>
        <w:t>C. trachomatis</w:t>
      </w:r>
      <w:r w:rsidRPr="007D31A0">
        <w:rPr>
          <w:rFonts w:cstheme="minorHAnsi"/>
          <w:sz w:val="24"/>
          <w:szCs w:val="24"/>
        </w:rPr>
        <w:t> nucleic acid from rectal swab specimens. These data parallel studies that have demonstrated increased analytic sensitivity of commercial RNA amplification over that of DNA amplification for detection of STI agents from female and male urogenital specimens.</w:t>
      </w:r>
      <w:r w:rsidRPr="007D31A0">
        <w:rPr>
          <w:rFonts w:cstheme="minorHAnsi"/>
          <w:sz w:val="24"/>
          <w:szCs w:val="24"/>
          <w:vertAlign w:val="superscript"/>
        </w:rPr>
        <w:t>19,21,23</w:t>
      </w:r>
      <w:r w:rsidRPr="007D31A0">
        <w:rPr>
          <w:rFonts w:cstheme="minorHAnsi"/>
          <w:sz w:val="24"/>
          <w:szCs w:val="24"/>
        </w:rPr>
        <w:t> Such differences may be explained by the inherent multiplicity of rRNA target in living organisms, including pathogens, when compared with single-copy DNA or plasmid DNA target sequences.</w:t>
      </w:r>
    </w:p>
    <w:p w14:paraId="56F5B891" w14:textId="77777777" w:rsidR="007D31A0" w:rsidRPr="007D31A0" w:rsidRDefault="007D31A0" w:rsidP="007D31A0">
      <w:pPr>
        <w:rPr>
          <w:rFonts w:cstheme="minorHAnsi"/>
          <w:sz w:val="24"/>
          <w:szCs w:val="24"/>
        </w:rPr>
      </w:pPr>
      <w:r w:rsidRPr="007D31A0">
        <w:rPr>
          <w:rFonts w:cstheme="minorHAnsi"/>
          <w:sz w:val="24"/>
          <w:szCs w:val="24"/>
        </w:rPr>
        <w:t>Although </w:t>
      </w:r>
      <w:r w:rsidRPr="007D31A0">
        <w:rPr>
          <w:rFonts w:cstheme="minorHAnsi"/>
          <w:i/>
          <w:iCs/>
          <w:sz w:val="24"/>
          <w:szCs w:val="24"/>
        </w:rPr>
        <w:t>T. vaginalis</w:t>
      </w:r>
      <w:r w:rsidRPr="007D31A0">
        <w:rPr>
          <w:rFonts w:cstheme="minorHAnsi"/>
          <w:sz w:val="24"/>
          <w:szCs w:val="24"/>
        </w:rPr>
        <w:t> has been associated with nongonococcal urethritis in men and has been potentially linked to prostate carcinoma,</w:t>
      </w:r>
      <w:r w:rsidRPr="007D31A0">
        <w:rPr>
          <w:rFonts w:cstheme="minorHAnsi"/>
          <w:sz w:val="24"/>
          <w:szCs w:val="24"/>
          <w:vertAlign w:val="superscript"/>
        </w:rPr>
        <w:t>11</w:t>
      </w:r>
      <w:r w:rsidRPr="007D31A0">
        <w:rPr>
          <w:rFonts w:cstheme="minorHAnsi"/>
          <w:sz w:val="24"/>
          <w:szCs w:val="24"/>
        </w:rPr>
        <w:t> few reports discuss its detection in male rectal swab specimens. A 2005–2006 study of MSM in San Francisco</w:t>
      </w:r>
      <w:r w:rsidRPr="007D31A0">
        <w:rPr>
          <w:rFonts w:cstheme="minorHAnsi"/>
          <w:sz w:val="24"/>
          <w:szCs w:val="24"/>
          <w:vertAlign w:val="superscript"/>
        </w:rPr>
        <w:t>24</w:t>
      </w:r>
      <w:r w:rsidRPr="007D31A0">
        <w:rPr>
          <w:rFonts w:cstheme="minorHAnsi"/>
          <w:sz w:val="24"/>
          <w:szCs w:val="24"/>
        </w:rPr>
        <w:t> reported 3 positive commercial </w:t>
      </w:r>
      <w:r w:rsidRPr="007D31A0">
        <w:rPr>
          <w:rFonts w:cstheme="minorHAnsi"/>
          <w:i/>
          <w:iCs/>
          <w:sz w:val="24"/>
          <w:szCs w:val="24"/>
        </w:rPr>
        <w:t>T. vaginalis</w:t>
      </w:r>
      <w:r w:rsidRPr="007D31A0">
        <w:rPr>
          <w:rFonts w:cstheme="minorHAnsi"/>
          <w:sz w:val="24"/>
          <w:szCs w:val="24"/>
        </w:rPr>
        <w:t xml:space="preserve"> TMA results from 500 rectal swabs. Only one of these positive results was duplicated by repeat TMA analysis; the 3 swabs failed to generate a positive result by research polymerase chain reaction (PCR). In another US study, </w:t>
      </w:r>
      <w:proofErr w:type="spellStart"/>
      <w:r w:rsidRPr="007D31A0">
        <w:rPr>
          <w:rFonts w:cstheme="minorHAnsi"/>
          <w:sz w:val="24"/>
          <w:szCs w:val="24"/>
        </w:rPr>
        <w:t>Cosentino</w:t>
      </w:r>
      <w:proofErr w:type="spellEnd"/>
      <w:r w:rsidRPr="007D31A0">
        <w:rPr>
          <w:rFonts w:cstheme="minorHAnsi"/>
          <w:sz w:val="24"/>
          <w:szCs w:val="24"/>
        </w:rPr>
        <w:t xml:space="preserve"> et al.</w:t>
      </w:r>
      <w:r w:rsidRPr="007D31A0">
        <w:rPr>
          <w:rFonts w:cstheme="minorHAnsi"/>
          <w:sz w:val="24"/>
          <w:szCs w:val="24"/>
          <w:vertAlign w:val="superscript"/>
        </w:rPr>
        <w:t>25</w:t>
      </w:r>
      <w:r w:rsidRPr="007D31A0">
        <w:rPr>
          <w:rFonts w:cstheme="minorHAnsi"/>
          <w:sz w:val="24"/>
          <w:szCs w:val="24"/>
        </w:rPr>
        <w:t> documented a nearly 9% TMA detection rate of </w:t>
      </w:r>
      <w:r w:rsidRPr="007D31A0">
        <w:rPr>
          <w:rFonts w:cstheme="minorHAnsi"/>
          <w:i/>
          <w:iCs/>
          <w:sz w:val="24"/>
          <w:szCs w:val="24"/>
        </w:rPr>
        <w:t>T. vaginalis</w:t>
      </w:r>
      <w:r w:rsidRPr="007D31A0">
        <w:rPr>
          <w:rFonts w:cstheme="minorHAnsi"/>
          <w:sz w:val="24"/>
          <w:szCs w:val="24"/>
        </w:rPr>
        <w:t xml:space="preserve"> rRNA from rectal swabs obtained from women and only a 0.9% detection rate on those collected from men. These 2 positive male rectal swab specimen results were duplicated </w:t>
      </w:r>
      <w:proofErr w:type="gramStart"/>
      <w:r w:rsidRPr="007D31A0">
        <w:rPr>
          <w:rFonts w:cstheme="minorHAnsi"/>
          <w:sz w:val="24"/>
          <w:szCs w:val="24"/>
        </w:rPr>
        <w:t>through the use of</w:t>
      </w:r>
      <w:proofErr w:type="gramEnd"/>
      <w:r w:rsidRPr="007D31A0">
        <w:rPr>
          <w:rFonts w:cstheme="minorHAnsi"/>
          <w:sz w:val="24"/>
          <w:szCs w:val="24"/>
        </w:rPr>
        <w:t xml:space="preserve"> an alternative TMA primer set. In a region of Africa severely affected by the HIV/AIDS epidemic, the detection rate of </w:t>
      </w:r>
      <w:r w:rsidRPr="007D31A0">
        <w:rPr>
          <w:rFonts w:cstheme="minorHAnsi"/>
          <w:i/>
          <w:iCs/>
          <w:sz w:val="24"/>
          <w:szCs w:val="24"/>
        </w:rPr>
        <w:t>T. vaginalis</w:t>
      </w:r>
      <w:r w:rsidRPr="007D31A0">
        <w:rPr>
          <w:rFonts w:cstheme="minorHAnsi"/>
          <w:sz w:val="24"/>
          <w:szCs w:val="24"/>
        </w:rPr>
        <w:t> by rectal swab PCR was 2.1%.</w:t>
      </w:r>
      <w:r w:rsidRPr="007D31A0">
        <w:rPr>
          <w:rFonts w:cstheme="minorHAnsi"/>
          <w:sz w:val="24"/>
          <w:szCs w:val="24"/>
          <w:vertAlign w:val="superscript"/>
        </w:rPr>
        <w:t>26</w:t>
      </w:r>
      <w:r w:rsidRPr="007D31A0">
        <w:rPr>
          <w:rFonts w:cstheme="minorHAnsi"/>
          <w:sz w:val="24"/>
          <w:szCs w:val="24"/>
        </w:rPr>
        <w:t> Data recently published from South Africa</w:t>
      </w:r>
      <w:r w:rsidRPr="007D31A0">
        <w:rPr>
          <w:rFonts w:cstheme="minorHAnsi"/>
          <w:sz w:val="24"/>
          <w:szCs w:val="24"/>
          <w:vertAlign w:val="superscript"/>
        </w:rPr>
        <w:t>27</w:t>
      </w:r>
      <w:r w:rsidRPr="007D31A0">
        <w:rPr>
          <w:rFonts w:cstheme="minorHAnsi"/>
          <w:sz w:val="24"/>
          <w:szCs w:val="24"/>
        </w:rPr>
        <w:t> describe 7 MSM with positive </w:t>
      </w:r>
      <w:r w:rsidRPr="007D31A0">
        <w:rPr>
          <w:rFonts w:cstheme="minorHAnsi"/>
          <w:i/>
          <w:iCs/>
          <w:sz w:val="24"/>
          <w:szCs w:val="24"/>
        </w:rPr>
        <w:t>T. vaginalis</w:t>
      </w:r>
      <w:r w:rsidRPr="007D31A0">
        <w:rPr>
          <w:rFonts w:cstheme="minorHAnsi"/>
          <w:sz w:val="24"/>
          <w:szCs w:val="24"/>
        </w:rPr>
        <w:t> PCR results from rectal swab specimens. Two of these patients presented with symptoms of proctitis, although one of these individuals had concomitant detection of </w:t>
      </w:r>
      <w:r w:rsidRPr="007D31A0">
        <w:rPr>
          <w:rFonts w:cstheme="minorHAnsi"/>
          <w:i/>
          <w:iCs/>
          <w:sz w:val="24"/>
          <w:szCs w:val="24"/>
        </w:rPr>
        <w:t>N. gonorrhoeae</w:t>
      </w:r>
      <w:r w:rsidRPr="007D31A0">
        <w:rPr>
          <w:rFonts w:cstheme="minorHAnsi"/>
          <w:sz w:val="24"/>
          <w:szCs w:val="24"/>
        </w:rPr>
        <w:t> and </w:t>
      </w:r>
      <w:r w:rsidRPr="007D31A0">
        <w:rPr>
          <w:rFonts w:cstheme="minorHAnsi"/>
          <w:i/>
          <w:iCs/>
          <w:sz w:val="24"/>
          <w:szCs w:val="24"/>
        </w:rPr>
        <w:t xml:space="preserve">M. </w:t>
      </w:r>
      <w:proofErr w:type="spellStart"/>
      <w:r w:rsidRPr="007D31A0">
        <w:rPr>
          <w:rFonts w:cstheme="minorHAnsi"/>
          <w:i/>
          <w:iCs/>
          <w:sz w:val="24"/>
          <w:szCs w:val="24"/>
        </w:rPr>
        <w:t>genitalium</w:t>
      </w:r>
      <w:proofErr w:type="spellEnd"/>
      <w:r w:rsidRPr="007D31A0">
        <w:rPr>
          <w:rFonts w:cstheme="minorHAnsi"/>
          <w:sz w:val="24"/>
          <w:szCs w:val="24"/>
        </w:rPr>
        <w:t> DNA from a urethral swab specimen. All 26 rectal swab specimen detections of </w:t>
      </w:r>
      <w:r w:rsidRPr="007D31A0">
        <w:rPr>
          <w:rFonts w:cstheme="minorHAnsi"/>
          <w:i/>
          <w:iCs/>
          <w:sz w:val="24"/>
          <w:szCs w:val="24"/>
        </w:rPr>
        <w:t>T. vaginalis</w:t>
      </w:r>
      <w:r w:rsidRPr="007D31A0">
        <w:rPr>
          <w:rFonts w:cstheme="minorHAnsi"/>
          <w:sz w:val="24"/>
          <w:szCs w:val="24"/>
        </w:rPr>
        <w:t> rRNA in the presented study were confirmed by repeat testing; however, symptomatic status of participants in this investigation was not ascertained. Additional studies of this cohort can assist in investigations of both the clinical significance of rectal </w:t>
      </w:r>
      <w:r w:rsidRPr="007D31A0">
        <w:rPr>
          <w:rFonts w:cstheme="minorHAnsi"/>
          <w:i/>
          <w:iCs/>
          <w:sz w:val="24"/>
          <w:szCs w:val="24"/>
        </w:rPr>
        <w:t>T. vaginalis</w:t>
      </w:r>
      <w:r w:rsidRPr="007D31A0">
        <w:rPr>
          <w:rFonts w:cstheme="minorHAnsi"/>
          <w:sz w:val="24"/>
          <w:szCs w:val="24"/>
        </w:rPr>
        <w:t> rRNA detection and the potential cost-benefit of site-specific screening for this STI agent. Of particular importance would be the characterization of confirmed </w:t>
      </w:r>
      <w:r w:rsidRPr="007D31A0">
        <w:rPr>
          <w:rFonts w:cstheme="minorHAnsi"/>
          <w:i/>
          <w:iCs/>
          <w:sz w:val="24"/>
          <w:szCs w:val="24"/>
        </w:rPr>
        <w:t>T. vaginalis</w:t>
      </w:r>
      <w:r w:rsidRPr="007D31A0">
        <w:rPr>
          <w:rFonts w:cstheme="minorHAnsi"/>
          <w:sz w:val="24"/>
          <w:szCs w:val="24"/>
        </w:rPr>
        <w:t> proctitis and its delineation from potential deposit contamination in the context of recent receptive anal sex.</w:t>
      </w:r>
    </w:p>
    <w:p w14:paraId="2BB67030" w14:textId="6DBC278D" w:rsidR="007D31A0" w:rsidRPr="007D31A0" w:rsidRDefault="007D31A0" w:rsidP="007D31A0">
      <w:pPr>
        <w:rPr>
          <w:rFonts w:cstheme="minorHAnsi"/>
          <w:sz w:val="24"/>
          <w:szCs w:val="24"/>
        </w:rPr>
      </w:pPr>
      <w:r w:rsidRPr="007D31A0">
        <w:rPr>
          <w:rFonts w:cstheme="minorHAnsi"/>
          <w:sz w:val="24"/>
          <w:szCs w:val="24"/>
        </w:rPr>
        <w:t>Recent literature has documented several reports of rectal </w:t>
      </w:r>
      <w:r w:rsidRPr="007D31A0">
        <w:rPr>
          <w:rFonts w:cstheme="minorHAnsi"/>
          <w:i/>
          <w:iCs/>
          <w:sz w:val="24"/>
          <w:szCs w:val="24"/>
        </w:rPr>
        <w:t xml:space="preserve">M. </w:t>
      </w:r>
      <w:proofErr w:type="spellStart"/>
      <w:r w:rsidRPr="007D31A0">
        <w:rPr>
          <w:rFonts w:cstheme="minorHAnsi"/>
          <w:i/>
          <w:iCs/>
          <w:sz w:val="24"/>
          <w:szCs w:val="24"/>
        </w:rPr>
        <w:t>genitalium</w:t>
      </w:r>
      <w:proofErr w:type="spellEnd"/>
      <w:r w:rsidRPr="007D31A0">
        <w:rPr>
          <w:rFonts w:cstheme="minorHAnsi"/>
          <w:sz w:val="24"/>
          <w:szCs w:val="24"/>
        </w:rPr>
        <w:t xml:space="preserve"> incidence being variable </w:t>
      </w:r>
      <w:proofErr w:type="gramStart"/>
      <w:r w:rsidRPr="007D31A0">
        <w:rPr>
          <w:rFonts w:cstheme="minorHAnsi"/>
          <w:sz w:val="24"/>
          <w:szCs w:val="24"/>
        </w:rPr>
        <w:t>on the basis of</w:t>
      </w:r>
      <w:proofErr w:type="gramEnd"/>
      <w:r w:rsidRPr="007D31A0">
        <w:rPr>
          <w:rFonts w:cstheme="minorHAnsi"/>
          <w:sz w:val="24"/>
          <w:szCs w:val="24"/>
        </w:rPr>
        <w:t xml:space="preserve"> geography and patient demographics. In Europe, a 4.8% rectal swab </w:t>
      </w:r>
      <w:r w:rsidRPr="007D31A0">
        <w:rPr>
          <w:rFonts w:cstheme="minorHAnsi"/>
          <w:i/>
          <w:iCs/>
          <w:sz w:val="24"/>
          <w:szCs w:val="24"/>
        </w:rPr>
        <w:t xml:space="preserve">M. </w:t>
      </w:r>
      <w:proofErr w:type="spellStart"/>
      <w:r w:rsidRPr="007D31A0">
        <w:rPr>
          <w:rFonts w:cstheme="minorHAnsi"/>
          <w:i/>
          <w:iCs/>
          <w:sz w:val="24"/>
          <w:szCs w:val="24"/>
        </w:rPr>
        <w:t>genitalium</w:t>
      </w:r>
      <w:proofErr w:type="spellEnd"/>
      <w:r w:rsidRPr="007D31A0">
        <w:rPr>
          <w:rFonts w:cstheme="minorHAnsi"/>
          <w:sz w:val="24"/>
          <w:szCs w:val="24"/>
        </w:rPr>
        <w:t> detection rate by PCR was reported from 165 MSM.</w:t>
      </w:r>
      <w:r w:rsidRPr="007D31A0">
        <w:rPr>
          <w:rFonts w:cstheme="minorHAnsi"/>
          <w:sz w:val="24"/>
          <w:szCs w:val="24"/>
          <w:vertAlign w:val="superscript"/>
        </w:rPr>
        <w:t>28</w:t>
      </w:r>
      <w:r w:rsidRPr="007D31A0">
        <w:rPr>
          <w:rFonts w:cstheme="minorHAnsi"/>
          <w:sz w:val="24"/>
          <w:szCs w:val="24"/>
        </w:rPr>
        <w:t> An Australian study reported an 8.9% </w:t>
      </w:r>
      <w:r w:rsidRPr="007D31A0">
        <w:rPr>
          <w:rFonts w:cstheme="minorHAnsi"/>
          <w:i/>
          <w:iCs/>
          <w:sz w:val="24"/>
          <w:szCs w:val="24"/>
        </w:rPr>
        <w:t xml:space="preserve">M. </w:t>
      </w:r>
      <w:proofErr w:type="spellStart"/>
      <w:r w:rsidRPr="007D31A0">
        <w:rPr>
          <w:rFonts w:cstheme="minorHAnsi"/>
          <w:i/>
          <w:iCs/>
          <w:sz w:val="24"/>
          <w:szCs w:val="24"/>
        </w:rPr>
        <w:t>genitalium</w:t>
      </w:r>
      <w:proofErr w:type="spellEnd"/>
      <w:r w:rsidRPr="007D31A0">
        <w:rPr>
          <w:rFonts w:cstheme="minorHAnsi"/>
          <w:sz w:val="24"/>
          <w:szCs w:val="24"/>
        </w:rPr>
        <w:t> commercial PCR detection rate from rectal swab analysis of a cohort of symptomatic and asymptomatic MSM.</w:t>
      </w:r>
      <w:r w:rsidRPr="007D31A0">
        <w:rPr>
          <w:rFonts w:cstheme="minorHAnsi"/>
          <w:sz w:val="24"/>
          <w:szCs w:val="24"/>
          <w:vertAlign w:val="superscript"/>
        </w:rPr>
        <w:t>29</w:t>
      </w:r>
      <w:r w:rsidRPr="007D31A0">
        <w:rPr>
          <w:rFonts w:cstheme="minorHAnsi"/>
          <w:sz w:val="24"/>
          <w:szCs w:val="24"/>
        </w:rPr>
        <w:t> In the United States, Dionne-Odom et al.</w:t>
      </w:r>
      <w:r w:rsidRPr="007D31A0">
        <w:rPr>
          <w:rFonts w:cstheme="minorHAnsi"/>
          <w:sz w:val="24"/>
          <w:szCs w:val="24"/>
          <w:vertAlign w:val="superscript"/>
        </w:rPr>
        <w:t>30</w:t>
      </w:r>
      <w:r w:rsidRPr="007D31A0">
        <w:rPr>
          <w:rFonts w:cstheme="minorHAnsi"/>
          <w:sz w:val="24"/>
          <w:szCs w:val="24"/>
        </w:rPr>
        <w:t> reported </w:t>
      </w:r>
      <w:r w:rsidRPr="007D31A0">
        <w:rPr>
          <w:rFonts w:cstheme="minorHAnsi"/>
          <w:i/>
          <w:iCs/>
          <w:sz w:val="24"/>
          <w:szCs w:val="24"/>
        </w:rPr>
        <w:t xml:space="preserve">M. </w:t>
      </w:r>
      <w:proofErr w:type="spellStart"/>
      <w:r w:rsidRPr="007D31A0">
        <w:rPr>
          <w:rFonts w:cstheme="minorHAnsi"/>
          <w:i/>
          <w:iCs/>
          <w:sz w:val="24"/>
          <w:szCs w:val="24"/>
        </w:rPr>
        <w:t>genitalium</w:t>
      </w:r>
      <w:proofErr w:type="spellEnd"/>
      <w:r w:rsidRPr="007D31A0">
        <w:rPr>
          <w:rFonts w:cstheme="minorHAnsi"/>
          <w:sz w:val="24"/>
          <w:szCs w:val="24"/>
        </w:rPr>
        <w:t xml:space="preserve"> urine and rectal swab detection rates of 10.8% and 6.4%, respectively, by PCR in a cohort of 157 HIV-seropositive MSM. </w:t>
      </w:r>
      <w:proofErr w:type="spellStart"/>
      <w:r w:rsidRPr="007D31A0">
        <w:rPr>
          <w:rFonts w:cstheme="minorHAnsi"/>
          <w:sz w:val="24"/>
          <w:szCs w:val="24"/>
        </w:rPr>
        <w:t>Cosentino</w:t>
      </w:r>
      <w:proofErr w:type="spellEnd"/>
      <w:r w:rsidRPr="007D31A0">
        <w:rPr>
          <w:rFonts w:cstheme="minorHAnsi"/>
          <w:sz w:val="24"/>
          <w:szCs w:val="24"/>
        </w:rPr>
        <w:t xml:space="preserve"> et al.</w:t>
      </w:r>
      <w:r w:rsidRPr="007D31A0">
        <w:rPr>
          <w:rFonts w:cstheme="minorHAnsi"/>
          <w:sz w:val="24"/>
          <w:szCs w:val="24"/>
          <w:vertAlign w:val="superscript"/>
        </w:rPr>
        <w:t>25</w:t>
      </w:r>
      <w:r w:rsidRPr="007D31A0">
        <w:rPr>
          <w:rFonts w:cstheme="minorHAnsi"/>
          <w:sz w:val="24"/>
          <w:szCs w:val="24"/>
        </w:rPr>
        <w:t> documented an 11.1% detection rate of </w:t>
      </w:r>
      <w:r w:rsidRPr="007D31A0">
        <w:rPr>
          <w:rFonts w:cstheme="minorHAnsi"/>
          <w:i/>
          <w:iCs/>
          <w:sz w:val="24"/>
          <w:szCs w:val="24"/>
        </w:rPr>
        <w:t xml:space="preserve">M. </w:t>
      </w:r>
      <w:proofErr w:type="spellStart"/>
      <w:r w:rsidRPr="007D31A0">
        <w:rPr>
          <w:rFonts w:cstheme="minorHAnsi"/>
          <w:i/>
          <w:iCs/>
          <w:sz w:val="24"/>
          <w:szCs w:val="24"/>
        </w:rPr>
        <w:t>genitalium</w:t>
      </w:r>
      <w:proofErr w:type="spellEnd"/>
      <w:r w:rsidRPr="007D31A0">
        <w:rPr>
          <w:rFonts w:cstheme="minorHAnsi"/>
          <w:sz w:val="24"/>
          <w:szCs w:val="24"/>
        </w:rPr>
        <w:t> rRNA from male rectal swab specimens by commercial TMA. From a US high-prevalence STI community, </w:t>
      </w:r>
      <w:r w:rsidRPr="007D31A0">
        <w:rPr>
          <w:rFonts w:cstheme="minorHAnsi"/>
          <w:i/>
          <w:iCs/>
          <w:sz w:val="24"/>
          <w:szCs w:val="24"/>
        </w:rPr>
        <w:t xml:space="preserve">M. </w:t>
      </w:r>
      <w:proofErr w:type="spellStart"/>
      <w:r w:rsidRPr="007D31A0">
        <w:rPr>
          <w:rFonts w:cstheme="minorHAnsi"/>
          <w:i/>
          <w:iCs/>
          <w:sz w:val="24"/>
          <w:szCs w:val="24"/>
        </w:rPr>
        <w:t>genitalium</w:t>
      </w:r>
      <w:proofErr w:type="spellEnd"/>
      <w:r w:rsidRPr="007D31A0">
        <w:rPr>
          <w:rFonts w:cstheme="minorHAnsi"/>
          <w:sz w:val="24"/>
          <w:szCs w:val="24"/>
        </w:rPr>
        <w:t> rRNA rectal swab and first-void urine detection rates of 5.8% and 6.6%, respectively, were derived from commercial TMA.</w:t>
      </w:r>
      <w:r w:rsidRPr="007D31A0">
        <w:rPr>
          <w:rFonts w:cstheme="minorHAnsi"/>
          <w:sz w:val="24"/>
          <w:szCs w:val="24"/>
          <w:vertAlign w:val="superscript"/>
        </w:rPr>
        <w:t>10</w:t>
      </w:r>
      <w:r w:rsidRPr="007D31A0">
        <w:rPr>
          <w:rFonts w:cstheme="minorHAnsi"/>
          <w:sz w:val="24"/>
          <w:szCs w:val="24"/>
        </w:rPr>
        <w:t> Age and race distribution, symptomatic/asymptomatic status, and HIV seropositivity status of that cohort were not determined. In the context of these cited studies, the substantial rates of both </w:t>
      </w:r>
      <w:r w:rsidRPr="007D31A0">
        <w:rPr>
          <w:rFonts w:cstheme="minorHAnsi"/>
          <w:i/>
          <w:iCs/>
          <w:sz w:val="24"/>
          <w:szCs w:val="24"/>
        </w:rPr>
        <w:t xml:space="preserve">M. </w:t>
      </w:r>
      <w:proofErr w:type="spellStart"/>
      <w:r w:rsidRPr="007D31A0">
        <w:rPr>
          <w:rFonts w:cstheme="minorHAnsi"/>
          <w:i/>
          <w:iCs/>
          <w:sz w:val="24"/>
          <w:szCs w:val="24"/>
        </w:rPr>
        <w:t>genitalium</w:t>
      </w:r>
      <w:proofErr w:type="spellEnd"/>
      <w:r w:rsidRPr="007D31A0">
        <w:rPr>
          <w:rFonts w:cstheme="minorHAnsi"/>
          <w:sz w:val="24"/>
          <w:szCs w:val="24"/>
        </w:rPr>
        <w:t> urine (9.1%) and rectal swab (21.5%) rRNA detection in the current study merit further investigation. Possible factors include the limited and young age–based enrollment criteria of the cohort and the preponderance of condomless transmission risk behaviors (</w:t>
      </w:r>
      <w:r w:rsidRPr="00886790">
        <w:rPr>
          <w:rFonts w:cstheme="minorHAnsi"/>
          <w:sz w:val="24"/>
          <w:szCs w:val="24"/>
        </w:rPr>
        <w:t>Table 1</w:t>
      </w:r>
      <w:r w:rsidRPr="007D31A0">
        <w:rPr>
          <w:rFonts w:cstheme="minorHAnsi"/>
          <w:sz w:val="24"/>
          <w:szCs w:val="24"/>
        </w:rPr>
        <w:t>). Moreover, potential </w:t>
      </w:r>
      <w:r w:rsidRPr="007D31A0">
        <w:rPr>
          <w:rFonts w:cstheme="minorHAnsi"/>
          <w:i/>
          <w:iCs/>
          <w:sz w:val="24"/>
          <w:szCs w:val="24"/>
        </w:rPr>
        <w:t xml:space="preserve">M. </w:t>
      </w:r>
      <w:proofErr w:type="spellStart"/>
      <w:r w:rsidRPr="007D31A0">
        <w:rPr>
          <w:rFonts w:cstheme="minorHAnsi"/>
          <w:i/>
          <w:iCs/>
          <w:sz w:val="24"/>
          <w:szCs w:val="24"/>
        </w:rPr>
        <w:t>genitalium</w:t>
      </w:r>
      <w:proofErr w:type="spellEnd"/>
      <w:r w:rsidRPr="007D31A0">
        <w:rPr>
          <w:rFonts w:cstheme="minorHAnsi"/>
          <w:sz w:val="24"/>
          <w:szCs w:val="24"/>
        </w:rPr>
        <w:t> associations with HIV acquisition and transmission, as have been demonstrated with other STI agents,</w:t>
      </w:r>
      <w:r w:rsidRPr="007D31A0">
        <w:rPr>
          <w:rFonts w:cstheme="minorHAnsi"/>
          <w:sz w:val="24"/>
          <w:szCs w:val="24"/>
          <w:vertAlign w:val="superscript"/>
        </w:rPr>
        <w:t>4–6</w:t>
      </w:r>
      <w:r w:rsidRPr="007D31A0">
        <w:rPr>
          <w:rFonts w:cstheme="minorHAnsi"/>
          <w:sz w:val="24"/>
          <w:szCs w:val="24"/>
        </w:rPr>
        <w:t> cannot be ignored in the context of clinical and public health.</w:t>
      </w:r>
    </w:p>
    <w:p w14:paraId="10FAAF4B" w14:textId="77777777" w:rsidR="007D31A0" w:rsidRPr="007D31A0" w:rsidRDefault="007D31A0" w:rsidP="007D31A0">
      <w:pPr>
        <w:rPr>
          <w:rFonts w:cstheme="minorHAnsi"/>
          <w:sz w:val="24"/>
          <w:szCs w:val="24"/>
        </w:rPr>
      </w:pPr>
      <w:r w:rsidRPr="007D31A0">
        <w:rPr>
          <w:rFonts w:cstheme="minorHAnsi"/>
          <w:sz w:val="24"/>
          <w:szCs w:val="24"/>
        </w:rPr>
        <w:t xml:space="preserve">Even </w:t>
      </w:r>
      <w:proofErr w:type="gramStart"/>
      <w:r w:rsidRPr="007D31A0">
        <w:rPr>
          <w:rFonts w:cstheme="minorHAnsi"/>
          <w:sz w:val="24"/>
          <w:szCs w:val="24"/>
        </w:rPr>
        <w:t>in light of</w:t>
      </w:r>
      <w:proofErr w:type="gramEnd"/>
      <w:r w:rsidRPr="007D31A0">
        <w:rPr>
          <w:rFonts w:cstheme="minorHAnsi"/>
          <w:sz w:val="24"/>
          <w:szCs w:val="24"/>
        </w:rPr>
        <w:t xml:space="preserve"> our meaningful findings, our study should be considered in the context of its limitations. First, we were lacking both symptom and treatment data; thus, we cannot be sure whether detected infectious were persistent and untreated or if these were recurrent infections. Second, participants were able to contribute multiple encounters to the data. Finally, this sample was a community sample rather than a probability sample, and as such, findings may not generalize to the larger population of young MSM, particularly those outside an urban environment.</w:t>
      </w:r>
    </w:p>
    <w:p w14:paraId="7C237927" w14:textId="77777777" w:rsidR="007D31A0" w:rsidRPr="007D31A0" w:rsidRDefault="007D31A0" w:rsidP="007D31A0">
      <w:pPr>
        <w:rPr>
          <w:rFonts w:cstheme="minorHAnsi"/>
          <w:sz w:val="24"/>
          <w:szCs w:val="24"/>
        </w:rPr>
      </w:pPr>
      <w:r w:rsidRPr="007D31A0">
        <w:rPr>
          <w:rFonts w:cstheme="minorHAnsi"/>
          <w:sz w:val="24"/>
          <w:szCs w:val="24"/>
        </w:rPr>
        <w:t>In conclusion, procurement of (and the capability of technically competent molecular diagnostics laboratories to test) off-label specimen sources, particularly rectal swab specimens, enhances the overall identification of male STI carrier status in high-risk demographics. [FDA clearance of rectal swab screening was granted to the commercial </w:t>
      </w:r>
      <w:r w:rsidRPr="007D31A0">
        <w:rPr>
          <w:rFonts w:cstheme="minorHAnsi"/>
          <w:i/>
          <w:iCs/>
          <w:sz w:val="24"/>
          <w:szCs w:val="24"/>
        </w:rPr>
        <w:t>C. trachomatis</w:t>
      </w:r>
      <w:r w:rsidRPr="007D31A0">
        <w:rPr>
          <w:rFonts w:cstheme="minorHAnsi"/>
          <w:sz w:val="24"/>
          <w:szCs w:val="24"/>
        </w:rPr>
        <w:t>/</w:t>
      </w:r>
      <w:r w:rsidRPr="007D31A0">
        <w:rPr>
          <w:rFonts w:cstheme="minorHAnsi"/>
          <w:i/>
          <w:iCs/>
          <w:sz w:val="24"/>
          <w:szCs w:val="24"/>
        </w:rPr>
        <w:t>N. gonorrhoeae</w:t>
      </w:r>
      <w:r w:rsidRPr="007D31A0">
        <w:rPr>
          <w:rFonts w:cstheme="minorHAnsi"/>
          <w:sz w:val="24"/>
          <w:szCs w:val="24"/>
        </w:rPr>
        <w:t> TMA assay of interest in mid-2019.] We also demonstrate that additional </w:t>
      </w:r>
      <w:r w:rsidRPr="007D31A0">
        <w:rPr>
          <w:rFonts w:cstheme="minorHAnsi"/>
          <w:i/>
          <w:iCs/>
          <w:sz w:val="24"/>
          <w:szCs w:val="24"/>
        </w:rPr>
        <w:t>T. vaginalis</w:t>
      </w:r>
      <w:r w:rsidRPr="007D31A0">
        <w:rPr>
          <w:rFonts w:cstheme="minorHAnsi"/>
          <w:sz w:val="24"/>
          <w:szCs w:val="24"/>
        </w:rPr>
        <w:t> and, particularly, </w:t>
      </w:r>
      <w:r w:rsidRPr="007D31A0">
        <w:rPr>
          <w:rFonts w:cstheme="minorHAnsi"/>
          <w:i/>
          <w:iCs/>
          <w:sz w:val="24"/>
          <w:szCs w:val="24"/>
        </w:rPr>
        <w:t xml:space="preserve">M. </w:t>
      </w:r>
      <w:proofErr w:type="spellStart"/>
      <w:r w:rsidRPr="007D31A0">
        <w:rPr>
          <w:rFonts w:cstheme="minorHAnsi"/>
          <w:i/>
          <w:iCs/>
          <w:sz w:val="24"/>
          <w:szCs w:val="24"/>
        </w:rPr>
        <w:t>genitalium</w:t>
      </w:r>
      <w:proofErr w:type="spellEnd"/>
      <w:r w:rsidRPr="007D31A0">
        <w:rPr>
          <w:rFonts w:cstheme="minorHAnsi"/>
          <w:sz w:val="24"/>
          <w:szCs w:val="24"/>
        </w:rPr>
        <w:t xml:space="preserve"> analysis of multiple specimen sources </w:t>
      </w:r>
      <w:proofErr w:type="gramStart"/>
      <w:r w:rsidRPr="007D31A0">
        <w:rPr>
          <w:rFonts w:cstheme="minorHAnsi"/>
          <w:sz w:val="24"/>
          <w:szCs w:val="24"/>
        </w:rPr>
        <w:t>assists</w:t>
      </w:r>
      <w:proofErr w:type="gramEnd"/>
      <w:r w:rsidRPr="007D31A0">
        <w:rPr>
          <w:rFonts w:cstheme="minorHAnsi"/>
          <w:sz w:val="24"/>
          <w:szCs w:val="24"/>
        </w:rPr>
        <w:t xml:space="preserve"> in the comprehensive screening of a high-risk demographic. Additional studies are warranted not only to elucidate the elevated first-void urine and rectal swab </w:t>
      </w:r>
      <w:r w:rsidRPr="007D31A0">
        <w:rPr>
          <w:rFonts w:cstheme="minorHAnsi"/>
          <w:i/>
          <w:iCs/>
          <w:sz w:val="24"/>
          <w:szCs w:val="24"/>
        </w:rPr>
        <w:t xml:space="preserve">M. </w:t>
      </w:r>
      <w:proofErr w:type="spellStart"/>
      <w:r w:rsidRPr="007D31A0">
        <w:rPr>
          <w:rFonts w:cstheme="minorHAnsi"/>
          <w:i/>
          <w:iCs/>
          <w:sz w:val="24"/>
          <w:szCs w:val="24"/>
        </w:rPr>
        <w:t>genitalium</w:t>
      </w:r>
      <w:proofErr w:type="spellEnd"/>
      <w:r w:rsidRPr="007D31A0">
        <w:rPr>
          <w:rFonts w:cstheme="minorHAnsi"/>
          <w:sz w:val="24"/>
          <w:szCs w:val="24"/>
        </w:rPr>
        <w:t> rRNA detection rates in this cohort but also to understand morbidity and optimal therapies for rectal </w:t>
      </w:r>
      <w:r w:rsidRPr="007D31A0">
        <w:rPr>
          <w:rFonts w:cstheme="minorHAnsi"/>
          <w:i/>
          <w:iCs/>
          <w:sz w:val="24"/>
          <w:szCs w:val="24"/>
        </w:rPr>
        <w:t xml:space="preserve">M. </w:t>
      </w:r>
      <w:proofErr w:type="spellStart"/>
      <w:r w:rsidRPr="007D31A0">
        <w:rPr>
          <w:rFonts w:cstheme="minorHAnsi"/>
          <w:i/>
          <w:iCs/>
          <w:sz w:val="24"/>
          <w:szCs w:val="24"/>
        </w:rPr>
        <w:t>genitalium</w:t>
      </w:r>
      <w:proofErr w:type="spellEnd"/>
      <w:r w:rsidRPr="007D31A0">
        <w:rPr>
          <w:rFonts w:cstheme="minorHAnsi"/>
          <w:sz w:val="24"/>
          <w:szCs w:val="24"/>
        </w:rPr>
        <w:t> infections and to determine financial and disease transmission impacts of these findings on the potential paradigm of inclusive STI screening algorithms.</w:t>
      </w:r>
    </w:p>
    <w:p w14:paraId="77EBD41C" w14:textId="77777777" w:rsidR="007D31A0" w:rsidRPr="007D31A0" w:rsidRDefault="007D31A0" w:rsidP="00886790">
      <w:pPr>
        <w:pStyle w:val="Heading1"/>
      </w:pPr>
      <w:r w:rsidRPr="007D31A0">
        <w:t>REFERENCES</w:t>
      </w:r>
    </w:p>
    <w:p w14:paraId="2D353B9F" w14:textId="77777777" w:rsidR="007D31A0" w:rsidRPr="007D31A0" w:rsidRDefault="007D31A0" w:rsidP="00886790">
      <w:pPr>
        <w:spacing w:after="0"/>
        <w:ind w:left="720" w:hanging="720"/>
        <w:rPr>
          <w:rFonts w:cstheme="minorHAnsi"/>
          <w:sz w:val="24"/>
          <w:szCs w:val="24"/>
        </w:rPr>
      </w:pPr>
      <w:r w:rsidRPr="007D31A0">
        <w:rPr>
          <w:rFonts w:cstheme="minorHAnsi"/>
          <w:sz w:val="24"/>
          <w:szCs w:val="24"/>
        </w:rPr>
        <w:t xml:space="preserve">1. </w:t>
      </w:r>
      <w:proofErr w:type="spellStart"/>
      <w:r w:rsidRPr="007D31A0">
        <w:rPr>
          <w:rFonts w:cstheme="minorHAnsi"/>
          <w:sz w:val="24"/>
          <w:szCs w:val="24"/>
        </w:rPr>
        <w:t>Workowski</w:t>
      </w:r>
      <w:proofErr w:type="spellEnd"/>
      <w:r w:rsidRPr="007D31A0">
        <w:rPr>
          <w:rFonts w:cstheme="minorHAnsi"/>
          <w:sz w:val="24"/>
          <w:szCs w:val="24"/>
        </w:rPr>
        <w:t xml:space="preserve"> KA, Bolan GA; Centers for Disease Control and Prevention. Sexually transmitted diseases treatment guidelines, 2015. MMWR </w:t>
      </w:r>
      <w:proofErr w:type="spellStart"/>
      <w:r w:rsidRPr="007D31A0">
        <w:rPr>
          <w:rFonts w:cstheme="minorHAnsi"/>
          <w:sz w:val="24"/>
          <w:szCs w:val="24"/>
        </w:rPr>
        <w:t>Recomm</w:t>
      </w:r>
      <w:proofErr w:type="spellEnd"/>
      <w:r w:rsidRPr="007D31A0">
        <w:rPr>
          <w:rFonts w:cstheme="minorHAnsi"/>
          <w:sz w:val="24"/>
          <w:szCs w:val="24"/>
        </w:rPr>
        <w:t xml:space="preserve"> Rep 2015; 64(RR-03):1–137.</w:t>
      </w:r>
    </w:p>
    <w:p w14:paraId="40ED871B" w14:textId="77777777" w:rsidR="007D31A0" w:rsidRPr="007D31A0" w:rsidRDefault="007D31A0" w:rsidP="00886790">
      <w:pPr>
        <w:spacing w:after="0"/>
        <w:ind w:left="720" w:hanging="720"/>
        <w:rPr>
          <w:rFonts w:cstheme="minorHAnsi"/>
          <w:sz w:val="24"/>
          <w:szCs w:val="24"/>
        </w:rPr>
      </w:pPr>
      <w:r w:rsidRPr="007D31A0">
        <w:rPr>
          <w:rFonts w:cstheme="minorHAnsi"/>
          <w:sz w:val="24"/>
          <w:szCs w:val="24"/>
        </w:rPr>
        <w:t xml:space="preserve">2. Swann G, Newcomb ME, Crosby S, et al. Historical and developmental changes in condom use among young men who have sex with men using a </w:t>
      </w:r>
      <w:proofErr w:type="gramStart"/>
      <w:r w:rsidRPr="007D31A0">
        <w:rPr>
          <w:rFonts w:cstheme="minorHAnsi"/>
          <w:sz w:val="24"/>
          <w:szCs w:val="24"/>
        </w:rPr>
        <w:t>multiple-cohort</w:t>
      </w:r>
      <w:proofErr w:type="gramEnd"/>
      <w:r w:rsidRPr="007D31A0">
        <w:rPr>
          <w:rFonts w:cstheme="minorHAnsi"/>
          <w:sz w:val="24"/>
          <w:szCs w:val="24"/>
        </w:rPr>
        <w:t xml:space="preserve">, accelerated longitudinal design. Arch Sex </w:t>
      </w:r>
      <w:proofErr w:type="spellStart"/>
      <w:r w:rsidRPr="007D31A0">
        <w:rPr>
          <w:rFonts w:cstheme="minorHAnsi"/>
          <w:sz w:val="24"/>
          <w:szCs w:val="24"/>
        </w:rPr>
        <w:t>Behav</w:t>
      </w:r>
      <w:proofErr w:type="spellEnd"/>
      <w:r w:rsidRPr="007D31A0">
        <w:rPr>
          <w:rFonts w:cstheme="minorHAnsi"/>
          <w:sz w:val="24"/>
          <w:szCs w:val="24"/>
        </w:rPr>
        <w:t xml:space="preserve"> 2019; 48:1099–1110.</w:t>
      </w:r>
    </w:p>
    <w:p w14:paraId="49D179A2" w14:textId="77777777" w:rsidR="007D31A0" w:rsidRPr="007D31A0" w:rsidRDefault="007D31A0" w:rsidP="00886790">
      <w:pPr>
        <w:spacing w:after="0"/>
        <w:ind w:left="720" w:hanging="720"/>
        <w:rPr>
          <w:rFonts w:cstheme="minorHAnsi"/>
          <w:sz w:val="24"/>
          <w:szCs w:val="24"/>
        </w:rPr>
      </w:pPr>
      <w:r w:rsidRPr="007D31A0">
        <w:rPr>
          <w:rFonts w:cstheme="minorHAnsi"/>
          <w:sz w:val="24"/>
          <w:szCs w:val="24"/>
        </w:rPr>
        <w:t xml:space="preserve">3. Silva-Santisteban A, Raymond HF, Salazar X, et al. Understanding the HIV/AIDS epidemic in transgender women of Lima, Peru: Results from a </w:t>
      </w:r>
      <w:proofErr w:type="spellStart"/>
      <w:r w:rsidRPr="007D31A0">
        <w:rPr>
          <w:rFonts w:cstheme="minorHAnsi"/>
          <w:sz w:val="24"/>
          <w:szCs w:val="24"/>
        </w:rPr>
        <w:t>sero</w:t>
      </w:r>
      <w:proofErr w:type="spellEnd"/>
      <w:r w:rsidRPr="007D31A0">
        <w:rPr>
          <w:rFonts w:cstheme="minorHAnsi"/>
          <w:sz w:val="24"/>
          <w:szCs w:val="24"/>
        </w:rPr>
        <w:t xml:space="preserve">-epidemiologic study using respondent driven sampling. AIDS </w:t>
      </w:r>
      <w:proofErr w:type="spellStart"/>
      <w:r w:rsidRPr="007D31A0">
        <w:rPr>
          <w:rFonts w:cstheme="minorHAnsi"/>
          <w:sz w:val="24"/>
          <w:szCs w:val="24"/>
        </w:rPr>
        <w:t>Behav</w:t>
      </w:r>
      <w:proofErr w:type="spellEnd"/>
      <w:r w:rsidRPr="007D31A0">
        <w:rPr>
          <w:rFonts w:cstheme="minorHAnsi"/>
          <w:sz w:val="24"/>
          <w:szCs w:val="24"/>
        </w:rPr>
        <w:t xml:space="preserve"> 2012; 16:872–881.</w:t>
      </w:r>
    </w:p>
    <w:p w14:paraId="2AB1A24F" w14:textId="496F7A75" w:rsidR="007D31A0" w:rsidRPr="007D31A0" w:rsidRDefault="007D31A0" w:rsidP="00886790">
      <w:pPr>
        <w:spacing w:after="0"/>
        <w:ind w:left="720" w:hanging="720"/>
        <w:rPr>
          <w:rFonts w:cstheme="minorHAnsi"/>
          <w:sz w:val="24"/>
          <w:szCs w:val="24"/>
        </w:rPr>
      </w:pPr>
      <w:r w:rsidRPr="007D31A0">
        <w:rPr>
          <w:rFonts w:cstheme="minorHAnsi"/>
          <w:sz w:val="24"/>
          <w:szCs w:val="24"/>
        </w:rPr>
        <w:t xml:space="preserve">4. Jones J, Weiss K, </w:t>
      </w:r>
      <w:proofErr w:type="spellStart"/>
      <w:r w:rsidRPr="007D31A0">
        <w:rPr>
          <w:rFonts w:cstheme="minorHAnsi"/>
          <w:sz w:val="24"/>
          <w:szCs w:val="24"/>
        </w:rPr>
        <w:t>Mermin</w:t>
      </w:r>
      <w:proofErr w:type="spellEnd"/>
      <w:r w:rsidRPr="007D31A0">
        <w:rPr>
          <w:rFonts w:cstheme="minorHAnsi"/>
          <w:sz w:val="24"/>
          <w:szCs w:val="24"/>
        </w:rPr>
        <w:t xml:space="preserve"> J, et al. Proportion of incident human immunodeficiency virus cases among men who have sex with men attributable to gonorrhea and chlamydia: A modeling analysis. Sex </w:t>
      </w:r>
      <w:proofErr w:type="spellStart"/>
      <w:r w:rsidRPr="007D31A0">
        <w:rPr>
          <w:rFonts w:cstheme="minorHAnsi"/>
          <w:sz w:val="24"/>
          <w:szCs w:val="24"/>
        </w:rPr>
        <w:t>Transm</w:t>
      </w:r>
      <w:proofErr w:type="spellEnd"/>
      <w:r w:rsidRPr="007D31A0">
        <w:rPr>
          <w:rFonts w:cstheme="minorHAnsi"/>
          <w:sz w:val="24"/>
          <w:szCs w:val="24"/>
        </w:rPr>
        <w:t xml:space="preserve"> Dis 2019; 46:357–363.</w:t>
      </w:r>
    </w:p>
    <w:p w14:paraId="7BAC837E" w14:textId="77777777" w:rsidR="007D31A0" w:rsidRPr="007D31A0" w:rsidRDefault="007D31A0" w:rsidP="00886790">
      <w:pPr>
        <w:spacing w:after="0"/>
        <w:ind w:left="720" w:hanging="720"/>
        <w:rPr>
          <w:rFonts w:cstheme="minorHAnsi"/>
          <w:sz w:val="24"/>
          <w:szCs w:val="24"/>
        </w:rPr>
      </w:pPr>
      <w:r w:rsidRPr="007D31A0">
        <w:rPr>
          <w:rFonts w:cstheme="minorHAnsi"/>
          <w:sz w:val="24"/>
          <w:szCs w:val="24"/>
        </w:rPr>
        <w:t xml:space="preserve">5. Bernstein KT, Marcus JL, </w:t>
      </w:r>
      <w:proofErr w:type="spellStart"/>
      <w:r w:rsidRPr="007D31A0">
        <w:rPr>
          <w:rFonts w:cstheme="minorHAnsi"/>
          <w:sz w:val="24"/>
          <w:szCs w:val="24"/>
        </w:rPr>
        <w:t>Nieri</w:t>
      </w:r>
      <w:proofErr w:type="spellEnd"/>
      <w:r w:rsidRPr="007D31A0">
        <w:rPr>
          <w:rFonts w:cstheme="minorHAnsi"/>
          <w:sz w:val="24"/>
          <w:szCs w:val="24"/>
        </w:rPr>
        <w:t xml:space="preserve"> G, et al. Rectal </w:t>
      </w:r>
      <w:proofErr w:type="gramStart"/>
      <w:r w:rsidRPr="007D31A0">
        <w:rPr>
          <w:rFonts w:cstheme="minorHAnsi"/>
          <w:sz w:val="24"/>
          <w:szCs w:val="24"/>
        </w:rPr>
        <w:t>gonorrhea</w:t>
      </w:r>
      <w:proofErr w:type="gramEnd"/>
      <w:r w:rsidRPr="007D31A0">
        <w:rPr>
          <w:rFonts w:cstheme="minorHAnsi"/>
          <w:sz w:val="24"/>
          <w:szCs w:val="24"/>
        </w:rPr>
        <w:t xml:space="preserve"> and chlamydia reinfection is associated with increased risk of HIV seroconversion. J </w:t>
      </w:r>
      <w:proofErr w:type="spellStart"/>
      <w:r w:rsidRPr="007D31A0">
        <w:rPr>
          <w:rFonts w:cstheme="minorHAnsi"/>
          <w:sz w:val="24"/>
          <w:szCs w:val="24"/>
        </w:rPr>
        <w:t>Acquir</w:t>
      </w:r>
      <w:proofErr w:type="spellEnd"/>
      <w:r w:rsidRPr="007D31A0">
        <w:rPr>
          <w:rFonts w:cstheme="minorHAnsi"/>
          <w:sz w:val="24"/>
          <w:szCs w:val="24"/>
        </w:rPr>
        <w:t xml:space="preserve"> Immune </w:t>
      </w:r>
      <w:proofErr w:type="spellStart"/>
      <w:r w:rsidRPr="007D31A0">
        <w:rPr>
          <w:rFonts w:cstheme="minorHAnsi"/>
          <w:sz w:val="24"/>
          <w:szCs w:val="24"/>
        </w:rPr>
        <w:t>Defic</w:t>
      </w:r>
      <w:proofErr w:type="spellEnd"/>
      <w:r w:rsidRPr="007D31A0">
        <w:rPr>
          <w:rFonts w:cstheme="minorHAnsi"/>
          <w:sz w:val="24"/>
          <w:szCs w:val="24"/>
        </w:rPr>
        <w:t xml:space="preserve"> </w:t>
      </w:r>
      <w:proofErr w:type="spellStart"/>
      <w:r w:rsidRPr="007D31A0">
        <w:rPr>
          <w:rFonts w:cstheme="minorHAnsi"/>
          <w:sz w:val="24"/>
          <w:szCs w:val="24"/>
        </w:rPr>
        <w:t>Syndr</w:t>
      </w:r>
      <w:proofErr w:type="spellEnd"/>
      <w:r w:rsidRPr="007D31A0">
        <w:rPr>
          <w:rFonts w:cstheme="minorHAnsi"/>
          <w:sz w:val="24"/>
          <w:szCs w:val="24"/>
        </w:rPr>
        <w:t xml:space="preserve"> 2010; 53:537–543.</w:t>
      </w:r>
    </w:p>
    <w:p w14:paraId="3B9C446C" w14:textId="77777777" w:rsidR="007D31A0" w:rsidRPr="007D31A0" w:rsidRDefault="007D31A0" w:rsidP="00886790">
      <w:pPr>
        <w:spacing w:after="0"/>
        <w:ind w:left="720" w:hanging="720"/>
        <w:rPr>
          <w:rFonts w:cstheme="minorHAnsi"/>
          <w:sz w:val="24"/>
          <w:szCs w:val="24"/>
        </w:rPr>
      </w:pPr>
      <w:r w:rsidRPr="007D31A0">
        <w:rPr>
          <w:rFonts w:cstheme="minorHAnsi"/>
          <w:sz w:val="24"/>
          <w:szCs w:val="24"/>
        </w:rPr>
        <w:t xml:space="preserve">6. Scott KC, Philip S, Ahrens K, et al. High prevalence of gonococcal and chlamydial infection in men who have sex with men with newly diagnosed HIV infection: An opportunity for same-day presumptive treatment. J </w:t>
      </w:r>
      <w:proofErr w:type="spellStart"/>
      <w:r w:rsidRPr="007D31A0">
        <w:rPr>
          <w:rFonts w:cstheme="minorHAnsi"/>
          <w:sz w:val="24"/>
          <w:szCs w:val="24"/>
        </w:rPr>
        <w:t>Acquir</w:t>
      </w:r>
      <w:proofErr w:type="spellEnd"/>
      <w:r w:rsidRPr="007D31A0">
        <w:rPr>
          <w:rFonts w:cstheme="minorHAnsi"/>
          <w:sz w:val="24"/>
          <w:szCs w:val="24"/>
        </w:rPr>
        <w:t xml:space="preserve"> Immune </w:t>
      </w:r>
      <w:proofErr w:type="spellStart"/>
      <w:r w:rsidRPr="007D31A0">
        <w:rPr>
          <w:rFonts w:cstheme="minorHAnsi"/>
          <w:sz w:val="24"/>
          <w:szCs w:val="24"/>
        </w:rPr>
        <w:t>Defic</w:t>
      </w:r>
      <w:proofErr w:type="spellEnd"/>
      <w:r w:rsidRPr="007D31A0">
        <w:rPr>
          <w:rFonts w:cstheme="minorHAnsi"/>
          <w:sz w:val="24"/>
          <w:szCs w:val="24"/>
        </w:rPr>
        <w:t xml:space="preserve"> </w:t>
      </w:r>
      <w:proofErr w:type="spellStart"/>
      <w:r w:rsidRPr="007D31A0">
        <w:rPr>
          <w:rFonts w:cstheme="minorHAnsi"/>
          <w:sz w:val="24"/>
          <w:szCs w:val="24"/>
        </w:rPr>
        <w:t>Syndr</w:t>
      </w:r>
      <w:proofErr w:type="spellEnd"/>
      <w:r w:rsidRPr="007D31A0">
        <w:rPr>
          <w:rFonts w:cstheme="minorHAnsi"/>
          <w:sz w:val="24"/>
          <w:szCs w:val="24"/>
        </w:rPr>
        <w:t xml:space="preserve"> 2008; 48:109–112.</w:t>
      </w:r>
    </w:p>
    <w:p w14:paraId="2D0FD8EB" w14:textId="77777777" w:rsidR="007D31A0" w:rsidRPr="007D31A0" w:rsidRDefault="007D31A0" w:rsidP="00886790">
      <w:pPr>
        <w:spacing w:after="0"/>
        <w:ind w:left="720" w:hanging="720"/>
        <w:rPr>
          <w:rFonts w:cstheme="minorHAnsi"/>
          <w:sz w:val="24"/>
          <w:szCs w:val="24"/>
        </w:rPr>
      </w:pPr>
      <w:r w:rsidRPr="007D31A0">
        <w:rPr>
          <w:rFonts w:cstheme="minorHAnsi"/>
          <w:sz w:val="24"/>
          <w:szCs w:val="24"/>
        </w:rPr>
        <w:t xml:space="preserve">7. </w:t>
      </w:r>
      <w:proofErr w:type="spellStart"/>
      <w:r w:rsidRPr="007D31A0">
        <w:rPr>
          <w:rFonts w:cstheme="minorHAnsi"/>
          <w:sz w:val="24"/>
          <w:szCs w:val="24"/>
        </w:rPr>
        <w:t>Burd</w:t>
      </w:r>
      <w:proofErr w:type="spellEnd"/>
      <w:r w:rsidRPr="007D31A0">
        <w:rPr>
          <w:rFonts w:cstheme="minorHAnsi"/>
          <w:sz w:val="24"/>
          <w:szCs w:val="24"/>
        </w:rPr>
        <w:t xml:space="preserve"> EM. Validation of laboratory-developed molecular assays for infectious diseases. Clin </w:t>
      </w:r>
      <w:proofErr w:type="spellStart"/>
      <w:r w:rsidRPr="007D31A0">
        <w:rPr>
          <w:rFonts w:cstheme="minorHAnsi"/>
          <w:sz w:val="24"/>
          <w:szCs w:val="24"/>
        </w:rPr>
        <w:t>Microbiol</w:t>
      </w:r>
      <w:proofErr w:type="spellEnd"/>
      <w:r w:rsidRPr="007D31A0">
        <w:rPr>
          <w:rFonts w:cstheme="minorHAnsi"/>
          <w:sz w:val="24"/>
          <w:szCs w:val="24"/>
        </w:rPr>
        <w:t xml:space="preserve"> Rev 2010; 23:550–576.</w:t>
      </w:r>
    </w:p>
    <w:p w14:paraId="22DB47ED" w14:textId="77777777" w:rsidR="007D31A0" w:rsidRPr="007D31A0" w:rsidRDefault="007D31A0" w:rsidP="00886790">
      <w:pPr>
        <w:spacing w:after="0"/>
        <w:ind w:left="720" w:hanging="720"/>
        <w:rPr>
          <w:rFonts w:cstheme="minorHAnsi"/>
          <w:sz w:val="24"/>
          <w:szCs w:val="24"/>
        </w:rPr>
      </w:pPr>
      <w:r w:rsidRPr="007D31A0">
        <w:rPr>
          <w:rFonts w:cstheme="minorHAnsi"/>
          <w:sz w:val="24"/>
          <w:szCs w:val="24"/>
        </w:rPr>
        <w:t xml:space="preserve">8. Ota KV, Tamari IE, </w:t>
      </w:r>
      <w:proofErr w:type="spellStart"/>
      <w:r w:rsidRPr="007D31A0">
        <w:rPr>
          <w:rFonts w:cstheme="minorHAnsi"/>
          <w:sz w:val="24"/>
          <w:szCs w:val="24"/>
        </w:rPr>
        <w:t>Smieja</w:t>
      </w:r>
      <w:proofErr w:type="spellEnd"/>
      <w:r w:rsidRPr="007D31A0">
        <w:rPr>
          <w:rFonts w:cstheme="minorHAnsi"/>
          <w:sz w:val="24"/>
          <w:szCs w:val="24"/>
        </w:rPr>
        <w:t xml:space="preserve"> M, et al. Detection of </w:t>
      </w:r>
      <w:r w:rsidRPr="007D31A0">
        <w:rPr>
          <w:rFonts w:cstheme="minorHAnsi"/>
          <w:i/>
          <w:iCs/>
          <w:sz w:val="24"/>
          <w:szCs w:val="24"/>
        </w:rPr>
        <w:t>Neisseria gonorrhoeae</w:t>
      </w:r>
      <w:r w:rsidRPr="007D31A0">
        <w:rPr>
          <w:rFonts w:cstheme="minorHAnsi"/>
          <w:sz w:val="24"/>
          <w:szCs w:val="24"/>
        </w:rPr>
        <w:t> and </w:t>
      </w:r>
      <w:r w:rsidRPr="007D31A0">
        <w:rPr>
          <w:rFonts w:cstheme="minorHAnsi"/>
          <w:i/>
          <w:iCs/>
          <w:sz w:val="24"/>
          <w:szCs w:val="24"/>
        </w:rPr>
        <w:t>Chlamydia trachomatis</w:t>
      </w:r>
      <w:r w:rsidRPr="007D31A0">
        <w:rPr>
          <w:rFonts w:cstheme="minorHAnsi"/>
          <w:sz w:val="24"/>
          <w:szCs w:val="24"/>
        </w:rPr>
        <w:t xml:space="preserve"> in pharyngeal and rectal specimens using the BD </w:t>
      </w:r>
      <w:proofErr w:type="spellStart"/>
      <w:r w:rsidRPr="007D31A0">
        <w:rPr>
          <w:rFonts w:cstheme="minorHAnsi"/>
          <w:sz w:val="24"/>
          <w:szCs w:val="24"/>
        </w:rPr>
        <w:t>Probetec</w:t>
      </w:r>
      <w:proofErr w:type="spellEnd"/>
      <w:r w:rsidRPr="007D31A0">
        <w:rPr>
          <w:rFonts w:cstheme="minorHAnsi"/>
          <w:sz w:val="24"/>
          <w:szCs w:val="24"/>
        </w:rPr>
        <w:t xml:space="preserve"> ET system, the Gen-Probe Aptima Combo 2 assay and culture. Sex </w:t>
      </w:r>
      <w:proofErr w:type="spellStart"/>
      <w:r w:rsidRPr="007D31A0">
        <w:rPr>
          <w:rFonts w:cstheme="minorHAnsi"/>
          <w:sz w:val="24"/>
          <w:szCs w:val="24"/>
        </w:rPr>
        <w:t>Transm</w:t>
      </w:r>
      <w:proofErr w:type="spellEnd"/>
      <w:r w:rsidRPr="007D31A0">
        <w:rPr>
          <w:rFonts w:cstheme="minorHAnsi"/>
          <w:sz w:val="24"/>
          <w:szCs w:val="24"/>
        </w:rPr>
        <w:t xml:space="preserve"> Infect 2009; 85:182–186.</w:t>
      </w:r>
    </w:p>
    <w:p w14:paraId="00F2B566" w14:textId="77777777" w:rsidR="007D31A0" w:rsidRPr="007D31A0" w:rsidRDefault="007D31A0" w:rsidP="00886790">
      <w:pPr>
        <w:spacing w:after="0"/>
        <w:ind w:left="720" w:hanging="720"/>
        <w:rPr>
          <w:rFonts w:cstheme="minorHAnsi"/>
          <w:sz w:val="24"/>
          <w:szCs w:val="24"/>
        </w:rPr>
      </w:pPr>
      <w:r w:rsidRPr="007D31A0">
        <w:rPr>
          <w:rFonts w:cstheme="minorHAnsi"/>
          <w:sz w:val="24"/>
          <w:szCs w:val="24"/>
        </w:rPr>
        <w:t xml:space="preserve">9. </w:t>
      </w:r>
      <w:proofErr w:type="spellStart"/>
      <w:r w:rsidRPr="007D31A0">
        <w:rPr>
          <w:rFonts w:cstheme="minorHAnsi"/>
          <w:sz w:val="24"/>
          <w:szCs w:val="24"/>
        </w:rPr>
        <w:t>Mustanski</w:t>
      </w:r>
      <w:proofErr w:type="spellEnd"/>
      <w:r w:rsidRPr="007D31A0">
        <w:rPr>
          <w:rFonts w:cstheme="minorHAnsi"/>
          <w:sz w:val="24"/>
          <w:szCs w:val="24"/>
        </w:rPr>
        <w:t xml:space="preserve"> B, Parsons JT, Sullivan PS, et al. Biomedical and behavioral outcomes of Keep It </w:t>
      </w:r>
      <w:proofErr w:type="gramStart"/>
      <w:r w:rsidRPr="007D31A0">
        <w:rPr>
          <w:rFonts w:cstheme="minorHAnsi"/>
          <w:sz w:val="24"/>
          <w:szCs w:val="24"/>
        </w:rPr>
        <w:t>Up!:</w:t>
      </w:r>
      <w:proofErr w:type="gramEnd"/>
      <w:r w:rsidRPr="007D31A0">
        <w:rPr>
          <w:rFonts w:cstheme="minorHAnsi"/>
          <w:sz w:val="24"/>
          <w:szCs w:val="24"/>
        </w:rPr>
        <w:t xml:space="preserve"> An eHealth HIV prevention program RCT. Am J </w:t>
      </w:r>
      <w:proofErr w:type="spellStart"/>
      <w:r w:rsidRPr="007D31A0">
        <w:rPr>
          <w:rFonts w:cstheme="minorHAnsi"/>
          <w:sz w:val="24"/>
          <w:szCs w:val="24"/>
        </w:rPr>
        <w:t>Prev</w:t>
      </w:r>
      <w:proofErr w:type="spellEnd"/>
      <w:r w:rsidRPr="007D31A0">
        <w:rPr>
          <w:rFonts w:cstheme="minorHAnsi"/>
          <w:sz w:val="24"/>
          <w:szCs w:val="24"/>
        </w:rPr>
        <w:t xml:space="preserve"> Med 2018; 55:151–158.</w:t>
      </w:r>
    </w:p>
    <w:p w14:paraId="72504B8B" w14:textId="77777777" w:rsidR="007D31A0" w:rsidRPr="007D31A0" w:rsidRDefault="007D31A0" w:rsidP="00886790">
      <w:pPr>
        <w:spacing w:after="0"/>
        <w:ind w:left="720" w:hanging="720"/>
        <w:rPr>
          <w:rFonts w:cstheme="minorHAnsi"/>
          <w:sz w:val="24"/>
          <w:szCs w:val="24"/>
        </w:rPr>
      </w:pPr>
      <w:r w:rsidRPr="007D31A0">
        <w:rPr>
          <w:rFonts w:cstheme="minorHAnsi"/>
          <w:sz w:val="24"/>
          <w:szCs w:val="24"/>
        </w:rPr>
        <w:t xml:space="preserve">10. Munson E, </w:t>
      </w:r>
      <w:proofErr w:type="spellStart"/>
      <w:r w:rsidRPr="007D31A0">
        <w:rPr>
          <w:rFonts w:cstheme="minorHAnsi"/>
          <w:sz w:val="24"/>
          <w:szCs w:val="24"/>
        </w:rPr>
        <w:t>Wenten</w:t>
      </w:r>
      <w:proofErr w:type="spellEnd"/>
      <w:r w:rsidRPr="007D31A0">
        <w:rPr>
          <w:rFonts w:cstheme="minorHAnsi"/>
          <w:sz w:val="24"/>
          <w:szCs w:val="24"/>
        </w:rPr>
        <w:t xml:space="preserve"> D, </w:t>
      </w:r>
      <w:proofErr w:type="spellStart"/>
      <w:r w:rsidRPr="007D31A0">
        <w:rPr>
          <w:rFonts w:cstheme="minorHAnsi"/>
          <w:sz w:val="24"/>
          <w:szCs w:val="24"/>
        </w:rPr>
        <w:t>Jhansale</w:t>
      </w:r>
      <w:proofErr w:type="spellEnd"/>
      <w:r w:rsidRPr="007D31A0">
        <w:rPr>
          <w:rFonts w:cstheme="minorHAnsi"/>
          <w:sz w:val="24"/>
          <w:szCs w:val="24"/>
        </w:rPr>
        <w:t xml:space="preserve"> S, et al. Expansion of comprehensive screening of male sexually transmitted infection clinic attendees with </w:t>
      </w:r>
      <w:r w:rsidRPr="007D31A0">
        <w:rPr>
          <w:rFonts w:cstheme="minorHAnsi"/>
          <w:i/>
          <w:iCs/>
          <w:sz w:val="24"/>
          <w:szCs w:val="24"/>
        </w:rPr>
        <w:t xml:space="preserve">Mycoplasma </w:t>
      </w:r>
      <w:proofErr w:type="spellStart"/>
      <w:r w:rsidRPr="007D31A0">
        <w:rPr>
          <w:rFonts w:cstheme="minorHAnsi"/>
          <w:i/>
          <w:iCs/>
          <w:sz w:val="24"/>
          <w:szCs w:val="24"/>
        </w:rPr>
        <w:t>genitalium</w:t>
      </w:r>
      <w:proofErr w:type="spellEnd"/>
      <w:r w:rsidRPr="007D31A0">
        <w:rPr>
          <w:rFonts w:cstheme="minorHAnsi"/>
          <w:sz w:val="24"/>
          <w:szCs w:val="24"/>
        </w:rPr>
        <w:t> and </w:t>
      </w:r>
      <w:r w:rsidRPr="007D31A0">
        <w:rPr>
          <w:rFonts w:cstheme="minorHAnsi"/>
          <w:i/>
          <w:iCs/>
          <w:sz w:val="24"/>
          <w:szCs w:val="24"/>
        </w:rPr>
        <w:t>Trichomonas vaginalis</w:t>
      </w:r>
      <w:r w:rsidRPr="007D31A0">
        <w:rPr>
          <w:rFonts w:cstheme="minorHAnsi"/>
          <w:sz w:val="24"/>
          <w:szCs w:val="24"/>
        </w:rPr>
        <w:t xml:space="preserve"> molecular assessment: A retrospective analysis. J Clin </w:t>
      </w:r>
      <w:proofErr w:type="spellStart"/>
      <w:r w:rsidRPr="007D31A0">
        <w:rPr>
          <w:rFonts w:cstheme="minorHAnsi"/>
          <w:sz w:val="24"/>
          <w:szCs w:val="24"/>
        </w:rPr>
        <w:t>Microbiol</w:t>
      </w:r>
      <w:proofErr w:type="spellEnd"/>
      <w:r w:rsidRPr="007D31A0">
        <w:rPr>
          <w:rFonts w:cstheme="minorHAnsi"/>
          <w:sz w:val="24"/>
          <w:szCs w:val="24"/>
        </w:rPr>
        <w:t xml:space="preserve"> 2016; 55:321–325.</w:t>
      </w:r>
    </w:p>
    <w:p w14:paraId="4C483DBB" w14:textId="77777777" w:rsidR="007D31A0" w:rsidRPr="007D31A0" w:rsidRDefault="007D31A0" w:rsidP="00886790">
      <w:pPr>
        <w:spacing w:after="0"/>
        <w:ind w:left="720" w:hanging="720"/>
        <w:rPr>
          <w:rFonts w:cstheme="minorHAnsi"/>
          <w:sz w:val="24"/>
          <w:szCs w:val="24"/>
        </w:rPr>
      </w:pPr>
      <w:r w:rsidRPr="007D31A0">
        <w:rPr>
          <w:rFonts w:cstheme="minorHAnsi"/>
          <w:sz w:val="24"/>
          <w:szCs w:val="24"/>
        </w:rPr>
        <w:t xml:space="preserve">11. </w:t>
      </w:r>
      <w:proofErr w:type="spellStart"/>
      <w:r w:rsidRPr="007D31A0">
        <w:rPr>
          <w:rFonts w:cstheme="minorHAnsi"/>
          <w:sz w:val="24"/>
          <w:szCs w:val="24"/>
        </w:rPr>
        <w:t>Meites</w:t>
      </w:r>
      <w:proofErr w:type="spellEnd"/>
      <w:r w:rsidRPr="007D31A0">
        <w:rPr>
          <w:rFonts w:cstheme="minorHAnsi"/>
          <w:sz w:val="24"/>
          <w:szCs w:val="24"/>
        </w:rPr>
        <w:t xml:space="preserve"> E, Gaydos CA, Hobbs MM, et al. A review of evidence-based care of symptomatic trichomoniasis and asymptomatic </w:t>
      </w:r>
      <w:r w:rsidRPr="007D31A0">
        <w:rPr>
          <w:rFonts w:cstheme="minorHAnsi"/>
          <w:i/>
          <w:iCs/>
          <w:sz w:val="24"/>
          <w:szCs w:val="24"/>
        </w:rPr>
        <w:t>Trichomonas vaginalis</w:t>
      </w:r>
      <w:r w:rsidRPr="007D31A0">
        <w:rPr>
          <w:rFonts w:cstheme="minorHAnsi"/>
          <w:sz w:val="24"/>
          <w:szCs w:val="24"/>
        </w:rPr>
        <w:t> infections. Clin Infect Dis 2015; 61(suppl 8</w:t>
      </w:r>
      <w:proofErr w:type="gramStart"/>
      <w:r w:rsidRPr="007D31A0">
        <w:rPr>
          <w:rFonts w:cstheme="minorHAnsi"/>
          <w:sz w:val="24"/>
          <w:szCs w:val="24"/>
        </w:rPr>
        <w:t>):S</w:t>
      </w:r>
      <w:proofErr w:type="gramEnd"/>
      <w:r w:rsidRPr="007D31A0">
        <w:rPr>
          <w:rFonts w:cstheme="minorHAnsi"/>
          <w:sz w:val="24"/>
          <w:szCs w:val="24"/>
        </w:rPr>
        <w:t>837–S848.</w:t>
      </w:r>
    </w:p>
    <w:p w14:paraId="69EB3B56" w14:textId="77777777" w:rsidR="007D31A0" w:rsidRPr="007D31A0" w:rsidRDefault="007D31A0" w:rsidP="00886790">
      <w:pPr>
        <w:spacing w:after="0"/>
        <w:ind w:left="720" w:hanging="720"/>
        <w:rPr>
          <w:rFonts w:cstheme="minorHAnsi"/>
          <w:sz w:val="24"/>
          <w:szCs w:val="24"/>
        </w:rPr>
      </w:pPr>
      <w:r w:rsidRPr="007D31A0">
        <w:rPr>
          <w:rFonts w:cstheme="minorHAnsi"/>
          <w:sz w:val="24"/>
          <w:szCs w:val="24"/>
        </w:rPr>
        <w:t>12. Munson E. Molecular diagnostics update for the emerging (if not already widespread) sexually transmitted infection agent </w:t>
      </w:r>
      <w:r w:rsidRPr="007D31A0">
        <w:rPr>
          <w:rFonts w:cstheme="minorHAnsi"/>
          <w:i/>
          <w:iCs/>
          <w:sz w:val="24"/>
          <w:szCs w:val="24"/>
        </w:rPr>
        <w:t xml:space="preserve">Mycoplasma </w:t>
      </w:r>
      <w:proofErr w:type="spellStart"/>
      <w:r w:rsidRPr="007D31A0">
        <w:rPr>
          <w:rFonts w:cstheme="minorHAnsi"/>
          <w:i/>
          <w:iCs/>
          <w:sz w:val="24"/>
          <w:szCs w:val="24"/>
        </w:rPr>
        <w:t>genitalium</w:t>
      </w:r>
      <w:proofErr w:type="spellEnd"/>
      <w:r w:rsidRPr="007D31A0">
        <w:rPr>
          <w:rFonts w:cstheme="minorHAnsi"/>
          <w:sz w:val="24"/>
          <w:szCs w:val="24"/>
        </w:rPr>
        <w:t xml:space="preserve">: Just about ready for prime time. J Clin </w:t>
      </w:r>
      <w:proofErr w:type="spellStart"/>
      <w:r w:rsidRPr="007D31A0">
        <w:rPr>
          <w:rFonts w:cstheme="minorHAnsi"/>
          <w:sz w:val="24"/>
          <w:szCs w:val="24"/>
        </w:rPr>
        <w:t>Microbiol</w:t>
      </w:r>
      <w:proofErr w:type="spellEnd"/>
      <w:r w:rsidRPr="007D31A0">
        <w:rPr>
          <w:rFonts w:cstheme="minorHAnsi"/>
          <w:sz w:val="24"/>
          <w:szCs w:val="24"/>
        </w:rPr>
        <w:t xml:space="preserve"> 2017; 55:2894–2902.</w:t>
      </w:r>
    </w:p>
    <w:p w14:paraId="3D16F4EA" w14:textId="77777777" w:rsidR="007D31A0" w:rsidRPr="007D31A0" w:rsidRDefault="007D31A0" w:rsidP="00886790">
      <w:pPr>
        <w:spacing w:after="0"/>
        <w:ind w:left="720" w:hanging="720"/>
        <w:rPr>
          <w:rFonts w:cstheme="minorHAnsi"/>
          <w:sz w:val="24"/>
          <w:szCs w:val="24"/>
        </w:rPr>
      </w:pPr>
      <w:r w:rsidRPr="007D31A0">
        <w:rPr>
          <w:rFonts w:cstheme="minorHAnsi"/>
          <w:sz w:val="24"/>
          <w:szCs w:val="24"/>
        </w:rPr>
        <w:t xml:space="preserve">13. Munson KL, </w:t>
      </w:r>
      <w:proofErr w:type="spellStart"/>
      <w:r w:rsidRPr="007D31A0">
        <w:rPr>
          <w:rFonts w:cstheme="minorHAnsi"/>
          <w:sz w:val="24"/>
          <w:szCs w:val="24"/>
        </w:rPr>
        <w:t>Napierala</w:t>
      </w:r>
      <w:proofErr w:type="spellEnd"/>
      <w:r w:rsidRPr="007D31A0">
        <w:rPr>
          <w:rFonts w:cstheme="minorHAnsi"/>
          <w:sz w:val="24"/>
          <w:szCs w:val="24"/>
        </w:rPr>
        <w:t xml:space="preserve"> M, Munson E, et al. Screening of male patients for </w:t>
      </w:r>
      <w:r w:rsidRPr="007D31A0">
        <w:rPr>
          <w:rFonts w:cstheme="minorHAnsi"/>
          <w:i/>
          <w:iCs/>
          <w:sz w:val="24"/>
          <w:szCs w:val="24"/>
        </w:rPr>
        <w:t>Trichomonas vaginalis</w:t>
      </w:r>
      <w:r w:rsidRPr="007D31A0">
        <w:rPr>
          <w:rFonts w:cstheme="minorHAnsi"/>
          <w:sz w:val="24"/>
          <w:szCs w:val="24"/>
        </w:rPr>
        <w:t xml:space="preserve"> with transcription-mediated amplification in a community with a high prevalence of sexually transmitted infection. J Clin </w:t>
      </w:r>
      <w:proofErr w:type="spellStart"/>
      <w:r w:rsidRPr="007D31A0">
        <w:rPr>
          <w:rFonts w:cstheme="minorHAnsi"/>
          <w:sz w:val="24"/>
          <w:szCs w:val="24"/>
        </w:rPr>
        <w:t>Microbiol</w:t>
      </w:r>
      <w:proofErr w:type="spellEnd"/>
      <w:r w:rsidRPr="007D31A0">
        <w:rPr>
          <w:rFonts w:cstheme="minorHAnsi"/>
          <w:sz w:val="24"/>
          <w:szCs w:val="24"/>
        </w:rPr>
        <w:t xml:space="preserve"> 2013; 51:101–104.</w:t>
      </w:r>
    </w:p>
    <w:p w14:paraId="4E26A20E" w14:textId="77777777" w:rsidR="007D31A0" w:rsidRPr="007D31A0" w:rsidRDefault="007D31A0" w:rsidP="00886790">
      <w:pPr>
        <w:spacing w:after="0"/>
        <w:ind w:left="720" w:hanging="720"/>
        <w:rPr>
          <w:rFonts w:cstheme="minorHAnsi"/>
          <w:sz w:val="24"/>
          <w:szCs w:val="24"/>
        </w:rPr>
      </w:pPr>
      <w:r w:rsidRPr="007D31A0">
        <w:rPr>
          <w:rFonts w:cstheme="minorHAnsi"/>
          <w:sz w:val="24"/>
          <w:szCs w:val="24"/>
        </w:rPr>
        <w:t xml:space="preserve">14. </w:t>
      </w:r>
      <w:proofErr w:type="spellStart"/>
      <w:r w:rsidRPr="007D31A0">
        <w:rPr>
          <w:rFonts w:cstheme="minorHAnsi"/>
          <w:sz w:val="24"/>
          <w:szCs w:val="24"/>
        </w:rPr>
        <w:t>Wroblewski</w:t>
      </w:r>
      <w:proofErr w:type="spellEnd"/>
      <w:r w:rsidRPr="007D31A0">
        <w:rPr>
          <w:rFonts w:cstheme="minorHAnsi"/>
          <w:sz w:val="24"/>
          <w:szCs w:val="24"/>
        </w:rPr>
        <w:t xml:space="preserve"> JK, Manhart LE, Dickey KA, et al. Comparison of transcription-mediated amplification and PCR assay results for various genital specimen types for detection of </w:t>
      </w:r>
      <w:r w:rsidRPr="007D31A0">
        <w:rPr>
          <w:rFonts w:cstheme="minorHAnsi"/>
          <w:i/>
          <w:iCs/>
          <w:sz w:val="24"/>
          <w:szCs w:val="24"/>
        </w:rPr>
        <w:t xml:space="preserve">Mycoplasma </w:t>
      </w:r>
      <w:proofErr w:type="spellStart"/>
      <w:r w:rsidRPr="007D31A0">
        <w:rPr>
          <w:rFonts w:cstheme="minorHAnsi"/>
          <w:i/>
          <w:iCs/>
          <w:sz w:val="24"/>
          <w:szCs w:val="24"/>
        </w:rPr>
        <w:t>genitalium</w:t>
      </w:r>
      <w:proofErr w:type="spellEnd"/>
      <w:r w:rsidRPr="007D31A0">
        <w:rPr>
          <w:rFonts w:cstheme="minorHAnsi"/>
          <w:sz w:val="24"/>
          <w:szCs w:val="24"/>
        </w:rPr>
        <w:t xml:space="preserve">. J Clin </w:t>
      </w:r>
      <w:proofErr w:type="spellStart"/>
      <w:r w:rsidRPr="007D31A0">
        <w:rPr>
          <w:rFonts w:cstheme="minorHAnsi"/>
          <w:sz w:val="24"/>
          <w:szCs w:val="24"/>
        </w:rPr>
        <w:t>Microbiol</w:t>
      </w:r>
      <w:proofErr w:type="spellEnd"/>
      <w:r w:rsidRPr="007D31A0">
        <w:rPr>
          <w:rFonts w:cstheme="minorHAnsi"/>
          <w:sz w:val="24"/>
          <w:szCs w:val="24"/>
        </w:rPr>
        <w:t xml:space="preserve"> 2006; 44:3306–3312.</w:t>
      </w:r>
    </w:p>
    <w:p w14:paraId="63BD0455" w14:textId="4E4A3139" w:rsidR="007D31A0" w:rsidRPr="007D31A0" w:rsidRDefault="007D31A0" w:rsidP="00886790">
      <w:pPr>
        <w:spacing w:after="0"/>
        <w:ind w:left="720" w:hanging="720"/>
        <w:rPr>
          <w:rFonts w:cstheme="minorHAnsi"/>
          <w:sz w:val="24"/>
          <w:szCs w:val="24"/>
        </w:rPr>
      </w:pPr>
      <w:r w:rsidRPr="007D31A0">
        <w:rPr>
          <w:rFonts w:cstheme="minorHAnsi"/>
          <w:sz w:val="24"/>
          <w:szCs w:val="24"/>
        </w:rPr>
        <w:t>15. Centers for Disease Control and Prevention and Association of Public Health Laboratories. Laboratory testing for the diagnosis of HIV infection: Updated recommendations. Available at: </w:t>
      </w:r>
      <w:r w:rsidRPr="00886790">
        <w:rPr>
          <w:rFonts w:cstheme="minorHAnsi"/>
          <w:sz w:val="24"/>
          <w:szCs w:val="24"/>
        </w:rPr>
        <w:t>http://dx.doi.org/10.15620/cdc.23447</w:t>
      </w:r>
      <w:r w:rsidRPr="007D31A0">
        <w:rPr>
          <w:rFonts w:cstheme="minorHAnsi"/>
          <w:sz w:val="24"/>
          <w:szCs w:val="24"/>
        </w:rPr>
        <w:t>. Published 2014. Accessed April 11, 2017.</w:t>
      </w:r>
    </w:p>
    <w:p w14:paraId="171F8600" w14:textId="77777777" w:rsidR="007D31A0" w:rsidRPr="007D31A0" w:rsidRDefault="007D31A0" w:rsidP="00886790">
      <w:pPr>
        <w:spacing w:after="0"/>
        <w:ind w:left="720" w:hanging="720"/>
        <w:rPr>
          <w:rFonts w:cstheme="minorHAnsi"/>
          <w:sz w:val="24"/>
          <w:szCs w:val="24"/>
        </w:rPr>
      </w:pPr>
      <w:r w:rsidRPr="007D31A0">
        <w:rPr>
          <w:rFonts w:cstheme="minorHAnsi"/>
          <w:sz w:val="24"/>
          <w:szCs w:val="24"/>
        </w:rPr>
        <w:t xml:space="preserve">16. Monteiro L, </w:t>
      </w:r>
      <w:proofErr w:type="spellStart"/>
      <w:r w:rsidRPr="007D31A0">
        <w:rPr>
          <w:rFonts w:cstheme="minorHAnsi"/>
          <w:sz w:val="24"/>
          <w:szCs w:val="24"/>
        </w:rPr>
        <w:t>Bonnemaison</w:t>
      </w:r>
      <w:proofErr w:type="spellEnd"/>
      <w:r w:rsidRPr="007D31A0">
        <w:rPr>
          <w:rFonts w:cstheme="minorHAnsi"/>
          <w:sz w:val="24"/>
          <w:szCs w:val="24"/>
        </w:rPr>
        <w:t xml:space="preserve"> D, </w:t>
      </w:r>
      <w:proofErr w:type="spellStart"/>
      <w:r w:rsidRPr="007D31A0">
        <w:rPr>
          <w:rFonts w:cstheme="minorHAnsi"/>
          <w:sz w:val="24"/>
          <w:szCs w:val="24"/>
        </w:rPr>
        <w:t>Vekris</w:t>
      </w:r>
      <w:proofErr w:type="spellEnd"/>
      <w:r w:rsidRPr="007D31A0">
        <w:rPr>
          <w:rFonts w:cstheme="minorHAnsi"/>
          <w:sz w:val="24"/>
          <w:szCs w:val="24"/>
        </w:rPr>
        <w:t xml:space="preserve"> A, et al. Complex polysaccharides as PCR inhibitors in feces: </w:t>
      </w:r>
      <w:r w:rsidRPr="007D31A0">
        <w:rPr>
          <w:rFonts w:cstheme="minorHAnsi"/>
          <w:i/>
          <w:iCs/>
          <w:sz w:val="24"/>
          <w:szCs w:val="24"/>
        </w:rPr>
        <w:t>Helicobacter pylori</w:t>
      </w:r>
      <w:r w:rsidRPr="007D31A0">
        <w:rPr>
          <w:rFonts w:cstheme="minorHAnsi"/>
          <w:sz w:val="24"/>
          <w:szCs w:val="24"/>
        </w:rPr>
        <w:t xml:space="preserve"> model. J Clin </w:t>
      </w:r>
      <w:proofErr w:type="spellStart"/>
      <w:r w:rsidRPr="007D31A0">
        <w:rPr>
          <w:rFonts w:cstheme="minorHAnsi"/>
          <w:sz w:val="24"/>
          <w:szCs w:val="24"/>
        </w:rPr>
        <w:t>Microbiol</w:t>
      </w:r>
      <w:proofErr w:type="spellEnd"/>
      <w:r w:rsidRPr="007D31A0">
        <w:rPr>
          <w:rFonts w:cstheme="minorHAnsi"/>
          <w:sz w:val="24"/>
          <w:szCs w:val="24"/>
        </w:rPr>
        <w:t xml:space="preserve"> 1997; 35:995–998.</w:t>
      </w:r>
    </w:p>
    <w:p w14:paraId="12104A03" w14:textId="77777777" w:rsidR="007D31A0" w:rsidRPr="007D31A0" w:rsidRDefault="007D31A0" w:rsidP="00886790">
      <w:pPr>
        <w:spacing w:after="0"/>
        <w:ind w:left="720" w:hanging="720"/>
        <w:rPr>
          <w:rFonts w:cstheme="minorHAnsi"/>
          <w:sz w:val="24"/>
          <w:szCs w:val="24"/>
        </w:rPr>
      </w:pPr>
      <w:r w:rsidRPr="007D31A0">
        <w:rPr>
          <w:rFonts w:cstheme="minorHAnsi"/>
          <w:sz w:val="24"/>
          <w:szCs w:val="24"/>
        </w:rPr>
        <w:t>17. Chan JW, Goodwin PH. Extraction of genomic DNA from extracellular polysaccharide-synthesizing gram-negative bacteria. Biotechniques 1995; 18:418–422.</w:t>
      </w:r>
    </w:p>
    <w:p w14:paraId="0C087A9A" w14:textId="77777777" w:rsidR="007D31A0" w:rsidRPr="007D31A0" w:rsidRDefault="007D31A0" w:rsidP="00886790">
      <w:pPr>
        <w:spacing w:after="0"/>
        <w:ind w:left="720" w:hanging="720"/>
        <w:rPr>
          <w:rFonts w:cstheme="minorHAnsi"/>
          <w:sz w:val="24"/>
          <w:szCs w:val="24"/>
        </w:rPr>
      </w:pPr>
      <w:r w:rsidRPr="007D31A0">
        <w:rPr>
          <w:rFonts w:cstheme="minorHAnsi"/>
          <w:sz w:val="24"/>
          <w:szCs w:val="24"/>
        </w:rPr>
        <w:t xml:space="preserve">18. </w:t>
      </w:r>
      <w:proofErr w:type="spellStart"/>
      <w:r w:rsidRPr="007D31A0">
        <w:rPr>
          <w:rFonts w:cstheme="minorHAnsi"/>
          <w:sz w:val="24"/>
          <w:szCs w:val="24"/>
        </w:rPr>
        <w:t>Rosenstraus</w:t>
      </w:r>
      <w:proofErr w:type="spellEnd"/>
      <w:r w:rsidRPr="007D31A0">
        <w:rPr>
          <w:rFonts w:cstheme="minorHAnsi"/>
          <w:sz w:val="24"/>
          <w:szCs w:val="24"/>
        </w:rPr>
        <w:t xml:space="preserve"> M, Wang Z, Chang SY, et al. An internal control for routine diagnostic PCR: Design, properties, and effect on clinical performance. J Clin </w:t>
      </w:r>
      <w:proofErr w:type="spellStart"/>
      <w:r w:rsidRPr="007D31A0">
        <w:rPr>
          <w:rFonts w:cstheme="minorHAnsi"/>
          <w:sz w:val="24"/>
          <w:szCs w:val="24"/>
        </w:rPr>
        <w:t>Microbiol</w:t>
      </w:r>
      <w:proofErr w:type="spellEnd"/>
      <w:r w:rsidRPr="007D31A0">
        <w:rPr>
          <w:rFonts w:cstheme="minorHAnsi"/>
          <w:sz w:val="24"/>
          <w:szCs w:val="24"/>
        </w:rPr>
        <w:t xml:space="preserve"> 1998; 36:191–197.</w:t>
      </w:r>
    </w:p>
    <w:p w14:paraId="1A9F8895" w14:textId="6DEE726F" w:rsidR="007D31A0" w:rsidRPr="007D31A0" w:rsidRDefault="007D31A0" w:rsidP="00886790">
      <w:pPr>
        <w:spacing w:after="0"/>
        <w:ind w:left="720" w:hanging="720"/>
        <w:rPr>
          <w:rFonts w:cstheme="minorHAnsi"/>
          <w:sz w:val="24"/>
          <w:szCs w:val="24"/>
        </w:rPr>
      </w:pPr>
      <w:r w:rsidRPr="007D31A0">
        <w:rPr>
          <w:rFonts w:cstheme="minorHAnsi"/>
          <w:sz w:val="24"/>
          <w:szCs w:val="24"/>
        </w:rPr>
        <w:t>19. Ikeda-</w:t>
      </w:r>
      <w:proofErr w:type="spellStart"/>
      <w:r w:rsidRPr="007D31A0">
        <w:rPr>
          <w:rFonts w:cstheme="minorHAnsi"/>
          <w:sz w:val="24"/>
          <w:szCs w:val="24"/>
        </w:rPr>
        <w:t>Dantsuji</w:t>
      </w:r>
      <w:proofErr w:type="spellEnd"/>
      <w:r w:rsidRPr="007D31A0">
        <w:rPr>
          <w:rFonts w:cstheme="minorHAnsi"/>
          <w:sz w:val="24"/>
          <w:szCs w:val="24"/>
        </w:rPr>
        <w:t xml:space="preserve"> Y, Konomi I, Nagayama A. In vitro assessment of the APTIMA Combo 2 assay for the detection of </w:t>
      </w:r>
      <w:r w:rsidRPr="007D31A0">
        <w:rPr>
          <w:rFonts w:cstheme="minorHAnsi"/>
          <w:i/>
          <w:iCs/>
          <w:sz w:val="24"/>
          <w:szCs w:val="24"/>
        </w:rPr>
        <w:t>Chlamydia trachomatis</w:t>
      </w:r>
      <w:r w:rsidRPr="007D31A0">
        <w:rPr>
          <w:rFonts w:cstheme="minorHAnsi"/>
          <w:sz w:val="24"/>
          <w:szCs w:val="24"/>
        </w:rPr>
        <w:t xml:space="preserve"> using highly purified elementary bodies. J Med </w:t>
      </w:r>
      <w:proofErr w:type="spellStart"/>
      <w:r w:rsidRPr="007D31A0">
        <w:rPr>
          <w:rFonts w:cstheme="minorHAnsi"/>
          <w:sz w:val="24"/>
          <w:szCs w:val="24"/>
        </w:rPr>
        <w:t>Microbiol</w:t>
      </w:r>
      <w:proofErr w:type="spellEnd"/>
      <w:r w:rsidRPr="007D31A0">
        <w:rPr>
          <w:rFonts w:cstheme="minorHAnsi"/>
          <w:sz w:val="24"/>
          <w:szCs w:val="24"/>
        </w:rPr>
        <w:t xml:space="preserve"> 2005; 54(Pt 4):357–360.</w:t>
      </w:r>
    </w:p>
    <w:p w14:paraId="754780AF" w14:textId="77777777" w:rsidR="007D31A0" w:rsidRPr="007D31A0" w:rsidRDefault="007D31A0" w:rsidP="00886790">
      <w:pPr>
        <w:spacing w:after="0"/>
        <w:ind w:left="720" w:hanging="720"/>
        <w:rPr>
          <w:rFonts w:cstheme="minorHAnsi"/>
          <w:sz w:val="24"/>
          <w:szCs w:val="24"/>
        </w:rPr>
      </w:pPr>
      <w:r w:rsidRPr="007D31A0">
        <w:rPr>
          <w:rFonts w:cstheme="minorHAnsi"/>
          <w:sz w:val="24"/>
          <w:szCs w:val="24"/>
        </w:rPr>
        <w:t>20. Mahony J, Chong S, Jang D, et al. Urine specimens from pregnant and nonpregnant women inhibitory to amplification of </w:t>
      </w:r>
      <w:r w:rsidRPr="007D31A0">
        <w:rPr>
          <w:rFonts w:cstheme="minorHAnsi"/>
          <w:i/>
          <w:iCs/>
          <w:sz w:val="24"/>
          <w:szCs w:val="24"/>
        </w:rPr>
        <w:t>Chlamydia trachomatis</w:t>
      </w:r>
      <w:r w:rsidRPr="007D31A0">
        <w:rPr>
          <w:rFonts w:cstheme="minorHAnsi"/>
          <w:sz w:val="24"/>
          <w:szCs w:val="24"/>
        </w:rPr>
        <w:t xml:space="preserve"> nucleic acid by PCR, ligase chain reaction, and transcription-mediated amplification: Identification of urinary substances associated with inhibition and removal of inhibitory activity. J Clin </w:t>
      </w:r>
      <w:proofErr w:type="spellStart"/>
      <w:r w:rsidRPr="007D31A0">
        <w:rPr>
          <w:rFonts w:cstheme="minorHAnsi"/>
          <w:sz w:val="24"/>
          <w:szCs w:val="24"/>
        </w:rPr>
        <w:t>Microbiol</w:t>
      </w:r>
      <w:proofErr w:type="spellEnd"/>
      <w:r w:rsidRPr="007D31A0">
        <w:rPr>
          <w:rFonts w:cstheme="minorHAnsi"/>
          <w:sz w:val="24"/>
          <w:szCs w:val="24"/>
        </w:rPr>
        <w:t xml:space="preserve"> 1998; 36:3122–3126.</w:t>
      </w:r>
    </w:p>
    <w:p w14:paraId="55BEB056" w14:textId="77777777" w:rsidR="007D31A0" w:rsidRPr="007D31A0" w:rsidRDefault="007D31A0" w:rsidP="00886790">
      <w:pPr>
        <w:spacing w:after="0"/>
        <w:ind w:left="720" w:hanging="720"/>
        <w:rPr>
          <w:rFonts w:cstheme="minorHAnsi"/>
          <w:sz w:val="24"/>
          <w:szCs w:val="24"/>
        </w:rPr>
      </w:pPr>
      <w:r w:rsidRPr="007D31A0">
        <w:rPr>
          <w:rFonts w:cstheme="minorHAnsi"/>
          <w:sz w:val="24"/>
          <w:szCs w:val="24"/>
        </w:rPr>
        <w:t xml:space="preserve">21. </w:t>
      </w:r>
      <w:proofErr w:type="spellStart"/>
      <w:r w:rsidRPr="007D31A0">
        <w:rPr>
          <w:rFonts w:cstheme="minorHAnsi"/>
          <w:sz w:val="24"/>
          <w:szCs w:val="24"/>
        </w:rPr>
        <w:t>Chernesky</w:t>
      </w:r>
      <w:proofErr w:type="spellEnd"/>
      <w:r w:rsidRPr="007D31A0">
        <w:rPr>
          <w:rFonts w:cstheme="minorHAnsi"/>
          <w:sz w:val="24"/>
          <w:szCs w:val="24"/>
        </w:rPr>
        <w:t xml:space="preserve"> M, Jang D, </w:t>
      </w:r>
      <w:proofErr w:type="spellStart"/>
      <w:r w:rsidRPr="007D31A0">
        <w:rPr>
          <w:rFonts w:cstheme="minorHAnsi"/>
          <w:sz w:val="24"/>
          <w:szCs w:val="24"/>
        </w:rPr>
        <w:t>Luinstra</w:t>
      </w:r>
      <w:proofErr w:type="spellEnd"/>
      <w:r w:rsidRPr="007D31A0">
        <w:rPr>
          <w:rFonts w:cstheme="minorHAnsi"/>
          <w:sz w:val="24"/>
          <w:szCs w:val="24"/>
        </w:rPr>
        <w:t xml:space="preserve"> K, et al. High analytical </w:t>
      </w:r>
      <w:proofErr w:type="gramStart"/>
      <w:r w:rsidRPr="007D31A0">
        <w:rPr>
          <w:rFonts w:cstheme="minorHAnsi"/>
          <w:sz w:val="24"/>
          <w:szCs w:val="24"/>
        </w:rPr>
        <w:t>sensitivity</w:t>
      </w:r>
      <w:proofErr w:type="gramEnd"/>
      <w:r w:rsidRPr="007D31A0">
        <w:rPr>
          <w:rFonts w:cstheme="minorHAnsi"/>
          <w:sz w:val="24"/>
          <w:szCs w:val="24"/>
        </w:rPr>
        <w:t xml:space="preserve"> and low rates of inhibition may contribute to detection of </w:t>
      </w:r>
      <w:r w:rsidRPr="007D31A0">
        <w:rPr>
          <w:rFonts w:cstheme="minorHAnsi"/>
          <w:i/>
          <w:iCs/>
          <w:sz w:val="24"/>
          <w:szCs w:val="24"/>
        </w:rPr>
        <w:t>Chlamydia trachomatis</w:t>
      </w:r>
      <w:r w:rsidRPr="007D31A0">
        <w:rPr>
          <w:rFonts w:cstheme="minorHAnsi"/>
          <w:sz w:val="24"/>
          <w:szCs w:val="24"/>
        </w:rPr>
        <w:t xml:space="preserve"> in significantly more women by the APTIMA Combo 2 assay. J Clin </w:t>
      </w:r>
      <w:proofErr w:type="spellStart"/>
      <w:r w:rsidRPr="007D31A0">
        <w:rPr>
          <w:rFonts w:cstheme="minorHAnsi"/>
          <w:sz w:val="24"/>
          <w:szCs w:val="24"/>
        </w:rPr>
        <w:t>Microbiol</w:t>
      </w:r>
      <w:proofErr w:type="spellEnd"/>
      <w:r w:rsidRPr="007D31A0">
        <w:rPr>
          <w:rFonts w:cstheme="minorHAnsi"/>
          <w:sz w:val="24"/>
          <w:szCs w:val="24"/>
        </w:rPr>
        <w:t xml:space="preserve"> 2006; 44:400–405.</w:t>
      </w:r>
    </w:p>
    <w:p w14:paraId="074D2BF5" w14:textId="77777777" w:rsidR="007D31A0" w:rsidRPr="007D31A0" w:rsidRDefault="007D31A0" w:rsidP="00886790">
      <w:pPr>
        <w:spacing w:after="0"/>
        <w:ind w:left="720" w:hanging="720"/>
        <w:rPr>
          <w:rFonts w:cstheme="minorHAnsi"/>
          <w:sz w:val="24"/>
          <w:szCs w:val="24"/>
        </w:rPr>
      </w:pPr>
      <w:r w:rsidRPr="007D31A0">
        <w:rPr>
          <w:rFonts w:cstheme="minorHAnsi"/>
          <w:sz w:val="24"/>
          <w:szCs w:val="24"/>
        </w:rPr>
        <w:t xml:space="preserve">22. Schachter J, Moncada J, </w:t>
      </w:r>
      <w:proofErr w:type="spellStart"/>
      <w:r w:rsidRPr="007D31A0">
        <w:rPr>
          <w:rFonts w:cstheme="minorHAnsi"/>
          <w:sz w:val="24"/>
          <w:szCs w:val="24"/>
        </w:rPr>
        <w:t>Liska</w:t>
      </w:r>
      <w:proofErr w:type="spellEnd"/>
      <w:r w:rsidRPr="007D31A0">
        <w:rPr>
          <w:rFonts w:cstheme="minorHAnsi"/>
          <w:sz w:val="24"/>
          <w:szCs w:val="24"/>
        </w:rPr>
        <w:t xml:space="preserve"> S, et al. Nucleic acid amplification tests in the diagnosis of chlamydial and gonococcal infections of the oropharynx and rectum in men who have sex with men. Sex </w:t>
      </w:r>
      <w:proofErr w:type="spellStart"/>
      <w:r w:rsidRPr="007D31A0">
        <w:rPr>
          <w:rFonts w:cstheme="minorHAnsi"/>
          <w:sz w:val="24"/>
          <w:szCs w:val="24"/>
        </w:rPr>
        <w:t>Transm</w:t>
      </w:r>
      <w:proofErr w:type="spellEnd"/>
      <w:r w:rsidRPr="007D31A0">
        <w:rPr>
          <w:rFonts w:cstheme="minorHAnsi"/>
          <w:sz w:val="24"/>
          <w:szCs w:val="24"/>
        </w:rPr>
        <w:t xml:space="preserve"> Dis 2008; 35:637–642.</w:t>
      </w:r>
    </w:p>
    <w:p w14:paraId="562477BD" w14:textId="77777777" w:rsidR="007D31A0" w:rsidRPr="007D31A0" w:rsidRDefault="007D31A0" w:rsidP="00886790">
      <w:pPr>
        <w:spacing w:after="0"/>
        <w:ind w:left="720" w:hanging="720"/>
        <w:rPr>
          <w:rFonts w:cstheme="minorHAnsi"/>
          <w:sz w:val="24"/>
          <w:szCs w:val="24"/>
        </w:rPr>
      </w:pPr>
      <w:r w:rsidRPr="007D31A0">
        <w:rPr>
          <w:rFonts w:cstheme="minorHAnsi"/>
          <w:sz w:val="24"/>
          <w:szCs w:val="24"/>
        </w:rPr>
        <w:t xml:space="preserve">23. Nye MB, </w:t>
      </w:r>
      <w:proofErr w:type="spellStart"/>
      <w:r w:rsidRPr="007D31A0">
        <w:rPr>
          <w:rFonts w:cstheme="minorHAnsi"/>
          <w:sz w:val="24"/>
          <w:szCs w:val="24"/>
        </w:rPr>
        <w:t>Schwebke</w:t>
      </w:r>
      <w:proofErr w:type="spellEnd"/>
      <w:r w:rsidRPr="007D31A0">
        <w:rPr>
          <w:rFonts w:cstheme="minorHAnsi"/>
          <w:sz w:val="24"/>
          <w:szCs w:val="24"/>
        </w:rPr>
        <w:t xml:space="preserve"> JR, Body BA. Comparison of APTIMA </w:t>
      </w:r>
      <w:r w:rsidRPr="007D31A0">
        <w:rPr>
          <w:rFonts w:cstheme="minorHAnsi"/>
          <w:i/>
          <w:iCs/>
          <w:sz w:val="24"/>
          <w:szCs w:val="24"/>
        </w:rPr>
        <w:t>Trichomonas vaginalis</w:t>
      </w:r>
      <w:r w:rsidRPr="007D31A0">
        <w:rPr>
          <w:rFonts w:cstheme="minorHAnsi"/>
          <w:sz w:val="24"/>
          <w:szCs w:val="24"/>
        </w:rPr>
        <w:t xml:space="preserve"> transcription-mediated amplification to wet mount microscopy, culture, and polymerase chain reaction for diagnosis of trichomoniasis in men and women. Am J </w:t>
      </w:r>
      <w:proofErr w:type="spellStart"/>
      <w:r w:rsidRPr="007D31A0">
        <w:rPr>
          <w:rFonts w:cstheme="minorHAnsi"/>
          <w:sz w:val="24"/>
          <w:szCs w:val="24"/>
        </w:rPr>
        <w:t>Obstet</w:t>
      </w:r>
      <w:proofErr w:type="spellEnd"/>
      <w:r w:rsidRPr="007D31A0">
        <w:rPr>
          <w:rFonts w:cstheme="minorHAnsi"/>
          <w:sz w:val="24"/>
          <w:szCs w:val="24"/>
        </w:rPr>
        <w:t xml:space="preserve"> </w:t>
      </w:r>
      <w:proofErr w:type="spellStart"/>
      <w:r w:rsidRPr="007D31A0">
        <w:rPr>
          <w:rFonts w:cstheme="minorHAnsi"/>
          <w:sz w:val="24"/>
          <w:szCs w:val="24"/>
        </w:rPr>
        <w:t>Gynecol</w:t>
      </w:r>
      <w:proofErr w:type="spellEnd"/>
      <w:r w:rsidRPr="007D31A0">
        <w:rPr>
          <w:rFonts w:cstheme="minorHAnsi"/>
          <w:sz w:val="24"/>
          <w:szCs w:val="24"/>
        </w:rPr>
        <w:t xml:space="preserve"> 2009; </w:t>
      </w:r>
      <w:proofErr w:type="gramStart"/>
      <w:r w:rsidRPr="007D31A0">
        <w:rPr>
          <w:rFonts w:cstheme="minorHAnsi"/>
          <w:sz w:val="24"/>
          <w:szCs w:val="24"/>
        </w:rPr>
        <w:t>200:188.e</w:t>
      </w:r>
      <w:proofErr w:type="gramEnd"/>
      <w:r w:rsidRPr="007D31A0">
        <w:rPr>
          <w:rFonts w:cstheme="minorHAnsi"/>
          <w:sz w:val="24"/>
          <w:szCs w:val="24"/>
        </w:rPr>
        <w:t>1–e7.</w:t>
      </w:r>
    </w:p>
    <w:p w14:paraId="4DE88840" w14:textId="719D7861" w:rsidR="007D31A0" w:rsidRPr="007D31A0" w:rsidRDefault="007D31A0" w:rsidP="00886790">
      <w:pPr>
        <w:spacing w:after="0"/>
        <w:ind w:left="720" w:hanging="720"/>
        <w:rPr>
          <w:rFonts w:cstheme="minorHAnsi"/>
          <w:sz w:val="24"/>
          <w:szCs w:val="24"/>
        </w:rPr>
      </w:pPr>
      <w:r w:rsidRPr="007D31A0">
        <w:rPr>
          <w:rFonts w:cstheme="minorHAnsi"/>
          <w:sz w:val="24"/>
          <w:szCs w:val="24"/>
        </w:rPr>
        <w:t>24. Francis SC, Kent CK, Klausner JD, et al. Prevalence of rectal </w:t>
      </w:r>
      <w:r w:rsidRPr="007D31A0">
        <w:rPr>
          <w:rFonts w:cstheme="minorHAnsi"/>
          <w:i/>
          <w:iCs/>
          <w:sz w:val="24"/>
          <w:szCs w:val="24"/>
        </w:rPr>
        <w:t>Trichomonas vaginalis</w:t>
      </w:r>
      <w:r w:rsidRPr="007D31A0">
        <w:rPr>
          <w:rFonts w:cstheme="minorHAnsi"/>
          <w:sz w:val="24"/>
          <w:szCs w:val="24"/>
        </w:rPr>
        <w:t> and </w:t>
      </w:r>
      <w:r w:rsidRPr="007D31A0">
        <w:rPr>
          <w:rFonts w:cstheme="minorHAnsi"/>
          <w:i/>
          <w:iCs/>
          <w:sz w:val="24"/>
          <w:szCs w:val="24"/>
        </w:rPr>
        <w:t xml:space="preserve">Mycoplasma </w:t>
      </w:r>
      <w:proofErr w:type="spellStart"/>
      <w:r w:rsidRPr="007D31A0">
        <w:rPr>
          <w:rFonts w:cstheme="minorHAnsi"/>
          <w:i/>
          <w:iCs/>
          <w:sz w:val="24"/>
          <w:szCs w:val="24"/>
        </w:rPr>
        <w:t>genitalium</w:t>
      </w:r>
      <w:proofErr w:type="spellEnd"/>
      <w:r w:rsidRPr="007D31A0">
        <w:rPr>
          <w:rFonts w:cstheme="minorHAnsi"/>
          <w:sz w:val="24"/>
          <w:szCs w:val="24"/>
        </w:rPr>
        <w:t xml:space="preserve"> in male patients at the San Francisco STD clinic, 2005–2006. Sex </w:t>
      </w:r>
      <w:proofErr w:type="spellStart"/>
      <w:r w:rsidRPr="007D31A0">
        <w:rPr>
          <w:rFonts w:cstheme="minorHAnsi"/>
          <w:sz w:val="24"/>
          <w:szCs w:val="24"/>
        </w:rPr>
        <w:t>Transm</w:t>
      </w:r>
      <w:proofErr w:type="spellEnd"/>
      <w:r w:rsidRPr="007D31A0">
        <w:rPr>
          <w:rFonts w:cstheme="minorHAnsi"/>
          <w:sz w:val="24"/>
          <w:szCs w:val="24"/>
        </w:rPr>
        <w:t xml:space="preserve"> Dis 2008; 35:797–800. </w:t>
      </w:r>
    </w:p>
    <w:p w14:paraId="6CBFE2E7" w14:textId="77777777" w:rsidR="007D31A0" w:rsidRPr="007D31A0" w:rsidRDefault="007D31A0" w:rsidP="00886790">
      <w:pPr>
        <w:spacing w:after="0"/>
        <w:ind w:left="720" w:hanging="720"/>
        <w:rPr>
          <w:rFonts w:cstheme="minorHAnsi"/>
          <w:sz w:val="24"/>
          <w:szCs w:val="24"/>
        </w:rPr>
      </w:pPr>
      <w:r w:rsidRPr="007D31A0">
        <w:rPr>
          <w:rFonts w:cstheme="minorHAnsi"/>
          <w:sz w:val="24"/>
          <w:szCs w:val="24"/>
        </w:rPr>
        <w:t xml:space="preserve">25. </w:t>
      </w:r>
      <w:proofErr w:type="spellStart"/>
      <w:r w:rsidRPr="007D31A0">
        <w:rPr>
          <w:rFonts w:cstheme="minorHAnsi"/>
          <w:sz w:val="24"/>
          <w:szCs w:val="24"/>
        </w:rPr>
        <w:t>Cosentino</w:t>
      </w:r>
      <w:proofErr w:type="spellEnd"/>
      <w:r w:rsidRPr="007D31A0">
        <w:rPr>
          <w:rFonts w:cstheme="minorHAnsi"/>
          <w:sz w:val="24"/>
          <w:szCs w:val="24"/>
        </w:rPr>
        <w:t xml:space="preserve"> LA, Campbell T, Jett A, et al. Use of nucleic acid amplification testing for diagnosis of anorectal sexually transmitted infections. J Clin </w:t>
      </w:r>
      <w:proofErr w:type="spellStart"/>
      <w:r w:rsidRPr="007D31A0">
        <w:rPr>
          <w:rFonts w:cstheme="minorHAnsi"/>
          <w:sz w:val="24"/>
          <w:szCs w:val="24"/>
        </w:rPr>
        <w:t>Microbiol</w:t>
      </w:r>
      <w:proofErr w:type="spellEnd"/>
      <w:r w:rsidRPr="007D31A0">
        <w:rPr>
          <w:rFonts w:cstheme="minorHAnsi"/>
          <w:sz w:val="24"/>
          <w:szCs w:val="24"/>
        </w:rPr>
        <w:t xml:space="preserve"> 2012; 50:2005–2008.</w:t>
      </w:r>
    </w:p>
    <w:p w14:paraId="4A241718" w14:textId="77777777" w:rsidR="007D31A0" w:rsidRPr="007D31A0" w:rsidRDefault="007D31A0" w:rsidP="00886790">
      <w:pPr>
        <w:spacing w:after="0"/>
        <w:ind w:left="720" w:hanging="720"/>
        <w:rPr>
          <w:rFonts w:cstheme="minorHAnsi"/>
          <w:sz w:val="24"/>
          <w:szCs w:val="24"/>
        </w:rPr>
      </w:pPr>
      <w:r w:rsidRPr="007D31A0">
        <w:rPr>
          <w:rFonts w:cstheme="minorHAnsi"/>
          <w:sz w:val="24"/>
          <w:szCs w:val="24"/>
        </w:rPr>
        <w:t xml:space="preserve">26. </w:t>
      </w:r>
      <w:proofErr w:type="spellStart"/>
      <w:r w:rsidRPr="007D31A0">
        <w:rPr>
          <w:rFonts w:cstheme="minorHAnsi"/>
          <w:sz w:val="24"/>
          <w:szCs w:val="24"/>
        </w:rPr>
        <w:t>Vuylsteke</w:t>
      </w:r>
      <w:proofErr w:type="spellEnd"/>
      <w:r w:rsidRPr="007D31A0">
        <w:rPr>
          <w:rFonts w:cstheme="minorHAnsi"/>
          <w:sz w:val="24"/>
          <w:szCs w:val="24"/>
        </w:rPr>
        <w:t xml:space="preserve"> B, </w:t>
      </w:r>
      <w:proofErr w:type="spellStart"/>
      <w:r w:rsidRPr="007D31A0">
        <w:rPr>
          <w:rFonts w:cstheme="minorHAnsi"/>
          <w:sz w:val="24"/>
          <w:szCs w:val="24"/>
        </w:rPr>
        <w:t>Semde</w:t>
      </w:r>
      <w:proofErr w:type="spellEnd"/>
      <w:r w:rsidRPr="007D31A0">
        <w:rPr>
          <w:rFonts w:cstheme="minorHAnsi"/>
          <w:sz w:val="24"/>
          <w:szCs w:val="24"/>
        </w:rPr>
        <w:t xml:space="preserve"> G, Sika L, et al. High prevalence of HIV and sexually transmitted infections among male sex workers in Abidjan, Cote d'Ivoire: Need for services tailored to their needs. Sex </w:t>
      </w:r>
      <w:proofErr w:type="spellStart"/>
      <w:r w:rsidRPr="007D31A0">
        <w:rPr>
          <w:rFonts w:cstheme="minorHAnsi"/>
          <w:sz w:val="24"/>
          <w:szCs w:val="24"/>
        </w:rPr>
        <w:t>Transm</w:t>
      </w:r>
      <w:proofErr w:type="spellEnd"/>
      <w:r w:rsidRPr="007D31A0">
        <w:rPr>
          <w:rFonts w:cstheme="minorHAnsi"/>
          <w:sz w:val="24"/>
          <w:szCs w:val="24"/>
        </w:rPr>
        <w:t xml:space="preserve"> Infect 2012; 88:288–293.</w:t>
      </w:r>
    </w:p>
    <w:p w14:paraId="046D6460" w14:textId="77777777" w:rsidR="007D31A0" w:rsidRPr="007D31A0" w:rsidRDefault="007D31A0" w:rsidP="00886790">
      <w:pPr>
        <w:spacing w:after="0"/>
        <w:ind w:left="720" w:hanging="720"/>
        <w:rPr>
          <w:rFonts w:cstheme="minorHAnsi"/>
          <w:sz w:val="24"/>
          <w:szCs w:val="24"/>
        </w:rPr>
      </w:pPr>
      <w:r w:rsidRPr="007D31A0">
        <w:rPr>
          <w:rFonts w:cstheme="minorHAnsi"/>
          <w:sz w:val="24"/>
          <w:szCs w:val="24"/>
        </w:rPr>
        <w:t>27. Hoffman CM, Fritz L, Radebe O, et al. Rectal </w:t>
      </w:r>
      <w:r w:rsidRPr="007D31A0">
        <w:rPr>
          <w:rFonts w:cstheme="minorHAnsi"/>
          <w:i/>
          <w:iCs/>
          <w:sz w:val="24"/>
          <w:szCs w:val="24"/>
        </w:rPr>
        <w:t>Trichomonas vaginalis</w:t>
      </w:r>
      <w:r w:rsidRPr="007D31A0">
        <w:rPr>
          <w:rFonts w:cstheme="minorHAnsi"/>
          <w:sz w:val="24"/>
          <w:szCs w:val="24"/>
        </w:rPr>
        <w:t> infection in south African men who have sex with men. Int J STD AIDS 2018; 29:1444–1447.</w:t>
      </w:r>
    </w:p>
    <w:p w14:paraId="300C3CB1" w14:textId="77777777" w:rsidR="007D31A0" w:rsidRPr="007D31A0" w:rsidRDefault="007D31A0" w:rsidP="00886790">
      <w:pPr>
        <w:spacing w:after="0"/>
        <w:ind w:left="720" w:hanging="720"/>
        <w:rPr>
          <w:rFonts w:cstheme="minorHAnsi"/>
          <w:sz w:val="24"/>
          <w:szCs w:val="24"/>
        </w:rPr>
      </w:pPr>
      <w:r w:rsidRPr="007D31A0">
        <w:rPr>
          <w:rFonts w:cstheme="minorHAnsi"/>
          <w:sz w:val="24"/>
          <w:szCs w:val="24"/>
        </w:rPr>
        <w:t xml:space="preserve">28. </w:t>
      </w:r>
      <w:proofErr w:type="spellStart"/>
      <w:r w:rsidRPr="007D31A0">
        <w:rPr>
          <w:rFonts w:cstheme="minorHAnsi"/>
          <w:sz w:val="24"/>
          <w:szCs w:val="24"/>
        </w:rPr>
        <w:t>Foschi</w:t>
      </w:r>
      <w:proofErr w:type="spellEnd"/>
      <w:r w:rsidRPr="007D31A0">
        <w:rPr>
          <w:rFonts w:cstheme="minorHAnsi"/>
          <w:sz w:val="24"/>
          <w:szCs w:val="24"/>
        </w:rPr>
        <w:t xml:space="preserve"> C, </w:t>
      </w:r>
      <w:proofErr w:type="spellStart"/>
      <w:r w:rsidRPr="007D31A0">
        <w:rPr>
          <w:rFonts w:cstheme="minorHAnsi"/>
          <w:sz w:val="24"/>
          <w:szCs w:val="24"/>
        </w:rPr>
        <w:t>Gaspari</w:t>
      </w:r>
      <w:proofErr w:type="spellEnd"/>
      <w:r w:rsidRPr="007D31A0">
        <w:rPr>
          <w:rFonts w:cstheme="minorHAnsi"/>
          <w:sz w:val="24"/>
          <w:szCs w:val="24"/>
        </w:rPr>
        <w:t xml:space="preserve"> V, </w:t>
      </w:r>
      <w:proofErr w:type="spellStart"/>
      <w:r w:rsidRPr="007D31A0">
        <w:rPr>
          <w:rFonts w:cstheme="minorHAnsi"/>
          <w:sz w:val="24"/>
          <w:szCs w:val="24"/>
        </w:rPr>
        <w:t>Sgubbi</w:t>
      </w:r>
      <w:proofErr w:type="spellEnd"/>
      <w:r w:rsidRPr="007D31A0">
        <w:rPr>
          <w:rFonts w:cstheme="minorHAnsi"/>
          <w:sz w:val="24"/>
          <w:szCs w:val="24"/>
        </w:rPr>
        <w:t xml:space="preserve"> P. Sexually transmitted rectal infections in a cohort of 'men having sex with men'. J Med </w:t>
      </w:r>
      <w:proofErr w:type="spellStart"/>
      <w:r w:rsidRPr="007D31A0">
        <w:rPr>
          <w:rFonts w:cstheme="minorHAnsi"/>
          <w:sz w:val="24"/>
          <w:szCs w:val="24"/>
        </w:rPr>
        <w:t>Microbiol</w:t>
      </w:r>
      <w:proofErr w:type="spellEnd"/>
      <w:r w:rsidRPr="007D31A0">
        <w:rPr>
          <w:rFonts w:cstheme="minorHAnsi"/>
          <w:sz w:val="24"/>
          <w:szCs w:val="24"/>
        </w:rPr>
        <w:t xml:space="preserve"> 2018; 67:1050–1057.</w:t>
      </w:r>
    </w:p>
    <w:p w14:paraId="473FF7AE" w14:textId="77777777" w:rsidR="007D31A0" w:rsidRPr="007D31A0" w:rsidRDefault="007D31A0" w:rsidP="00886790">
      <w:pPr>
        <w:spacing w:after="0"/>
        <w:ind w:left="720" w:hanging="720"/>
        <w:rPr>
          <w:rFonts w:cstheme="minorHAnsi"/>
          <w:sz w:val="24"/>
          <w:szCs w:val="24"/>
        </w:rPr>
      </w:pPr>
      <w:r w:rsidRPr="007D31A0">
        <w:rPr>
          <w:rFonts w:cstheme="minorHAnsi"/>
          <w:sz w:val="24"/>
          <w:szCs w:val="24"/>
        </w:rPr>
        <w:t xml:space="preserve">29. </w:t>
      </w:r>
      <w:proofErr w:type="spellStart"/>
      <w:r w:rsidRPr="007D31A0">
        <w:rPr>
          <w:rFonts w:cstheme="minorHAnsi"/>
          <w:sz w:val="24"/>
          <w:szCs w:val="24"/>
        </w:rPr>
        <w:t>Couldwell</w:t>
      </w:r>
      <w:proofErr w:type="spellEnd"/>
      <w:r w:rsidRPr="007D31A0">
        <w:rPr>
          <w:rFonts w:cstheme="minorHAnsi"/>
          <w:sz w:val="24"/>
          <w:szCs w:val="24"/>
        </w:rPr>
        <w:t xml:space="preserve"> DL, </w:t>
      </w:r>
      <w:proofErr w:type="spellStart"/>
      <w:r w:rsidRPr="007D31A0">
        <w:rPr>
          <w:rFonts w:cstheme="minorHAnsi"/>
          <w:sz w:val="24"/>
          <w:szCs w:val="24"/>
        </w:rPr>
        <w:t>Jalocon</w:t>
      </w:r>
      <w:proofErr w:type="spellEnd"/>
      <w:r w:rsidRPr="007D31A0">
        <w:rPr>
          <w:rFonts w:cstheme="minorHAnsi"/>
          <w:sz w:val="24"/>
          <w:szCs w:val="24"/>
        </w:rPr>
        <w:t xml:space="preserve"> D, Power M, et al. </w:t>
      </w:r>
      <w:r w:rsidRPr="007D31A0">
        <w:rPr>
          <w:rFonts w:cstheme="minorHAnsi"/>
          <w:i/>
          <w:iCs/>
          <w:sz w:val="24"/>
          <w:szCs w:val="24"/>
        </w:rPr>
        <w:t xml:space="preserve">Mycoplasma </w:t>
      </w:r>
      <w:proofErr w:type="spellStart"/>
      <w:r w:rsidRPr="007D31A0">
        <w:rPr>
          <w:rFonts w:cstheme="minorHAnsi"/>
          <w:i/>
          <w:iCs/>
          <w:sz w:val="24"/>
          <w:szCs w:val="24"/>
        </w:rPr>
        <w:t>genitalium</w:t>
      </w:r>
      <w:proofErr w:type="spellEnd"/>
      <w:r w:rsidRPr="007D31A0">
        <w:rPr>
          <w:rFonts w:cstheme="minorHAnsi"/>
          <w:sz w:val="24"/>
          <w:szCs w:val="24"/>
        </w:rPr>
        <w:t xml:space="preserve">: High prevalence of resistance to macrolides and frequent anorectal infection in men who have sex with men in western Sydney. Sex </w:t>
      </w:r>
      <w:proofErr w:type="spellStart"/>
      <w:r w:rsidRPr="007D31A0">
        <w:rPr>
          <w:rFonts w:cstheme="minorHAnsi"/>
          <w:sz w:val="24"/>
          <w:szCs w:val="24"/>
        </w:rPr>
        <w:t>Transm</w:t>
      </w:r>
      <w:proofErr w:type="spellEnd"/>
      <w:r w:rsidRPr="007D31A0">
        <w:rPr>
          <w:rFonts w:cstheme="minorHAnsi"/>
          <w:sz w:val="24"/>
          <w:szCs w:val="24"/>
        </w:rPr>
        <w:t xml:space="preserve"> Infect 2018; 94:406–410.</w:t>
      </w:r>
    </w:p>
    <w:p w14:paraId="7DF969E1" w14:textId="77777777" w:rsidR="007D31A0" w:rsidRPr="007D31A0" w:rsidRDefault="007D31A0" w:rsidP="00886790">
      <w:pPr>
        <w:spacing w:after="0"/>
        <w:ind w:left="720" w:hanging="720"/>
        <w:rPr>
          <w:rFonts w:cstheme="minorHAnsi"/>
          <w:sz w:val="24"/>
          <w:szCs w:val="24"/>
        </w:rPr>
      </w:pPr>
      <w:r w:rsidRPr="007D31A0">
        <w:rPr>
          <w:rFonts w:cstheme="minorHAnsi"/>
          <w:sz w:val="24"/>
          <w:szCs w:val="24"/>
        </w:rPr>
        <w:t>30. Dionne-Odom J, Geisler WM, Aaron KJ, et al. High prevalence of multidrug-resistant </w:t>
      </w:r>
      <w:r w:rsidRPr="007D31A0">
        <w:rPr>
          <w:rFonts w:cstheme="minorHAnsi"/>
          <w:i/>
          <w:iCs/>
          <w:sz w:val="24"/>
          <w:szCs w:val="24"/>
        </w:rPr>
        <w:t xml:space="preserve">Mycoplasma </w:t>
      </w:r>
      <w:proofErr w:type="spellStart"/>
      <w:r w:rsidRPr="007D31A0">
        <w:rPr>
          <w:rFonts w:cstheme="minorHAnsi"/>
          <w:i/>
          <w:iCs/>
          <w:sz w:val="24"/>
          <w:szCs w:val="24"/>
        </w:rPr>
        <w:t>genitalium</w:t>
      </w:r>
      <w:proofErr w:type="spellEnd"/>
      <w:r w:rsidRPr="007D31A0">
        <w:rPr>
          <w:rFonts w:cstheme="minorHAnsi"/>
          <w:sz w:val="24"/>
          <w:szCs w:val="24"/>
        </w:rPr>
        <w:t> in human immunodeficiency virus–infected men who have sex with men in Alabama. Clin Infect Dis 2018; 66:796–798.</w:t>
      </w:r>
    </w:p>
    <w:p w14:paraId="16B6CE2C" w14:textId="77777777" w:rsidR="00414591" w:rsidRPr="007D31A0" w:rsidRDefault="00414591" w:rsidP="000A7622">
      <w:pPr>
        <w:rPr>
          <w:rFonts w:cstheme="minorHAnsi"/>
          <w:sz w:val="24"/>
          <w:szCs w:val="24"/>
        </w:rPr>
      </w:pPr>
    </w:p>
    <w:sectPr w:rsidR="00414591" w:rsidRPr="007D31A0"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A204A"/>
    <w:multiLevelType w:val="multilevel"/>
    <w:tmpl w:val="E3328FF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E478C2"/>
    <w:multiLevelType w:val="multilevel"/>
    <w:tmpl w:val="E49A8AF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A844F8"/>
    <w:multiLevelType w:val="multilevel"/>
    <w:tmpl w:val="4F02539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860EE2"/>
    <w:multiLevelType w:val="multilevel"/>
    <w:tmpl w:val="63FE9E5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1C322B"/>
    <w:multiLevelType w:val="multilevel"/>
    <w:tmpl w:val="9B8E06E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0B78C3"/>
    <w:multiLevelType w:val="multilevel"/>
    <w:tmpl w:val="653C4E3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8A594D"/>
    <w:multiLevelType w:val="multilevel"/>
    <w:tmpl w:val="2D964F6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CE016D"/>
    <w:multiLevelType w:val="multilevel"/>
    <w:tmpl w:val="A0FC64C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DFE2C08"/>
    <w:multiLevelType w:val="multilevel"/>
    <w:tmpl w:val="F7A8AE1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2029E5"/>
    <w:multiLevelType w:val="multilevel"/>
    <w:tmpl w:val="D072299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94F4401"/>
    <w:multiLevelType w:val="multilevel"/>
    <w:tmpl w:val="2556D2A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08267C"/>
    <w:multiLevelType w:val="multilevel"/>
    <w:tmpl w:val="217871C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7CC1D02"/>
    <w:multiLevelType w:val="multilevel"/>
    <w:tmpl w:val="19647AA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C883D65"/>
    <w:multiLevelType w:val="multilevel"/>
    <w:tmpl w:val="1DDE53C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EB837F8"/>
    <w:multiLevelType w:val="multilevel"/>
    <w:tmpl w:val="E69A46B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1F78FC"/>
    <w:multiLevelType w:val="multilevel"/>
    <w:tmpl w:val="8200C59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4AB6546"/>
    <w:multiLevelType w:val="multilevel"/>
    <w:tmpl w:val="E774EB1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B0C1552"/>
    <w:multiLevelType w:val="multilevel"/>
    <w:tmpl w:val="40FEA23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D3B5B4B"/>
    <w:multiLevelType w:val="multilevel"/>
    <w:tmpl w:val="27346C6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1390A2F"/>
    <w:multiLevelType w:val="multilevel"/>
    <w:tmpl w:val="9E54984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822390D"/>
    <w:multiLevelType w:val="multilevel"/>
    <w:tmpl w:val="B17C7F0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8427AE6"/>
    <w:multiLevelType w:val="multilevel"/>
    <w:tmpl w:val="387402E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855453E"/>
    <w:multiLevelType w:val="multilevel"/>
    <w:tmpl w:val="5164F7B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8A253CB"/>
    <w:multiLevelType w:val="multilevel"/>
    <w:tmpl w:val="D572234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AF33173"/>
    <w:multiLevelType w:val="multilevel"/>
    <w:tmpl w:val="A5067ED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C4B543E"/>
    <w:multiLevelType w:val="multilevel"/>
    <w:tmpl w:val="2E7A5BF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E5865CA"/>
    <w:multiLevelType w:val="multilevel"/>
    <w:tmpl w:val="AB68675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0914CDB"/>
    <w:multiLevelType w:val="multilevel"/>
    <w:tmpl w:val="72C430C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9DD6E5E"/>
    <w:multiLevelType w:val="multilevel"/>
    <w:tmpl w:val="BC4AEF5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E381156"/>
    <w:multiLevelType w:val="multilevel"/>
    <w:tmpl w:val="67E0944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F815DFF"/>
    <w:multiLevelType w:val="multilevel"/>
    <w:tmpl w:val="93F2115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1586375195">
    <w:abstractNumId w:val="19"/>
  </w:num>
  <w:num w:numId="2" w16cid:durableId="104157419">
    <w:abstractNumId w:val="30"/>
  </w:num>
  <w:num w:numId="3" w16cid:durableId="110365912">
    <w:abstractNumId w:val="11"/>
  </w:num>
  <w:num w:numId="4" w16cid:durableId="1633709423">
    <w:abstractNumId w:val="14"/>
  </w:num>
  <w:num w:numId="5" w16cid:durableId="70467415">
    <w:abstractNumId w:val="28"/>
  </w:num>
  <w:num w:numId="6" w16cid:durableId="1050568724">
    <w:abstractNumId w:val="7"/>
  </w:num>
  <w:num w:numId="7" w16cid:durableId="36585583">
    <w:abstractNumId w:val="5"/>
  </w:num>
  <w:num w:numId="8" w16cid:durableId="756437485">
    <w:abstractNumId w:val="26"/>
  </w:num>
  <w:num w:numId="9" w16cid:durableId="986519222">
    <w:abstractNumId w:val="3"/>
  </w:num>
  <w:num w:numId="10" w16cid:durableId="1813983963">
    <w:abstractNumId w:val="1"/>
  </w:num>
  <w:num w:numId="11" w16cid:durableId="1028289746">
    <w:abstractNumId w:val="24"/>
  </w:num>
  <w:num w:numId="12" w16cid:durableId="1985425901">
    <w:abstractNumId w:val="13"/>
  </w:num>
  <w:num w:numId="13" w16cid:durableId="557522362">
    <w:abstractNumId w:val="27"/>
  </w:num>
  <w:num w:numId="14" w16cid:durableId="531841053">
    <w:abstractNumId w:val="12"/>
  </w:num>
  <w:num w:numId="15" w16cid:durableId="1497384965">
    <w:abstractNumId w:val="15"/>
  </w:num>
  <w:num w:numId="16" w16cid:durableId="630015412">
    <w:abstractNumId w:val="9"/>
  </w:num>
  <w:num w:numId="17" w16cid:durableId="1529877226">
    <w:abstractNumId w:val="21"/>
  </w:num>
  <w:num w:numId="18" w16cid:durableId="1485854915">
    <w:abstractNumId w:val="25"/>
  </w:num>
  <w:num w:numId="19" w16cid:durableId="2028485489">
    <w:abstractNumId w:val="10"/>
  </w:num>
  <w:num w:numId="20" w16cid:durableId="803542282">
    <w:abstractNumId w:val="8"/>
  </w:num>
  <w:num w:numId="21" w16cid:durableId="1706519071">
    <w:abstractNumId w:val="23"/>
  </w:num>
  <w:num w:numId="22" w16cid:durableId="2027704887">
    <w:abstractNumId w:val="18"/>
  </w:num>
  <w:num w:numId="23" w16cid:durableId="1584299743">
    <w:abstractNumId w:val="17"/>
  </w:num>
  <w:num w:numId="24" w16cid:durableId="2025813693">
    <w:abstractNumId w:val="6"/>
  </w:num>
  <w:num w:numId="25" w16cid:durableId="1958443136">
    <w:abstractNumId w:val="0"/>
  </w:num>
  <w:num w:numId="26" w16cid:durableId="369846345">
    <w:abstractNumId w:val="2"/>
  </w:num>
  <w:num w:numId="27" w16cid:durableId="273100158">
    <w:abstractNumId w:val="16"/>
  </w:num>
  <w:num w:numId="28" w16cid:durableId="1707371994">
    <w:abstractNumId w:val="20"/>
  </w:num>
  <w:num w:numId="29" w16cid:durableId="386607562">
    <w:abstractNumId w:val="4"/>
  </w:num>
  <w:num w:numId="30" w16cid:durableId="1970823303">
    <w:abstractNumId w:val="29"/>
  </w:num>
  <w:num w:numId="31" w16cid:durableId="14831101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ZO10QC+ZcqhEjguPvkITaYBQvWKpr9siSjnVv/jFZkQWjPJhFpcPf/NPFJrPPXpxwrgiiBftSX5U4s3eot39aQ==" w:salt="ka0EMKEnQ6smutr3L8Snu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1D91"/>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87E4C"/>
    <w:rsid w:val="0079146B"/>
    <w:rsid w:val="00791DD5"/>
    <w:rsid w:val="00796875"/>
    <w:rsid w:val="0079756E"/>
    <w:rsid w:val="007A1233"/>
    <w:rsid w:val="007A258F"/>
    <w:rsid w:val="007A3B3A"/>
    <w:rsid w:val="007B0BBA"/>
    <w:rsid w:val="007B5122"/>
    <w:rsid w:val="007C16F7"/>
    <w:rsid w:val="007D25DB"/>
    <w:rsid w:val="007D31A0"/>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5C01"/>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790"/>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4CE1"/>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9481C"/>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238"/>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C01"/>
  </w:style>
  <w:style w:type="paragraph" w:styleId="Heading1">
    <w:name w:val="heading 1"/>
    <w:basedOn w:val="Normal"/>
    <w:next w:val="Normal"/>
    <w:link w:val="Heading1Char"/>
    <w:uiPriority w:val="9"/>
    <w:qFormat/>
    <w:rsid w:val="00835C0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835C0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835C0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835C01"/>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835C01"/>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835C01"/>
    <w:pPr>
      <w:keepNext/>
      <w:keepLines/>
      <w:spacing w:before="40" w:after="0"/>
      <w:outlineLvl w:val="5"/>
    </w:pPr>
  </w:style>
  <w:style w:type="paragraph" w:styleId="Heading7">
    <w:name w:val="heading 7"/>
    <w:basedOn w:val="Normal"/>
    <w:next w:val="Normal"/>
    <w:link w:val="Heading7Char"/>
    <w:uiPriority w:val="9"/>
    <w:semiHidden/>
    <w:unhideWhenUsed/>
    <w:qFormat/>
    <w:rsid w:val="00835C0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35C01"/>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835C0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5C0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835C0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835C0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835C01"/>
    <w:rPr>
      <w:i/>
      <w:iCs/>
    </w:rPr>
  </w:style>
  <w:style w:type="character" w:customStyle="1" w:styleId="Heading5Char">
    <w:name w:val="Heading 5 Char"/>
    <w:basedOn w:val="DefaultParagraphFont"/>
    <w:link w:val="Heading5"/>
    <w:uiPriority w:val="9"/>
    <w:semiHidden/>
    <w:rsid w:val="00835C01"/>
    <w:rPr>
      <w:color w:val="404040" w:themeColor="text1" w:themeTint="BF"/>
    </w:rPr>
  </w:style>
  <w:style w:type="character" w:customStyle="1" w:styleId="Heading6Char">
    <w:name w:val="Heading 6 Char"/>
    <w:basedOn w:val="DefaultParagraphFont"/>
    <w:link w:val="Heading6"/>
    <w:uiPriority w:val="9"/>
    <w:semiHidden/>
    <w:rsid w:val="00835C01"/>
  </w:style>
  <w:style w:type="character" w:customStyle="1" w:styleId="Heading7Char">
    <w:name w:val="Heading 7 Char"/>
    <w:basedOn w:val="DefaultParagraphFont"/>
    <w:link w:val="Heading7"/>
    <w:uiPriority w:val="9"/>
    <w:semiHidden/>
    <w:rsid w:val="00835C0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35C01"/>
    <w:rPr>
      <w:color w:val="262626" w:themeColor="text1" w:themeTint="D9"/>
      <w:sz w:val="21"/>
      <w:szCs w:val="21"/>
    </w:rPr>
  </w:style>
  <w:style w:type="character" w:customStyle="1" w:styleId="Heading9Char">
    <w:name w:val="Heading 9 Char"/>
    <w:basedOn w:val="DefaultParagraphFont"/>
    <w:link w:val="Heading9"/>
    <w:uiPriority w:val="9"/>
    <w:semiHidden/>
    <w:rsid w:val="00835C0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35C0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835C0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835C0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835C0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35C01"/>
    <w:rPr>
      <w:color w:val="5A5A5A" w:themeColor="text1" w:themeTint="A5"/>
      <w:spacing w:val="15"/>
    </w:rPr>
  </w:style>
  <w:style w:type="character" w:styleId="Strong">
    <w:name w:val="Strong"/>
    <w:basedOn w:val="DefaultParagraphFont"/>
    <w:uiPriority w:val="22"/>
    <w:qFormat/>
    <w:rsid w:val="00835C01"/>
    <w:rPr>
      <w:b/>
      <w:bCs/>
      <w:color w:val="auto"/>
    </w:rPr>
  </w:style>
  <w:style w:type="character" w:styleId="Emphasis">
    <w:name w:val="Emphasis"/>
    <w:basedOn w:val="DefaultParagraphFont"/>
    <w:uiPriority w:val="20"/>
    <w:qFormat/>
    <w:rsid w:val="00835C01"/>
    <w:rPr>
      <w:i/>
      <w:iCs/>
      <w:color w:val="auto"/>
    </w:rPr>
  </w:style>
  <w:style w:type="paragraph" w:styleId="NoSpacing">
    <w:name w:val="No Spacing"/>
    <w:uiPriority w:val="1"/>
    <w:qFormat/>
    <w:rsid w:val="00835C0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835C0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35C01"/>
    <w:rPr>
      <w:i/>
      <w:iCs/>
      <w:color w:val="404040" w:themeColor="text1" w:themeTint="BF"/>
    </w:rPr>
  </w:style>
  <w:style w:type="paragraph" w:styleId="IntenseQuote">
    <w:name w:val="Intense Quote"/>
    <w:basedOn w:val="Normal"/>
    <w:next w:val="Normal"/>
    <w:link w:val="IntenseQuoteChar"/>
    <w:uiPriority w:val="30"/>
    <w:qFormat/>
    <w:rsid w:val="00835C0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35C01"/>
    <w:rPr>
      <w:i/>
      <w:iCs/>
      <w:color w:val="404040" w:themeColor="text1" w:themeTint="BF"/>
    </w:rPr>
  </w:style>
  <w:style w:type="character" w:styleId="SubtleEmphasis">
    <w:name w:val="Subtle Emphasis"/>
    <w:basedOn w:val="DefaultParagraphFont"/>
    <w:uiPriority w:val="19"/>
    <w:qFormat/>
    <w:rsid w:val="00835C01"/>
    <w:rPr>
      <w:i/>
      <w:iCs/>
      <w:color w:val="404040" w:themeColor="text1" w:themeTint="BF"/>
    </w:rPr>
  </w:style>
  <w:style w:type="character" w:styleId="IntenseEmphasis">
    <w:name w:val="Intense Emphasis"/>
    <w:basedOn w:val="DefaultParagraphFont"/>
    <w:uiPriority w:val="21"/>
    <w:qFormat/>
    <w:rsid w:val="00835C01"/>
    <w:rPr>
      <w:b/>
      <w:bCs/>
      <w:i/>
      <w:iCs/>
      <w:color w:val="auto"/>
    </w:rPr>
  </w:style>
  <w:style w:type="character" w:styleId="SubtleReference">
    <w:name w:val="Subtle Reference"/>
    <w:basedOn w:val="DefaultParagraphFont"/>
    <w:uiPriority w:val="31"/>
    <w:qFormat/>
    <w:rsid w:val="00835C01"/>
    <w:rPr>
      <w:smallCaps/>
      <w:color w:val="404040" w:themeColor="text1" w:themeTint="BF"/>
    </w:rPr>
  </w:style>
  <w:style w:type="character" w:styleId="IntenseReference">
    <w:name w:val="Intense Reference"/>
    <w:basedOn w:val="DefaultParagraphFont"/>
    <w:uiPriority w:val="32"/>
    <w:qFormat/>
    <w:rsid w:val="00835C01"/>
    <w:rPr>
      <w:b/>
      <w:bCs/>
      <w:smallCaps/>
      <w:color w:val="404040" w:themeColor="text1" w:themeTint="BF"/>
      <w:spacing w:val="5"/>
    </w:rPr>
  </w:style>
  <w:style w:type="character" w:styleId="BookTitle">
    <w:name w:val="Book Title"/>
    <w:basedOn w:val="DefaultParagraphFont"/>
    <w:uiPriority w:val="33"/>
    <w:qFormat/>
    <w:rsid w:val="00835C01"/>
    <w:rPr>
      <w:b/>
      <w:bCs/>
      <w:i/>
      <w:iCs/>
      <w:spacing w:val="5"/>
    </w:rPr>
  </w:style>
  <w:style w:type="paragraph" w:styleId="TOCHeading">
    <w:name w:val="TOC Heading"/>
    <w:basedOn w:val="Heading1"/>
    <w:next w:val="Normal"/>
    <w:uiPriority w:val="39"/>
    <w:semiHidden/>
    <w:unhideWhenUsed/>
    <w:qFormat/>
    <w:rsid w:val="00835C0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7D31A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7D31A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D31A0"/>
    <w:rPr>
      <w:color w:val="0000FF"/>
      <w:u w:val="single"/>
    </w:rPr>
  </w:style>
  <w:style w:type="character" w:styleId="FollowedHyperlink">
    <w:name w:val="FollowedHyperlink"/>
    <w:basedOn w:val="DefaultParagraphFont"/>
    <w:uiPriority w:val="99"/>
    <w:semiHidden/>
    <w:unhideWhenUsed/>
    <w:rsid w:val="007D31A0"/>
    <w:rPr>
      <w:color w:val="800080"/>
      <w:u w:val="single"/>
    </w:rPr>
  </w:style>
  <w:style w:type="paragraph" w:customStyle="1" w:styleId="ejp-article-indicatorslist-item">
    <w:name w:val="ejp-article-indicators__list-item"/>
    <w:basedOn w:val="Normal"/>
    <w:rsid w:val="007D31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p-article-indicatorstext">
    <w:name w:val="ejp-article-indicators__text"/>
    <w:basedOn w:val="DefaultParagraphFont"/>
    <w:rsid w:val="007D31A0"/>
  </w:style>
  <w:style w:type="paragraph" w:customStyle="1" w:styleId="internal-links">
    <w:name w:val="internal-links"/>
    <w:basedOn w:val="Normal"/>
    <w:rsid w:val="007D31A0"/>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7D31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0653794">
      <w:bodyDiv w:val="1"/>
      <w:marLeft w:val="0"/>
      <w:marRight w:val="0"/>
      <w:marTop w:val="0"/>
      <w:marBottom w:val="0"/>
      <w:divBdr>
        <w:top w:val="none" w:sz="0" w:space="0" w:color="auto"/>
        <w:left w:val="none" w:sz="0" w:space="0" w:color="auto"/>
        <w:bottom w:val="none" w:sz="0" w:space="0" w:color="auto"/>
        <w:right w:val="none" w:sz="0" w:space="0" w:color="auto"/>
      </w:divBdr>
      <w:divsChild>
        <w:div w:id="739443908">
          <w:marLeft w:val="0"/>
          <w:marRight w:val="0"/>
          <w:marTop w:val="0"/>
          <w:marBottom w:val="0"/>
          <w:divBdr>
            <w:top w:val="single" w:sz="6" w:space="0" w:color="B3B2B2"/>
            <w:left w:val="none" w:sz="0" w:space="0" w:color="auto"/>
            <w:bottom w:val="none" w:sz="0" w:space="0" w:color="auto"/>
            <w:right w:val="none" w:sz="0" w:space="0" w:color="auto"/>
          </w:divBdr>
        </w:div>
        <w:div w:id="1303002326">
          <w:marLeft w:val="0"/>
          <w:marRight w:val="0"/>
          <w:marTop w:val="0"/>
          <w:marBottom w:val="0"/>
          <w:divBdr>
            <w:top w:val="none" w:sz="0" w:space="0" w:color="auto"/>
            <w:left w:val="none" w:sz="0" w:space="0" w:color="auto"/>
            <w:bottom w:val="none" w:sz="0" w:space="0" w:color="auto"/>
            <w:right w:val="none" w:sz="0" w:space="0" w:color="auto"/>
          </w:divBdr>
        </w:div>
        <w:div w:id="104932203">
          <w:marLeft w:val="0"/>
          <w:marRight w:val="0"/>
          <w:marTop w:val="0"/>
          <w:marBottom w:val="0"/>
          <w:divBdr>
            <w:top w:val="none" w:sz="0" w:space="0" w:color="auto"/>
            <w:left w:val="none" w:sz="0" w:space="0" w:color="auto"/>
            <w:bottom w:val="none" w:sz="0" w:space="0" w:color="auto"/>
            <w:right w:val="none" w:sz="0" w:space="0" w:color="auto"/>
          </w:divBdr>
        </w:div>
        <w:div w:id="451369275">
          <w:marLeft w:val="0"/>
          <w:marRight w:val="0"/>
          <w:marTop w:val="0"/>
          <w:marBottom w:val="0"/>
          <w:divBdr>
            <w:top w:val="none" w:sz="0" w:space="0" w:color="auto"/>
            <w:left w:val="none" w:sz="0" w:space="0" w:color="auto"/>
            <w:bottom w:val="single" w:sz="6" w:space="0" w:color="808080"/>
            <w:right w:val="none" w:sz="0" w:space="0" w:color="auto"/>
          </w:divBdr>
        </w:div>
        <w:div w:id="1850557256">
          <w:marLeft w:val="0"/>
          <w:marRight w:val="0"/>
          <w:marTop w:val="0"/>
          <w:marBottom w:val="0"/>
          <w:divBdr>
            <w:top w:val="none" w:sz="0" w:space="0" w:color="auto"/>
            <w:left w:val="none" w:sz="0" w:space="0" w:color="auto"/>
            <w:bottom w:val="none" w:sz="0" w:space="0" w:color="auto"/>
            <w:right w:val="none" w:sz="0" w:space="0" w:color="auto"/>
          </w:divBdr>
          <w:divsChild>
            <w:div w:id="1362707981">
              <w:marLeft w:val="0"/>
              <w:marRight w:val="0"/>
              <w:marTop w:val="0"/>
              <w:marBottom w:val="0"/>
              <w:divBdr>
                <w:top w:val="none" w:sz="0" w:space="0" w:color="auto"/>
                <w:left w:val="none" w:sz="0" w:space="0" w:color="auto"/>
                <w:bottom w:val="none" w:sz="0" w:space="0" w:color="auto"/>
                <w:right w:val="none" w:sz="0" w:space="0" w:color="auto"/>
              </w:divBdr>
            </w:div>
          </w:divsChild>
        </w:div>
        <w:div w:id="993414945">
          <w:marLeft w:val="0"/>
          <w:marRight w:val="0"/>
          <w:marTop w:val="0"/>
          <w:marBottom w:val="0"/>
          <w:divBdr>
            <w:top w:val="none" w:sz="0" w:space="0" w:color="auto"/>
            <w:left w:val="none" w:sz="0" w:space="0" w:color="auto"/>
            <w:bottom w:val="none" w:sz="0" w:space="0" w:color="auto"/>
            <w:right w:val="none" w:sz="0" w:space="0" w:color="auto"/>
          </w:divBdr>
          <w:divsChild>
            <w:div w:id="1663121007">
              <w:marLeft w:val="0"/>
              <w:marRight w:val="0"/>
              <w:marTop w:val="0"/>
              <w:marBottom w:val="0"/>
              <w:divBdr>
                <w:top w:val="none" w:sz="0" w:space="0" w:color="auto"/>
                <w:left w:val="none" w:sz="0" w:space="0" w:color="auto"/>
                <w:bottom w:val="none" w:sz="0" w:space="0" w:color="auto"/>
                <w:right w:val="none" w:sz="0" w:space="0" w:color="auto"/>
              </w:divBdr>
              <w:divsChild>
                <w:div w:id="427696360">
                  <w:marLeft w:val="0"/>
                  <w:marRight w:val="0"/>
                  <w:marTop w:val="0"/>
                  <w:marBottom w:val="0"/>
                  <w:divBdr>
                    <w:top w:val="none" w:sz="0" w:space="0" w:color="auto"/>
                    <w:left w:val="none" w:sz="0" w:space="0" w:color="auto"/>
                    <w:bottom w:val="none" w:sz="0" w:space="0" w:color="auto"/>
                    <w:right w:val="none" w:sz="0" w:space="0" w:color="auto"/>
                  </w:divBdr>
                  <w:divsChild>
                    <w:div w:id="100378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829433">
              <w:marLeft w:val="0"/>
              <w:marRight w:val="0"/>
              <w:marTop w:val="0"/>
              <w:marBottom w:val="0"/>
              <w:divBdr>
                <w:top w:val="none" w:sz="0" w:space="0" w:color="auto"/>
                <w:left w:val="none" w:sz="0" w:space="0" w:color="auto"/>
                <w:bottom w:val="none" w:sz="0" w:space="0" w:color="auto"/>
                <w:right w:val="none" w:sz="0" w:space="0" w:color="auto"/>
              </w:divBdr>
            </w:div>
            <w:div w:id="707798105">
              <w:marLeft w:val="0"/>
              <w:marRight w:val="0"/>
              <w:marTop w:val="0"/>
              <w:marBottom w:val="0"/>
              <w:divBdr>
                <w:top w:val="none" w:sz="0" w:space="0" w:color="auto"/>
                <w:left w:val="none" w:sz="0" w:space="0" w:color="auto"/>
                <w:bottom w:val="none" w:sz="0" w:space="0" w:color="auto"/>
                <w:right w:val="none" w:sz="0" w:space="0" w:color="auto"/>
              </w:divBdr>
            </w:div>
            <w:div w:id="1095977010">
              <w:marLeft w:val="0"/>
              <w:marRight w:val="0"/>
              <w:marTop w:val="0"/>
              <w:marBottom w:val="0"/>
              <w:divBdr>
                <w:top w:val="none" w:sz="0" w:space="0" w:color="auto"/>
                <w:left w:val="none" w:sz="0" w:space="0" w:color="auto"/>
                <w:bottom w:val="none" w:sz="0" w:space="0" w:color="auto"/>
                <w:right w:val="none" w:sz="0" w:space="0" w:color="auto"/>
              </w:divBdr>
              <w:divsChild>
                <w:div w:id="923488263">
                  <w:marLeft w:val="0"/>
                  <w:marRight w:val="0"/>
                  <w:marTop w:val="0"/>
                  <w:marBottom w:val="0"/>
                  <w:divBdr>
                    <w:top w:val="none" w:sz="0" w:space="0" w:color="auto"/>
                    <w:left w:val="none" w:sz="0" w:space="0" w:color="auto"/>
                    <w:bottom w:val="none" w:sz="0" w:space="0" w:color="auto"/>
                    <w:right w:val="none" w:sz="0" w:space="0" w:color="auto"/>
                  </w:divBdr>
                </w:div>
              </w:divsChild>
            </w:div>
            <w:div w:id="502280164">
              <w:marLeft w:val="0"/>
              <w:marRight w:val="0"/>
              <w:marTop w:val="0"/>
              <w:marBottom w:val="0"/>
              <w:divBdr>
                <w:top w:val="none" w:sz="0" w:space="0" w:color="auto"/>
                <w:left w:val="none" w:sz="0" w:space="0" w:color="auto"/>
                <w:bottom w:val="none" w:sz="0" w:space="0" w:color="auto"/>
                <w:right w:val="none" w:sz="0" w:space="0" w:color="auto"/>
              </w:divBdr>
              <w:divsChild>
                <w:div w:id="1703819919">
                  <w:marLeft w:val="0"/>
                  <w:marRight w:val="0"/>
                  <w:marTop w:val="0"/>
                  <w:marBottom w:val="0"/>
                  <w:divBdr>
                    <w:top w:val="none" w:sz="0" w:space="0" w:color="auto"/>
                    <w:left w:val="none" w:sz="0" w:space="0" w:color="auto"/>
                    <w:bottom w:val="none" w:sz="0" w:space="0" w:color="auto"/>
                    <w:right w:val="none" w:sz="0" w:space="0" w:color="auto"/>
                  </w:divBdr>
                </w:div>
              </w:divsChild>
            </w:div>
            <w:div w:id="1123580102">
              <w:marLeft w:val="0"/>
              <w:marRight w:val="0"/>
              <w:marTop w:val="0"/>
              <w:marBottom w:val="0"/>
              <w:divBdr>
                <w:top w:val="none" w:sz="0" w:space="0" w:color="auto"/>
                <w:left w:val="none" w:sz="0" w:space="0" w:color="auto"/>
                <w:bottom w:val="none" w:sz="0" w:space="0" w:color="auto"/>
                <w:right w:val="none" w:sz="0" w:space="0" w:color="auto"/>
              </w:divBdr>
              <w:divsChild>
                <w:div w:id="1395468349">
                  <w:marLeft w:val="0"/>
                  <w:marRight w:val="0"/>
                  <w:marTop w:val="0"/>
                  <w:marBottom w:val="0"/>
                  <w:divBdr>
                    <w:top w:val="none" w:sz="0" w:space="0" w:color="auto"/>
                    <w:left w:val="none" w:sz="0" w:space="0" w:color="auto"/>
                    <w:bottom w:val="none" w:sz="0" w:space="0" w:color="auto"/>
                    <w:right w:val="none" w:sz="0" w:space="0" w:color="auto"/>
                  </w:divBdr>
                  <w:divsChild>
                    <w:div w:id="93212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990267">
              <w:marLeft w:val="0"/>
              <w:marRight w:val="0"/>
              <w:marTop w:val="0"/>
              <w:marBottom w:val="0"/>
              <w:divBdr>
                <w:top w:val="none" w:sz="0" w:space="0" w:color="auto"/>
                <w:left w:val="none" w:sz="0" w:space="0" w:color="auto"/>
                <w:bottom w:val="none" w:sz="0" w:space="0" w:color="auto"/>
                <w:right w:val="none" w:sz="0" w:space="0" w:color="auto"/>
              </w:divBdr>
              <w:divsChild>
                <w:div w:id="2143035942">
                  <w:marLeft w:val="0"/>
                  <w:marRight w:val="0"/>
                  <w:marTop w:val="0"/>
                  <w:marBottom w:val="0"/>
                  <w:divBdr>
                    <w:top w:val="none" w:sz="0" w:space="0" w:color="auto"/>
                    <w:left w:val="none" w:sz="0" w:space="0" w:color="auto"/>
                    <w:bottom w:val="none" w:sz="0" w:space="0" w:color="auto"/>
                    <w:right w:val="none" w:sz="0" w:space="0" w:color="auto"/>
                  </w:divBdr>
                </w:div>
              </w:divsChild>
            </w:div>
            <w:div w:id="692653247">
              <w:marLeft w:val="0"/>
              <w:marRight w:val="0"/>
              <w:marTop w:val="0"/>
              <w:marBottom w:val="0"/>
              <w:divBdr>
                <w:top w:val="none" w:sz="0" w:space="0" w:color="auto"/>
                <w:left w:val="none" w:sz="0" w:space="0" w:color="auto"/>
                <w:bottom w:val="none" w:sz="0" w:space="0" w:color="auto"/>
                <w:right w:val="none" w:sz="0" w:space="0" w:color="auto"/>
              </w:divBdr>
              <w:divsChild>
                <w:div w:id="1793355378">
                  <w:marLeft w:val="0"/>
                  <w:marRight w:val="0"/>
                  <w:marTop w:val="0"/>
                  <w:marBottom w:val="0"/>
                  <w:divBdr>
                    <w:top w:val="none" w:sz="0" w:space="0" w:color="auto"/>
                    <w:left w:val="none" w:sz="0" w:space="0" w:color="auto"/>
                    <w:bottom w:val="none" w:sz="0" w:space="0" w:color="auto"/>
                    <w:right w:val="none" w:sz="0" w:space="0" w:color="auto"/>
                  </w:divBdr>
                </w:div>
              </w:divsChild>
            </w:div>
            <w:div w:id="1552227109">
              <w:marLeft w:val="0"/>
              <w:marRight w:val="0"/>
              <w:marTop w:val="0"/>
              <w:marBottom w:val="0"/>
              <w:divBdr>
                <w:top w:val="none" w:sz="0" w:space="0" w:color="auto"/>
                <w:left w:val="none" w:sz="0" w:space="0" w:color="auto"/>
                <w:bottom w:val="none" w:sz="0" w:space="0" w:color="auto"/>
                <w:right w:val="none" w:sz="0" w:space="0" w:color="auto"/>
              </w:divBdr>
              <w:divsChild>
                <w:div w:id="208347751">
                  <w:marLeft w:val="0"/>
                  <w:marRight w:val="0"/>
                  <w:marTop w:val="0"/>
                  <w:marBottom w:val="0"/>
                  <w:divBdr>
                    <w:top w:val="none" w:sz="0" w:space="0" w:color="auto"/>
                    <w:left w:val="none" w:sz="0" w:space="0" w:color="auto"/>
                    <w:bottom w:val="none" w:sz="0" w:space="0" w:color="auto"/>
                    <w:right w:val="none" w:sz="0" w:space="0" w:color="auto"/>
                  </w:divBdr>
                </w:div>
              </w:divsChild>
            </w:div>
            <w:div w:id="737897950">
              <w:marLeft w:val="0"/>
              <w:marRight w:val="0"/>
              <w:marTop w:val="0"/>
              <w:marBottom w:val="0"/>
              <w:divBdr>
                <w:top w:val="none" w:sz="0" w:space="0" w:color="auto"/>
                <w:left w:val="none" w:sz="0" w:space="0" w:color="auto"/>
                <w:bottom w:val="none" w:sz="0" w:space="0" w:color="auto"/>
                <w:right w:val="none" w:sz="0" w:space="0" w:color="auto"/>
              </w:divBdr>
              <w:divsChild>
                <w:div w:id="1144934377">
                  <w:marLeft w:val="0"/>
                  <w:marRight w:val="0"/>
                  <w:marTop w:val="0"/>
                  <w:marBottom w:val="0"/>
                  <w:divBdr>
                    <w:top w:val="none" w:sz="0" w:space="0" w:color="auto"/>
                    <w:left w:val="none" w:sz="0" w:space="0" w:color="auto"/>
                    <w:bottom w:val="none" w:sz="0" w:space="0" w:color="auto"/>
                    <w:right w:val="none" w:sz="0" w:space="0" w:color="auto"/>
                  </w:divBdr>
                </w:div>
              </w:divsChild>
            </w:div>
            <w:div w:id="959917589">
              <w:marLeft w:val="0"/>
              <w:marRight w:val="0"/>
              <w:marTop w:val="0"/>
              <w:marBottom w:val="0"/>
              <w:divBdr>
                <w:top w:val="none" w:sz="0" w:space="0" w:color="auto"/>
                <w:left w:val="none" w:sz="0" w:space="0" w:color="auto"/>
                <w:bottom w:val="none" w:sz="0" w:space="0" w:color="auto"/>
                <w:right w:val="none" w:sz="0" w:space="0" w:color="auto"/>
              </w:divBdr>
              <w:divsChild>
                <w:div w:id="636254341">
                  <w:marLeft w:val="0"/>
                  <w:marRight w:val="0"/>
                  <w:marTop w:val="0"/>
                  <w:marBottom w:val="0"/>
                  <w:divBdr>
                    <w:top w:val="none" w:sz="0" w:space="0" w:color="auto"/>
                    <w:left w:val="none" w:sz="0" w:space="0" w:color="auto"/>
                    <w:bottom w:val="none" w:sz="0" w:space="0" w:color="auto"/>
                    <w:right w:val="none" w:sz="0" w:space="0" w:color="auto"/>
                  </w:divBdr>
                </w:div>
              </w:divsChild>
            </w:div>
            <w:div w:id="1687905727">
              <w:marLeft w:val="0"/>
              <w:marRight w:val="0"/>
              <w:marTop w:val="0"/>
              <w:marBottom w:val="0"/>
              <w:divBdr>
                <w:top w:val="none" w:sz="0" w:space="0" w:color="auto"/>
                <w:left w:val="none" w:sz="0" w:space="0" w:color="auto"/>
                <w:bottom w:val="none" w:sz="0" w:space="0" w:color="auto"/>
                <w:right w:val="none" w:sz="0" w:space="0" w:color="auto"/>
              </w:divBdr>
              <w:divsChild>
                <w:div w:id="466708149">
                  <w:marLeft w:val="0"/>
                  <w:marRight w:val="0"/>
                  <w:marTop w:val="0"/>
                  <w:marBottom w:val="0"/>
                  <w:divBdr>
                    <w:top w:val="none" w:sz="0" w:space="0" w:color="auto"/>
                    <w:left w:val="none" w:sz="0" w:space="0" w:color="auto"/>
                    <w:bottom w:val="none" w:sz="0" w:space="0" w:color="auto"/>
                    <w:right w:val="none" w:sz="0" w:space="0" w:color="auto"/>
                  </w:divBdr>
                </w:div>
              </w:divsChild>
            </w:div>
            <w:div w:id="2090299001">
              <w:marLeft w:val="0"/>
              <w:marRight w:val="0"/>
              <w:marTop w:val="0"/>
              <w:marBottom w:val="0"/>
              <w:divBdr>
                <w:top w:val="none" w:sz="0" w:space="0" w:color="auto"/>
                <w:left w:val="none" w:sz="0" w:space="0" w:color="auto"/>
                <w:bottom w:val="none" w:sz="0" w:space="0" w:color="auto"/>
                <w:right w:val="none" w:sz="0" w:space="0" w:color="auto"/>
              </w:divBdr>
              <w:divsChild>
                <w:div w:id="1096948978">
                  <w:marLeft w:val="0"/>
                  <w:marRight w:val="0"/>
                  <w:marTop w:val="0"/>
                  <w:marBottom w:val="0"/>
                  <w:divBdr>
                    <w:top w:val="none" w:sz="0" w:space="0" w:color="auto"/>
                    <w:left w:val="none" w:sz="0" w:space="0" w:color="auto"/>
                    <w:bottom w:val="none" w:sz="0" w:space="0" w:color="auto"/>
                    <w:right w:val="none" w:sz="0" w:space="0" w:color="auto"/>
                  </w:divBdr>
                </w:div>
              </w:divsChild>
            </w:div>
            <w:div w:id="1910991318">
              <w:marLeft w:val="0"/>
              <w:marRight w:val="0"/>
              <w:marTop w:val="0"/>
              <w:marBottom w:val="0"/>
              <w:divBdr>
                <w:top w:val="none" w:sz="0" w:space="0" w:color="auto"/>
                <w:left w:val="none" w:sz="0" w:space="0" w:color="auto"/>
                <w:bottom w:val="none" w:sz="0" w:space="0" w:color="auto"/>
                <w:right w:val="none" w:sz="0" w:space="0" w:color="auto"/>
              </w:divBdr>
              <w:divsChild>
                <w:div w:id="1978335882">
                  <w:marLeft w:val="0"/>
                  <w:marRight w:val="0"/>
                  <w:marTop w:val="0"/>
                  <w:marBottom w:val="0"/>
                  <w:divBdr>
                    <w:top w:val="none" w:sz="0" w:space="0" w:color="auto"/>
                    <w:left w:val="none" w:sz="0" w:space="0" w:color="auto"/>
                    <w:bottom w:val="none" w:sz="0" w:space="0" w:color="auto"/>
                    <w:right w:val="none" w:sz="0" w:space="0" w:color="auto"/>
                  </w:divBdr>
                </w:div>
              </w:divsChild>
            </w:div>
            <w:div w:id="461188955">
              <w:marLeft w:val="0"/>
              <w:marRight w:val="0"/>
              <w:marTop w:val="0"/>
              <w:marBottom w:val="0"/>
              <w:divBdr>
                <w:top w:val="none" w:sz="0" w:space="0" w:color="auto"/>
                <w:left w:val="none" w:sz="0" w:space="0" w:color="auto"/>
                <w:bottom w:val="none" w:sz="0" w:space="0" w:color="auto"/>
                <w:right w:val="none" w:sz="0" w:space="0" w:color="auto"/>
              </w:divBdr>
              <w:divsChild>
                <w:div w:id="682895587">
                  <w:marLeft w:val="0"/>
                  <w:marRight w:val="0"/>
                  <w:marTop w:val="0"/>
                  <w:marBottom w:val="0"/>
                  <w:divBdr>
                    <w:top w:val="none" w:sz="0" w:space="0" w:color="auto"/>
                    <w:left w:val="none" w:sz="0" w:space="0" w:color="auto"/>
                    <w:bottom w:val="none" w:sz="0" w:space="0" w:color="auto"/>
                    <w:right w:val="none" w:sz="0" w:space="0" w:color="auto"/>
                  </w:divBdr>
                </w:div>
              </w:divsChild>
            </w:div>
            <w:div w:id="2147090804">
              <w:marLeft w:val="0"/>
              <w:marRight w:val="0"/>
              <w:marTop w:val="0"/>
              <w:marBottom w:val="0"/>
              <w:divBdr>
                <w:top w:val="none" w:sz="0" w:space="0" w:color="auto"/>
                <w:left w:val="none" w:sz="0" w:space="0" w:color="auto"/>
                <w:bottom w:val="none" w:sz="0" w:space="0" w:color="auto"/>
                <w:right w:val="none" w:sz="0" w:space="0" w:color="auto"/>
              </w:divBdr>
              <w:divsChild>
                <w:div w:id="1421215718">
                  <w:marLeft w:val="0"/>
                  <w:marRight w:val="0"/>
                  <w:marTop w:val="0"/>
                  <w:marBottom w:val="0"/>
                  <w:divBdr>
                    <w:top w:val="none" w:sz="0" w:space="0" w:color="auto"/>
                    <w:left w:val="none" w:sz="0" w:space="0" w:color="auto"/>
                    <w:bottom w:val="none" w:sz="0" w:space="0" w:color="auto"/>
                    <w:right w:val="none" w:sz="0" w:space="0" w:color="auto"/>
                  </w:divBdr>
                </w:div>
              </w:divsChild>
            </w:div>
            <w:div w:id="691999877">
              <w:marLeft w:val="0"/>
              <w:marRight w:val="0"/>
              <w:marTop w:val="0"/>
              <w:marBottom w:val="0"/>
              <w:divBdr>
                <w:top w:val="none" w:sz="0" w:space="0" w:color="auto"/>
                <w:left w:val="none" w:sz="0" w:space="0" w:color="auto"/>
                <w:bottom w:val="none" w:sz="0" w:space="0" w:color="auto"/>
                <w:right w:val="none" w:sz="0" w:space="0" w:color="auto"/>
              </w:divBdr>
              <w:divsChild>
                <w:div w:id="1183784876">
                  <w:marLeft w:val="0"/>
                  <w:marRight w:val="0"/>
                  <w:marTop w:val="0"/>
                  <w:marBottom w:val="0"/>
                  <w:divBdr>
                    <w:top w:val="none" w:sz="0" w:space="0" w:color="auto"/>
                    <w:left w:val="none" w:sz="0" w:space="0" w:color="auto"/>
                    <w:bottom w:val="none" w:sz="0" w:space="0" w:color="auto"/>
                    <w:right w:val="none" w:sz="0" w:space="0" w:color="auto"/>
                  </w:divBdr>
                </w:div>
              </w:divsChild>
            </w:div>
            <w:div w:id="1903246082">
              <w:marLeft w:val="0"/>
              <w:marRight w:val="0"/>
              <w:marTop w:val="0"/>
              <w:marBottom w:val="0"/>
              <w:divBdr>
                <w:top w:val="none" w:sz="0" w:space="0" w:color="auto"/>
                <w:left w:val="none" w:sz="0" w:space="0" w:color="auto"/>
                <w:bottom w:val="none" w:sz="0" w:space="0" w:color="auto"/>
                <w:right w:val="none" w:sz="0" w:space="0" w:color="auto"/>
              </w:divBdr>
              <w:divsChild>
                <w:div w:id="1128468771">
                  <w:marLeft w:val="0"/>
                  <w:marRight w:val="0"/>
                  <w:marTop w:val="0"/>
                  <w:marBottom w:val="0"/>
                  <w:divBdr>
                    <w:top w:val="none" w:sz="0" w:space="0" w:color="auto"/>
                    <w:left w:val="none" w:sz="0" w:space="0" w:color="auto"/>
                    <w:bottom w:val="none" w:sz="0" w:space="0" w:color="auto"/>
                    <w:right w:val="none" w:sz="0" w:space="0" w:color="auto"/>
                  </w:divBdr>
                </w:div>
              </w:divsChild>
            </w:div>
            <w:div w:id="701131583">
              <w:marLeft w:val="0"/>
              <w:marRight w:val="0"/>
              <w:marTop w:val="0"/>
              <w:marBottom w:val="0"/>
              <w:divBdr>
                <w:top w:val="none" w:sz="0" w:space="0" w:color="auto"/>
                <w:left w:val="none" w:sz="0" w:space="0" w:color="auto"/>
                <w:bottom w:val="none" w:sz="0" w:space="0" w:color="auto"/>
                <w:right w:val="none" w:sz="0" w:space="0" w:color="auto"/>
              </w:divBdr>
              <w:divsChild>
                <w:div w:id="1382246735">
                  <w:marLeft w:val="0"/>
                  <w:marRight w:val="0"/>
                  <w:marTop w:val="0"/>
                  <w:marBottom w:val="0"/>
                  <w:divBdr>
                    <w:top w:val="none" w:sz="0" w:space="0" w:color="auto"/>
                    <w:left w:val="none" w:sz="0" w:space="0" w:color="auto"/>
                    <w:bottom w:val="none" w:sz="0" w:space="0" w:color="auto"/>
                    <w:right w:val="none" w:sz="0" w:space="0" w:color="auto"/>
                  </w:divBdr>
                </w:div>
              </w:divsChild>
            </w:div>
            <w:div w:id="468212020">
              <w:marLeft w:val="0"/>
              <w:marRight w:val="0"/>
              <w:marTop w:val="0"/>
              <w:marBottom w:val="0"/>
              <w:divBdr>
                <w:top w:val="none" w:sz="0" w:space="0" w:color="auto"/>
                <w:left w:val="none" w:sz="0" w:space="0" w:color="auto"/>
                <w:bottom w:val="none" w:sz="0" w:space="0" w:color="auto"/>
                <w:right w:val="none" w:sz="0" w:space="0" w:color="auto"/>
              </w:divBdr>
              <w:divsChild>
                <w:div w:id="897858638">
                  <w:marLeft w:val="0"/>
                  <w:marRight w:val="0"/>
                  <w:marTop w:val="0"/>
                  <w:marBottom w:val="0"/>
                  <w:divBdr>
                    <w:top w:val="none" w:sz="0" w:space="0" w:color="auto"/>
                    <w:left w:val="none" w:sz="0" w:space="0" w:color="auto"/>
                    <w:bottom w:val="none" w:sz="0" w:space="0" w:color="auto"/>
                    <w:right w:val="none" w:sz="0" w:space="0" w:color="auto"/>
                  </w:divBdr>
                </w:div>
              </w:divsChild>
            </w:div>
            <w:div w:id="21904873">
              <w:marLeft w:val="0"/>
              <w:marRight w:val="0"/>
              <w:marTop w:val="0"/>
              <w:marBottom w:val="0"/>
              <w:divBdr>
                <w:top w:val="none" w:sz="0" w:space="0" w:color="auto"/>
                <w:left w:val="none" w:sz="0" w:space="0" w:color="auto"/>
                <w:bottom w:val="none" w:sz="0" w:space="0" w:color="auto"/>
                <w:right w:val="none" w:sz="0" w:space="0" w:color="auto"/>
              </w:divBdr>
              <w:divsChild>
                <w:div w:id="1791820763">
                  <w:marLeft w:val="0"/>
                  <w:marRight w:val="0"/>
                  <w:marTop w:val="0"/>
                  <w:marBottom w:val="0"/>
                  <w:divBdr>
                    <w:top w:val="none" w:sz="0" w:space="0" w:color="auto"/>
                    <w:left w:val="none" w:sz="0" w:space="0" w:color="auto"/>
                    <w:bottom w:val="none" w:sz="0" w:space="0" w:color="auto"/>
                    <w:right w:val="none" w:sz="0" w:space="0" w:color="auto"/>
                  </w:divBdr>
                </w:div>
              </w:divsChild>
            </w:div>
            <w:div w:id="804080321">
              <w:marLeft w:val="0"/>
              <w:marRight w:val="0"/>
              <w:marTop w:val="0"/>
              <w:marBottom w:val="0"/>
              <w:divBdr>
                <w:top w:val="none" w:sz="0" w:space="0" w:color="auto"/>
                <w:left w:val="none" w:sz="0" w:space="0" w:color="auto"/>
                <w:bottom w:val="none" w:sz="0" w:space="0" w:color="auto"/>
                <w:right w:val="none" w:sz="0" w:space="0" w:color="auto"/>
              </w:divBdr>
              <w:divsChild>
                <w:div w:id="1964995210">
                  <w:marLeft w:val="0"/>
                  <w:marRight w:val="0"/>
                  <w:marTop w:val="0"/>
                  <w:marBottom w:val="0"/>
                  <w:divBdr>
                    <w:top w:val="none" w:sz="0" w:space="0" w:color="auto"/>
                    <w:left w:val="none" w:sz="0" w:space="0" w:color="auto"/>
                    <w:bottom w:val="none" w:sz="0" w:space="0" w:color="auto"/>
                    <w:right w:val="none" w:sz="0" w:space="0" w:color="auto"/>
                  </w:divBdr>
                </w:div>
              </w:divsChild>
            </w:div>
            <w:div w:id="1763716482">
              <w:marLeft w:val="0"/>
              <w:marRight w:val="0"/>
              <w:marTop w:val="0"/>
              <w:marBottom w:val="0"/>
              <w:divBdr>
                <w:top w:val="none" w:sz="0" w:space="0" w:color="auto"/>
                <w:left w:val="none" w:sz="0" w:space="0" w:color="auto"/>
                <w:bottom w:val="none" w:sz="0" w:space="0" w:color="auto"/>
                <w:right w:val="none" w:sz="0" w:space="0" w:color="auto"/>
              </w:divBdr>
              <w:divsChild>
                <w:div w:id="797987758">
                  <w:marLeft w:val="0"/>
                  <w:marRight w:val="0"/>
                  <w:marTop w:val="0"/>
                  <w:marBottom w:val="0"/>
                  <w:divBdr>
                    <w:top w:val="none" w:sz="0" w:space="0" w:color="auto"/>
                    <w:left w:val="none" w:sz="0" w:space="0" w:color="auto"/>
                    <w:bottom w:val="none" w:sz="0" w:space="0" w:color="auto"/>
                    <w:right w:val="none" w:sz="0" w:space="0" w:color="auto"/>
                  </w:divBdr>
                </w:div>
              </w:divsChild>
            </w:div>
            <w:div w:id="651370847">
              <w:marLeft w:val="0"/>
              <w:marRight w:val="0"/>
              <w:marTop w:val="0"/>
              <w:marBottom w:val="0"/>
              <w:divBdr>
                <w:top w:val="none" w:sz="0" w:space="0" w:color="auto"/>
                <w:left w:val="none" w:sz="0" w:space="0" w:color="auto"/>
                <w:bottom w:val="none" w:sz="0" w:space="0" w:color="auto"/>
                <w:right w:val="none" w:sz="0" w:space="0" w:color="auto"/>
              </w:divBdr>
              <w:divsChild>
                <w:div w:id="1220824144">
                  <w:marLeft w:val="0"/>
                  <w:marRight w:val="0"/>
                  <w:marTop w:val="0"/>
                  <w:marBottom w:val="0"/>
                  <w:divBdr>
                    <w:top w:val="none" w:sz="0" w:space="0" w:color="auto"/>
                    <w:left w:val="none" w:sz="0" w:space="0" w:color="auto"/>
                    <w:bottom w:val="none" w:sz="0" w:space="0" w:color="auto"/>
                    <w:right w:val="none" w:sz="0" w:space="0" w:color="auto"/>
                  </w:divBdr>
                </w:div>
              </w:divsChild>
            </w:div>
            <w:div w:id="528955189">
              <w:marLeft w:val="0"/>
              <w:marRight w:val="0"/>
              <w:marTop w:val="0"/>
              <w:marBottom w:val="0"/>
              <w:divBdr>
                <w:top w:val="none" w:sz="0" w:space="0" w:color="auto"/>
                <w:left w:val="none" w:sz="0" w:space="0" w:color="auto"/>
                <w:bottom w:val="none" w:sz="0" w:space="0" w:color="auto"/>
                <w:right w:val="none" w:sz="0" w:space="0" w:color="auto"/>
              </w:divBdr>
              <w:divsChild>
                <w:div w:id="1352532980">
                  <w:marLeft w:val="0"/>
                  <w:marRight w:val="0"/>
                  <w:marTop w:val="0"/>
                  <w:marBottom w:val="0"/>
                  <w:divBdr>
                    <w:top w:val="none" w:sz="0" w:space="0" w:color="auto"/>
                    <w:left w:val="none" w:sz="0" w:space="0" w:color="auto"/>
                    <w:bottom w:val="none" w:sz="0" w:space="0" w:color="auto"/>
                    <w:right w:val="none" w:sz="0" w:space="0" w:color="auto"/>
                  </w:divBdr>
                </w:div>
              </w:divsChild>
            </w:div>
            <w:div w:id="1009795203">
              <w:marLeft w:val="0"/>
              <w:marRight w:val="0"/>
              <w:marTop w:val="0"/>
              <w:marBottom w:val="0"/>
              <w:divBdr>
                <w:top w:val="none" w:sz="0" w:space="0" w:color="auto"/>
                <w:left w:val="none" w:sz="0" w:space="0" w:color="auto"/>
                <w:bottom w:val="none" w:sz="0" w:space="0" w:color="auto"/>
                <w:right w:val="none" w:sz="0" w:space="0" w:color="auto"/>
              </w:divBdr>
              <w:divsChild>
                <w:div w:id="1185481062">
                  <w:marLeft w:val="0"/>
                  <w:marRight w:val="0"/>
                  <w:marTop w:val="0"/>
                  <w:marBottom w:val="0"/>
                  <w:divBdr>
                    <w:top w:val="none" w:sz="0" w:space="0" w:color="auto"/>
                    <w:left w:val="none" w:sz="0" w:space="0" w:color="auto"/>
                    <w:bottom w:val="none" w:sz="0" w:space="0" w:color="auto"/>
                    <w:right w:val="none" w:sz="0" w:space="0" w:color="auto"/>
                  </w:divBdr>
                </w:div>
              </w:divsChild>
            </w:div>
            <w:div w:id="1856336000">
              <w:marLeft w:val="0"/>
              <w:marRight w:val="0"/>
              <w:marTop w:val="0"/>
              <w:marBottom w:val="0"/>
              <w:divBdr>
                <w:top w:val="none" w:sz="0" w:space="0" w:color="auto"/>
                <w:left w:val="none" w:sz="0" w:space="0" w:color="auto"/>
                <w:bottom w:val="none" w:sz="0" w:space="0" w:color="auto"/>
                <w:right w:val="none" w:sz="0" w:space="0" w:color="auto"/>
              </w:divBdr>
              <w:divsChild>
                <w:div w:id="1933782666">
                  <w:marLeft w:val="0"/>
                  <w:marRight w:val="0"/>
                  <w:marTop w:val="0"/>
                  <w:marBottom w:val="0"/>
                  <w:divBdr>
                    <w:top w:val="none" w:sz="0" w:space="0" w:color="auto"/>
                    <w:left w:val="none" w:sz="0" w:space="0" w:color="auto"/>
                    <w:bottom w:val="none" w:sz="0" w:space="0" w:color="auto"/>
                    <w:right w:val="none" w:sz="0" w:space="0" w:color="auto"/>
                  </w:divBdr>
                </w:div>
              </w:divsChild>
            </w:div>
            <w:div w:id="706221003">
              <w:marLeft w:val="0"/>
              <w:marRight w:val="0"/>
              <w:marTop w:val="0"/>
              <w:marBottom w:val="0"/>
              <w:divBdr>
                <w:top w:val="none" w:sz="0" w:space="0" w:color="auto"/>
                <w:left w:val="none" w:sz="0" w:space="0" w:color="auto"/>
                <w:bottom w:val="none" w:sz="0" w:space="0" w:color="auto"/>
                <w:right w:val="none" w:sz="0" w:space="0" w:color="auto"/>
              </w:divBdr>
              <w:divsChild>
                <w:div w:id="288824560">
                  <w:marLeft w:val="0"/>
                  <w:marRight w:val="0"/>
                  <w:marTop w:val="0"/>
                  <w:marBottom w:val="0"/>
                  <w:divBdr>
                    <w:top w:val="none" w:sz="0" w:space="0" w:color="auto"/>
                    <w:left w:val="none" w:sz="0" w:space="0" w:color="auto"/>
                    <w:bottom w:val="none" w:sz="0" w:space="0" w:color="auto"/>
                    <w:right w:val="none" w:sz="0" w:space="0" w:color="auto"/>
                  </w:divBdr>
                </w:div>
              </w:divsChild>
            </w:div>
            <w:div w:id="311715586">
              <w:marLeft w:val="0"/>
              <w:marRight w:val="0"/>
              <w:marTop w:val="0"/>
              <w:marBottom w:val="0"/>
              <w:divBdr>
                <w:top w:val="none" w:sz="0" w:space="0" w:color="auto"/>
                <w:left w:val="none" w:sz="0" w:space="0" w:color="auto"/>
                <w:bottom w:val="none" w:sz="0" w:space="0" w:color="auto"/>
                <w:right w:val="none" w:sz="0" w:space="0" w:color="auto"/>
              </w:divBdr>
              <w:divsChild>
                <w:div w:id="1813715149">
                  <w:marLeft w:val="0"/>
                  <w:marRight w:val="0"/>
                  <w:marTop w:val="0"/>
                  <w:marBottom w:val="0"/>
                  <w:divBdr>
                    <w:top w:val="none" w:sz="0" w:space="0" w:color="auto"/>
                    <w:left w:val="none" w:sz="0" w:space="0" w:color="auto"/>
                    <w:bottom w:val="none" w:sz="0" w:space="0" w:color="auto"/>
                    <w:right w:val="none" w:sz="0" w:space="0" w:color="auto"/>
                  </w:divBdr>
                </w:div>
              </w:divsChild>
            </w:div>
            <w:div w:id="1869681098">
              <w:marLeft w:val="0"/>
              <w:marRight w:val="0"/>
              <w:marTop w:val="0"/>
              <w:marBottom w:val="0"/>
              <w:divBdr>
                <w:top w:val="none" w:sz="0" w:space="0" w:color="auto"/>
                <w:left w:val="none" w:sz="0" w:space="0" w:color="auto"/>
                <w:bottom w:val="none" w:sz="0" w:space="0" w:color="auto"/>
                <w:right w:val="none" w:sz="0" w:space="0" w:color="auto"/>
              </w:divBdr>
              <w:divsChild>
                <w:div w:id="866675986">
                  <w:marLeft w:val="0"/>
                  <w:marRight w:val="0"/>
                  <w:marTop w:val="0"/>
                  <w:marBottom w:val="0"/>
                  <w:divBdr>
                    <w:top w:val="none" w:sz="0" w:space="0" w:color="auto"/>
                    <w:left w:val="none" w:sz="0" w:space="0" w:color="auto"/>
                    <w:bottom w:val="none" w:sz="0" w:space="0" w:color="auto"/>
                    <w:right w:val="none" w:sz="0" w:space="0" w:color="auto"/>
                  </w:divBdr>
                </w:div>
              </w:divsChild>
            </w:div>
            <w:div w:id="485634775">
              <w:marLeft w:val="0"/>
              <w:marRight w:val="0"/>
              <w:marTop w:val="0"/>
              <w:marBottom w:val="0"/>
              <w:divBdr>
                <w:top w:val="none" w:sz="0" w:space="0" w:color="auto"/>
                <w:left w:val="none" w:sz="0" w:space="0" w:color="auto"/>
                <w:bottom w:val="none" w:sz="0" w:space="0" w:color="auto"/>
                <w:right w:val="none" w:sz="0" w:space="0" w:color="auto"/>
              </w:divBdr>
              <w:divsChild>
                <w:div w:id="791898013">
                  <w:marLeft w:val="0"/>
                  <w:marRight w:val="0"/>
                  <w:marTop w:val="0"/>
                  <w:marBottom w:val="0"/>
                  <w:divBdr>
                    <w:top w:val="none" w:sz="0" w:space="0" w:color="auto"/>
                    <w:left w:val="none" w:sz="0" w:space="0" w:color="auto"/>
                    <w:bottom w:val="none" w:sz="0" w:space="0" w:color="auto"/>
                    <w:right w:val="none" w:sz="0" w:space="0" w:color="auto"/>
                  </w:divBdr>
                </w:div>
              </w:divsChild>
            </w:div>
            <w:div w:id="1027172549">
              <w:marLeft w:val="0"/>
              <w:marRight w:val="0"/>
              <w:marTop w:val="0"/>
              <w:marBottom w:val="0"/>
              <w:divBdr>
                <w:top w:val="none" w:sz="0" w:space="0" w:color="auto"/>
                <w:left w:val="none" w:sz="0" w:space="0" w:color="auto"/>
                <w:bottom w:val="none" w:sz="0" w:space="0" w:color="auto"/>
                <w:right w:val="none" w:sz="0" w:space="0" w:color="auto"/>
              </w:divBdr>
              <w:divsChild>
                <w:div w:id="616062774">
                  <w:marLeft w:val="0"/>
                  <w:marRight w:val="0"/>
                  <w:marTop w:val="0"/>
                  <w:marBottom w:val="0"/>
                  <w:divBdr>
                    <w:top w:val="none" w:sz="0" w:space="0" w:color="auto"/>
                    <w:left w:val="none" w:sz="0" w:space="0" w:color="auto"/>
                    <w:bottom w:val="none" w:sz="0" w:space="0" w:color="auto"/>
                    <w:right w:val="none" w:sz="0" w:space="0" w:color="auto"/>
                  </w:divBdr>
                </w:div>
              </w:divsChild>
            </w:div>
            <w:div w:id="164443833">
              <w:marLeft w:val="0"/>
              <w:marRight w:val="0"/>
              <w:marTop w:val="0"/>
              <w:marBottom w:val="0"/>
              <w:divBdr>
                <w:top w:val="none" w:sz="0" w:space="0" w:color="auto"/>
                <w:left w:val="none" w:sz="0" w:space="0" w:color="auto"/>
                <w:bottom w:val="none" w:sz="0" w:space="0" w:color="auto"/>
                <w:right w:val="none" w:sz="0" w:space="0" w:color="auto"/>
              </w:divBdr>
              <w:divsChild>
                <w:div w:id="1510295867">
                  <w:marLeft w:val="0"/>
                  <w:marRight w:val="0"/>
                  <w:marTop w:val="0"/>
                  <w:marBottom w:val="0"/>
                  <w:divBdr>
                    <w:top w:val="none" w:sz="0" w:space="0" w:color="auto"/>
                    <w:left w:val="none" w:sz="0" w:space="0" w:color="auto"/>
                    <w:bottom w:val="none" w:sz="0" w:space="0" w:color="auto"/>
                    <w:right w:val="none" w:sz="0" w:space="0" w:color="auto"/>
                  </w:divBdr>
                </w:div>
              </w:divsChild>
            </w:div>
            <w:div w:id="2117747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7/OLQ.0000000000001244"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0" Type="http://schemas.openxmlformats.org/officeDocument/2006/relationships/hyperlink" Target="javascript:void(0)"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Pages>
  <Words>4967</Words>
  <Characters>28314</Characters>
  <Application>Microsoft Office Word</Application>
  <DocSecurity>8</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11</cp:revision>
  <dcterms:created xsi:type="dcterms:W3CDTF">2022-05-02T16:26:00Z</dcterms:created>
  <dcterms:modified xsi:type="dcterms:W3CDTF">2022-05-11T15:22:00Z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