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ACB9A45" w:rsidR="000A7622" w:rsidRPr="00C04F25" w:rsidRDefault="00ED4840"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589B1C8" w:rsidR="000A7622" w:rsidRPr="00C04F25" w:rsidRDefault="00FF1FDB" w:rsidP="00D14423">
      <w:pPr>
        <w:rPr>
          <w:rFonts w:cstheme="minorHAnsi"/>
          <w:sz w:val="24"/>
          <w:szCs w:val="24"/>
        </w:rPr>
      </w:pPr>
      <w:r>
        <w:rPr>
          <w:rFonts w:cstheme="minorHAnsi"/>
          <w:i/>
          <w:sz w:val="24"/>
          <w:szCs w:val="24"/>
          <w:lang w:val="fr-FR"/>
        </w:rPr>
        <w:t xml:space="preserve">Spinal </w:t>
      </w:r>
      <w:proofErr w:type="spellStart"/>
      <w:r>
        <w:rPr>
          <w:rFonts w:cstheme="minorHAnsi"/>
          <w:i/>
          <w:sz w:val="24"/>
          <w:szCs w:val="24"/>
          <w:lang w:val="fr-FR"/>
        </w:rPr>
        <w:t>Cord</w:t>
      </w:r>
      <w:proofErr w:type="spellEnd"/>
      <w:r w:rsidR="000A7622" w:rsidRPr="00C04F25">
        <w:rPr>
          <w:rFonts w:cstheme="minorHAnsi"/>
          <w:sz w:val="24"/>
          <w:szCs w:val="24"/>
          <w:lang w:val="fr-FR"/>
        </w:rPr>
        <w:t xml:space="preserve">, Vol. </w:t>
      </w:r>
      <w:r>
        <w:rPr>
          <w:rFonts w:cstheme="minorHAnsi"/>
          <w:sz w:val="24"/>
          <w:szCs w:val="24"/>
          <w:lang w:val="fr-FR"/>
        </w:rPr>
        <w:t>50</w:t>
      </w:r>
      <w:r w:rsidR="000A7622" w:rsidRPr="00C04F25">
        <w:rPr>
          <w:rFonts w:cstheme="minorHAnsi"/>
          <w:sz w:val="24"/>
          <w:szCs w:val="24"/>
          <w:lang w:val="fr-FR"/>
        </w:rPr>
        <w:t xml:space="preserve"> (</w:t>
      </w:r>
      <w:r w:rsidR="00B313BF">
        <w:rPr>
          <w:rFonts w:cstheme="minorHAnsi"/>
          <w:sz w:val="24"/>
          <w:szCs w:val="24"/>
          <w:lang w:val="fr-FR"/>
        </w:rPr>
        <w:t>2012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B313BF" w:rsidRPr="00B313BF">
        <w:rPr>
          <w:rFonts w:cstheme="minorHAnsi"/>
          <w:sz w:val="24"/>
          <w:szCs w:val="24"/>
          <w:lang w:val="fr-FR"/>
        </w:rPr>
        <w:t>928–930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1018E">
        <w:rPr>
          <w:rFonts w:cstheme="minorHAnsi"/>
          <w:sz w:val="24"/>
          <w:szCs w:val="24"/>
        </w:rPr>
        <w:t>Springer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1018E">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the express permission from </w:t>
      </w:r>
      <w:r w:rsidR="00E1018E">
        <w:rPr>
          <w:rFonts w:cstheme="minorHAnsi"/>
          <w:sz w:val="24"/>
          <w:szCs w:val="24"/>
        </w:rPr>
        <w:t>Springer</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5BF6F664" w14:textId="5F3426DB" w:rsidR="00784156" w:rsidRDefault="00784156" w:rsidP="00ED4840">
      <w:pPr>
        <w:pStyle w:val="Title"/>
      </w:pPr>
      <w:r w:rsidRPr="00784156">
        <w:t xml:space="preserve">Diffusion </w:t>
      </w:r>
      <w:r w:rsidR="00ED4840" w:rsidRPr="00784156">
        <w:t>Tensor Imaging and Tractography In Brown-Sequard Syndrome</w:t>
      </w:r>
    </w:p>
    <w:p w14:paraId="6EC39438" w14:textId="77777777" w:rsidR="00ED4840" w:rsidRPr="00ED4840" w:rsidRDefault="00ED4840" w:rsidP="00ED4840"/>
    <w:p w14:paraId="2C574EEB" w14:textId="2235B8CC" w:rsidR="00784156" w:rsidRPr="00E11387" w:rsidRDefault="00784156" w:rsidP="00C41772">
      <w:pPr>
        <w:pStyle w:val="NoSpacing"/>
        <w:rPr>
          <w:rFonts w:cstheme="minorHAnsi"/>
          <w:sz w:val="32"/>
          <w:szCs w:val="32"/>
        </w:rPr>
      </w:pPr>
      <w:r w:rsidRPr="00E11387">
        <w:rPr>
          <w:rFonts w:cstheme="minorHAnsi"/>
          <w:sz w:val="32"/>
          <w:szCs w:val="32"/>
        </w:rPr>
        <w:t xml:space="preserve">A </w:t>
      </w:r>
      <w:proofErr w:type="spellStart"/>
      <w:r w:rsidRPr="00E11387">
        <w:rPr>
          <w:rFonts w:cstheme="minorHAnsi"/>
          <w:sz w:val="32"/>
          <w:szCs w:val="32"/>
        </w:rPr>
        <w:t>Vedantam</w:t>
      </w:r>
      <w:proofErr w:type="spellEnd"/>
    </w:p>
    <w:p w14:paraId="01FF1CFD" w14:textId="0F3EC292" w:rsidR="00C41772" w:rsidRPr="00C41772" w:rsidRDefault="008442AE" w:rsidP="00C41772">
      <w:pPr>
        <w:pStyle w:val="NoSpacing"/>
        <w:rPr>
          <w:rFonts w:cstheme="minorHAnsi"/>
          <w:sz w:val="24"/>
          <w:szCs w:val="24"/>
        </w:rPr>
      </w:pPr>
      <w:r w:rsidRPr="008442AE">
        <w:rPr>
          <w:rFonts w:cstheme="minorHAnsi"/>
          <w:sz w:val="24"/>
          <w:szCs w:val="24"/>
        </w:rPr>
        <w:t>Department of Neurosurgery, Medical College of Wisconsin, Milwaukee, WI</w:t>
      </w:r>
    </w:p>
    <w:p w14:paraId="2C7B5920" w14:textId="7AEE0AA3" w:rsidR="00784156" w:rsidRPr="00E11387" w:rsidRDefault="00784156" w:rsidP="00C41772">
      <w:pPr>
        <w:pStyle w:val="NoSpacing"/>
        <w:rPr>
          <w:rFonts w:cstheme="minorHAnsi"/>
          <w:sz w:val="32"/>
          <w:szCs w:val="32"/>
        </w:rPr>
      </w:pPr>
      <w:r w:rsidRPr="00E11387">
        <w:rPr>
          <w:rFonts w:cstheme="minorHAnsi"/>
          <w:sz w:val="32"/>
          <w:szCs w:val="32"/>
        </w:rPr>
        <w:t xml:space="preserve">M B </w:t>
      </w:r>
      <w:proofErr w:type="spellStart"/>
      <w:r w:rsidRPr="00E11387">
        <w:rPr>
          <w:rFonts w:cstheme="minorHAnsi"/>
          <w:sz w:val="32"/>
          <w:szCs w:val="32"/>
        </w:rPr>
        <w:t>Jirjis</w:t>
      </w:r>
      <w:proofErr w:type="spellEnd"/>
    </w:p>
    <w:p w14:paraId="191B0681" w14:textId="0B1BAC85" w:rsidR="008442AE" w:rsidRPr="00C41772" w:rsidRDefault="008442AE" w:rsidP="00C41772">
      <w:pPr>
        <w:pStyle w:val="NoSpacing"/>
        <w:rPr>
          <w:rFonts w:cstheme="minorHAnsi"/>
          <w:sz w:val="24"/>
          <w:szCs w:val="24"/>
        </w:rPr>
      </w:pPr>
      <w:r w:rsidRPr="008442AE">
        <w:rPr>
          <w:rFonts w:cstheme="minorHAnsi"/>
          <w:sz w:val="24"/>
          <w:szCs w:val="24"/>
        </w:rPr>
        <w:t>Department of Biomedical Engineering, Marquette University, Milwaukee, WI</w:t>
      </w:r>
    </w:p>
    <w:p w14:paraId="1316EC9B" w14:textId="2E3B70CD" w:rsidR="00784156" w:rsidRPr="00E11387" w:rsidRDefault="00784156" w:rsidP="00C41772">
      <w:pPr>
        <w:pStyle w:val="NoSpacing"/>
        <w:rPr>
          <w:rFonts w:cstheme="minorHAnsi"/>
          <w:sz w:val="32"/>
          <w:szCs w:val="32"/>
        </w:rPr>
      </w:pPr>
      <w:r w:rsidRPr="00E11387">
        <w:rPr>
          <w:rFonts w:cstheme="minorHAnsi"/>
          <w:sz w:val="32"/>
          <w:szCs w:val="32"/>
        </w:rPr>
        <w:t>B D Schmit</w:t>
      </w:r>
    </w:p>
    <w:p w14:paraId="39632CA8" w14:textId="6198BD03" w:rsidR="008442AE" w:rsidRPr="00C41772" w:rsidRDefault="00D876A5" w:rsidP="00C41772">
      <w:pPr>
        <w:pStyle w:val="NoSpacing"/>
        <w:rPr>
          <w:rFonts w:cstheme="minorHAnsi"/>
          <w:sz w:val="24"/>
          <w:szCs w:val="24"/>
        </w:rPr>
      </w:pPr>
      <w:r w:rsidRPr="00D876A5">
        <w:rPr>
          <w:rFonts w:cstheme="minorHAnsi"/>
          <w:sz w:val="24"/>
          <w:szCs w:val="24"/>
        </w:rPr>
        <w:t>Department of Biomedical Engineering, Marquette University, Milwaukee, WI</w:t>
      </w:r>
    </w:p>
    <w:p w14:paraId="717FB0D3" w14:textId="7B212535" w:rsidR="00784156" w:rsidRPr="00E11387" w:rsidRDefault="00784156" w:rsidP="00C41772">
      <w:pPr>
        <w:pStyle w:val="NoSpacing"/>
        <w:rPr>
          <w:rFonts w:cstheme="minorHAnsi"/>
          <w:sz w:val="32"/>
          <w:szCs w:val="32"/>
        </w:rPr>
      </w:pPr>
      <w:r w:rsidRPr="00E11387">
        <w:rPr>
          <w:rFonts w:cstheme="minorHAnsi"/>
          <w:sz w:val="32"/>
          <w:szCs w:val="32"/>
        </w:rPr>
        <w:t xml:space="preserve">M D </w:t>
      </w:r>
      <w:proofErr w:type="spellStart"/>
      <w:r w:rsidRPr="00E11387">
        <w:rPr>
          <w:rFonts w:cstheme="minorHAnsi"/>
          <w:sz w:val="32"/>
          <w:szCs w:val="32"/>
        </w:rPr>
        <w:t>Budde</w:t>
      </w:r>
      <w:proofErr w:type="spellEnd"/>
    </w:p>
    <w:p w14:paraId="419D5C16" w14:textId="620C7509" w:rsidR="00D876A5" w:rsidRPr="00C41772" w:rsidRDefault="00D876A5" w:rsidP="00C41772">
      <w:pPr>
        <w:pStyle w:val="NoSpacing"/>
        <w:rPr>
          <w:rFonts w:cstheme="minorHAnsi"/>
          <w:sz w:val="24"/>
          <w:szCs w:val="24"/>
        </w:rPr>
      </w:pPr>
      <w:r w:rsidRPr="00D876A5">
        <w:rPr>
          <w:rFonts w:cstheme="minorHAnsi"/>
          <w:sz w:val="24"/>
          <w:szCs w:val="24"/>
        </w:rPr>
        <w:t>Department of Neurosurgery, Medical College of Wisconsin, Milwaukee, WI</w:t>
      </w:r>
    </w:p>
    <w:p w14:paraId="4AAF8989" w14:textId="5F90DF4E" w:rsidR="00784156" w:rsidRPr="00E11387" w:rsidRDefault="00784156" w:rsidP="00C41772">
      <w:pPr>
        <w:pStyle w:val="NoSpacing"/>
        <w:rPr>
          <w:rFonts w:cstheme="minorHAnsi"/>
          <w:sz w:val="32"/>
          <w:szCs w:val="32"/>
        </w:rPr>
      </w:pPr>
      <w:r w:rsidRPr="00E11387">
        <w:rPr>
          <w:rFonts w:cstheme="minorHAnsi"/>
          <w:sz w:val="32"/>
          <w:szCs w:val="32"/>
        </w:rPr>
        <w:t>J L Ulmer</w:t>
      </w:r>
    </w:p>
    <w:p w14:paraId="53D3933E" w14:textId="60818B8F" w:rsidR="00D876A5" w:rsidRPr="00C41772" w:rsidRDefault="00E11387" w:rsidP="00C41772">
      <w:pPr>
        <w:pStyle w:val="NoSpacing"/>
        <w:rPr>
          <w:rFonts w:cstheme="minorHAnsi"/>
          <w:sz w:val="24"/>
          <w:szCs w:val="24"/>
        </w:rPr>
      </w:pPr>
      <w:r w:rsidRPr="00E11387">
        <w:rPr>
          <w:rFonts w:cstheme="minorHAnsi"/>
          <w:sz w:val="24"/>
          <w:szCs w:val="24"/>
        </w:rPr>
        <w:t>Department of Radiology, Medical College of Wisconsin, Milwaukee, WI,</w:t>
      </w:r>
    </w:p>
    <w:p w14:paraId="4B3C226A" w14:textId="7B05BC1F" w:rsidR="00784156" w:rsidRPr="00E11387" w:rsidRDefault="00784156" w:rsidP="00C41772">
      <w:pPr>
        <w:pStyle w:val="NoSpacing"/>
        <w:rPr>
          <w:rFonts w:cstheme="minorHAnsi"/>
          <w:sz w:val="32"/>
          <w:szCs w:val="32"/>
        </w:rPr>
      </w:pPr>
      <w:r w:rsidRPr="00E11387">
        <w:rPr>
          <w:rFonts w:cstheme="minorHAnsi"/>
          <w:sz w:val="32"/>
          <w:szCs w:val="32"/>
        </w:rPr>
        <w:t>M C Wang</w:t>
      </w:r>
    </w:p>
    <w:p w14:paraId="260EFC08" w14:textId="46577120" w:rsidR="00E11387" w:rsidRPr="00C41772" w:rsidRDefault="00E11387" w:rsidP="00C41772">
      <w:pPr>
        <w:pStyle w:val="NoSpacing"/>
        <w:rPr>
          <w:rFonts w:cstheme="minorHAnsi"/>
          <w:sz w:val="24"/>
          <w:szCs w:val="24"/>
        </w:rPr>
      </w:pPr>
      <w:r w:rsidRPr="00E11387">
        <w:rPr>
          <w:rFonts w:cstheme="minorHAnsi"/>
          <w:sz w:val="24"/>
          <w:szCs w:val="24"/>
        </w:rPr>
        <w:t>Department of Neurosurgery, Medical College of Wisconsin, Milwaukee, WI</w:t>
      </w:r>
    </w:p>
    <w:p w14:paraId="5D010796" w14:textId="239BC5B9" w:rsidR="00784156" w:rsidRPr="00E11387" w:rsidRDefault="00784156" w:rsidP="00C41772">
      <w:pPr>
        <w:pStyle w:val="NoSpacing"/>
        <w:rPr>
          <w:rFonts w:cstheme="minorHAnsi"/>
          <w:sz w:val="32"/>
          <w:szCs w:val="32"/>
        </w:rPr>
      </w:pPr>
      <w:r w:rsidRPr="00E11387">
        <w:rPr>
          <w:rFonts w:cstheme="minorHAnsi"/>
          <w:sz w:val="32"/>
          <w:szCs w:val="32"/>
        </w:rPr>
        <w:t xml:space="preserve">S N </w:t>
      </w:r>
      <w:proofErr w:type="spellStart"/>
      <w:r w:rsidRPr="00E11387">
        <w:rPr>
          <w:rFonts w:cstheme="minorHAnsi"/>
          <w:sz w:val="32"/>
          <w:szCs w:val="32"/>
        </w:rPr>
        <w:t>Kurpad</w:t>
      </w:r>
      <w:proofErr w:type="spellEnd"/>
      <w:r w:rsidRPr="00E11387">
        <w:rPr>
          <w:rFonts w:cstheme="minorHAnsi"/>
          <w:sz w:val="32"/>
          <w:szCs w:val="32"/>
        </w:rPr>
        <w:t> </w:t>
      </w:r>
    </w:p>
    <w:p w14:paraId="29FD0FAB" w14:textId="4E86A9F1" w:rsidR="00E11387" w:rsidRPr="00C41772" w:rsidRDefault="00E11387" w:rsidP="00C41772">
      <w:pPr>
        <w:pStyle w:val="NoSpacing"/>
        <w:rPr>
          <w:rFonts w:cstheme="minorHAnsi"/>
          <w:sz w:val="24"/>
          <w:szCs w:val="24"/>
        </w:rPr>
      </w:pPr>
      <w:r w:rsidRPr="00E11387">
        <w:rPr>
          <w:rFonts w:cstheme="minorHAnsi"/>
          <w:sz w:val="24"/>
          <w:szCs w:val="24"/>
        </w:rPr>
        <w:t>Department of Neurosurgery, Medical College of Wisconsin, Milwaukee, WI</w:t>
      </w:r>
    </w:p>
    <w:p w14:paraId="32FD1B02" w14:textId="77777777" w:rsidR="00ED4840" w:rsidRDefault="00ED4840" w:rsidP="00784156"/>
    <w:p w14:paraId="745BA882" w14:textId="05AF592F" w:rsidR="00784156" w:rsidRPr="00784156" w:rsidRDefault="00784156" w:rsidP="00E11387">
      <w:pPr>
        <w:pStyle w:val="Heading1"/>
      </w:pPr>
      <w:r w:rsidRPr="00784156">
        <w:lastRenderedPageBreak/>
        <w:t>Abstract</w:t>
      </w:r>
    </w:p>
    <w:p w14:paraId="7B5C67DA" w14:textId="77777777" w:rsidR="00784156" w:rsidRPr="00784156" w:rsidRDefault="00784156" w:rsidP="00E11387">
      <w:pPr>
        <w:pStyle w:val="Heading2"/>
      </w:pPr>
      <w:r w:rsidRPr="00784156">
        <w:t>Study design:</w:t>
      </w:r>
    </w:p>
    <w:p w14:paraId="2309144D" w14:textId="77777777" w:rsidR="00784156" w:rsidRPr="00784156" w:rsidRDefault="00784156" w:rsidP="00784156">
      <w:pPr>
        <w:rPr>
          <w:rFonts w:cstheme="minorHAnsi"/>
        </w:rPr>
      </w:pPr>
      <w:r w:rsidRPr="00784156">
        <w:rPr>
          <w:rFonts w:cstheme="minorHAnsi"/>
        </w:rPr>
        <w:t>Case report.</w:t>
      </w:r>
    </w:p>
    <w:p w14:paraId="2E5C9C6D" w14:textId="77777777" w:rsidR="00784156" w:rsidRPr="00784156" w:rsidRDefault="00784156" w:rsidP="00E11387">
      <w:pPr>
        <w:pStyle w:val="Heading2"/>
      </w:pPr>
      <w:r w:rsidRPr="00784156">
        <w:t>Objective:</w:t>
      </w:r>
    </w:p>
    <w:p w14:paraId="31E9BBE5" w14:textId="77777777" w:rsidR="00784156" w:rsidRPr="00784156" w:rsidRDefault="00784156" w:rsidP="00784156">
      <w:pPr>
        <w:rPr>
          <w:rFonts w:cstheme="minorHAnsi"/>
        </w:rPr>
      </w:pPr>
      <w:r w:rsidRPr="00784156">
        <w:rPr>
          <w:rFonts w:cstheme="minorHAnsi"/>
        </w:rPr>
        <w:t>To demonstrate the utility of diffusion tensor imaging and tractography in two patients with Brown-Sequard syndrome after penetrating cervical cord injury.</w:t>
      </w:r>
    </w:p>
    <w:p w14:paraId="6ED9FFCE" w14:textId="77777777" w:rsidR="00784156" w:rsidRPr="00784156" w:rsidRDefault="00784156" w:rsidP="00E11387">
      <w:pPr>
        <w:pStyle w:val="Heading2"/>
      </w:pPr>
      <w:r w:rsidRPr="00784156">
        <w:t>Setting:</w:t>
      </w:r>
    </w:p>
    <w:p w14:paraId="3C3763D8" w14:textId="77777777" w:rsidR="00784156" w:rsidRPr="00784156" w:rsidRDefault="00784156" w:rsidP="00784156">
      <w:pPr>
        <w:rPr>
          <w:rFonts w:cstheme="minorHAnsi"/>
        </w:rPr>
      </w:pPr>
      <w:r w:rsidRPr="00784156">
        <w:rPr>
          <w:rFonts w:cstheme="minorHAnsi"/>
        </w:rPr>
        <w:t>Milwaukee, WI, USA.</w:t>
      </w:r>
    </w:p>
    <w:p w14:paraId="33FE1F6D" w14:textId="77777777" w:rsidR="00784156" w:rsidRPr="00784156" w:rsidRDefault="00784156" w:rsidP="00E11387">
      <w:pPr>
        <w:pStyle w:val="Heading2"/>
      </w:pPr>
      <w:r w:rsidRPr="00784156">
        <w:t>Methods:</w:t>
      </w:r>
    </w:p>
    <w:p w14:paraId="370856CA" w14:textId="77777777" w:rsidR="00784156" w:rsidRPr="00784156" w:rsidRDefault="00784156" w:rsidP="00784156">
      <w:pPr>
        <w:rPr>
          <w:rFonts w:cstheme="minorHAnsi"/>
        </w:rPr>
      </w:pPr>
      <w:r w:rsidRPr="00784156">
        <w:rPr>
          <w:rFonts w:cstheme="minorHAnsi"/>
        </w:rPr>
        <w:t xml:space="preserve">Two patients, who presented with features of Brown-Sequard syndrome after sustaining stab wounds to the neck, underwent DTI and tractography of the cervical cord within a week of the injury. DTI metrics were measured within the left and right </w:t>
      </w:r>
      <w:proofErr w:type="spellStart"/>
      <w:r w:rsidRPr="00784156">
        <w:rPr>
          <w:rFonts w:cstheme="minorHAnsi"/>
        </w:rPr>
        <w:t>hemicord</w:t>
      </w:r>
      <w:proofErr w:type="spellEnd"/>
      <w:r w:rsidRPr="00784156">
        <w:rPr>
          <w:rFonts w:cstheme="minorHAnsi"/>
        </w:rPr>
        <w:t xml:space="preserve"> around the level of injury. Diffusion tensor tractography was performed to visualize the site of injury and injured fiber tracts.</w:t>
      </w:r>
    </w:p>
    <w:p w14:paraId="55F65414" w14:textId="77777777" w:rsidR="00784156" w:rsidRPr="00784156" w:rsidRDefault="00784156" w:rsidP="00E11387">
      <w:pPr>
        <w:pStyle w:val="Heading2"/>
      </w:pPr>
      <w:r w:rsidRPr="00784156">
        <w:t>Results:</w:t>
      </w:r>
    </w:p>
    <w:p w14:paraId="66047528" w14:textId="77777777" w:rsidR="00784156" w:rsidRPr="00784156" w:rsidRDefault="00784156" w:rsidP="00784156">
      <w:pPr>
        <w:rPr>
          <w:rFonts w:cstheme="minorHAnsi"/>
        </w:rPr>
      </w:pPr>
      <w:r w:rsidRPr="00784156">
        <w:rPr>
          <w:rFonts w:cstheme="minorHAnsi"/>
        </w:rPr>
        <w:t xml:space="preserve">Axial fractional anisotropy maps at the site of injury showed unilateral damage to the cord structure, and FA was significantly reduced within the injured </w:t>
      </w:r>
      <w:proofErr w:type="spellStart"/>
      <w:r w:rsidRPr="00784156">
        <w:rPr>
          <w:rFonts w:cstheme="minorHAnsi"/>
        </w:rPr>
        <w:t>hemicord</w:t>
      </w:r>
      <w:proofErr w:type="spellEnd"/>
      <w:r w:rsidRPr="00784156">
        <w:rPr>
          <w:rFonts w:cstheme="minorHAnsi"/>
        </w:rPr>
        <w:t xml:space="preserve"> in both patients. Tractography allowed for visualization of the injured fiber tracts around the level of injury. Both DTI metrics and tractography showed an asymmetry that corresponded to the neurological deficits exhibited by the patients.</w:t>
      </w:r>
    </w:p>
    <w:p w14:paraId="540F5CF7" w14:textId="77777777" w:rsidR="00784156" w:rsidRPr="00784156" w:rsidRDefault="00784156" w:rsidP="00E11387">
      <w:pPr>
        <w:pStyle w:val="Heading2"/>
      </w:pPr>
      <w:r w:rsidRPr="00784156">
        <w:t>Conclusion:</w:t>
      </w:r>
    </w:p>
    <w:p w14:paraId="6C6E5CF9" w14:textId="77777777" w:rsidR="00784156" w:rsidRPr="00784156" w:rsidRDefault="00784156" w:rsidP="00784156">
      <w:pPr>
        <w:rPr>
          <w:rFonts w:cstheme="minorHAnsi"/>
        </w:rPr>
      </w:pPr>
      <w:r w:rsidRPr="00784156">
        <w:rPr>
          <w:rFonts w:cstheme="minorHAnsi"/>
        </w:rPr>
        <w:t>This report illustrates the utility of DTI and DTT in delineating regions of cord injury in two patients with traumatic Brown-Sequard syndrome. Our results indicate that DTI provides clinically relevant information that supplements conventional MR imaging for patients with acute SCI.</w:t>
      </w:r>
    </w:p>
    <w:p w14:paraId="60F1B637" w14:textId="77777777" w:rsidR="00784156" w:rsidRPr="00784156" w:rsidRDefault="00784156" w:rsidP="00E11387">
      <w:pPr>
        <w:pStyle w:val="Heading1"/>
      </w:pPr>
      <w:r w:rsidRPr="00784156">
        <w:t>Introduction</w:t>
      </w:r>
    </w:p>
    <w:p w14:paraId="33E83C44" w14:textId="77777777" w:rsidR="00784156" w:rsidRPr="00784156" w:rsidRDefault="00784156" w:rsidP="00784156">
      <w:pPr>
        <w:rPr>
          <w:rFonts w:cstheme="minorHAnsi"/>
        </w:rPr>
      </w:pPr>
      <w:r w:rsidRPr="00784156">
        <w:rPr>
          <w:rFonts w:cstheme="minorHAnsi"/>
        </w:rPr>
        <w:t>Diffusion tensor imaging metrics within the spinal cord are sensitive to neural damage in patients with acute spinal cord injury following penetrating cervical cord injury. We sought to determine whether DTI metrics show anatomical asymmetry that matches clinical presentation.</w:t>
      </w:r>
    </w:p>
    <w:p w14:paraId="6F5CBFD6" w14:textId="77777777" w:rsidR="00784156" w:rsidRPr="00784156" w:rsidRDefault="00784156" w:rsidP="00E11387">
      <w:pPr>
        <w:pStyle w:val="Heading1"/>
      </w:pPr>
      <w:r w:rsidRPr="00784156">
        <w:t>Case reports</w:t>
      </w:r>
    </w:p>
    <w:p w14:paraId="54386B5A" w14:textId="77777777" w:rsidR="00784156" w:rsidRPr="00784156" w:rsidRDefault="00784156" w:rsidP="00E11387">
      <w:pPr>
        <w:pStyle w:val="Heading2"/>
      </w:pPr>
      <w:r w:rsidRPr="00784156">
        <w:t>Patient 1</w:t>
      </w:r>
    </w:p>
    <w:p w14:paraId="137B4A38" w14:textId="77777777" w:rsidR="00784156" w:rsidRPr="00784156" w:rsidRDefault="00784156" w:rsidP="00784156">
      <w:pPr>
        <w:rPr>
          <w:rFonts w:cstheme="minorHAnsi"/>
        </w:rPr>
      </w:pPr>
      <w:r w:rsidRPr="00784156">
        <w:rPr>
          <w:rFonts w:cstheme="minorHAnsi"/>
        </w:rPr>
        <w:t xml:space="preserve">A </w:t>
      </w:r>
      <w:proofErr w:type="gramStart"/>
      <w:r w:rsidRPr="00784156">
        <w:rPr>
          <w:rFonts w:cstheme="minorHAnsi"/>
        </w:rPr>
        <w:t>51-year old</w:t>
      </w:r>
      <w:proofErr w:type="gramEnd"/>
      <w:r w:rsidRPr="00784156">
        <w:rPr>
          <w:rFonts w:cstheme="minorHAnsi"/>
        </w:rPr>
        <w:t xml:space="preserve"> male presented with stab wounds to the neck following assault. On examination, he had decreased motor strength in the left upper and lower limbs (MRC grades: elbow—4/5, wrist—4/5, hip/knee/ankle—0/5). On the right side, he had 5/5 motor strength throughout. Sensory examination revealed impaired pinprick sensation only on the right side. Light touch and proprioception were intact bilaterally. On the left, knee jerk was absent and ankle jerk was diminished. Plantar reflexes were flexor bilaterally.</w:t>
      </w:r>
    </w:p>
    <w:p w14:paraId="7BDAF6BE" w14:textId="77777777" w:rsidR="00784156" w:rsidRPr="00784156" w:rsidRDefault="00784156" w:rsidP="00E11387">
      <w:pPr>
        <w:pStyle w:val="Heading2"/>
      </w:pPr>
      <w:r w:rsidRPr="00784156">
        <w:t>Patient 2</w:t>
      </w:r>
    </w:p>
    <w:p w14:paraId="1A38E444" w14:textId="77777777" w:rsidR="00784156" w:rsidRPr="00784156" w:rsidRDefault="00784156" w:rsidP="00784156">
      <w:pPr>
        <w:rPr>
          <w:rFonts w:cstheme="minorHAnsi"/>
        </w:rPr>
      </w:pPr>
      <w:r w:rsidRPr="00784156">
        <w:rPr>
          <w:rFonts w:cstheme="minorHAnsi"/>
        </w:rPr>
        <w:t xml:space="preserve">A </w:t>
      </w:r>
      <w:proofErr w:type="gramStart"/>
      <w:r w:rsidRPr="00784156">
        <w:rPr>
          <w:rFonts w:cstheme="minorHAnsi"/>
        </w:rPr>
        <w:t>32-year old</w:t>
      </w:r>
      <w:proofErr w:type="gramEnd"/>
      <w:r w:rsidRPr="00784156">
        <w:rPr>
          <w:rFonts w:cstheme="minorHAnsi"/>
        </w:rPr>
        <w:t xml:space="preserve"> male presented to the ER following a stab wound to the neck. Motor examination revealed weakness on the right side (maximum MRC grade: upper limb—3/5, lower limb—3/5). Sensory examination showed absent pinprick sensation in the left upper and lower extremities and diminished sensation to light </w:t>
      </w:r>
      <w:r w:rsidRPr="00784156">
        <w:rPr>
          <w:rFonts w:cstheme="minorHAnsi"/>
        </w:rPr>
        <w:lastRenderedPageBreak/>
        <w:t>touch in the right upper and lower limb. CSF leakage was noted from the wound, which was closed primarily with deep subcutaneous sutures.</w:t>
      </w:r>
    </w:p>
    <w:p w14:paraId="1399C751" w14:textId="77777777" w:rsidR="00784156" w:rsidRPr="00784156" w:rsidRDefault="00784156" w:rsidP="001306D5">
      <w:pPr>
        <w:pStyle w:val="Heading2"/>
      </w:pPr>
      <w:r w:rsidRPr="00784156">
        <w:t>Imaging protocol</w:t>
      </w:r>
    </w:p>
    <w:p w14:paraId="0D803443" w14:textId="77777777" w:rsidR="00784156" w:rsidRPr="00784156" w:rsidRDefault="00784156" w:rsidP="00784156">
      <w:pPr>
        <w:rPr>
          <w:rFonts w:cstheme="minorHAnsi"/>
        </w:rPr>
      </w:pPr>
      <w:r w:rsidRPr="00784156">
        <w:rPr>
          <w:rFonts w:cstheme="minorHAnsi"/>
        </w:rPr>
        <w:t>Both patients underwent DTI using a 1.5T MR scanner within a week following injury were acquired along 15 distinct directions at a b-value of 600 s/mm</w:t>
      </w:r>
      <w:r w:rsidRPr="00784156">
        <w:rPr>
          <w:rFonts w:cstheme="minorHAnsi"/>
          <w:vertAlign w:val="superscript"/>
        </w:rPr>
        <w:t>2</w:t>
      </w:r>
      <w:r w:rsidRPr="00784156">
        <w:rPr>
          <w:rFonts w:cstheme="minorHAnsi"/>
        </w:rPr>
        <w:t> using a TR/TE of 5000/98.2 </w:t>
      </w:r>
      <w:proofErr w:type="spellStart"/>
      <w:r w:rsidRPr="00784156">
        <w:rPr>
          <w:rFonts w:cstheme="minorHAnsi"/>
        </w:rPr>
        <w:t>ms</w:t>
      </w:r>
      <w:proofErr w:type="spellEnd"/>
      <w:r w:rsidRPr="00784156">
        <w:rPr>
          <w:rFonts w:cstheme="minorHAnsi"/>
        </w:rPr>
        <w:t>, matrix size of 128 × 128, and FOV of 19 cm</w:t>
      </w:r>
      <w:r w:rsidRPr="00784156">
        <w:rPr>
          <w:rFonts w:cstheme="minorHAnsi"/>
          <w:vertAlign w:val="superscript"/>
        </w:rPr>
        <w:t>2</w:t>
      </w:r>
      <w:r w:rsidRPr="00784156">
        <w:rPr>
          <w:rFonts w:cstheme="minorHAnsi"/>
        </w:rPr>
        <w:t>.</w:t>
      </w:r>
    </w:p>
    <w:p w14:paraId="0A61ACE9" w14:textId="77777777" w:rsidR="00784156" w:rsidRPr="00784156" w:rsidRDefault="00784156" w:rsidP="00784156">
      <w:pPr>
        <w:rPr>
          <w:rFonts w:cstheme="minorHAnsi"/>
        </w:rPr>
      </w:pPr>
      <w:r w:rsidRPr="00784156">
        <w:rPr>
          <w:rFonts w:cstheme="minorHAnsi"/>
        </w:rPr>
        <w:t xml:space="preserve">Images were processed using Analysis of Functional </w:t>
      </w:r>
      <w:proofErr w:type="spellStart"/>
      <w:r w:rsidRPr="00784156">
        <w:rPr>
          <w:rFonts w:cstheme="minorHAnsi"/>
        </w:rPr>
        <w:t>NeuroImages</w:t>
      </w:r>
      <w:proofErr w:type="spellEnd"/>
      <w:r w:rsidRPr="00784156">
        <w:rPr>
          <w:rFonts w:cstheme="minorHAnsi"/>
        </w:rPr>
        <w:t xml:space="preserve"> processing suite and </w:t>
      </w:r>
      <w:proofErr w:type="spellStart"/>
      <w:r w:rsidRPr="00784156">
        <w:rPr>
          <w:rFonts w:cstheme="minorHAnsi"/>
        </w:rPr>
        <w:t>Matlab</w:t>
      </w:r>
      <w:proofErr w:type="spellEnd"/>
      <w:r w:rsidRPr="00784156">
        <w:rPr>
          <w:rFonts w:cstheme="minorHAnsi"/>
        </w:rPr>
        <w:t xml:space="preserve"> maps by two investigators independently. The average DTI indices are reported. Diffusion tensor tractography was performed using DSI Studio (</w:t>
      </w:r>
      <w:hyperlink r:id="rId10" w:history="1">
        <w:r w:rsidRPr="00784156">
          <w:rPr>
            <w:rStyle w:val="Hyperlink"/>
            <w:rFonts w:cstheme="minorHAnsi"/>
          </w:rPr>
          <w:t>http://dsi-studio.labsolver.org</w:t>
        </w:r>
      </w:hyperlink>
      <w:r w:rsidRPr="00784156">
        <w:rPr>
          <w:rFonts w:cstheme="minorHAnsi"/>
        </w:rPr>
        <w:t>). Tractography was performed using a Runge-</w:t>
      </w:r>
      <w:proofErr w:type="spellStart"/>
      <w:r w:rsidRPr="00784156">
        <w:rPr>
          <w:rFonts w:cstheme="minorHAnsi"/>
        </w:rPr>
        <w:t>Kutta</w:t>
      </w:r>
      <w:proofErr w:type="spellEnd"/>
      <w:r w:rsidRPr="00784156">
        <w:rPr>
          <w:rFonts w:cstheme="minorHAnsi"/>
        </w:rPr>
        <w:t xml:space="preserve"> algorithm to generate 1500 tracts using an angle threshold of 45°, FA threshold of 0.18, step size of 0.1 mm, and length constraint of 10 mm.</w:t>
      </w:r>
    </w:p>
    <w:p w14:paraId="60330D75" w14:textId="77777777" w:rsidR="00784156" w:rsidRPr="00784156" w:rsidRDefault="00784156" w:rsidP="00784156">
      <w:pPr>
        <w:rPr>
          <w:rFonts w:cstheme="minorHAnsi"/>
        </w:rPr>
      </w:pPr>
      <w:r w:rsidRPr="00784156">
        <w:rPr>
          <w:rFonts w:cstheme="minorHAnsi"/>
        </w:rPr>
        <w:t>Cervical cord segments showing intramedullary hyperintensity on sagittal T2W images were defined as the injury zone. FA maps and DTT within the injury zone are shown in </w:t>
      </w:r>
      <w:hyperlink r:id="rId11" w:anchor="Fig1" w:history="1">
        <w:r w:rsidRPr="00784156">
          <w:rPr>
            <w:rStyle w:val="Hyperlink"/>
            <w:rFonts w:cstheme="minorHAnsi"/>
          </w:rPr>
          <w:t>Figures 1</w:t>
        </w:r>
      </w:hyperlink>
      <w:r w:rsidRPr="00784156">
        <w:rPr>
          <w:rFonts w:cstheme="minorHAnsi"/>
        </w:rPr>
        <w:t> and </w:t>
      </w:r>
      <w:hyperlink r:id="rId12" w:anchor="Fig2" w:history="1">
        <w:r w:rsidRPr="00784156">
          <w:rPr>
            <w:rStyle w:val="Hyperlink"/>
            <w:rFonts w:cstheme="minorHAnsi"/>
          </w:rPr>
          <w:t>2</w:t>
        </w:r>
      </w:hyperlink>
      <w:r w:rsidRPr="00784156">
        <w:rPr>
          <w:rFonts w:cstheme="minorHAnsi"/>
        </w:rPr>
        <w:t>. DTI metrics within the injury zone are shown in </w:t>
      </w:r>
      <w:hyperlink r:id="rId13" w:anchor="Tab1" w:history="1">
        <w:r w:rsidRPr="00784156">
          <w:rPr>
            <w:rStyle w:val="Hyperlink"/>
            <w:rFonts w:cstheme="minorHAnsi"/>
          </w:rPr>
          <w:t>Table 1</w:t>
        </w:r>
      </w:hyperlink>
      <w:r w:rsidRPr="00784156">
        <w:rPr>
          <w:rFonts w:cstheme="minorHAnsi"/>
        </w:rPr>
        <w:t>. There was an asymmetry in DTI metrics that corresponded with physical exam.</w:t>
      </w:r>
    </w:p>
    <w:p w14:paraId="63E20AB1" w14:textId="59C17666" w:rsidR="00784156" w:rsidRPr="00784156" w:rsidRDefault="00784156" w:rsidP="001306D5">
      <w:pPr>
        <w:pStyle w:val="NoSpacing"/>
      </w:pPr>
      <w:r w:rsidRPr="00784156">
        <w:rPr>
          <w:noProof/>
        </w:rPr>
        <w:drawing>
          <wp:inline distT="0" distB="0" distL="0" distR="0" wp14:anchorId="3A0C7BDD" wp14:editId="523508C8">
            <wp:extent cx="2743200" cy="3922776"/>
            <wp:effectExtent l="0" t="0" r="0" b="1905"/>
            <wp:docPr id="347" name="Picture 347" descr="figure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0" descr="figure1">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922776"/>
                    </a:xfrm>
                    <a:prstGeom prst="rect">
                      <a:avLst/>
                    </a:prstGeom>
                    <a:noFill/>
                    <a:ln>
                      <a:noFill/>
                    </a:ln>
                  </pic:spPr>
                </pic:pic>
              </a:graphicData>
            </a:graphic>
          </wp:inline>
        </w:drawing>
      </w:r>
    </w:p>
    <w:p w14:paraId="71C103EF" w14:textId="640478D5" w:rsidR="00784156" w:rsidRPr="00784156" w:rsidRDefault="001306D5" w:rsidP="00784156">
      <w:pPr>
        <w:rPr>
          <w:rFonts w:cstheme="minorHAnsi"/>
        </w:rPr>
      </w:pPr>
      <w:r w:rsidRPr="00784156">
        <w:rPr>
          <w:rFonts w:cstheme="minorHAnsi"/>
          <w:b/>
          <w:bCs/>
        </w:rPr>
        <w:t>Figure 1</w:t>
      </w:r>
      <w:r>
        <w:rPr>
          <w:rFonts w:cstheme="minorHAnsi"/>
        </w:rPr>
        <w:t xml:space="preserve"> </w:t>
      </w:r>
      <w:r w:rsidR="00784156" w:rsidRPr="00784156">
        <w:rPr>
          <w:rFonts w:cstheme="minorHAnsi"/>
        </w:rPr>
        <w:t xml:space="preserve">T2W left parasagittal image of the cervical spine in Patient 1 showing the site of injury Mid-sagittal T2W image showing intramedullary hyperintensity between C4–C6 Axial T2W image at the injury site showing ill-defined hyperintensity within the left </w:t>
      </w:r>
      <w:proofErr w:type="spellStart"/>
      <w:r w:rsidR="00784156" w:rsidRPr="00784156">
        <w:rPr>
          <w:rFonts w:cstheme="minorHAnsi"/>
        </w:rPr>
        <w:t>hemicord</w:t>
      </w:r>
      <w:proofErr w:type="spellEnd"/>
      <w:r w:rsidR="00784156" w:rsidRPr="00784156">
        <w:rPr>
          <w:rFonts w:cstheme="minorHAnsi"/>
        </w:rPr>
        <w:t xml:space="preserve">. Block arrow shows the direction of injury; Axial FA map at the injury site showing obliteration of the cord structure particularly within the left </w:t>
      </w:r>
      <w:proofErr w:type="spellStart"/>
      <w:r w:rsidR="00784156" w:rsidRPr="00784156">
        <w:rPr>
          <w:rFonts w:cstheme="minorHAnsi"/>
        </w:rPr>
        <w:t>hemicord</w:t>
      </w:r>
      <w:proofErr w:type="spellEnd"/>
      <w:r w:rsidR="00784156" w:rsidRPr="00784156">
        <w:rPr>
          <w:rFonts w:cstheme="minorHAnsi"/>
        </w:rPr>
        <w:t xml:space="preserve"> Anterior view of fiber tracts around the site of injury shows disrupted white matter tracts and low anisotropic fibers on the left half of the cord (R—right, L—left). A full color version of this figure is available at the </w:t>
      </w:r>
      <w:r w:rsidR="00784156" w:rsidRPr="00784156">
        <w:rPr>
          <w:rFonts w:cstheme="minorHAnsi"/>
          <w:i/>
          <w:iCs/>
        </w:rPr>
        <w:t>Spinal Cord</w:t>
      </w:r>
      <w:r w:rsidR="00784156" w:rsidRPr="00784156">
        <w:rPr>
          <w:rFonts w:cstheme="minorHAnsi"/>
        </w:rPr>
        <w:t> journal online.</w:t>
      </w:r>
    </w:p>
    <w:p w14:paraId="1B77AAEA" w14:textId="5C407F1F" w:rsidR="00784156" w:rsidRPr="00784156" w:rsidRDefault="00784156" w:rsidP="00784156">
      <w:pPr>
        <w:rPr>
          <w:rFonts w:cstheme="minorHAnsi"/>
        </w:rPr>
      </w:pPr>
      <w:r w:rsidRPr="00784156">
        <w:rPr>
          <w:rFonts w:cstheme="minorHAnsi"/>
          <w:noProof/>
        </w:rPr>
        <w:lastRenderedPageBreak/>
        <w:drawing>
          <wp:inline distT="0" distB="0" distL="0" distR="0" wp14:anchorId="0BF89EF6" wp14:editId="1C64A800">
            <wp:extent cx="1691640" cy="3657600"/>
            <wp:effectExtent l="0" t="0" r="3810" b="0"/>
            <wp:docPr id="346" name="Picture 346" descr="figure2">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1" descr="figure2">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91640" cy="3657600"/>
                    </a:xfrm>
                    <a:prstGeom prst="rect">
                      <a:avLst/>
                    </a:prstGeom>
                    <a:noFill/>
                    <a:ln>
                      <a:noFill/>
                    </a:ln>
                  </pic:spPr>
                </pic:pic>
              </a:graphicData>
            </a:graphic>
          </wp:inline>
        </w:drawing>
      </w:r>
    </w:p>
    <w:p w14:paraId="58E48EB9" w14:textId="0C14FE18" w:rsidR="00784156" w:rsidRPr="00784156" w:rsidRDefault="001306D5" w:rsidP="00784156">
      <w:pPr>
        <w:rPr>
          <w:rFonts w:cstheme="minorHAnsi"/>
        </w:rPr>
      </w:pPr>
      <w:r w:rsidRPr="00784156">
        <w:rPr>
          <w:rFonts w:cstheme="minorHAnsi"/>
          <w:b/>
          <w:bCs/>
        </w:rPr>
        <w:t>Figure 2</w:t>
      </w:r>
      <w:r>
        <w:rPr>
          <w:rFonts w:cstheme="minorHAnsi"/>
        </w:rPr>
        <w:t xml:space="preserve"> </w:t>
      </w:r>
      <w:r w:rsidR="00784156" w:rsidRPr="00784156">
        <w:rPr>
          <w:rFonts w:cstheme="minorHAnsi"/>
        </w:rPr>
        <w:t>Sagittal T2W cervical spine image in Patient 2 showing a linear hyperintensity between C1–C2 T2W axial image of the cervical cord at the site of injury showing hyperintensity in the right half of the cord Axial FA map showing the posterolateral site of injury and incomplete cord structure Anterior view of fiber tracts showing the site of injury on the right (color bar represents mean anisotropy). A full color version of this figure is available at the </w:t>
      </w:r>
      <w:r w:rsidR="00784156" w:rsidRPr="00784156">
        <w:rPr>
          <w:rFonts w:cstheme="minorHAnsi"/>
          <w:i/>
          <w:iCs/>
        </w:rPr>
        <w:t>Spinal Cord</w:t>
      </w:r>
      <w:r w:rsidR="00784156" w:rsidRPr="00784156">
        <w:rPr>
          <w:rFonts w:cstheme="minorHAnsi"/>
        </w:rPr>
        <w:t> journal online.</w:t>
      </w:r>
    </w:p>
    <w:p w14:paraId="7D513034" w14:textId="77777777" w:rsidR="00784156" w:rsidRPr="00784156" w:rsidRDefault="00784156" w:rsidP="00784156">
      <w:pPr>
        <w:rPr>
          <w:rFonts w:cstheme="minorHAnsi"/>
        </w:rPr>
      </w:pPr>
      <w:r w:rsidRPr="00784156">
        <w:rPr>
          <w:rFonts w:cstheme="minorHAnsi"/>
          <w:b/>
          <w:bCs/>
        </w:rPr>
        <w:t>Table 1 DTI metrics at the injury zone in 2 patients with traumatic Brown-Sequard syndrome</w:t>
      </w:r>
    </w:p>
    <w:tbl>
      <w:tblPr>
        <w:tblStyle w:val="TableGrid"/>
        <w:tblW w:w="0" w:type="auto"/>
        <w:tblLook w:val="04A0" w:firstRow="1" w:lastRow="0" w:firstColumn="1" w:lastColumn="0" w:noHBand="0" w:noVBand="1"/>
      </w:tblPr>
      <w:tblGrid>
        <w:gridCol w:w="2137"/>
        <w:gridCol w:w="1260"/>
        <w:gridCol w:w="1190"/>
        <w:gridCol w:w="1190"/>
        <w:gridCol w:w="881"/>
      </w:tblGrid>
      <w:tr w:rsidR="00DF5E48" w:rsidRPr="00DF5E48" w14:paraId="79BD4851" w14:textId="77777777" w:rsidTr="00DF5E48">
        <w:tc>
          <w:tcPr>
            <w:tcW w:w="0" w:type="auto"/>
            <w:hideMark/>
          </w:tcPr>
          <w:p w14:paraId="6E3F9AB4" w14:textId="77777777" w:rsidR="00DF5E48" w:rsidRPr="00DF5E48" w:rsidRDefault="00DF5E48" w:rsidP="00DF5E48">
            <w:pPr>
              <w:spacing w:line="259" w:lineRule="auto"/>
              <w:rPr>
                <w:b/>
                <w:bCs/>
              </w:rPr>
            </w:pPr>
            <w:r w:rsidRPr="00DF5E48">
              <w:rPr>
                <w:b/>
                <w:bCs/>
              </w:rPr>
              <w:t> </w:t>
            </w:r>
          </w:p>
        </w:tc>
        <w:tc>
          <w:tcPr>
            <w:tcW w:w="0" w:type="auto"/>
            <w:hideMark/>
          </w:tcPr>
          <w:p w14:paraId="191ED2A5" w14:textId="77777777" w:rsidR="00DF5E48" w:rsidRPr="00DF5E48" w:rsidRDefault="00DF5E48" w:rsidP="00DF5E48">
            <w:pPr>
              <w:spacing w:line="259" w:lineRule="auto"/>
              <w:rPr>
                <w:b/>
                <w:bCs/>
              </w:rPr>
            </w:pPr>
            <w:r w:rsidRPr="00DF5E48">
              <w:rPr>
                <w:b/>
                <w:bCs/>
                <w:i/>
                <w:iCs/>
              </w:rPr>
              <w:t>Whole cord</w:t>
            </w:r>
          </w:p>
        </w:tc>
        <w:tc>
          <w:tcPr>
            <w:tcW w:w="0" w:type="auto"/>
            <w:hideMark/>
          </w:tcPr>
          <w:p w14:paraId="4E83C31B" w14:textId="77777777" w:rsidR="00DF5E48" w:rsidRPr="00DF5E48" w:rsidRDefault="00DF5E48" w:rsidP="00DF5E48">
            <w:pPr>
              <w:spacing w:line="259" w:lineRule="auto"/>
              <w:rPr>
                <w:b/>
                <w:bCs/>
              </w:rPr>
            </w:pPr>
            <w:r w:rsidRPr="00DF5E48">
              <w:rPr>
                <w:b/>
                <w:bCs/>
                <w:i/>
                <w:iCs/>
              </w:rPr>
              <w:t>Right</w:t>
            </w:r>
          </w:p>
        </w:tc>
        <w:tc>
          <w:tcPr>
            <w:tcW w:w="0" w:type="auto"/>
            <w:hideMark/>
          </w:tcPr>
          <w:p w14:paraId="2FE0C15F" w14:textId="77777777" w:rsidR="00DF5E48" w:rsidRPr="00DF5E48" w:rsidRDefault="00DF5E48" w:rsidP="00DF5E48">
            <w:pPr>
              <w:spacing w:line="259" w:lineRule="auto"/>
              <w:rPr>
                <w:b/>
                <w:bCs/>
              </w:rPr>
            </w:pPr>
            <w:r w:rsidRPr="00DF5E48">
              <w:rPr>
                <w:b/>
                <w:bCs/>
                <w:i/>
                <w:iCs/>
              </w:rPr>
              <w:t>Left</w:t>
            </w:r>
          </w:p>
        </w:tc>
        <w:tc>
          <w:tcPr>
            <w:tcW w:w="0" w:type="auto"/>
            <w:hideMark/>
          </w:tcPr>
          <w:p w14:paraId="5C6715D4" w14:textId="77777777" w:rsidR="00DF5E48" w:rsidRPr="00DF5E48" w:rsidRDefault="00DF5E48" w:rsidP="00DF5E48">
            <w:pPr>
              <w:spacing w:line="259" w:lineRule="auto"/>
              <w:rPr>
                <w:b/>
                <w:bCs/>
              </w:rPr>
            </w:pPr>
            <w:r w:rsidRPr="00DF5E48">
              <w:rPr>
                <w:b/>
                <w:bCs/>
              </w:rPr>
              <w:t>P </w:t>
            </w:r>
            <w:r w:rsidRPr="00DF5E48">
              <w:rPr>
                <w:b/>
                <w:bCs/>
                <w:i/>
                <w:iCs/>
              </w:rPr>
              <w:t>value</w:t>
            </w:r>
          </w:p>
        </w:tc>
      </w:tr>
      <w:tr w:rsidR="00DF5E48" w:rsidRPr="00DF5E48" w14:paraId="6212ED79" w14:textId="77777777" w:rsidTr="00DF5E48">
        <w:tc>
          <w:tcPr>
            <w:tcW w:w="0" w:type="auto"/>
            <w:hideMark/>
          </w:tcPr>
          <w:p w14:paraId="6D8C579D" w14:textId="77777777" w:rsidR="00DF5E48" w:rsidRPr="00DF5E48" w:rsidRDefault="00DF5E48" w:rsidP="00DF5E48">
            <w:pPr>
              <w:spacing w:line="259" w:lineRule="auto"/>
            </w:pPr>
            <w:r w:rsidRPr="00DF5E48">
              <w:rPr>
                <w:i/>
                <w:iCs/>
              </w:rPr>
              <w:t>Patient 1</w:t>
            </w:r>
          </w:p>
        </w:tc>
        <w:tc>
          <w:tcPr>
            <w:tcW w:w="0" w:type="auto"/>
            <w:hideMark/>
          </w:tcPr>
          <w:p w14:paraId="3C0A1C8B" w14:textId="77777777" w:rsidR="00DF5E48" w:rsidRPr="00DF5E48" w:rsidRDefault="00DF5E48" w:rsidP="00DF5E48">
            <w:pPr>
              <w:spacing w:line="259" w:lineRule="auto"/>
            </w:pPr>
            <w:r w:rsidRPr="00DF5E48">
              <w:t> </w:t>
            </w:r>
          </w:p>
        </w:tc>
        <w:tc>
          <w:tcPr>
            <w:tcW w:w="0" w:type="auto"/>
            <w:hideMark/>
          </w:tcPr>
          <w:p w14:paraId="6AF5D9BC" w14:textId="77777777" w:rsidR="00DF5E48" w:rsidRPr="00DF5E48" w:rsidRDefault="00DF5E48" w:rsidP="00DF5E48">
            <w:pPr>
              <w:spacing w:line="259" w:lineRule="auto"/>
            </w:pPr>
            <w:r w:rsidRPr="00DF5E48">
              <w:t> </w:t>
            </w:r>
          </w:p>
        </w:tc>
        <w:tc>
          <w:tcPr>
            <w:tcW w:w="0" w:type="auto"/>
            <w:hideMark/>
          </w:tcPr>
          <w:p w14:paraId="74AEE7F2" w14:textId="77777777" w:rsidR="00DF5E48" w:rsidRPr="00DF5E48" w:rsidRDefault="00DF5E48" w:rsidP="00DF5E48">
            <w:pPr>
              <w:spacing w:line="259" w:lineRule="auto"/>
            </w:pPr>
            <w:r w:rsidRPr="00DF5E48">
              <w:t> </w:t>
            </w:r>
          </w:p>
        </w:tc>
        <w:tc>
          <w:tcPr>
            <w:tcW w:w="0" w:type="auto"/>
            <w:hideMark/>
          </w:tcPr>
          <w:p w14:paraId="7505296B" w14:textId="77777777" w:rsidR="00DF5E48" w:rsidRPr="00DF5E48" w:rsidRDefault="00DF5E48" w:rsidP="00DF5E48">
            <w:pPr>
              <w:spacing w:line="259" w:lineRule="auto"/>
            </w:pPr>
            <w:r w:rsidRPr="00DF5E48">
              <w:t> </w:t>
            </w:r>
          </w:p>
        </w:tc>
      </w:tr>
      <w:tr w:rsidR="00DF5E48" w:rsidRPr="00DF5E48" w14:paraId="64BAF9C5" w14:textId="77777777" w:rsidTr="00DF5E48">
        <w:tc>
          <w:tcPr>
            <w:tcW w:w="0" w:type="auto"/>
            <w:hideMark/>
          </w:tcPr>
          <w:p w14:paraId="0B2D21B0" w14:textId="77777777" w:rsidR="00DF5E48" w:rsidRPr="00DF5E48" w:rsidRDefault="00DF5E48" w:rsidP="00DF5E48">
            <w:pPr>
              <w:spacing w:line="259" w:lineRule="auto"/>
            </w:pPr>
            <w:r w:rsidRPr="00DF5E48">
              <w:rPr>
                <w:i/>
                <w:iCs/>
              </w:rPr>
              <w:t> </w:t>
            </w:r>
            <w:r w:rsidRPr="00DF5E48">
              <w:rPr>
                <w:i/>
                <w:iCs/>
              </w:rPr>
              <w:t>Injury zone (C4–C6)</w:t>
            </w:r>
          </w:p>
        </w:tc>
        <w:tc>
          <w:tcPr>
            <w:tcW w:w="0" w:type="auto"/>
            <w:hideMark/>
          </w:tcPr>
          <w:p w14:paraId="5D721189" w14:textId="77777777" w:rsidR="00DF5E48" w:rsidRPr="00DF5E48" w:rsidRDefault="00DF5E48" w:rsidP="00DF5E48">
            <w:pPr>
              <w:spacing w:line="259" w:lineRule="auto"/>
            </w:pPr>
            <w:r w:rsidRPr="00DF5E48">
              <w:t> </w:t>
            </w:r>
          </w:p>
        </w:tc>
        <w:tc>
          <w:tcPr>
            <w:tcW w:w="0" w:type="auto"/>
            <w:hideMark/>
          </w:tcPr>
          <w:p w14:paraId="7C17A23D" w14:textId="77777777" w:rsidR="00DF5E48" w:rsidRPr="00DF5E48" w:rsidRDefault="00DF5E48" w:rsidP="00DF5E48">
            <w:pPr>
              <w:spacing w:line="259" w:lineRule="auto"/>
            </w:pPr>
            <w:r w:rsidRPr="00DF5E48">
              <w:t> </w:t>
            </w:r>
          </w:p>
        </w:tc>
        <w:tc>
          <w:tcPr>
            <w:tcW w:w="0" w:type="auto"/>
            <w:hideMark/>
          </w:tcPr>
          <w:p w14:paraId="31B7E676" w14:textId="77777777" w:rsidR="00DF5E48" w:rsidRPr="00DF5E48" w:rsidRDefault="00DF5E48" w:rsidP="00DF5E48">
            <w:pPr>
              <w:spacing w:line="259" w:lineRule="auto"/>
            </w:pPr>
            <w:r w:rsidRPr="00DF5E48">
              <w:t> </w:t>
            </w:r>
          </w:p>
        </w:tc>
        <w:tc>
          <w:tcPr>
            <w:tcW w:w="0" w:type="auto"/>
            <w:hideMark/>
          </w:tcPr>
          <w:p w14:paraId="771110B5" w14:textId="77777777" w:rsidR="00DF5E48" w:rsidRPr="00DF5E48" w:rsidRDefault="00DF5E48" w:rsidP="00DF5E48">
            <w:pPr>
              <w:spacing w:line="259" w:lineRule="auto"/>
            </w:pPr>
            <w:r w:rsidRPr="00DF5E48">
              <w:t> </w:t>
            </w:r>
          </w:p>
        </w:tc>
      </w:tr>
      <w:tr w:rsidR="00DF5E48" w:rsidRPr="00DF5E48" w14:paraId="5E5801B2" w14:textId="77777777" w:rsidTr="00DF5E48">
        <w:tc>
          <w:tcPr>
            <w:tcW w:w="0" w:type="auto"/>
            <w:hideMark/>
          </w:tcPr>
          <w:p w14:paraId="740CEAE2" w14:textId="77777777" w:rsidR="00DF5E48" w:rsidRPr="00DF5E48" w:rsidRDefault="00DF5E48" w:rsidP="00DF5E48">
            <w:pPr>
              <w:spacing w:line="259" w:lineRule="auto"/>
            </w:pPr>
            <w:r w:rsidRPr="00DF5E48">
              <w:t>FA</w:t>
            </w:r>
          </w:p>
        </w:tc>
        <w:tc>
          <w:tcPr>
            <w:tcW w:w="0" w:type="auto"/>
            <w:hideMark/>
          </w:tcPr>
          <w:p w14:paraId="2E9BC4A8" w14:textId="77777777" w:rsidR="00DF5E48" w:rsidRPr="00DF5E48" w:rsidRDefault="00DF5E48" w:rsidP="00DF5E48">
            <w:pPr>
              <w:spacing w:line="259" w:lineRule="auto"/>
            </w:pPr>
            <w:r w:rsidRPr="00DF5E48">
              <w:t>0.48 (0.02)</w:t>
            </w:r>
          </w:p>
        </w:tc>
        <w:tc>
          <w:tcPr>
            <w:tcW w:w="0" w:type="auto"/>
            <w:hideMark/>
          </w:tcPr>
          <w:p w14:paraId="28D431E1" w14:textId="77777777" w:rsidR="00DF5E48" w:rsidRPr="00DF5E48" w:rsidRDefault="00DF5E48" w:rsidP="00DF5E48">
            <w:pPr>
              <w:spacing w:line="259" w:lineRule="auto"/>
            </w:pPr>
            <w:r w:rsidRPr="00DF5E48">
              <w:t>0.53 (0.08)</w:t>
            </w:r>
          </w:p>
        </w:tc>
        <w:tc>
          <w:tcPr>
            <w:tcW w:w="0" w:type="auto"/>
            <w:hideMark/>
          </w:tcPr>
          <w:p w14:paraId="6F8A5E33" w14:textId="77777777" w:rsidR="00DF5E48" w:rsidRPr="00DF5E48" w:rsidRDefault="00DF5E48" w:rsidP="00DF5E48">
            <w:pPr>
              <w:spacing w:line="259" w:lineRule="auto"/>
            </w:pPr>
            <w:r w:rsidRPr="00DF5E48">
              <w:rPr>
                <w:b/>
                <w:bCs/>
              </w:rPr>
              <w:t>0.41 (0.08)</w:t>
            </w:r>
          </w:p>
        </w:tc>
        <w:tc>
          <w:tcPr>
            <w:tcW w:w="0" w:type="auto"/>
            <w:hideMark/>
          </w:tcPr>
          <w:p w14:paraId="2A4CC616" w14:textId="77777777" w:rsidR="00DF5E48" w:rsidRPr="00DF5E48" w:rsidRDefault="00DF5E48" w:rsidP="00DF5E48">
            <w:pPr>
              <w:spacing w:line="259" w:lineRule="auto"/>
            </w:pPr>
            <w:r w:rsidRPr="00DF5E48">
              <w:t>0.004*</w:t>
            </w:r>
          </w:p>
        </w:tc>
      </w:tr>
      <w:tr w:rsidR="00DF5E48" w:rsidRPr="00DF5E48" w14:paraId="25E1B2DF" w14:textId="77777777" w:rsidTr="00DF5E48">
        <w:tc>
          <w:tcPr>
            <w:tcW w:w="0" w:type="auto"/>
            <w:hideMark/>
          </w:tcPr>
          <w:p w14:paraId="71460358" w14:textId="77777777" w:rsidR="00DF5E48" w:rsidRPr="00DF5E48" w:rsidRDefault="00DF5E48" w:rsidP="00DF5E48">
            <w:pPr>
              <w:spacing w:line="259" w:lineRule="auto"/>
            </w:pPr>
            <w:r w:rsidRPr="00DF5E48">
              <w:t xml:space="preserve">MD </w:t>
            </w:r>
            <w:proofErr w:type="gramStart"/>
            <w:r w:rsidRPr="00DF5E48">
              <w:t>( ×</w:t>
            </w:r>
            <w:proofErr w:type="gramEnd"/>
            <w:r w:rsidRPr="00DF5E48">
              <w:t xml:space="preserve"> 10</w:t>
            </w:r>
            <w:r w:rsidRPr="00DF5E48">
              <w:rPr>
                <w:vertAlign w:val="superscript"/>
              </w:rPr>
              <w:t>−3</w:t>
            </w:r>
            <w:r w:rsidRPr="00DF5E48">
              <w:t> mm</w:t>
            </w:r>
            <w:r w:rsidRPr="00DF5E48">
              <w:rPr>
                <w:vertAlign w:val="superscript"/>
              </w:rPr>
              <w:t>2</w:t>
            </w:r>
            <w:r w:rsidRPr="00DF5E48">
              <w:t> s</w:t>
            </w:r>
            <w:r w:rsidRPr="00DF5E48">
              <w:rPr>
                <w:vertAlign w:val="superscript"/>
              </w:rPr>
              <w:t>−1</w:t>
            </w:r>
            <w:r w:rsidRPr="00DF5E48">
              <w:t>)</w:t>
            </w:r>
          </w:p>
        </w:tc>
        <w:tc>
          <w:tcPr>
            <w:tcW w:w="0" w:type="auto"/>
            <w:hideMark/>
          </w:tcPr>
          <w:p w14:paraId="25FB4693" w14:textId="77777777" w:rsidR="00DF5E48" w:rsidRPr="00DF5E48" w:rsidRDefault="00DF5E48" w:rsidP="00DF5E48">
            <w:pPr>
              <w:spacing w:line="259" w:lineRule="auto"/>
            </w:pPr>
            <w:r w:rsidRPr="00DF5E48">
              <w:t>1.32 (0.05)</w:t>
            </w:r>
          </w:p>
        </w:tc>
        <w:tc>
          <w:tcPr>
            <w:tcW w:w="0" w:type="auto"/>
            <w:hideMark/>
          </w:tcPr>
          <w:p w14:paraId="33CF35C4" w14:textId="77777777" w:rsidR="00DF5E48" w:rsidRPr="00DF5E48" w:rsidRDefault="00DF5E48" w:rsidP="00DF5E48">
            <w:pPr>
              <w:spacing w:line="259" w:lineRule="auto"/>
            </w:pPr>
            <w:r w:rsidRPr="00DF5E48">
              <w:t>1.2 (0.2)</w:t>
            </w:r>
          </w:p>
        </w:tc>
        <w:tc>
          <w:tcPr>
            <w:tcW w:w="0" w:type="auto"/>
            <w:hideMark/>
          </w:tcPr>
          <w:p w14:paraId="2F4E7B2B" w14:textId="77777777" w:rsidR="00DF5E48" w:rsidRPr="00DF5E48" w:rsidRDefault="00DF5E48" w:rsidP="00DF5E48">
            <w:pPr>
              <w:spacing w:line="259" w:lineRule="auto"/>
            </w:pPr>
            <w:r w:rsidRPr="00DF5E48">
              <w:rPr>
                <w:b/>
                <w:bCs/>
              </w:rPr>
              <w:t>1.51 (0.1)</w:t>
            </w:r>
          </w:p>
        </w:tc>
        <w:tc>
          <w:tcPr>
            <w:tcW w:w="0" w:type="auto"/>
            <w:hideMark/>
          </w:tcPr>
          <w:p w14:paraId="70D7E7BA" w14:textId="77777777" w:rsidR="00DF5E48" w:rsidRPr="00DF5E48" w:rsidRDefault="00DF5E48" w:rsidP="00DF5E48">
            <w:pPr>
              <w:spacing w:line="259" w:lineRule="auto"/>
            </w:pPr>
            <w:r w:rsidRPr="00DF5E48">
              <w:t>0.003*</w:t>
            </w:r>
          </w:p>
        </w:tc>
      </w:tr>
      <w:tr w:rsidR="00DF5E48" w:rsidRPr="00DF5E48" w14:paraId="04CCFD38" w14:textId="77777777" w:rsidTr="00DF5E48">
        <w:tc>
          <w:tcPr>
            <w:tcW w:w="0" w:type="auto"/>
            <w:hideMark/>
          </w:tcPr>
          <w:p w14:paraId="24722ECE" w14:textId="77777777" w:rsidR="00DF5E48" w:rsidRPr="00DF5E48" w:rsidRDefault="00DF5E48" w:rsidP="00DF5E48">
            <w:r w:rsidRPr="00DF5E48">
              <w:rPr>
                <w:i/>
                <w:iCs/>
              </w:rPr>
              <w:t>Patient 2</w:t>
            </w:r>
          </w:p>
        </w:tc>
        <w:tc>
          <w:tcPr>
            <w:tcW w:w="0" w:type="auto"/>
          </w:tcPr>
          <w:p w14:paraId="4B7A4E88" w14:textId="77777777" w:rsidR="00DF5E48" w:rsidRPr="00DF5E48" w:rsidRDefault="00DF5E48" w:rsidP="00DF5E48"/>
        </w:tc>
        <w:tc>
          <w:tcPr>
            <w:tcW w:w="0" w:type="auto"/>
          </w:tcPr>
          <w:p w14:paraId="2E238C00" w14:textId="77777777" w:rsidR="00DF5E48" w:rsidRPr="00DF5E48" w:rsidRDefault="00DF5E48" w:rsidP="00DF5E48"/>
        </w:tc>
        <w:tc>
          <w:tcPr>
            <w:tcW w:w="0" w:type="auto"/>
          </w:tcPr>
          <w:p w14:paraId="24BEB89D" w14:textId="77777777" w:rsidR="00DF5E48" w:rsidRPr="00DF5E48" w:rsidRDefault="00DF5E48" w:rsidP="00DF5E48"/>
        </w:tc>
        <w:tc>
          <w:tcPr>
            <w:tcW w:w="0" w:type="auto"/>
          </w:tcPr>
          <w:p w14:paraId="5E97E8DB" w14:textId="45FD60AA" w:rsidR="00DF5E48" w:rsidRPr="00DF5E48" w:rsidRDefault="00DF5E48" w:rsidP="00DF5E48">
            <w:pPr>
              <w:spacing w:line="259" w:lineRule="auto"/>
            </w:pPr>
          </w:p>
        </w:tc>
      </w:tr>
      <w:tr w:rsidR="00DF5E48" w:rsidRPr="00DF5E48" w14:paraId="6F9425A2" w14:textId="77777777" w:rsidTr="00900B3C">
        <w:tc>
          <w:tcPr>
            <w:tcW w:w="0" w:type="auto"/>
            <w:hideMark/>
          </w:tcPr>
          <w:p w14:paraId="611148F6" w14:textId="77777777" w:rsidR="00DF5E48" w:rsidRPr="00DF5E48" w:rsidRDefault="00DF5E48" w:rsidP="00DF5E48">
            <w:r w:rsidRPr="00DF5E48">
              <w:rPr>
                <w:i/>
                <w:iCs/>
              </w:rPr>
              <w:t> </w:t>
            </w:r>
            <w:r w:rsidRPr="00DF5E48">
              <w:rPr>
                <w:i/>
                <w:iCs/>
              </w:rPr>
              <w:t>Injury zone (C1–C2)</w:t>
            </w:r>
          </w:p>
        </w:tc>
        <w:tc>
          <w:tcPr>
            <w:tcW w:w="0" w:type="auto"/>
          </w:tcPr>
          <w:p w14:paraId="0E21A4C4" w14:textId="77777777" w:rsidR="00DF5E48" w:rsidRPr="00DF5E48" w:rsidRDefault="00DF5E48" w:rsidP="00DF5E48"/>
        </w:tc>
        <w:tc>
          <w:tcPr>
            <w:tcW w:w="0" w:type="auto"/>
          </w:tcPr>
          <w:p w14:paraId="3BBAA794" w14:textId="77777777" w:rsidR="00DF5E48" w:rsidRPr="00DF5E48" w:rsidRDefault="00DF5E48" w:rsidP="00DF5E48"/>
        </w:tc>
        <w:tc>
          <w:tcPr>
            <w:tcW w:w="0" w:type="auto"/>
          </w:tcPr>
          <w:p w14:paraId="02BBB156" w14:textId="77777777" w:rsidR="00DF5E48" w:rsidRPr="00DF5E48" w:rsidRDefault="00DF5E48" w:rsidP="00DF5E48"/>
        </w:tc>
        <w:tc>
          <w:tcPr>
            <w:tcW w:w="0" w:type="auto"/>
          </w:tcPr>
          <w:p w14:paraId="471AF0C9" w14:textId="42C029D3" w:rsidR="00DF5E48" w:rsidRPr="00DF5E48" w:rsidRDefault="00DF5E48" w:rsidP="00DF5E48">
            <w:pPr>
              <w:spacing w:line="259" w:lineRule="auto"/>
            </w:pPr>
          </w:p>
        </w:tc>
      </w:tr>
      <w:tr w:rsidR="00DF5E48" w:rsidRPr="00DF5E48" w14:paraId="56EE5675" w14:textId="77777777" w:rsidTr="00DF5E48">
        <w:tc>
          <w:tcPr>
            <w:tcW w:w="0" w:type="auto"/>
            <w:hideMark/>
          </w:tcPr>
          <w:p w14:paraId="2174B728" w14:textId="77777777" w:rsidR="00DF5E48" w:rsidRPr="00DF5E48" w:rsidRDefault="00DF5E48" w:rsidP="00DF5E48">
            <w:pPr>
              <w:spacing w:line="259" w:lineRule="auto"/>
            </w:pPr>
            <w:r w:rsidRPr="00DF5E48">
              <w:t>FA</w:t>
            </w:r>
          </w:p>
        </w:tc>
        <w:tc>
          <w:tcPr>
            <w:tcW w:w="0" w:type="auto"/>
            <w:hideMark/>
          </w:tcPr>
          <w:p w14:paraId="15A34463" w14:textId="77777777" w:rsidR="00DF5E48" w:rsidRPr="00DF5E48" w:rsidRDefault="00DF5E48" w:rsidP="00DF5E48">
            <w:pPr>
              <w:spacing w:line="259" w:lineRule="auto"/>
            </w:pPr>
            <w:r w:rsidRPr="00DF5E48">
              <w:t>0.47 (0.01)</w:t>
            </w:r>
          </w:p>
        </w:tc>
        <w:tc>
          <w:tcPr>
            <w:tcW w:w="0" w:type="auto"/>
            <w:hideMark/>
          </w:tcPr>
          <w:p w14:paraId="33834F0D" w14:textId="77777777" w:rsidR="00DF5E48" w:rsidRPr="00DF5E48" w:rsidRDefault="00DF5E48" w:rsidP="00DF5E48">
            <w:pPr>
              <w:spacing w:line="259" w:lineRule="auto"/>
            </w:pPr>
            <w:r w:rsidRPr="00DF5E48">
              <w:rPr>
                <w:b/>
                <w:bCs/>
              </w:rPr>
              <w:t>0.45 (0.04)</w:t>
            </w:r>
          </w:p>
        </w:tc>
        <w:tc>
          <w:tcPr>
            <w:tcW w:w="0" w:type="auto"/>
            <w:hideMark/>
          </w:tcPr>
          <w:p w14:paraId="4F7C6B55" w14:textId="77777777" w:rsidR="00DF5E48" w:rsidRPr="00DF5E48" w:rsidRDefault="00DF5E48" w:rsidP="00DF5E48">
            <w:pPr>
              <w:spacing w:line="259" w:lineRule="auto"/>
            </w:pPr>
            <w:r w:rsidRPr="00DF5E48">
              <w:t>0.49 (0.04)</w:t>
            </w:r>
          </w:p>
        </w:tc>
        <w:tc>
          <w:tcPr>
            <w:tcW w:w="0" w:type="auto"/>
            <w:hideMark/>
          </w:tcPr>
          <w:p w14:paraId="732E6BE6" w14:textId="77777777" w:rsidR="00DF5E48" w:rsidRPr="00DF5E48" w:rsidRDefault="00DF5E48" w:rsidP="00DF5E48">
            <w:pPr>
              <w:spacing w:line="259" w:lineRule="auto"/>
            </w:pPr>
            <w:r w:rsidRPr="00DF5E48">
              <w:t>0.009*</w:t>
            </w:r>
          </w:p>
        </w:tc>
      </w:tr>
      <w:tr w:rsidR="00DF5E48" w:rsidRPr="00DF5E48" w14:paraId="5674637A" w14:textId="77777777" w:rsidTr="00DF5E48">
        <w:tc>
          <w:tcPr>
            <w:tcW w:w="0" w:type="auto"/>
            <w:hideMark/>
          </w:tcPr>
          <w:p w14:paraId="1077A2BE" w14:textId="77777777" w:rsidR="00DF5E48" w:rsidRPr="00DF5E48" w:rsidRDefault="00DF5E48" w:rsidP="00DF5E48">
            <w:pPr>
              <w:spacing w:line="259" w:lineRule="auto"/>
            </w:pPr>
            <w:r w:rsidRPr="00DF5E48">
              <w:t xml:space="preserve">MD </w:t>
            </w:r>
            <w:proofErr w:type="gramStart"/>
            <w:r w:rsidRPr="00DF5E48">
              <w:t>( ×</w:t>
            </w:r>
            <w:proofErr w:type="gramEnd"/>
            <w:r w:rsidRPr="00DF5E48">
              <w:t xml:space="preserve"> 10</w:t>
            </w:r>
            <w:r w:rsidRPr="00DF5E48">
              <w:rPr>
                <w:vertAlign w:val="superscript"/>
              </w:rPr>
              <w:t>−3</w:t>
            </w:r>
            <w:r w:rsidRPr="00DF5E48">
              <w:t> mm</w:t>
            </w:r>
            <w:r w:rsidRPr="00DF5E48">
              <w:rPr>
                <w:vertAlign w:val="superscript"/>
              </w:rPr>
              <w:t>2</w:t>
            </w:r>
            <w:r w:rsidRPr="00DF5E48">
              <w:t> s</w:t>
            </w:r>
            <w:r w:rsidRPr="00DF5E48">
              <w:rPr>
                <w:vertAlign w:val="superscript"/>
              </w:rPr>
              <w:t>−1</w:t>
            </w:r>
            <w:r w:rsidRPr="00DF5E48">
              <w:t>)</w:t>
            </w:r>
          </w:p>
        </w:tc>
        <w:tc>
          <w:tcPr>
            <w:tcW w:w="0" w:type="auto"/>
            <w:hideMark/>
          </w:tcPr>
          <w:p w14:paraId="58AB1D80" w14:textId="77777777" w:rsidR="00DF5E48" w:rsidRPr="00DF5E48" w:rsidRDefault="00DF5E48" w:rsidP="00DF5E48">
            <w:pPr>
              <w:spacing w:line="259" w:lineRule="auto"/>
            </w:pPr>
            <w:r w:rsidRPr="00DF5E48">
              <w:t>0.91 (0.02)</w:t>
            </w:r>
          </w:p>
        </w:tc>
        <w:tc>
          <w:tcPr>
            <w:tcW w:w="0" w:type="auto"/>
            <w:hideMark/>
          </w:tcPr>
          <w:p w14:paraId="3797A678" w14:textId="77777777" w:rsidR="00DF5E48" w:rsidRPr="00DF5E48" w:rsidRDefault="00DF5E48" w:rsidP="00DF5E48">
            <w:pPr>
              <w:spacing w:line="259" w:lineRule="auto"/>
            </w:pPr>
            <w:r w:rsidRPr="00DF5E48">
              <w:rPr>
                <w:b/>
                <w:bCs/>
              </w:rPr>
              <w:t>0.91 (0.1)</w:t>
            </w:r>
          </w:p>
        </w:tc>
        <w:tc>
          <w:tcPr>
            <w:tcW w:w="0" w:type="auto"/>
            <w:hideMark/>
          </w:tcPr>
          <w:p w14:paraId="4FDA23CF" w14:textId="77777777" w:rsidR="00DF5E48" w:rsidRPr="00DF5E48" w:rsidRDefault="00DF5E48" w:rsidP="00DF5E48">
            <w:pPr>
              <w:spacing w:line="259" w:lineRule="auto"/>
            </w:pPr>
            <w:r w:rsidRPr="00DF5E48">
              <w:t>0.89 (0.1)</w:t>
            </w:r>
          </w:p>
        </w:tc>
        <w:tc>
          <w:tcPr>
            <w:tcW w:w="0" w:type="auto"/>
            <w:hideMark/>
          </w:tcPr>
          <w:p w14:paraId="7E9C8A59" w14:textId="77777777" w:rsidR="00DF5E48" w:rsidRPr="00DF5E48" w:rsidRDefault="00DF5E48" w:rsidP="00DF5E48">
            <w:pPr>
              <w:spacing w:line="259" w:lineRule="auto"/>
            </w:pPr>
            <w:r w:rsidRPr="00DF5E48">
              <w:t>0.54</w:t>
            </w:r>
          </w:p>
        </w:tc>
      </w:tr>
    </w:tbl>
    <w:p w14:paraId="4A1935EE" w14:textId="77777777" w:rsidR="00DF5E48" w:rsidRPr="00DF5E48" w:rsidRDefault="00DF5E48" w:rsidP="00DF5E48">
      <w:r w:rsidRPr="00DF5E48">
        <w:t xml:space="preserve">FA, fractional anisotropy; MD, mean diffusivity. Indices of the injured </w:t>
      </w:r>
      <w:proofErr w:type="spellStart"/>
      <w:r w:rsidRPr="00DF5E48">
        <w:t>hemicord</w:t>
      </w:r>
      <w:proofErr w:type="spellEnd"/>
      <w:r w:rsidRPr="00DF5E48">
        <w:t xml:space="preserve"> are in bold. *</w:t>
      </w:r>
      <w:r w:rsidRPr="00DF5E48">
        <w:rPr>
          <w:i/>
          <w:iCs/>
        </w:rPr>
        <w:t>P</w:t>
      </w:r>
      <w:r w:rsidRPr="00DF5E48">
        <w:t>&lt;0.01.</w:t>
      </w:r>
    </w:p>
    <w:p w14:paraId="2B9E88AC" w14:textId="1486D570" w:rsidR="00784156" w:rsidRPr="00784156" w:rsidRDefault="00784156" w:rsidP="00DF5E48">
      <w:pPr>
        <w:pStyle w:val="Heading1"/>
      </w:pPr>
      <w:r w:rsidRPr="00784156">
        <w:t>Discussion</w:t>
      </w:r>
    </w:p>
    <w:p w14:paraId="7BEE053F" w14:textId="77777777" w:rsidR="00784156" w:rsidRPr="00784156" w:rsidRDefault="00784156" w:rsidP="00784156">
      <w:pPr>
        <w:rPr>
          <w:rFonts w:cstheme="minorHAnsi"/>
        </w:rPr>
      </w:pPr>
      <w:r w:rsidRPr="00784156">
        <w:rPr>
          <w:rFonts w:cstheme="minorHAnsi"/>
        </w:rPr>
        <w:t>Brown-Sequard syndrome is characterized by ipsilateral motor weakness and hypoesthesia, with contralateral loss of pain and temperature sensation below the level of injury.</w:t>
      </w:r>
      <w:hyperlink r:id="rId18" w:anchor="ref-CR2" w:tooltip="Aminoff MJ . Historical perspective Brown-Sequard and his work on the spinal cord. Spine 1996; 21: 133–140." w:history="1">
        <w:r w:rsidRPr="0003361D">
          <w:rPr>
            <w:rStyle w:val="Hyperlink"/>
            <w:rFonts w:cstheme="minorHAnsi"/>
            <w:vertAlign w:val="superscript"/>
          </w:rPr>
          <w:t>2</w:t>
        </w:r>
      </w:hyperlink>
      <w:r w:rsidRPr="00784156">
        <w:rPr>
          <w:rFonts w:cstheme="minorHAnsi"/>
        </w:rPr>
        <w:t xml:space="preserve"> However, the classical syndrome is rarely seen, and patients often present with only asymmetric paresis and </w:t>
      </w:r>
      <w:proofErr w:type="spellStart"/>
      <w:r w:rsidRPr="00784156">
        <w:rPr>
          <w:rFonts w:cstheme="minorHAnsi"/>
        </w:rPr>
        <w:t>hypalgesia</w:t>
      </w:r>
      <w:proofErr w:type="spellEnd"/>
      <w:r w:rsidRPr="00784156">
        <w:rPr>
          <w:rFonts w:cstheme="minorHAnsi"/>
        </w:rPr>
        <w:t xml:space="preserve"> on the less paretic side—termed ‘Brown-Sequard plus syndrome’.</w:t>
      </w:r>
      <w:hyperlink r:id="rId19" w:anchor="ref-CR3" w:tooltip="Roth EJ, Park T, Pang T, Yarkony GM, Lee MY . Traumatic cervical Brown-Sequard and Brown-Sequard-plus syndromes: the spectrum of presentations and outcomes. Paraplegia 1991; 29: 582–589." w:history="1">
        <w:r w:rsidRPr="002C7491">
          <w:rPr>
            <w:rStyle w:val="Hyperlink"/>
            <w:rFonts w:cstheme="minorHAnsi"/>
            <w:vertAlign w:val="superscript"/>
          </w:rPr>
          <w:t>3</w:t>
        </w:r>
      </w:hyperlink>
      <w:r w:rsidRPr="00784156">
        <w:rPr>
          <w:rFonts w:cstheme="minorHAnsi"/>
        </w:rPr>
        <w:t xml:space="preserve"> In the present report, patient 2 presented with the classical syndrome, while patient 1 had features of the ‘plus’ syndrome. Although a number of </w:t>
      </w:r>
      <w:proofErr w:type="spellStart"/>
      <w:r w:rsidRPr="00784156">
        <w:rPr>
          <w:rFonts w:cstheme="minorHAnsi"/>
        </w:rPr>
        <w:t>aetiologies</w:t>
      </w:r>
      <w:proofErr w:type="spellEnd"/>
      <w:r w:rsidRPr="00784156">
        <w:rPr>
          <w:rFonts w:cstheme="minorHAnsi"/>
        </w:rPr>
        <w:t xml:space="preserve"> have been reported,</w:t>
      </w:r>
      <w:hyperlink r:id="rId20" w:anchor="ref-CR4" w:tooltip="Koehler PJ, Endtz LJ . The Brown-Sequard syndrome. True or false? Arch Neurol 1986; 43: 921–924." w:history="1">
        <w:r w:rsidRPr="002C7491">
          <w:rPr>
            <w:rStyle w:val="Hyperlink"/>
            <w:rFonts w:cstheme="minorHAnsi"/>
            <w:vertAlign w:val="superscript"/>
          </w:rPr>
          <w:t>4</w:t>
        </w:r>
      </w:hyperlink>
      <w:r w:rsidRPr="00784156">
        <w:rPr>
          <w:rFonts w:cstheme="minorHAnsi"/>
        </w:rPr>
        <w:t xml:space="preserve"> penetrating SCI continues to be a common cause of Brown-Sequard syndrome. Stab wounds, in particular, predispose to this type of injury since the orientation of the spinous processes and transverse </w:t>
      </w:r>
      <w:r w:rsidRPr="00784156">
        <w:rPr>
          <w:rFonts w:cstheme="minorHAnsi"/>
        </w:rPr>
        <w:lastRenderedPageBreak/>
        <w:t>processes of the vertebrae creates a groove that allows the blade to unilaterally injure the cord.</w:t>
      </w:r>
      <w:hyperlink r:id="rId21" w:anchor="ref-CR5" w:tooltip="Peacock WJ, Shrosbree RD, Key AG . A review of 450 stabwounds of the spinal cord. S Afr Med J 1977; 51: 961–964." w:history="1">
        <w:r w:rsidRPr="002C7491">
          <w:rPr>
            <w:rStyle w:val="Hyperlink"/>
            <w:rFonts w:cstheme="minorHAnsi"/>
            <w:vertAlign w:val="superscript"/>
          </w:rPr>
          <w:t>5</w:t>
        </w:r>
      </w:hyperlink>
      <w:r w:rsidRPr="00784156">
        <w:rPr>
          <w:rFonts w:cstheme="minorHAnsi"/>
        </w:rPr>
        <w:t> The prognosis in patients with Brown-Sequard syndrome is considered to be better than complete SCI, while patients with Brown-Sequard plus syndromes tend to have more favorable outcomes as compared to those with the classical syndrome.</w:t>
      </w:r>
      <w:hyperlink r:id="rId22" w:anchor="ref-CR3" w:tooltip="Roth EJ, Park T, Pang T, Yarkony GM, Lee MY . Traumatic cervical Brown-Sequard and Brown-Sequard-plus syndromes: the spectrum of presentations and outcomes. Paraplegia 1991; 29: 582–589." w:history="1">
        <w:r w:rsidRPr="002C7491">
          <w:rPr>
            <w:rStyle w:val="Hyperlink"/>
            <w:rFonts w:cstheme="minorHAnsi"/>
            <w:vertAlign w:val="superscript"/>
          </w:rPr>
          <w:t>3</w:t>
        </w:r>
      </w:hyperlink>
    </w:p>
    <w:p w14:paraId="754C4F20" w14:textId="77777777" w:rsidR="00784156" w:rsidRPr="00784156" w:rsidRDefault="00784156" w:rsidP="00784156">
      <w:pPr>
        <w:rPr>
          <w:rFonts w:cstheme="minorHAnsi"/>
        </w:rPr>
      </w:pPr>
      <w:r w:rsidRPr="00784156">
        <w:rPr>
          <w:rFonts w:cstheme="minorHAnsi"/>
        </w:rPr>
        <w:t>To the best of our knowledge, only one previous study has documented the role of DTI and DTT in patients with penetrating SCI.</w:t>
      </w:r>
      <w:hyperlink r:id="rId23" w:anchor="ref-CR6" w:tooltip="Rajasekaran S, Kanna RM, Karunanithi R, Shetty AP . Diffusion tensor tractography demonstration of partially injured spinal cord tracts in a patient with posttraumatic Brown Sequard syndrome. J Magn Reson Imaging 2010; 32: 978–981." w:history="1">
        <w:r w:rsidRPr="002C7491">
          <w:rPr>
            <w:rStyle w:val="Hyperlink"/>
            <w:rFonts w:cstheme="minorHAnsi"/>
            <w:vertAlign w:val="superscript"/>
          </w:rPr>
          <w:t>6</w:t>
        </w:r>
      </w:hyperlink>
      <w:r w:rsidRPr="00784156">
        <w:rPr>
          <w:rFonts w:cstheme="minorHAnsi"/>
        </w:rPr>
        <w:t xml:space="preserve"> In that study, DTI was performed in a single patient with BSS 2 months after a thoracic stab injury. </w:t>
      </w:r>
      <w:proofErr w:type="gramStart"/>
      <w:r w:rsidRPr="00784156">
        <w:rPr>
          <w:rFonts w:cstheme="minorHAnsi"/>
        </w:rPr>
        <w:t>Similar to</w:t>
      </w:r>
      <w:proofErr w:type="gramEnd"/>
      <w:r w:rsidRPr="00784156">
        <w:rPr>
          <w:rFonts w:cstheme="minorHAnsi"/>
        </w:rPr>
        <w:t xml:space="preserve"> their results, we found lower FA values and higher MD values at the injury zone. Importantly, FA was significantly reduced within the injured hemi-cord while DTT showed unilateral tract disruption and regions of low anisotropy. As compared to conventional MR imaging, both DTI and DTT provided superior visualization of the asymmetrically injured cervical cord. Additionally, the information provided by DTI and DTT was consistent with the neurological deficits, thereby proving to be clinically relevant.</w:t>
      </w:r>
    </w:p>
    <w:p w14:paraId="0B84679A" w14:textId="77777777" w:rsidR="00784156" w:rsidRPr="00784156" w:rsidRDefault="00784156" w:rsidP="00784156">
      <w:pPr>
        <w:rPr>
          <w:rFonts w:cstheme="minorHAnsi"/>
        </w:rPr>
      </w:pPr>
      <w:r w:rsidRPr="00784156">
        <w:rPr>
          <w:rFonts w:cstheme="minorHAnsi"/>
        </w:rPr>
        <w:t>Previous clinical reports have documented decreased FA and MD in the cervical spinal cord within 24 h post-SCI.</w:t>
      </w:r>
      <w:hyperlink r:id="rId24" w:anchor="ref-CR1" w:tooltip="Shanmuganathan K, Gullapalli R, Zhuo J, Mirvis S . Diffusion tensor MR imaging in cervical spine trauma. AJNR Am J Neuroradiol 2008; 29: 655–659." w:history="1">
        <w:r w:rsidRPr="002C7491">
          <w:rPr>
            <w:rStyle w:val="Hyperlink"/>
            <w:rFonts w:cstheme="minorHAnsi"/>
            <w:vertAlign w:val="superscript"/>
          </w:rPr>
          <w:t>1</w:t>
        </w:r>
      </w:hyperlink>
      <w:r w:rsidRPr="002C7491">
        <w:rPr>
          <w:rFonts w:cstheme="minorHAnsi"/>
          <w:vertAlign w:val="superscript"/>
        </w:rPr>
        <w:t>, </w:t>
      </w:r>
      <w:hyperlink r:id="rId25" w:anchor="ref-CR7" w:tooltip="Cheran S, Shanmuganathan K, Zhuo J, Mirvis SE, Aarabi B, Alexander MT et al Correlation of MR diffusion tensor imaging parameters with ASIA motor scores in hemorrhagic and nonhemorrhagic acute spinal cord injury. J Neurotrauma 2011; 28: 1881–1892." w:history="1">
        <w:r w:rsidRPr="002C7491">
          <w:rPr>
            <w:rStyle w:val="Hyperlink"/>
            <w:rFonts w:cstheme="minorHAnsi"/>
            <w:vertAlign w:val="superscript"/>
          </w:rPr>
          <w:t>7</w:t>
        </w:r>
      </w:hyperlink>
      <w:r w:rsidRPr="00784156">
        <w:rPr>
          <w:rFonts w:cstheme="minorHAnsi"/>
        </w:rPr>
        <w:t> In the present report, both patients showed an increase in MD that may be attributed to progressive lesion growth, as described previously in animal SCI models.</w:t>
      </w:r>
      <w:hyperlink r:id="rId26" w:anchor="ref-CR8" w:tooltip="Ellingson BM, Schmit BD, Kurpad SN . Lesion growth and degeneration patterns measured using diffusion tensor 9.4-T magnetic resonance imaging in rat spinal cord injury. J Neurosurg Spine 2010; 13: 181–192." w:history="1">
        <w:r w:rsidRPr="002C7491">
          <w:rPr>
            <w:rStyle w:val="Hyperlink"/>
            <w:rFonts w:cstheme="minorHAnsi"/>
            <w:vertAlign w:val="superscript"/>
          </w:rPr>
          <w:t>8</w:t>
        </w:r>
      </w:hyperlink>
      <w:r w:rsidRPr="00784156">
        <w:rPr>
          <w:rFonts w:cstheme="minorHAnsi"/>
        </w:rPr>
        <w:t> This suggests a possible trend in DTI metrics associated with an evolving spinal cord lesion. However, a larger study population is necessary to determine variations in DTI metrics over time after acute SCI. Such a study would also require that patients undergo DTI at consistent time intervals after the injury.</w:t>
      </w:r>
    </w:p>
    <w:p w14:paraId="718744DA" w14:textId="77777777" w:rsidR="00784156" w:rsidRPr="00784156" w:rsidRDefault="00784156" w:rsidP="00784156">
      <w:pPr>
        <w:rPr>
          <w:rFonts w:cstheme="minorHAnsi"/>
        </w:rPr>
      </w:pPr>
      <w:r w:rsidRPr="00784156">
        <w:rPr>
          <w:rFonts w:cstheme="minorHAnsi"/>
        </w:rPr>
        <w:t xml:space="preserve">Presently, spinal cord DTI is performed in a modest number of major medical centers in the United States. At our center, we </w:t>
      </w:r>
      <w:proofErr w:type="gramStart"/>
      <w:r w:rsidRPr="00784156">
        <w:rPr>
          <w:rFonts w:cstheme="minorHAnsi"/>
        </w:rPr>
        <w:t>are able to</w:t>
      </w:r>
      <w:proofErr w:type="gramEnd"/>
      <w:r w:rsidRPr="00784156">
        <w:rPr>
          <w:rFonts w:cstheme="minorHAnsi"/>
        </w:rPr>
        <w:t xml:space="preserve"> perform DTI using a standard clinical MR scanner with a dedicated spine coil. Although no additional equipment is required, specific DTI sequences need to be setup and refined to acquire reliable DTI images.</w:t>
      </w:r>
      <w:hyperlink r:id="rId27" w:anchor="ref-CR9" w:tooltip="Maier SE . Examination of spinal cord tissue architecture with magnetic resonance diffusion tensor imaging. Neurotherapeutics 2007; 4: 453–459." w:history="1">
        <w:r w:rsidRPr="002C7491">
          <w:rPr>
            <w:rStyle w:val="Hyperlink"/>
            <w:rFonts w:cstheme="minorHAnsi"/>
            <w:vertAlign w:val="superscript"/>
          </w:rPr>
          <w:t>9</w:t>
        </w:r>
      </w:hyperlink>
      <w:r w:rsidRPr="00784156">
        <w:rPr>
          <w:rFonts w:cstheme="minorHAnsi"/>
        </w:rPr>
        <w:t> DTI images, then, require post-processing using either commercially available software or in-house custom software. While spinal cord DTI is currently used as a research tool, it has the potential to significantly supplement conventional MR imaging in a clinical setting. The clinical implementation of spinal cord DTI, however, requires the development of standardized scan sequences as well as robust post-processing systems.</w:t>
      </w:r>
    </w:p>
    <w:p w14:paraId="6D694B17" w14:textId="77777777" w:rsidR="00784156" w:rsidRPr="00784156" w:rsidRDefault="00784156" w:rsidP="00DF5E48">
      <w:pPr>
        <w:pStyle w:val="Heading1"/>
      </w:pPr>
      <w:r w:rsidRPr="00784156">
        <w:t>Conclusion</w:t>
      </w:r>
    </w:p>
    <w:p w14:paraId="7B72A0C5" w14:textId="77777777" w:rsidR="00784156" w:rsidRPr="00784156" w:rsidRDefault="00784156" w:rsidP="00784156">
      <w:pPr>
        <w:rPr>
          <w:rFonts w:cstheme="minorHAnsi"/>
        </w:rPr>
      </w:pPr>
      <w:r w:rsidRPr="00784156">
        <w:rPr>
          <w:rFonts w:cstheme="minorHAnsi"/>
        </w:rPr>
        <w:t>This report illustrates the utility of DTI and DTT in delineating regions of cord injury in two patients with traumatic BSS. Our results indicate that DTI provides clinically relevant information that supplements conventional MR imaging for patients with acute SCI.</w:t>
      </w:r>
    </w:p>
    <w:p w14:paraId="778EA9A9" w14:textId="77777777" w:rsidR="00784156" w:rsidRPr="00784156" w:rsidRDefault="00784156" w:rsidP="00DF5E48">
      <w:pPr>
        <w:pStyle w:val="Heading1"/>
      </w:pPr>
      <w:r w:rsidRPr="00784156">
        <w:t>References</w:t>
      </w:r>
    </w:p>
    <w:p w14:paraId="728287CF" w14:textId="7D3DECD4" w:rsidR="00784156" w:rsidRPr="00784156" w:rsidRDefault="00784156" w:rsidP="00DF5E48">
      <w:pPr>
        <w:pStyle w:val="NoSpacing"/>
        <w:ind w:left="720" w:hanging="720"/>
      </w:pPr>
      <w:r w:rsidRPr="00784156">
        <w:t>1</w:t>
      </w:r>
      <w:r w:rsidR="00DF5E48">
        <w:t xml:space="preserve"> </w:t>
      </w:r>
      <w:proofErr w:type="spellStart"/>
      <w:r w:rsidRPr="00784156">
        <w:t>Shanmuganathan</w:t>
      </w:r>
      <w:proofErr w:type="spellEnd"/>
      <w:r w:rsidRPr="00784156">
        <w:t xml:space="preserve"> K, </w:t>
      </w:r>
      <w:proofErr w:type="spellStart"/>
      <w:r w:rsidRPr="00784156">
        <w:t>Gullapalli</w:t>
      </w:r>
      <w:proofErr w:type="spellEnd"/>
      <w:r w:rsidRPr="00784156">
        <w:t xml:space="preserve"> R, </w:t>
      </w:r>
      <w:proofErr w:type="spellStart"/>
      <w:r w:rsidRPr="00784156">
        <w:t>Zhuo</w:t>
      </w:r>
      <w:proofErr w:type="spellEnd"/>
      <w:r w:rsidRPr="00784156">
        <w:t xml:space="preserve"> J, </w:t>
      </w:r>
      <w:proofErr w:type="spellStart"/>
      <w:r w:rsidRPr="00784156">
        <w:t>Mirvis</w:t>
      </w:r>
      <w:proofErr w:type="spellEnd"/>
      <w:r w:rsidRPr="00784156">
        <w:t xml:space="preserve"> </w:t>
      </w:r>
      <w:proofErr w:type="gramStart"/>
      <w:r w:rsidRPr="00784156">
        <w:t>S .</w:t>
      </w:r>
      <w:proofErr w:type="gramEnd"/>
      <w:r w:rsidRPr="00784156">
        <w:t xml:space="preserve"> Diffusion tensor MR imaging in cervical spine trauma. </w:t>
      </w:r>
      <w:r w:rsidRPr="00784156">
        <w:rPr>
          <w:i/>
          <w:iCs/>
        </w:rPr>
        <w:t xml:space="preserve">AJNR Am J </w:t>
      </w:r>
      <w:proofErr w:type="spellStart"/>
      <w:r w:rsidRPr="00784156">
        <w:rPr>
          <w:i/>
          <w:iCs/>
        </w:rPr>
        <w:t>Neuroradiol</w:t>
      </w:r>
      <w:proofErr w:type="spellEnd"/>
      <w:r w:rsidRPr="00784156">
        <w:t> 2008; </w:t>
      </w:r>
      <w:r w:rsidRPr="00784156">
        <w:rPr>
          <w:b/>
          <w:bCs/>
        </w:rPr>
        <w:t>29</w:t>
      </w:r>
      <w:r w:rsidRPr="00784156">
        <w:t>: 655–659.</w:t>
      </w:r>
    </w:p>
    <w:p w14:paraId="3DC696D5" w14:textId="33827A60" w:rsidR="00784156" w:rsidRPr="00784156" w:rsidRDefault="00784156" w:rsidP="00DF5E48">
      <w:pPr>
        <w:pStyle w:val="NoSpacing"/>
        <w:ind w:left="720" w:hanging="720"/>
      </w:pPr>
      <w:r w:rsidRPr="00784156">
        <w:t>2</w:t>
      </w:r>
      <w:r w:rsidR="00DF5E48">
        <w:t xml:space="preserve"> </w:t>
      </w:r>
      <w:r w:rsidRPr="00784156">
        <w:t xml:space="preserve">Aminoff </w:t>
      </w:r>
      <w:proofErr w:type="gramStart"/>
      <w:r w:rsidRPr="00784156">
        <w:t>MJ .</w:t>
      </w:r>
      <w:proofErr w:type="gramEnd"/>
      <w:r w:rsidRPr="00784156">
        <w:t xml:space="preserve"> Historical perspective Brown-Sequard and his work on the spinal cord. </w:t>
      </w:r>
      <w:r w:rsidRPr="00784156">
        <w:rPr>
          <w:i/>
          <w:iCs/>
        </w:rPr>
        <w:t>Spine</w:t>
      </w:r>
      <w:r w:rsidRPr="00784156">
        <w:t> 1996; </w:t>
      </w:r>
      <w:r w:rsidRPr="00784156">
        <w:rPr>
          <w:b/>
          <w:bCs/>
        </w:rPr>
        <w:t>21</w:t>
      </w:r>
      <w:r w:rsidRPr="00784156">
        <w:t>: 133–140.</w:t>
      </w:r>
    </w:p>
    <w:p w14:paraId="19EDDA68" w14:textId="507F60D8" w:rsidR="00784156" w:rsidRPr="00784156" w:rsidRDefault="00784156" w:rsidP="00DF5E48">
      <w:pPr>
        <w:pStyle w:val="NoSpacing"/>
        <w:ind w:left="720" w:hanging="720"/>
      </w:pPr>
      <w:r w:rsidRPr="00784156">
        <w:t>3</w:t>
      </w:r>
      <w:r w:rsidR="00DF5E48">
        <w:t xml:space="preserve"> </w:t>
      </w:r>
      <w:r w:rsidRPr="00784156">
        <w:t xml:space="preserve">Roth EJ, Park T, Pang T, </w:t>
      </w:r>
      <w:proofErr w:type="spellStart"/>
      <w:r w:rsidRPr="00784156">
        <w:t>Yarkony</w:t>
      </w:r>
      <w:proofErr w:type="spellEnd"/>
      <w:r w:rsidRPr="00784156">
        <w:t xml:space="preserve"> GM, Lee </w:t>
      </w:r>
      <w:proofErr w:type="gramStart"/>
      <w:r w:rsidRPr="00784156">
        <w:t>MY .</w:t>
      </w:r>
      <w:proofErr w:type="gramEnd"/>
      <w:r w:rsidRPr="00784156">
        <w:t xml:space="preserve"> Traumatic cervical Brown-Sequard and Brown-Sequard-plus syndromes: the spectrum of presentations and outcomes. </w:t>
      </w:r>
      <w:r w:rsidRPr="00784156">
        <w:rPr>
          <w:i/>
          <w:iCs/>
        </w:rPr>
        <w:t>Paraplegia</w:t>
      </w:r>
      <w:r w:rsidRPr="00784156">
        <w:t> 1991; </w:t>
      </w:r>
      <w:r w:rsidRPr="00784156">
        <w:rPr>
          <w:b/>
          <w:bCs/>
        </w:rPr>
        <w:t>29</w:t>
      </w:r>
      <w:r w:rsidRPr="00784156">
        <w:t>: 582–589.</w:t>
      </w:r>
    </w:p>
    <w:p w14:paraId="0300A177" w14:textId="7C57E0F5" w:rsidR="00784156" w:rsidRPr="00784156" w:rsidRDefault="00784156" w:rsidP="00DF5E48">
      <w:pPr>
        <w:pStyle w:val="NoSpacing"/>
        <w:ind w:left="720" w:hanging="720"/>
      </w:pPr>
      <w:r w:rsidRPr="00784156">
        <w:t>4</w:t>
      </w:r>
      <w:r w:rsidR="00DF5E48">
        <w:t xml:space="preserve"> </w:t>
      </w:r>
      <w:r w:rsidRPr="00784156">
        <w:t xml:space="preserve">Koehler PJ, </w:t>
      </w:r>
      <w:proofErr w:type="spellStart"/>
      <w:r w:rsidRPr="00784156">
        <w:t>Endtz</w:t>
      </w:r>
      <w:proofErr w:type="spellEnd"/>
      <w:r w:rsidRPr="00784156">
        <w:t xml:space="preserve"> </w:t>
      </w:r>
      <w:proofErr w:type="gramStart"/>
      <w:r w:rsidRPr="00784156">
        <w:t>LJ .</w:t>
      </w:r>
      <w:proofErr w:type="gramEnd"/>
      <w:r w:rsidRPr="00784156">
        <w:t xml:space="preserve"> The Brown-Sequard syndrome. True or false? </w:t>
      </w:r>
      <w:r w:rsidRPr="00784156">
        <w:rPr>
          <w:i/>
          <w:iCs/>
        </w:rPr>
        <w:t>Arch Neurol</w:t>
      </w:r>
      <w:r w:rsidRPr="00784156">
        <w:t> 1986; </w:t>
      </w:r>
      <w:r w:rsidRPr="00784156">
        <w:rPr>
          <w:b/>
          <w:bCs/>
        </w:rPr>
        <w:t>43</w:t>
      </w:r>
      <w:r w:rsidRPr="00784156">
        <w:t>: 921–924.</w:t>
      </w:r>
    </w:p>
    <w:p w14:paraId="735385C6" w14:textId="00B162AC" w:rsidR="00784156" w:rsidRPr="00784156" w:rsidRDefault="00784156" w:rsidP="00DF5E48">
      <w:pPr>
        <w:pStyle w:val="NoSpacing"/>
        <w:ind w:left="720" w:hanging="720"/>
      </w:pPr>
      <w:r w:rsidRPr="00784156">
        <w:t>5</w:t>
      </w:r>
      <w:r w:rsidR="00DF5E48">
        <w:t xml:space="preserve"> </w:t>
      </w:r>
      <w:r w:rsidRPr="00784156">
        <w:t xml:space="preserve">Peacock WJ, </w:t>
      </w:r>
      <w:proofErr w:type="spellStart"/>
      <w:r w:rsidRPr="00784156">
        <w:t>Shrosbree</w:t>
      </w:r>
      <w:proofErr w:type="spellEnd"/>
      <w:r w:rsidRPr="00784156">
        <w:t xml:space="preserve"> RD, Key </w:t>
      </w:r>
      <w:proofErr w:type="gramStart"/>
      <w:r w:rsidRPr="00784156">
        <w:t>AG .</w:t>
      </w:r>
      <w:proofErr w:type="gramEnd"/>
      <w:r w:rsidRPr="00784156">
        <w:t xml:space="preserve"> A review of 450 </w:t>
      </w:r>
      <w:proofErr w:type="spellStart"/>
      <w:r w:rsidRPr="00784156">
        <w:t>stabwounds</w:t>
      </w:r>
      <w:proofErr w:type="spellEnd"/>
      <w:r w:rsidRPr="00784156">
        <w:t xml:space="preserve"> of the spinal cord. </w:t>
      </w:r>
      <w:r w:rsidRPr="00784156">
        <w:rPr>
          <w:i/>
          <w:iCs/>
        </w:rPr>
        <w:t xml:space="preserve">S </w:t>
      </w:r>
      <w:proofErr w:type="spellStart"/>
      <w:r w:rsidRPr="00784156">
        <w:rPr>
          <w:i/>
          <w:iCs/>
        </w:rPr>
        <w:t>Afr</w:t>
      </w:r>
      <w:proofErr w:type="spellEnd"/>
      <w:r w:rsidRPr="00784156">
        <w:rPr>
          <w:i/>
          <w:iCs/>
        </w:rPr>
        <w:t xml:space="preserve"> Med J</w:t>
      </w:r>
      <w:r w:rsidRPr="00784156">
        <w:t> 1977; </w:t>
      </w:r>
      <w:r w:rsidRPr="00784156">
        <w:rPr>
          <w:b/>
          <w:bCs/>
        </w:rPr>
        <w:t>51</w:t>
      </w:r>
      <w:r w:rsidRPr="00784156">
        <w:t>: 961–964.</w:t>
      </w:r>
    </w:p>
    <w:p w14:paraId="4CED054F" w14:textId="542405DB" w:rsidR="00784156" w:rsidRPr="00784156" w:rsidRDefault="00784156" w:rsidP="00DF5E48">
      <w:pPr>
        <w:pStyle w:val="NoSpacing"/>
        <w:ind w:left="720" w:hanging="720"/>
      </w:pPr>
      <w:r w:rsidRPr="00784156">
        <w:t>6</w:t>
      </w:r>
      <w:r w:rsidR="00DF5E48">
        <w:t xml:space="preserve"> </w:t>
      </w:r>
      <w:proofErr w:type="spellStart"/>
      <w:r w:rsidRPr="00784156">
        <w:t>Rajasekaran</w:t>
      </w:r>
      <w:proofErr w:type="spellEnd"/>
      <w:r w:rsidRPr="00784156">
        <w:t xml:space="preserve"> S, </w:t>
      </w:r>
      <w:proofErr w:type="spellStart"/>
      <w:r w:rsidRPr="00784156">
        <w:t>Kanna</w:t>
      </w:r>
      <w:proofErr w:type="spellEnd"/>
      <w:r w:rsidRPr="00784156">
        <w:t xml:space="preserve"> RM, </w:t>
      </w:r>
      <w:proofErr w:type="spellStart"/>
      <w:r w:rsidRPr="00784156">
        <w:t>Karunanithi</w:t>
      </w:r>
      <w:proofErr w:type="spellEnd"/>
      <w:r w:rsidRPr="00784156">
        <w:t xml:space="preserve"> R, Shetty </w:t>
      </w:r>
      <w:proofErr w:type="gramStart"/>
      <w:r w:rsidRPr="00784156">
        <w:t>AP .</w:t>
      </w:r>
      <w:proofErr w:type="gramEnd"/>
      <w:r w:rsidRPr="00784156">
        <w:t xml:space="preserve"> Diffusion tensor tractography demonstration of partially injured spinal cord tracts in a patient with posttraumatic Brown Sequard syndrome. </w:t>
      </w:r>
      <w:r w:rsidRPr="00784156">
        <w:rPr>
          <w:i/>
          <w:iCs/>
        </w:rPr>
        <w:t xml:space="preserve">J </w:t>
      </w:r>
      <w:proofErr w:type="spellStart"/>
      <w:r w:rsidRPr="00784156">
        <w:rPr>
          <w:i/>
          <w:iCs/>
        </w:rPr>
        <w:t>Magn</w:t>
      </w:r>
      <w:proofErr w:type="spellEnd"/>
      <w:r w:rsidRPr="00784156">
        <w:rPr>
          <w:i/>
          <w:iCs/>
        </w:rPr>
        <w:t xml:space="preserve"> </w:t>
      </w:r>
      <w:proofErr w:type="spellStart"/>
      <w:r w:rsidRPr="00784156">
        <w:rPr>
          <w:i/>
          <w:iCs/>
        </w:rPr>
        <w:t>Reson</w:t>
      </w:r>
      <w:proofErr w:type="spellEnd"/>
      <w:r w:rsidRPr="00784156">
        <w:rPr>
          <w:i/>
          <w:iCs/>
        </w:rPr>
        <w:t xml:space="preserve"> Imaging</w:t>
      </w:r>
      <w:r w:rsidRPr="00784156">
        <w:t> 2010; </w:t>
      </w:r>
      <w:r w:rsidRPr="00784156">
        <w:rPr>
          <w:b/>
          <w:bCs/>
        </w:rPr>
        <w:t>32</w:t>
      </w:r>
      <w:r w:rsidRPr="00784156">
        <w:t>: 978–981.</w:t>
      </w:r>
    </w:p>
    <w:p w14:paraId="43E79193" w14:textId="5B19E01E" w:rsidR="00784156" w:rsidRPr="00784156" w:rsidRDefault="00784156" w:rsidP="00DF5E48">
      <w:pPr>
        <w:pStyle w:val="NoSpacing"/>
        <w:ind w:left="720" w:hanging="720"/>
      </w:pPr>
      <w:r w:rsidRPr="00784156">
        <w:t>7</w:t>
      </w:r>
      <w:r w:rsidR="00DF5E48">
        <w:t xml:space="preserve"> </w:t>
      </w:r>
      <w:proofErr w:type="spellStart"/>
      <w:r w:rsidRPr="00784156">
        <w:t>Cheran</w:t>
      </w:r>
      <w:proofErr w:type="spellEnd"/>
      <w:r w:rsidRPr="00784156">
        <w:t xml:space="preserve"> S, </w:t>
      </w:r>
      <w:proofErr w:type="spellStart"/>
      <w:r w:rsidRPr="00784156">
        <w:t>Shanmuganathan</w:t>
      </w:r>
      <w:proofErr w:type="spellEnd"/>
      <w:r w:rsidRPr="00784156">
        <w:t xml:space="preserve"> K, </w:t>
      </w:r>
      <w:proofErr w:type="spellStart"/>
      <w:r w:rsidRPr="00784156">
        <w:t>Zhuo</w:t>
      </w:r>
      <w:proofErr w:type="spellEnd"/>
      <w:r w:rsidRPr="00784156">
        <w:t xml:space="preserve"> J, </w:t>
      </w:r>
      <w:proofErr w:type="spellStart"/>
      <w:r w:rsidRPr="00784156">
        <w:t>Mirvis</w:t>
      </w:r>
      <w:proofErr w:type="spellEnd"/>
      <w:r w:rsidRPr="00784156">
        <w:t xml:space="preserve"> SE, </w:t>
      </w:r>
      <w:proofErr w:type="spellStart"/>
      <w:r w:rsidRPr="00784156">
        <w:t>Aarabi</w:t>
      </w:r>
      <w:proofErr w:type="spellEnd"/>
      <w:r w:rsidRPr="00784156">
        <w:t xml:space="preserve"> B, Alexander MT </w:t>
      </w:r>
      <w:r w:rsidRPr="00784156">
        <w:rPr>
          <w:i/>
          <w:iCs/>
        </w:rPr>
        <w:t>et al</w:t>
      </w:r>
      <w:r w:rsidRPr="00784156">
        <w:t xml:space="preserve"> Correlation of MR diffusion tensor imaging parameters with ASIA motor scores in hemorrhagic and </w:t>
      </w:r>
      <w:proofErr w:type="spellStart"/>
      <w:r w:rsidRPr="00784156">
        <w:t>nonhemorrhagic</w:t>
      </w:r>
      <w:proofErr w:type="spellEnd"/>
      <w:r w:rsidRPr="00784156">
        <w:t xml:space="preserve"> acute spinal cord injury. </w:t>
      </w:r>
      <w:r w:rsidRPr="00784156">
        <w:rPr>
          <w:i/>
          <w:iCs/>
        </w:rPr>
        <w:t>J Neurotrauma</w:t>
      </w:r>
      <w:r w:rsidRPr="00784156">
        <w:t> 2011; </w:t>
      </w:r>
      <w:r w:rsidRPr="00784156">
        <w:rPr>
          <w:b/>
          <w:bCs/>
        </w:rPr>
        <w:t>28</w:t>
      </w:r>
      <w:r w:rsidRPr="00784156">
        <w:t>: 1881–1892.</w:t>
      </w:r>
    </w:p>
    <w:p w14:paraId="32653F3A" w14:textId="35862F99" w:rsidR="00784156" w:rsidRPr="00784156" w:rsidRDefault="00784156" w:rsidP="00DF5E48">
      <w:pPr>
        <w:pStyle w:val="NoSpacing"/>
        <w:ind w:left="720" w:hanging="720"/>
      </w:pPr>
      <w:r w:rsidRPr="00784156">
        <w:lastRenderedPageBreak/>
        <w:t>8</w:t>
      </w:r>
      <w:r w:rsidR="00DF5E48">
        <w:t xml:space="preserve"> </w:t>
      </w:r>
      <w:r w:rsidRPr="00784156">
        <w:t xml:space="preserve">Ellingson BM, Schmit BD, </w:t>
      </w:r>
      <w:proofErr w:type="spellStart"/>
      <w:r w:rsidRPr="00784156">
        <w:t>Kurpad</w:t>
      </w:r>
      <w:proofErr w:type="spellEnd"/>
      <w:r w:rsidRPr="00784156">
        <w:t xml:space="preserve"> </w:t>
      </w:r>
      <w:proofErr w:type="gramStart"/>
      <w:r w:rsidRPr="00784156">
        <w:t>SN .</w:t>
      </w:r>
      <w:proofErr w:type="gramEnd"/>
      <w:r w:rsidRPr="00784156">
        <w:t xml:space="preserve"> Lesion growth and degeneration patterns measured using diffusion tensor 9.4-T magnetic resonance imaging in rat spinal cord injury. </w:t>
      </w:r>
      <w:r w:rsidRPr="00784156">
        <w:rPr>
          <w:i/>
          <w:iCs/>
        </w:rPr>
        <w:t xml:space="preserve">J </w:t>
      </w:r>
      <w:proofErr w:type="spellStart"/>
      <w:r w:rsidRPr="00784156">
        <w:rPr>
          <w:i/>
          <w:iCs/>
        </w:rPr>
        <w:t>Neurosurg</w:t>
      </w:r>
      <w:proofErr w:type="spellEnd"/>
      <w:r w:rsidRPr="00784156">
        <w:rPr>
          <w:i/>
          <w:iCs/>
        </w:rPr>
        <w:t xml:space="preserve"> Spine</w:t>
      </w:r>
      <w:r w:rsidRPr="00784156">
        <w:t> 2010; </w:t>
      </w:r>
      <w:r w:rsidRPr="00784156">
        <w:rPr>
          <w:b/>
          <w:bCs/>
        </w:rPr>
        <w:t>13</w:t>
      </w:r>
      <w:r w:rsidRPr="00784156">
        <w:t>: 181–192.</w:t>
      </w:r>
    </w:p>
    <w:p w14:paraId="65D3F545" w14:textId="530935EB" w:rsidR="00784156" w:rsidRPr="00784156" w:rsidRDefault="00784156" w:rsidP="00DF5E48">
      <w:pPr>
        <w:pStyle w:val="NoSpacing"/>
        <w:ind w:left="720" w:hanging="720"/>
      </w:pPr>
      <w:r w:rsidRPr="00784156">
        <w:t>9</w:t>
      </w:r>
      <w:r w:rsidR="00A26669">
        <w:t xml:space="preserve"> </w:t>
      </w:r>
      <w:r w:rsidRPr="00784156">
        <w:t xml:space="preserve">Maier </w:t>
      </w:r>
      <w:proofErr w:type="gramStart"/>
      <w:r w:rsidRPr="00784156">
        <w:t>SE .</w:t>
      </w:r>
      <w:proofErr w:type="gramEnd"/>
      <w:r w:rsidRPr="00784156">
        <w:t xml:space="preserve"> Examination of spinal cord tissue architecture with magnetic resonance diffusion tensor imaging. </w:t>
      </w:r>
      <w:r w:rsidRPr="00784156">
        <w:rPr>
          <w:i/>
          <w:iCs/>
        </w:rPr>
        <w:t>Neurotherapeutics</w:t>
      </w:r>
      <w:r w:rsidRPr="00784156">
        <w:t> 2007; </w:t>
      </w:r>
      <w:r w:rsidRPr="00784156">
        <w:rPr>
          <w:b/>
          <w:bCs/>
        </w:rPr>
        <w:t>4</w:t>
      </w:r>
      <w:r w:rsidRPr="00784156">
        <w:t>: 453–459.</w:t>
      </w:r>
    </w:p>
    <w:p w14:paraId="5B497A9B" w14:textId="77777777" w:rsidR="00DF5E48" w:rsidRDefault="00DF5E48" w:rsidP="00784156">
      <w:pPr>
        <w:rPr>
          <w:rFonts w:cstheme="minorHAnsi"/>
          <w:b/>
          <w:bCs/>
        </w:rPr>
      </w:pPr>
    </w:p>
    <w:p w14:paraId="1CB4451C" w14:textId="55B9FDC6" w:rsidR="00784156" w:rsidRPr="00784156" w:rsidRDefault="00784156" w:rsidP="00A26669">
      <w:pPr>
        <w:pStyle w:val="Heading1"/>
      </w:pPr>
      <w:r w:rsidRPr="00784156">
        <w:t>Acknowledgements</w:t>
      </w:r>
    </w:p>
    <w:p w14:paraId="4ACBFD51" w14:textId="77777777" w:rsidR="00784156" w:rsidRPr="00784156" w:rsidRDefault="00784156" w:rsidP="00784156">
      <w:pPr>
        <w:rPr>
          <w:rFonts w:cstheme="minorHAnsi"/>
        </w:rPr>
      </w:pPr>
      <w:r w:rsidRPr="00784156">
        <w:rPr>
          <w:rFonts w:cstheme="minorHAnsi"/>
        </w:rPr>
        <w:t xml:space="preserve">VA Rehab R&amp;D grant #1 I01 RX000113-01, Bryon </w:t>
      </w:r>
      <w:proofErr w:type="spellStart"/>
      <w:r w:rsidRPr="00784156">
        <w:rPr>
          <w:rFonts w:cstheme="minorHAnsi"/>
        </w:rPr>
        <w:t>Riesch</w:t>
      </w:r>
      <w:proofErr w:type="spellEnd"/>
      <w:r w:rsidRPr="00784156">
        <w:rPr>
          <w:rFonts w:cstheme="minorHAnsi"/>
        </w:rPr>
        <w:t xml:space="preserve"> Paralysis Foundation Endowment.</w:t>
      </w:r>
    </w:p>
    <w:p w14:paraId="1F4CF095" w14:textId="77777777" w:rsidR="00784156" w:rsidRPr="00784156" w:rsidRDefault="00784156" w:rsidP="00A26669">
      <w:pPr>
        <w:pStyle w:val="Heading1"/>
      </w:pPr>
      <w:r w:rsidRPr="00784156">
        <w:t>Ethics declarations</w:t>
      </w:r>
    </w:p>
    <w:p w14:paraId="65B64790" w14:textId="77777777" w:rsidR="00784156" w:rsidRPr="00784156" w:rsidRDefault="00784156" w:rsidP="00784156">
      <w:pPr>
        <w:rPr>
          <w:rFonts w:cstheme="minorHAnsi"/>
        </w:rPr>
      </w:pPr>
      <w:r w:rsidRPr="00784156">
        <w:rPr>
          <w:rFonts w:cstheme="minorHAnsi"/>
        </w:rPr>
        <w:t>Competing interests</w:t>
      </w:r>
    </w:p>
    <w:p w14:paraId="1CE44B70" w14:textId="77777777" w:rsidR="00784156" w:rsidRPr="00784156" w:rsidRDefault="00784156" w:rsidP="00784156">
      <w:pPr>
        <w:rPr>
          <w:rFonts w:cstheme="minorHAnsi"/>
        </w:rPr>
      </w:pPr>
      <w:r w:rsidRPr="00784156">
        <w:rPr>
          <w:rFonts w:cstheme="minorHAnsi"/>
        </w:rPr>
        <w:t>The authors declare no conflict of interest.</w:t>
      </w:r>
    </w:p>
    <w:p w14:paraId="7D2EBF48" w14:textId="77777777" w:rsidR="00784156" w:rsidRPr="00784156" w:rsidRDefault="00784156" w:rsidP="00A26669">
      <w:pPr>
        <w:pStyle w:val="Heading1"/>
      </w:pPr>
      <w:r w:rsidRPr="00784156">
        <w:t>Additional information</w:t>
      </w:r>
    </w:p>
    <w:p w14:paraId="056D24D2" w14:textId="77777777" w:rsidR="00784156" w:rsidRPr="00784156" w:rsidRDefault="00317B7E" w:rsidP="00784156">
      <w:pPr>
        <w:rPr>
          <w:rFonts w:cstheme="minorHAnsi"/>
        </w:rPr>
      </w:pPr>
      <w:hyperlink r:id="rId28" w:anchor="MOESM197" w:history="1">
        <w:r w:rsidR="00784156" w:rsidRPr="00784156">
          <w:rPr>
            <w:rStyle w:val="Hyperlink"/>
            <w:rFonts w:cstheme="minorHAnsi"/>
          </w:rPr>
          <w:t>Supplementary Information</w:t>
        </w:r>
      </w:hyperlink>
      <w:r w:rsidR="00784156" w:rsidRPr="00784156">
        <w:rPr>
          <w:rFonts w:cstheme="minorHAnsi"/>
        </w:rPr>
        <w:t> accompanies the paper on the Spinal Cord website</w:t>
      </w:r>
    </w:p>
    <w:p w14:paraId="472A42E9" w14:textId="77777777" w:rsidR="00784156" w:rsidRPr="00784156" w:rsidRDefault="00784156" w:rsidP="00A26669">
      <w:pPr>
        <w:pStyle w:val="Heading1"/>
      </w:pPr>
      <w:r w:rsidRPr="00784156">
        <w:t>Supplementary information</w:t>
      </w:r>
    </w:p>
    <w:p w14:paraId="3B55CE72" w14:textId="77777777" w:rsidR="00784156" w:rsidRPr="00784156" w:rsidRDefault="00317B7E" w:rsidP="00784156">
      <w:pPr>
        <w:rPr>
          <w:rFonts w:cstheme="minorHAnsi"/>
        </w:rPr>
      </w:pPr>
      <w:hyperlink r:id="rId29" w:history="1">
        <w:r w:rsidR="00784156" w:rsidRPr="00784156">
          <w:rPr>
            <w:rStyle w:val="Hyperlink"/>
            <w:rFonts w:cstheme="minorHAnsi"/>
          </w:rPr>
          <w:t>Supplementary Figure 1 (JPG 248 kb)</w:t>
        </w:r>
      </w:hyperlink>
    </w:p>
    <w:p w14:paraId="65DDB12C" w14:textId="77777777" w:rsidR="00784156" w:rsidRPr="00784156" w:rsidRDefault="00317B7E" w:rsidP="00784156">
      <w:pPr>
        <w:rPr>
          <w:rFonts w:cstheme="minorHAnsi"/>
        </w:rPr>
      </w:pPr>
      <w:hyperlink r:id="rId30" w:history="1">
        <w:r w:rsidR="00784156" w:rsidRPr="00784156">
          <w:rPr>
            <w:rStyle w:val="Hyperlink"/>
            <w:rFonts w:cstheme="minorHAnsi"/>
          </w:rPr>
          <w:t>Supplementary Figure 2 (JPG 771 kb)</w:t>
        </w:r>
      </w:hyperlink>
    </w:p>
    <w:p w14:paraId="04E2C2F3" w14:textId="77777777" w:rsidR="00784156" w:rsidRPr="00784156" w:rsidRDefault="00317B7E" w:rsidP="00784156">
      <w:pPr>
        <w:rPr>
          <w:rFonts w:cstheme="minorHAnsi"/>
        </w:rPr>
      </w:pPr>
      <w:hyperlink r:id="rId31" w:history="1">
        <w:r w:rsidR="00784156" w:rsidRPr="00784156">
          <w:rPr>
            <w:rStyle w:val="Hyperlink"/>
            <w:rFonts w:cstheme="minorHAnsi"/>
          </w:rPr>
          <w:t>Supplementary Figure Legends (DOC 26 kb)</w:t>
        </w:r>
      </w:hyperlink>
    </w:p>
    <w:sectPr w:rsidR="00784156" w:rsidRPr="0078415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1A032B"/>
    <w:multiLevelType w:val="multilevel"/>
    <w:tmpl w:val="4CB41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0A2370"/>
    <w:multiLevelType w:val="multilevel"/>
    <w:tmpl w:val="53F8B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8A4E57"/>
    <w:multiLevelType w:val="multilevel"/>
    <w:tmpl w:val="3730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F02E15"/>
    <w:multiLevelType w:val="multilevel"/>
    <w:tmpl w:val="3FF05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143743"/>
    <w:multiLevelType w:val="multilevel"/>
    <w:tmpl w:val="9A30B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732770"/>
    <w:multiLevelType w:val="multilevel"/>
    <w:tmpl w:val="69402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BD0504A"/>
    <w:multiLevelType w:val="multilevel"/>
    <w:tmpl w:val="F484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9B4666"/>
    <w:multiLevelType w:val="multilevel"/>
    <w:tmpl w:val="DD188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8"/>
  </w:num>
  <w:num w:numId="5">
    <w:abstractNumId w:val="12"/>
  </w:num>
  <w:num w:numId="6">
    <w:abstractNumId w:val="1"/>
  </w:num>
  <w:num w:numId="7">
    <w:abstractNumId w:val="2"/>
  </w:num>
  <w:num w:numId="8">
    <w:abstractNumId w:val="11"/>
  </w:num>
  <w:num w:numId="9">
    <w:abstractNumId w:val="3"/>
  </w:num>
  <w:num w:numId="10">
    <w:abstractNumId w:val="10"/>
  </w:num>
  <w:num w:numId="11">
    <w:abstractNumId w:val="7"/>
  </w:num>
  <w:num w:numId="12">
    <w:abstractNumId w:val="6"/>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mZRT80JEy0TclamM3XI+PHbujtduiqKc6cYhMxXsp8AH9bEvs75NrF/zcxB/1fwntrSbSXt6dRo62Pk1U7ihVg==" w:salt="oW71fwhzFhUaXQrRmc3I8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361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655"/>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06D5"/>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C7491"/>
    <w:rsid w:val="002D02F2"/>
    <w:rsid w:val="002D28EA"/>
    <w:rsid w:val="002D51BB"/>
    <w:rsid w:val="002D5BA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BF6"/>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5CBD"/>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05D55"/>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7D89"/>
    <w:rsid w:val="00757F72"/>
    <w:rsid w:val="0076194B"/>
    <w:rsid w:val="00763676"/>
    <w:rsid w:val="00772776"/>
    <w:rsid w:val="00776E56"/>
    <w:rsid w:val="00781619"/>
    <w:rsid w:val="00784156"/>
    <w:rsid w:val="0079146B"/>
    <w:rsid w:val="00791DD5"/>
    <w:rsid w:val="00796875"/>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42AE"/>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78C1"/>
    <w:rsid w:val="009A130B"/>
    <w:rsid w:val="009A2639"/>
    <w:rsid w:val="009A397F"/>
    <w:rsid w:val="009B4F83"/>
    <w:rsid w:val="009B4FEC"/>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26669"/>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3BF"/>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8D"/>
    <w:rsid w:val="00BD439F"/>
    <w:rsid w:val="00BD4F14"/>
    <w:rsid w:val="00BE0AE3"/>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772"/>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6A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5E48"/>
    <w:rsid w:val="00DF6125"/>
    <w:rsid w:val="00E1018E"/>
    <w:rsid w:val="00E11387"/>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48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1FDB"/>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459639">
      <w:bodyDiv w:val="1"/>
      <w:marLeft w:val="0"/>
      <w:marRight w:val="0"/>
      <w:marTop w:val="0"/>
      <w:marBottom w:val="0"/>
      <w:divBdr>
        <w:top w:val="none" w:sz="0" w:space="0" w:color="auto"/>
        <w:left w:val="none" w:sz="0" w:space="0" w:color="auto"/>
        <w:bottom w:val="none" w:sz="0" w:space="0" w:color="auto"/>
        <w:right w:val="none" w:sz="0" w:space="0" w:color="auto"/>
      </w:divBdr>
      <w:divsChild>
        <w:div w:id="1874070458">
          <w:marLeft w:val="0"/>
          <w:marRight w:val="0"/>
          <w:marTop w:val="0"/>
          <w:marBottom w:val="0"/>
          <w:divBdr>
            <w:top w:val="single" w:sz="6" w:space="0" w:color="D5D5D5"/>
            <w:left w:val="single" w:sz="6" w:space="0" w:color="D5D5D5"/>
            <w:bottom w:val="single" w:sz="6" w:space="0" w:color="D5D5D5"/>
            <w:right w:val="single" w:sz="6" w:space="0" w:color="D5D5D5"/>
          </w:divBdr>
          <w:divsChild>
            <w:div w:id="1827087986">
              <w:marLeft w:val="0"/>
              <w:marRight w:val="0"/>
              <w:marTop w:val="0"/>
              <w:marBottom w:val="0"/>
              <w:divBdr>
                <w:top w:val="none" w:sz="0" w:space="0" w:color="auto"/>
                <w:left w:val="none" w:sz="0" w:space="0" w:color="auto"/>
                <w:bottom w:val="none" w:sz="0" w:space="0" w:color="auto"/>
                <w:right w:val="none" w:sz="0" w:space="0" w:color="auto"/>
              </w:divBdr>
            </w:div>
          </w:divsChild>
        </w:div>
        <w:div w:id="555704334">
          <w:marLeft w:val="0"/>
          <w:marRight w:val="0"/>
          <w:marTop w:val="0"/>
          <w:marBottom w:val="0"/>
          <w:divBdr>
            <w:top w:val="none" w:sz="0" w:space="0" w:color="auto"/>
            <w:left w:val="none" w:sz="0" w:space="0" w:color="auto"/>
            <w:bottom w:val="none" w:sz="0" w:space="0" w:color="auto"/>
            <w:right w:val="none" w:sz="0" w:space="0" w:color="auto"/>
          </w:divBdr>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c201294" TargetMode="External"/><Relationship Id="rId18" Type="http://schemas.openxmlformats.org/officeDocument/2006/relationships/hyperlink" Target="https://www.nature.com/articles/sc201294" TargetMode="External"/><Relationship Id="rId26" Type="http://schemas.openxmlformats.org/officeDocument/2006/relationships/hyperlink" Target="https://www.nature.com/articles/sc201294" TargetMode="External"/><Relationship Id="rId3" Type="http://schemas.openxmlformats.org/officeDocument/2006/relationships/customXml" Target="../customXml/item3.xml"/><Relationship Id="rId21" Type="http://schemas.openxmlformats.org/officeDocument/2006/relationships/hyperlink" Target="https://www.nature.com/articles/sc201294" TargetMode="External"/><Relationship Id="rId7" Type="http://schemas.openxmlformats.org/officeDocument/2006/relationships/webSettings" Target="webSettings.xml"/><Relationship Id="rId12" Type="http://schemas.openxmlformats.org/officeDocument/2006/relationships/hyperlink" Target="https://www.nature.com/articles/sc201294" TargetMode="External"/><Relationship Id="rId17" Type="http://schemas.openxmlformats.org/officeDocument/2006/relationships/image" Target="media/image2.jpeg"/><Relationship Id="rId25" Type="http://schemas.openxmlformats.org/officeDocument/2006/relationships/hyperlink" Target="https://www.nature.com/articles/sc201294"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ture.com/articles/sc201294/figures/2" TargetMode="External"/><Relationship Id="rId20" Type="http://schemas.openxmlformats.org/officeDocument/2006/relationships/hyperlink" Target="https://www.nature.com/articles/sc201294" TargetMode="External"/><Relationship Id="rId29" Type="http://schemas.openxmlformats.org/officeDocument/2006/relationships/hyperlink" Target="https://static-content.springer.com/esm/art%3A10.1038%2Fsc.2012.94/MediaObjects/41393_2012_BFsc201294_MOESM197_ESM.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ure.com/articles/sc201294" TargetMode="External"/><Relationship Id="rId24" Type="http://schemas.openxmlformats.org/officeDocument/2006/relationships/hyperlink" Target="https://www.nature.com/articles/sc201294"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1.jpeg"/><Relationship Id="rId23" Type="http://schemas.openxmlformats.org/officeDocument/2006/relationships/hyperlink" Target="https://www.nature.com/articles/sc201294" TargetMode="External"/><Relationship Id="rId28" Type="http://schemas.openxmlformats.org/officeDocument/2006/relationships/hyperlink" Target="https://www.nature.com/articles/sc201294" TargetMode="External"/><Relationship Id="rId10" Type="http://schemas.openxmlformats.org/officeDocument/2006/relationships/hyperlink" Target="http://dsi-studio.labsolver.org/" TargetMode="External"/><Relationship Id="rId19" Type="http://schemas.openxmlformats.org/officeDocument/2006/relationships/hyperlink" Target="https://www.nature.com/articles/sc201294" TargetMode="External"/><Relationship Id="rId31" Type="http://schemas.openxmlformats.org/officeDocument/2006/relationships/hyperlink" Target="https://static-content.springer.com/esm/art%3A10.1038%2Fsc.2012.94/MediaObjects/41393_2012_BFsc201294_MOESM199_ESM.doc"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ature.com/articles/sc201294/figures/1" TargetMode="External"/><Relationship Id="rId22" Type="http://schemas.openxmlformats.org/officeDocument/2006/relationships/hyperlink" Target="https://www.nature.com/articles/sc201294" TargetMode="External"/><Relationship Id="rId27" Type="http://schemas.openxmlformats.org/officeDocument/2006/relationships/hyperlink" Target="https://www.nature.com/articles/sc201294" TargetMode="External"/><Relationship Id="rId30" Type="http://schemas.openxmlformats.org/officeDocument/2006/relationships/hyperlink" Target="https://static-content.springer.com/esm/art%3A10.1038%2Fsc.2012.94/MediaObjects/41393_2012_BFsc201294_MOESM198_ESM.jpg" TargetMode="External"/><Relationship Id="rId8" Type="http://schemas.openxmlformats.org/officeDocument/2006/relationships/hyperlink" Target="https://doi.org/10.1038/sc.2012.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684A06FA-351A-4D3D-8503-301946A08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1dc5a16d-a9e1-4107-81af-b56e13c8526c"/>
    <ds:schemaRef ds:uri="http://purl.org/dc/terms/"/>
    <ds:schemaRef ds:uri="http://purl.org/dc/elements/1.1/"/>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455b151d-75b8-4438-a72d-e06b314124a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2277</Words>
  <Characters>12985</Characters>
  <Application>Microsoft Office Word</Application>
  <DocSecurity>8</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2020-10-08T14:28:00Z</dcterms:created>
  <dcterms:modified xsi:type="dcterms:W3CDTF">2021-02-10T15:05:00Z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