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ms-word.document.macroEnabled.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DDB024" w14:textId="04052CD9" w:rsidR="00290A51" w:rsidRPr="00F512C2" w:rsidRDefault="00290A51" w:rsidP="00B94937">
      <w:pPr>
        <w:widowControl w:val="0"/>
        <w:tabs>
          <w:tab w:val="center" w:pos="4680"/>
        </w:tabs>
        <w:jc w:val="center"/>
        <w:rPr>
          <w:b/>
          <w:i/>
          <w:sz w:val="32"/>
        </w:rPr>
      </w:pPr>
      <w:bookmarkStart w:id="0" w:name="_GoBack"/>
      <w:bookmarkEnd w:id="0"/>
      <w:r w:rsidRPr="00F512C2">
        <w:rPr>
          <w:b/>
          <w:i/>
          <w:sz w:val="32"/>
        </w:rPr>
        <w:t>The Partisan Politics of New Social Risks</w:t>
      </w:r>
    </w:p>
    <w:p w14:paraId="71BB34D5" w14:textId="55962D57" w:rsidR="00290A51" w:rsidRPr="00F512C2" w:rsidRDefault="00290A51" w:rsidP="00B94937">
      <w:pPr>
        <w:widowControl w:val="0"/>
        <w:tabs>
          <w:tab w:val="center" w:pos="4680"/>
        </w:tabs>
        <w:jc w:val="center"/>
        <w:rPr>
          <w:b/>
          <w:i/>
          <w:sz w:val="32"/>
        </w:rPr>
      </w:pPr>
      <w:r w:rsidRPr="00F512C2">
        <w:rPr>
          <w:b/>
          <w:i/>
          <w:sz w:val="32"/>
        </w:rPr>
        <w:t>in Advanced Postindustrial Democracies:</w:t>
      </w:r>
    </w:p>
    <w:p w14:paraId="35E6D4D4" w14:textId="0AC9DC1B" w:rsidR="00290A51" w:rsidRPr="00F512C2" w:rsidRDefault="00290A51" w:rsidP="00290A51">
      <w:pPr>
        <w:widowControl w:val="0"/>
        <w:jc w:val="center"/>
        <w:rPr>
          <w:i/>
          <w:sz w:val="28"/>
          <w:szCs w:val="28"/>
        </w:rPr>
      </w:pPr>
      <w:r w:rsidRPr="00F512C2">
        <w:rPr>
          <w:i/>
          <w:sz w:val="28"/>
          <w:szCs w:val="28"/>
        </w:rPr>
        <w:t xml:space="preserve">Social </w:t>
      </w:r>
      <w:r w:rsidR="007A4F9F" w:rsidRPr="00F512C2">
        <w:rPr>
          <w:i/>
          <w:sz w:val="28"/>
          <w:szCs w:val="28"/>
        </w:rPr>
        <w:t>Protection</w:t>
      </w:r>
      <w:r w:rsidRPr="00F512C2">
        <w:rPr>
          <w:i/>
          <w:sz w:val="28"/>
          <w:szCs w:val="28"/>
        </w:rPr>
        <w:t xml:space="preserve"> for Labor Market Outsiders</w:t>
      </w:r>
    </w:p>
    <w:p w14:paraId="07AFEE74" w14:textId="77777777" w:rsidR="00290A51" w:rsidRPr="00F512C2" w:rsidRDefault="00290A51" w:rsidP="00290A51">
      <w:pPr>
        <w:widowControl w:val="0"/>
      </w:pPr>
    </w:p>
    <w:p w14:paraId="5EEE0CF9" w14:textId="32D85315" w:rsidR="00CE352D" w:rsidRPr="00F512C2" w:rsidRDefault="00290A51" w:rsidP="00CE352D">
      <w:pPr>
        <w:widowControl w:val="0"/>
        <w:jc w:val="center"/>
        <w:rPr>
          <w:i/>
        </w:rPr>
      </w:pPr>
      <w:r w:rsidRPr="00F512C2">
        <w:tab/>
      </w:r>
      <w:r w:rsidR="0057373A" w:rsidRPr="00F512C2">
        <w:t>I</w:t>
      </w:r>
      <w:r w:rsidR="00CE352D" w:rsidRPr="00F512C2">
        <w:t xml:space="preserve">n </w:t>
      </w:r>
      <w:proofErr w:type="gramStart"/>
      <w:r w:rsidR="00CE352D" w:rsidRPr="00F512C2">
        <w:rPr>
          <w:i/>
        </w:rPr>
        <w:t>The</w:t>
      </w:r>
      <w:proofErr w:type="gramEnd"/>
      <w:r w:rsidR="00CE352D" w:rsidRPr="00F512C2">
        <w:rPr>
          <w:i/>
        </w:rPr>
        <w:t xml:space="preserve"> European Social Model in Times </w:t>
      </w:r>
    </w:p>
    <w:p w14:paraId="6D74A4B7" w14:textId="642D9B51" w:rsidR="00CE352D" w:rsidRPr="00F512C2" w:rsidRDefault="00CE352D" w:rsidP="00CE352D">
      <w:pPr>
        <w:widowControl w:val="0"/>
        <w:jc w:val="center"/>
      </w:pPr>
      <w:r w:rsidRPr="00F512C2">
        <w:rPr>
          <w:i/>
        </w:rPr>
        <w:t>of Crisis</w:t>
      </w:r>
      <w:r w:rsidRPr="00F512C2">
        <w:t xml:space="preserve"> (Springer</w:t>
      </w:r>
      <w:r w:rsidR="0057373A" w:rsidRPr="00F512C2">
        <w:t xml:space="preserve"> VS</w:t>
      </w:r>
      <w:r w:rsidRPr="00F512C2">
        <w:t>, 20</w:t>
      </w:r>
      <w:r w:rsidR="0057373A" w:rsidRPr="00F512C2">
        <w:t>20</w:t>
      </w:r>
      <w:r w:rsidRPr="00F512C2">
        <w:t xml:space="preserve">), edited by Romana </w:t>
      </w:r>
      <w:proofErr w:type="spellStart"/>
      <w:r w:rsidRPr="00F512C2">
        <w:t>Careja</w:t>
      </w:r>
      <w:proofErr w:type="spellEnd"/>
      <w:r w:rsidRPr="00F512C2">
        <w:t xml:space="preserve">, </w:t>
      </w:r>
    </w:p>
    <w:p w14:paraId="2EDFEEC7" w14:textId="77777777" w:rsidR="00CE352D" w:rsidRPr="00F512C2" w:rsidRDefault="00CE352D" w:rsidP="00CE352D">
      <w:pPr>
        <w:widowControl w:val="0"/>
        <w:jc w:val="center"/>
      </w:pPr>
      <w:r w:rsidRPr="00F512C2">
        <w:t xml:space="preserve">Patrick </w:t>
      </w:r>
      <w:proofErr w:type="spellStart"/>
      <w:r w:rsidRPr="00F512C2">
        <w:t>Emmenegger</w:t>
      </w:r>
      <w:proofErr w:type="spellEnd"/>
      <w:r w:rsidRPr="00F512C2">
        <w:t>, and Nathalie Giger</w:t>
      </w:r>
    </w:p>
    <w:p w14:paraId="035B90A4" w14:textId="34542DC3" w:rsidR="00290A51" w:rsidRPr="00F512C2" w:rsidRDefault="00E57859" w:rsidP="00E57859">
      <w:pPr>
        <w:widowControl w:val="0"/>
        <w:jc w:val="center"/>
      </w:pPr>
      <w:proofErr w:type="spellStart"/>
      <w:r w:rsidRPr="00F512C2">
        <w:t>doi</w:t>
      </w:r>
      <w:proofErr w:type="spellEnd"/>
      <w:r w:rsidRPr="00F512C2">
        <w:t>: 10.1007/978-3-658-27043-8_9 Early View July 2019</w:t>
      </w:r>
    </w:p>
    <w:p w14:paraId="7B742BD2" w14:textId="77777777" w:rsidR="0019014E" w:rsidRPr="00F512C2" w:rsidRDefault="0019014E" w:rsidP="00290A51">
      <w:pPr>
        <w:widowControl w:val="0"/>
      </w:pPr>
    </w:p>
    <w:p w14:paraId="443D6346" w14:textId="77777777" w:rsidR="00290A51" w:rsidRPr="00F512C2" w:rsidRDefault="00290A51" w:rsidP="00290A51">
      <w:pPr>
        <w:widowControl w:val="0"/>
        <w:tabs>
          <w:tab w:val="center" w:pos="4680"/>
        </w:tabs>
      </w:pPr>
      <w:r w:rsidRPr="00F512C2">
        <w:tab/>
        <w:t>Duane Swank</w:t>
      </w:r>
    </w:p>
    <w:p w14:paraId="02163A6B" w14:textId="77777777" w:rsidR="00290A51" w:rsidRPr="00F512C2" w:rsidRDefault="00290A51" w:rsidP="00290A51">
      <w:pPr>
        <w:widowControl w:val="0"/>
        <w:tabs>
          <w:tab w:val="center" w:pos="4680"/>
        </w:tabs>
      </w:pPr>
      <w:r w:rsidRPr="00F512C2">
        <w:tab/>
        <w:t>Professor, Department of Political Science</w:t>
      </w:r>
    </w:p>
    <w:p w14:paraId="29CBC103" w14:textId="77777777" w:rsidR="00290A51" w:rsidRPr="00F512C2" w:rsidRDefault="00290A51" w:rsidP="00290A51">
      <w:pPr>
        <w:widowControl w:val="0"/>
        <w:tabs>
          <w:tab w:val="center" w:pos="4680"/>
        </w:tabs>
      </w:pPr>
      <w:r w:rsidRPr="00F512C2">
        <w:tab/>
        <w:t>Marquette University</w:t>
      </w:r>
    </w:p>
    <w:p w14:paraId="08B85508" w14:textId="77777777" w:rsidR="00290A51" w:rsidRPr="00F512C2" w:rsidRDefault="00290A51" w:rsidP="00290A51">
      <w:pPr>
        <w:widowControl w:val="0"/>
        <w:tabs>
          <w:tab w:val="center" w:pos="4680"/>
        </w:tabs>
      </w:pPr>
      <w:r w:rsidRPr="00F512C2">
        <w:tab/>
        <w:t>PO Box 1881</w:t>
      </w:r>
    </w:p>
    <w:p w14:paraId="22A2BC38" w14:textId="77777777" w:rsidR="00290A51" w:rsidRPr="00F512C2" w:rsidRDefault="00290A51" w:rsidP="00290A51">
      <w:pPr>
        <w:widowControl w:val="0"/>
        <w:tabs>
          <w:tab w:val="center" w:pos="4680"/>
        </w:tabs>
      </w:pPr>
      <w:r w:rsidRPr="00F512C2">
        <w:tab/>
        <w:t>Milwaukee, WI 53201-1881</w:t>
      </w:r>
    </w:p>
    <w:p w14:paraId="581B7F8B" w14:textId="304F684F" w:rsidR="00290A51" w:rsidRPr="00F512C2" w:rsidRDefault="00290A51" w:rsidP="00290A51">
      <w:pPr>
        <w:widowControl w:val="0"/>
        <w:tabs>
          <w:tab w:val="center" w:pos="4680"/>
        </w:tabs>
        <w:rPr>
          <w:color w:val="0000FF"/>
          <w:u w:val="single"/>
        </w:rPr>
      </w:pPr>
      <w:r w:rsidRPr="00F512C2">
        <w:tab/>
        <w:t xml:space="preserve">Email: </w:t>
      </w:r>
      <w:hyperlink r:id="rId11" w:history="1">
        <w:r w:rsidRPr="00F512C2">
          <w:rPr>
            <w:color w:val="0000FF"/>
            <w:u w:val="single"/>
          </w:rPr>
          <w:t>duane.swank@marquette.edu</w:t>
        </w:r>
      </w:hyperlink>
    </w:p>
    <w:p w14:paraId="71616774" w14:textId="40CAB54B" w:rsidR="004079D4" w:rsidRPr="00F512C2" w:rsidRDefault="004079D4" w:rsidP="00290A51">
      <w:pPr>
        <w:widowControl w:val="0"/>
        <w:tabs>
          <w:tab w:val="center" w:pos="4680"/>
        </w:tabs>
      </w:pPr>
    </w:p>
    <w:p w14:paraId="3B99C44E" w14:textId="150CB7CF" w:rsidR="004079D4" w:rsidRPr="00F512C2" w:rsidRDefault="004079D4" w:rsidP="00290A51">
      <w:pPr>
        <w:widowControl w:val="0"/>
        <w:tabs>
          <w:tab w:val="center" w:pos="4680"/>
        </w:tabs>
      </w:pPr>
    </w:p>
    <w:p w14:paraId="23F44104" w14:textId="6C8877E8" w:rsidR="004079D4" w:rsidRPr="00F512C2" w:rsidRDefault="004079D4" w:rsidP="002A039A">
      <w:pPr>
        <w:pStyle w:val="Heading1"/>
        <w:rPr>
          <w:rFonts w:ascii="Times New Roman" w:hAnsi="Times New Roman" w:cs="Times New Roman"/>
        </w:rPr>
      </w:pPr>
      <w:r w:rsidRPr="00F512C2">
        <w:rPr>
          <w:rFonts w:ascii="Times New Roman" w:hAnsi="Times New Roman" w:cs="Times New Roman"/>
        </w:rPr>
        <w:t>Abstract</w:t>
      </w:r>
    </w:p>
    <w:p w14:paraId="4A6CE3D6" w14:textId="4E6D5997" w:rsidR="004079D4" w:rsidRPr="00F512C2" w:rsidRDefault="004079D4" w:rsidP="00290A51">
      <w:pPr>
        <w:widowControl w:val="0"/>
        <w:tabs>
          <w:tab w:val="center" w:pos="4680"/>
        </w:tabs>
      </w:pPr>
    </w:p>
    <w:p w14:paraId="3FB162F5" w14:textId="77777777" w:rsidR="004079D4" w:rsidRPr="00F512C2" w:rsidRDefault="004079D4" w:rsidP="004079D4">
      <w:pPr>
        <w:ind w:firstLine="720"/>
        <w:rPr>
          <w:szCs w:val="24"/>
        </w:rPr>
      </w:pPr>
      <w:r w:rsidRPr="00F512C2">
        <w:t xml:space="preserve">Advanced </w:t>
      </w:r>
      <w:proofErr w:type="spellStart"/>
      <w:r w:rsidRPr="00F512C2">
        <w:t>postindustrialization</w:t>
      </w:r>
      <w:proofErr w:type="spellEnd"/>
      <w:r w:rsidRPr="00F512C2">
        <w:t xml:space="preserve"> generates numerous challenges for the European social model. Central among these challenges is the problem of addressing new risks associated with employment and skills of semi and unskilled workers. </w:t>
      </w:r>
      <w:r w:rsidRPr="00F512C2">
        <w:rPr>
          <w:szCs w:val="24"/>
        </w:rPr>
        <w:t xml:space="preserve">In this chapter, I assess the partisan basis of support for social policies that address the needs of these marginalized workers. I specifically consider the impacts of postindustrial cleavages among core constituencies of social democratic parties on the capacity of these parties to pursue inclusive social policies. I argue - and find support for in empirical analyses - that encompassing labor organization is the most important factor in strengthening the ability of left parties to build durable and electorally successful coalitions in support of outsider-friendly policies. I go beyond existing work on the topic by considering the full array of postindustrial cleavages and electoral challenges facing left parties, by more fully elaborating the logic of why encompassing labor organization is crucial, and by considering a more complete set of measures of outsider policies than extant work. I compare my arguments and findings to important new work that stresses coalition building and partisan politics but minimizes the role of class organization. </w:t>
      </w:r>
    </w:p>
    <w:p w14:paraId="132E1FFB" w14:textId="77777777" w:rsidR="004079D4" w:rsidRPr="00F512C2" w:rsidRDefault="004079D4" w:rsidP="004079D4">
      <w:pPr>
        <w:rPr>
          <w:szCs w:val="24"/>
        </w:rPr>
      </w:pPr>
    </w:p>
    <w:p w14:paraId="6B8DA4E4" w14:textId="77777777" w:rsidR="004079D4" w:rsidRPr="00F512C2" w:rsidRDefault="004079D4" w:rsidP="002A039A">
      <w:pPr>
        <w:pStyle w:val="Heading1"/>
        <w:rPr>
          <w:rFonts w:ascii="Times New Roman" w:hAnsi="Times New Roman" w:cs="Times New Roman"/>
        </w:rPr>
      </w:pPr>
      <w:r w:rsidRPr="00F512C2">
        <w:rPr>
          <w:rFonts w:ascii="Times New Roman" w:hAnsi="Times New Roman" w:cs="Times New Roman"/>
        </w:rPr>
        <w:t>Biographical Note:</w:t>
      </w:r>
    </w:p>
    <w:p w14:paraId="0B32F24C" w14:textId="77777777" w:rsidR="004079D4" w:rsidRPr="00F512C2" w:rsidRDefault="004079D4" w:rsidP="004079D4">
      <w:pPr>
        <w:rPr>
          <w:szCs w:val="24"/>
        </w:rPr>
      </w:pPr>
    </w:p>
    <w:p w14:paraId="33FBAE53" w14:textId="10CC5DB0" w:rsidR="004079D4" w:rsidRPr="00F512C2" w:rsidRDefault="004079D4" w:rsidP="004079D4">
      <w:pPr>
        <w:ind w:firstLine="720"/>
        <w:rPr>
          <w:szCs w:val="24"/>
        </w:rPr>
      </w:pPr>
      <w:r w:rsidRPr="00F512C2">
        <w:rPr>
          <w:szCs w:val="24"/>
        </w:rPr>
        <w:t xml:space="preserve">Duane Swank is professor of political science at Marquette University, Milwaukee, WI, and former President of the American Political Science Association Organized Section in Comparative Politics.  He is the author of </w:t>
      </w:r>
      <w:r w:rsidRPr="00F512C2">
        <w:rPr>
          <w:i/>
          <w:szCs w:val="24"/>
        </w:rPr>
        <w:t>Global Capital, Political Institutions, and Policy Change in Developed Welfare States</w:t>
      </w:r>
      <w:r w:rsidRPr="00F512C2">
        <w:rPr>
          <w:szCs w:val="24"/>
        </w:rPr>
        <w:t xml:space="preserve"> and coauthor of </w:t>
      </w:r>
      <w:r w:rsidRPr="00F512C2">
        <w:rPr>
          <w:i/>
          <w:szCs w:val="24"/>
        </w:rPr>
        <w:t>The Political Construction of Business Interests</w:t>
      </w:r>
      <w:r w:rsidRPr="00F512C2">
        <w:rPr>
          <w:szCs w:val="24"/>
        </w:rPr>
        <w:t xml:space="preserve"> (both Cambridge University Press) as well as author/coauthor of numerous articles in journals such as the </w:t>
      </w:r>
      <w:r w:rsidRPr="00F512C2">
        <w:rPr>
          <w:i/>
          <w:szCs w:val="24"/>
        </w:rPr>
        <w:t>American Political Science Review</w:t>
      </w:r>
      <w:r w:rsidRPr="00F512C2">
        <w:rPr>
          <w:szCs w:val="24"/>
        </w:rPr>
        <w:t xml:space="preserve">, </w:t>
      </w:r>
      <w:r w:rsidRPr="00F512C2">
        <w:rPr>
          <w:i/>
          <w:szCs w:val="24"/>
        </w:rPr>
        <w:t>American Journal of Political Science</w:t>
      </w:r>
      <w:r w:rsidRPr="00F512C2">
        <w:rPr>
          <w:szCs w:val="24"/>
        </w:rPr>
        <w:t xml:space="preserve">, </w:t>
      </w:r>
      <w:r w:rsidRPr="00F512C2">
        <w:rPr>
          <w:i/>
          <w:szCs w:val="24"/>
        </w:rPr>
        <w:t>Comparative Political Studies</w:t>
      </w:r>
      <w:r w:rsidRPr="00F512C2">
        <w:rPr>
          <w:szCs w:val="24"/>
        </w:rPr>
        <w:t xml:space="preserve">, </w:t>
      </w:r>
      <w:r w:rsidRPr="00F512C2">
        <w:rPr>
          <w:i/>
          <w:szCs w:val="24"/>
        </w:rPr>
        <w:t>International Organization</w:t>
      </w:r>
      <w:r w:rsidRPr="00F512C2">
        <w:rPr>
          <w:szCs w:val="24"/>
        </w:rPr>
        <w:t xml:space="preserve">, and </w:t>
      </w:r>
      <w:r w:rsidRPr="00F512C2">
        <w:rPr>
          <w:i/>
          <w:szCs w:val="24"/>
        </w:rPr>
        <w:t>World Politics</w:t>
      </w:r>
      <w:r w:rsidRPr="00F512C2">
        <w:rPr>
          <w:szCs w:val="24"/>
        </w:rPr>
        <w:t>.</w:t>
      </w:r>
    </w:p>
    <w:p w14:paraId="4DAD99B4" w14:textId="77777777" w:rsidR="00D12D45" w:rsidRPr="00F512C2" w:rsidRDefault="00D12D45" w:rsidP="00D12D45"/>
    <w:p w14:paraId="17EE6636" w14:textId="77777777" w:rsidR="00D12D45" w:rsidRPr="00F512C2" w:rsidRDefault="00D12D45" w:rsidP="00D12D45"/>
    <w:p w14:paraId="2FD3D499" w14:textId="0441DF41" w:rsidR="00290A51" w:rsidRPr="00F512C2" w:rsidRDefault="00290A51">
      <w:pPr>
        <w:spacing w:after="200" w:line="276" w:lineRule="auto"/>
      </w:pPr>
      <w:r w:rsidRPr="00F512C2">
        <w:br w:type="page"/>
      </w:r>
    </w:p>
    <w:p w14:paraId="6E1E7EF3" w14:textId="559877EA" w:rsidR="00D12D45" w:rsidRPr="00F512C2" w:rsidRDefault="00441565" w:rsidP="002A039A">
      <w:pPr>
        <w:pStyle w:val="Heading1"/>
        <w:rPr>
          <w:rFonts w:ascii="Times New Roman" w:hAnsi="Times New Roman" w:cs="Times New Roman"/>
        </w:rPr>
      </w:pPr>
      <w:r w:rsidRPr="00F512C2">
        <w:rPr>
          <w:rFonts w:ascii="Times New Roman" w:hAnsi="Times New Roman" w:cs="Times New Roman"/>
        </w:rPr>
        <w:t>1 Introduction</w:t>
      </w:r>
    </w:p>
    <w:p w14:paraId="216F79A9" w14:textId="2576C272" w:rsidR="007A327D" w:rsidRPr="00F512C2" w:rsidRDefault="008D487A" w:rsidP="008D487A">
      <w:pPr>
        <w:spacing w:before="240" w:line="480" w:lineRule="auto"/>
      </w:pPr>
      <w:r w:rsidRPr="00F512C2">
        <w:tab/>
      </w:r>
      <w:r w:rsidR="00D306D8" w:rsidRPr="00F512C2">
        <w:t xml:space="preserve">Advanced </w:t>
      </w:r>
      <w:proofErr w:type="spellStart"/>
      <w:r w:rsidR="00D306D8" w:rsidRPr="00F512C2">
        <w:t>postindustriali</w:t>
      </w:r>
      <w:r w:rsidR="00294D59" w:rsidRPr="00F512C2">
        <w:t>z</w:t>
      </w:r>
      <w:r w:rsidR="00D306D8" w:rsidRPr="00F512C2">
        <w:t>ation</w:t>
      </w:r>
      <w:proofErr w:type="spellEnd"/>
      <w:r w:rsidR="00D234FD" w:rsidRPr="00F512C2">
        <w:t xml:space="preserve"> generates numerous challenges for the European social model. Central among these is the </w:t>
      </w:r>
      <w:r w:rsidR="0092690E" w:rsidRPr="00F512C2">
        <w:t xml:space="preserve">rise of “new social risks” not well covered by core social insurance programs of the </w:t>
      </w:r>
      <w:r w:rsidR="00394E66" w:rsidRPr="00F512C2">
        <w:t xml:space="preserve">Twentieth Century welfare state. These risks include </w:t>
      </w:r>
      <w:r w:rsidR="007A327D" w:rsidRPr="00F512C2">
        <w:t>threats to income and job security for semi and low-skilled workers generated by skilled-biased technological change, globalization, and related forces as well as new socioeconomic pressures on households that seek to balance work and family commitments and meet the skill/knowledge challenges of the postindustrial economy. Th</w:t>
      </w:r>
      <w:r w:rsidR="006E7C6A" w:rsidRPr="00F512C2">
        <w:t>ose new risks associated with employment and skil</w:t>
      </w:r>
      <w:r w:rsidR="00657F50" w:rsidRPr="00F512C2">
        <w:t>l</w:t>
      </w:r>
      <w:r w:rsidR="006E7C6A" w:rsidRPr="00F512C2">
        <w:t>s</w:t>
      </w:r>
      <w:r w:rsidR="007A327D" w:rsidRPr="00F512C2">
        <w:t>, often analyzed through the lens of labor market dualism, has been the subject of intense study.</w:t>
      </w:r>
      <w:r w:rsidR="007A327D" w:rsidRPr="00F512C2">
        <w:rPr>
          <w:rStyle w:val="FootnoteReference"/>
        </w:rPr>
        <w:footnoteReference w:id="1"/>
      </w:r>
      <w:r w:rsidR="007A327D" w:rsidRPr="00F512C2">
        <w:t xml:space="preserve"> </w:t>
      </w:r>
      <w:r w:rsidR="00657F50" w:rsidRPr="00F512C2">
        <w:t xml:space="preserve">In addition, advanced </w:t>
      </w:r>
      <w:proofErr w:type="spellStart"/>
      <w:r w:rsidR="00657F50" w:rsidRPr="00F512C2">
        <w:t>postindustrialization</w:t>
      </w:r>
      <w:proofErr w:type="spellEnd"/>
      <w:r w:rsidR="00657F50" w:rsidRPr="00F512C2">
        <w:t xml:space="preserve"> creates </w:t>
      </w:r>
      <w:r w:rsidR="006B7FD9" w:rsidRPr="00F512C2">
        <w:t xml:space="preserve">pressures on </w:t>
      </w:r>
      <w:r w:rsidR="00C2066D" w:rsidRPr="00F512C2">
        <w:t xml:space="preserve">the unity of </w:t>
      </w:r>
      <w:r w:rsidR="0059717D" w:rsidRPr="00F512C2">
        <w:t>the political coalitions</w:t>
      </w:r>
      <w:r w:rsidR="00132A10" w:rsidRPr="00F512C2">
        <w:t xml:space="preserve"> that undergird the European social model</w:t>
      </w:r>
      <w:r w:rsidR="003F7975" w:rsidRPr="00F512C2">
        <w:t xml:space="preserve">; this </w:t>
      </w:r>
      <w:r w:rsidR="006B7FD9" w:rsidRPr="00F512C2">
        <w:t xml:space="preserve">chapter will pay particular attention to this </w:t>
      </w:r>
      <w:r w:rsidR="003F7975" w:rsidRPr="00F512C2">
        <w:t>contemporary political challenge</w:t>
      </w:r>
      <w:r w:rsidR="006B7FD9" w:rsidRPr="00F512C2">
        <w:t>.</w:t>
      </w:r>
      <w:r w:rsidR="003F7975" w:rsidRPr="00F512C2">
        <w:t xml:space="preserve"> </w:t>
      </w:r>
    </w:p>
    <w:p w14:paraId="79E3A49B" w14:textId="77777777" w:rsidR="006B7160" w:rsidRPr="00F512C2" w:rsidRDefault="007A327D" w:rsidP="007A327D">
      <w:pPr>
        <w:spacing w:line="480" w:lineRule="auto"/>
        <w:rPr>
          <w:szCs w:val="24"/>
        </w:rPr>
      </w:pPr>
      <w:r w:rsidRPr="00F512C2">
        <w:tab/>
        <w:t xml:space="preserve">Generally, the literature on dualization stresses the bifurcation of postindustrial labor markets between </w:t>
      </w:r>
      <w:r w:rsidRPr="00F512C2">
        <w:rPr>
          <w:szCs w:val="24"/>
        </w:rPr>
        <w:t xml:space="preserve">insiders (e.g., skilled industrial sector workers) and outsiders, namely, younger, female, immigrant and less skilled workers increasingly concentrated in the service sector and on the unemployment rolls. </w:t>
      </w:r>
      <w:r w:rsidR="00C6703F" w:rsidRPr="00F512C2">
        <w:rPr>
          <w:szCs w:val="24"/>
        </w:rPr>
        <w:t xml:space="preserve">Significant </w:t>
      </w:r>
      <w:r w:rsidRPr="00F512C2">
        <w:rPr>
          <w:szCs w:val="24"/>
        </w:rPr>
        <w:t xml:space="preserve">differences in wages and income, the incidence of involuntary part-time employment, and access to social insurance, services, job training and education characterize the </w:t>
      </w:r>
      <w:r w:rsidR="00110732" w:rsidRPr="00F512C2">
        <w:rPr>
          <w:szCs w:val="24"/>
        </w:rPr>
        <w:t xml:space="preserve">divergent </w:t>
      </w:r>
      <w:r w:rsidRPr="00F512C2">
        <w:rPr>
          <w:szCs w:val="24"/>
        </w:rPr>
        <w:t xml:space="preserve">conditions faced by insiders and outsiders (e.g., Rueda 2007; </w:t>
      </w:r>
      <w:proofErr w:type="spellStart"/>
      <w:r w:rsidRPr="00F512C2">
        <w:rPr>
          <w:szCs w:val="24"/>
        </w:rPr>
        <w:t>H</w:t>
      </w:r>
      <w:r w:rsidR="00027739" w:rsidRPr="00F512C2">
        <w:rPr>
          <w:szCs w:val="24"/>
        </w:rPr>
        <w:t>ä</w:t>
      </w:r>
      <w:r w:rsidRPr="00F512C2">
        <w:rPr>
          <w:szCs w:val="24"/>
        </w:rPr>
        <w:t>usermann</w:t>
      </w:r>
      <w:proofErr w:type="spellEnd"/>
      <w:r w:rsidRPr="00F512C2">
        <w:rPr>
          <w:szCs w:val="24"/>
        </w:rPr>
        <w:t xml:space="preserve"> and </w:t>
      </w:r>
      <w:proofErr w:type="spellStart"/>
      <w:r w:rsidRPr="00F512C2">
        <w:rPr>
          <w:szCs w:val="24"/>
        </w:rPr>
        <w:t>Schwander</w:t>
      </w:r>
      <w:proofErr w:type="spellEnd"/>
      <w:r w:rsidRPr="00F512C2">
        <w:rPr>
          <w:szCs w:val="24"/>
        </w:rPr>
        <w:t xml:space="preserve"> 2012; </w:t>
      </w:r>
      <w:proofErr w:type="spellStart"/>
      <w:r w:rsidRPr="00F512C2">
        <w:rPr>
          <w:szCs w:val="24"/>
        </w:rPr>
        <w:t>Seeleib</w:t>
      </w:r>
      <w:proofErr w:type="spellEnd"/>
      <w:r w:rsidRPr="00F512C2">
        <w:rPr>
          <w:szCs w:val="24"/>
        </w:rPr>
        <w:t xml:space="preserve">-Kaiser, Saunders, and </w:t>
      </w:r>
      <w:proofErr w:type="spellStart"/>
      <w:r w:rsidRPr="00F512C2">
        <w:rPr>
          <w:szCs w:val="24"/>
        </w:rPr>
        <w:t>Naczyk</w:t>
      </w:r>
      <w:proofErr w:type="spellEnd"/>
      <w:r w:rsidRPr="00F512C2">
        <w:rPr>
          <w:szCs w:val="24"/>
        </w:rPr>
        <w:t xml:space="preserve"> 2012; Swank 2014).</w:t>
      </w:r>
      <w:r w:rsidR="00134B66" w:rsidRPr="00F512C2">
        <w:rPr>
          <w:szCs w:val="24"/>
        </w:rPr>
        <w:t xml:space="preserve"> </w:t>
      </w:r>
    </w:p>
    <w:p w14:paraId="24405F0D" w14:textId="20D6F377" w:rsidR="00A505D8" w:rsidRPr="00F512C2" w:rsidRDefault="00A505D8" w:rsidP="007A327D">
      <w:pPr>
        <w:spacing w:line="480" w:lineRule="auto"/>
        <w:rPr>
          <w:szCs w:val="24"/>
        </w:rPr>
      </w:pPr>
      <w:r w:rsidRPr="00F512C2">
        <w:rPr>
          <w:szCs w:val="24"/>
        </w:rPr>
        <w:tab/>
        <w:t xml:space="preserve">In this chapter, I assess </w:t>
      </w:r>
      <w:r w:rsidR="00024818" w:rsidRPr="00F512C2">
        <w:rPr>
          <w:szCs w:val="24"/>
        </w:rPr>
        <w:t xml:space="preserve">the partisan basis of support for social policies that address the needs of </w:t>
      </w:r>
      <w:r w:rsidR="002B78EA" w:rsidRPr="00F512C2">
        <w:rPr>
          <w:szCs w:val="24"/>
        </w:rPr>
        <w:t xml:space="preserve">marginalized workers. Following </w:t>
      </w:r>
      <w:r w:rsidR="005C3028" w:rsidRPr="00F512C2">
        <w:rPr>
          <w:szCs w:val="24"/>
        </w:rPr>
        <w:t>contribut</w:t>
      </w:r>
      <w:r w:rsidR="009F7D7F" w:rsidRPr="00F512C2">
        <w:rPr>
          <w:szCs w:val="24"/>
        </w:rPr>
        <w:t>or</w:t>
      </w:r>
      <w:r w:rsidR="005C3028" w:rsidRPr="00F512C2">
        <w:rPr>
          <w:szCs w:val="24"/>
        </w:rPr>
        <w:t>s</w:t>
      </w:r>
      <w:r w:rsidR="009F7D7F" w:rsidRPr="00F512C2">
        <w:rPr>
          <w:szCs w:val="24"/>
        </w:rPr>
        <w:t xml:space="preserve"> </w:t>
      </w:r>
      <w:r w:rsidR="005C3028" w:rsidRPr="00F512C2">
        <w:rPr>
          <w:szCs w:val="24"/>
        </w:rPr>
        <w:t xml:space="preserve">in </w:t>
      </w:r>
      <w:r w:rsidR="0083685B" w:rsidRPr="00F512C2">
        <w:rPr>
          <w:szCs w:val="24"/>
        </w:rPr>
        <w:t xml:space="preserve">the seminal work of </w:t>
      </w:r>
      <w:proofErr w:type="spellStart"/>
      <w:r w:rsidR="005C3028" w:rsidRPr="00F512C2">
        <w:rPr>
          <w:szCs w:val="24"/>
        </w:rPr>
        <w:t>Amingeon</w:t>
      </w:r>
      <w:proofErr w:type="spellEnd"/>
      <w:r w:rsidR="005C3028" w:rsidRPr="00F512C2">
        <w:rPr>
          <w:szCs w:val="24"/>
        </w:rPr>
        <w:t xml:space="preserve"> and </w:t>
      </w:r>
      <w:proofErr w:type="spellStart"/>
      <w:r w:rsidR="005C3028" w:rsidRPr="00F512C2">
        <w:rPr>
          <w:szCs w:val="24"/>
        </w:rPr>
        <w:t>Bonoli</w:t>
      </w:r>
      <w:proofErr w:type="spellEnd"/>
      <w:r w:rsidR="005C3028" w:rsidRPr="00F512C2">
        <w:rPr>
          <w:szCs w:val="24"/>
        </w:rPr>
        <w:t xml:space="preserve"> (2006), </w:t>
      </w:r>
      <w:r w:rsidR="002B78EA" w:rsidRPr="00F512C2">
        <w:rPr>
          <w:szCs w:val="24"/>
        </w:rPr>
        <w:t xml:space="preserve">I specifically consider the </w:t>
      </w:r>
      <w:r w:rsidR="00551835" w:rsidRPr="00F512C2">
        <w:rPr>
          <w:szCs w:val="24"/>
        </w:rPr>
        <w:t xml:space="preserve">impacts of </w:t>
      </w:r>
      <w:r w:rsidR="00D03100" w:rsidRPr="00F512C2">
        <w:rPr>
          <w:szCs w:val="24"/>
        </w:rPr>
        <w:t xml:space="preserve">postindustrial </w:t>
      </w:r>
      <w:r w:rsidR="00551835" w:rsidRPr="00F512C2">
        <w:rPr>
          <w:szCs w:val="24"/>
        </w:rPr>
        <w:t xml:space="preserve">cleavages </w:t>
      </w:r>
      <w:r w:rsidR="00EE2B23" w:rsidRPr="00F512C2">
        <w:rPr>
          <w:szCs w:val="24"/>
        </w:rPr>
        <w:t xml:space="preserve">among </w:t>
      </w:r>
      <w:r w:rsidR="00551835" w:rsidRPr="00F512C2">
        <w:rPr>
          <w:szCs w:val="24"/>
        </w:rPr>
        <w:t xml:space="preserve">core constituencies of </w:t>
      </w:r>
      <w:r w:rsidR="008B40CC" w:rsidRPr="00F512C2">
        <w:rPr>
          <w:szCs w:val="24"/>
        </w:rPr>
        <w:t>social democratic parties</w:t>
      </w:r>
      <w:r w:rsidR="00376C94" w:rsidRPr="00F512C2">
        <w:rPr>
          <w:szCs w:val="24"/>
        </w:rPr>
        <w:t xml:space="preserve"> on the capacity of these parties to pursue inclusive social policies.</w:t>
      </w:r>
      <w:r w:rsidR="00811CEE" w:rsidRPr="00F512C2">
        <w:rPr>
          <w:szCs w:val="24"/>
        </w:rPr>
        <w:t xml:space="preserve"> </w:t>
      </w:r>
      <w:r w:rsidR="0083685B" w:rsidRPr="00F512C2">
        <w:rPr>
          <w:szCs w:val="24"/>
        </w:rPr>
        <w:t xml:space="preserve">(Indeed, </w:t>
      </w:r>
      <w:r w:rsidR="00151488" w:rsidRPr="00F512C2">
        <w:rPr>
          <w:szCs w:val="24"/>
        </w:rPr>
        <w:t xml:space="preserve">one of the most important contributions of Klaus </w:t>
      </w:r>
      <w:proofErr w:type="spellStart"/>
      <w:r w:rsidR="00151488" w:rsidRPr="00F512C2">
        <w:rPr>
          <w:szCs w:val="24"/>
        </w:rPr>
        <w:t>Armingeon</w:t>
      </w:r>
      <w:proofErr w:type="spellEnd"/>
      <w:r w:rsidR="00904E7A" w:rsidRPr="00F512C2">
        <w:rPr>
          <w:szCs w:val="24"/>
        </w:rPr>
        <w:t xml:space="preserve"> has been to pioneer the study of the political consequences of </w:t>
      </w:r>
      <w:r w:rsidR="00EB7179" w:rsidRPr="00F512C2">
        <w:rPr>
          <w:szCs w:val="24"/>
        </w:rPr>
        <w:t xml:space="preserve">the rise of </w:t>
      </w:r>
      <w:r w:rsidR="009B08CD" w:rsidRPr="00F512C2">
        <w:rPr>
          <w:szCs w:val="24"/>
        </w:rPr>
        <w:t>new social risks.)</w:t>
      </w:r>
      <w:r w:rsidR="002726AF" w:rsidRPr="00F512C2">
        <w:rPr>
          <w:szCs w:val="24"/>
        </w:rPr>
        <w:t xml:space="preserve"> </w:t>
      </w:r>
      <w:r w:rsidR="00811CEE" w:rsidRPr="00F512C2">
        <w:rPr>
          <w:szCs w:val="24"/>
        </w:rPr>
        <w:t xml:space="preserve">I </w:t>
      </w:r>
      <w:r w:rsidR="005C61D1" w:rsidRPr="00F512C2">
        <w:rPr>
          <w:szCs w:val="24"/>
        </w:rPr>
        <w:t>argue that</w:t>
      </w:r>
      <w:r w:rsidR="001E00E2" w:rsidRPr="00F512C2">
        <w:rPr>
          <w:szCs w:val="24"/>
        </w:rPr>
        <w:t xml:space="preserve"> </w:t>
      </w:r>
      <w:r w:rsidR="005C61D1" w:rsidRPr="00F512C2">
        <w:rPr>
          <w:szCs w:val="24"/>
        </w:rPr>
        <w:t xml:space="preserve">encompassing labor organization </w:t>
      </w:r>
      <w:r w:rsidR="00057B14" w:rsidRPr="00F512C2">
        <w:rPr>
          <w:szCs w:val="24"/>
        </w:rPr>
        <w:t xml:space="preserve">is the most important factor </w:t>
      </w:r>
      <w:r w:rsidR="00816636" w:rsidRPr="00F512C2">
        <w:rPr>
          <w:szCs w:val="24"/>
        </w:rPr>
        <w:t xml:space="preserve">in strengthening the ability of </w:t>
      </w:r>
      <w:r w:rsidR="00811CEE" w:rsidRPr="00F512C2">
        <w:rPr>
          <w:szCs w:val="24"/>
        </w:rPr>
        <w:t xml:space="preserve">left parties </w:t>
      </w:r>
      <w:r w:rsidR="00816636" w:rsidRPr="00F512C2">
        <w:rPr>
          <w:szCs w:val="24"/>
        </w:rPr>
        <w:t xml:space="preserve">to </w:t>
      </w:r>
      <w:r w:rsidR="00811CEE" w:rsidRPr="00F512C2">
        <w:rPr>
          <w:szCs w:val="24"/>
        </w:rPr>
        <w:t xml:space="preserve">build </w:t>
      </w:r>
      <w:r w:rsidR="000D6BCD" w:rsidRPr="00F512C2">
        <w:rPr>
          <w:szCs w:val="24"/>
        </w:rPr>
        <w:t xml:space="preserve">durable and </w:t>
      </w:r>
      <w:r w:rsidR="00811CEE" w:rsidRPr="00F512C2">
        <w:rPr>
          <w:szCs w:val="24"/>
        </w:rPr>
        <w:t>electoral</w:t>
      </w:r>
      <w:r w:rsidR="000D6BCD" w:rsidRPr="00F512C2">
        <w:rPr>
          <w:szCs w:val="24"/>
        </w:rPr>
        <w:t>ly</w:t>
      </w:r>
      <w:r w:rsidR="00811CEE" w:rsidRPr="00F512C2">
        <w:rPr>
          <w:szCs w:val="24"/>
        </w:rPr>
        <w:t xml:space="preserve"> successful coalitions </w:t>
      </w:r>
      <w:r w:rsidR="007C1194" w:rsidRPr="00F512C2">
        <w:rPr>
          <w:szCs w:val="24"/>
        </w:rPr>
        <w:t xml:space="preserve">in support of </w:t>
      </w:r>
      <w:r w:rsidR="004E261E" w:rsidRPr="00F512C2">
        <w:rPr>
          <w:szCs w:val="24"/>
        </w:rPr>
        <w:t xml:space="preserve">outsider-friendly </w:t>
      </w:r>
      <w:r w:rsidR="00E95D60" w:rsidRPr="00F512C2">
        <w:rPr>
          <w:szCs w:val="24"/>
        </w:rPr>
        <w:t xml:space="preserve">policies. </w:t>
      </w:r>
      <w:r w:rsidR="002F2E3E" w:rsidRPr="00F512C2">
        <w:rPr>
          <w:szCs w:val="24"/>
        </w:rPr>
        <w:t xml:space="preserve">I go beyond existing work </w:t>
      </w:r>
      <w:r w:rsidR="002E4B82" w:rsidRPr="00F512C2">
        <w:rPr>
          <w:szCs w:val="24"/>
        </w:rPr>
        <w:t xml:space="preserve">on </w:t>
      </w:r>
      <w:r w:rsidR="002F2E3E" w:rsidRPr="00F512C2">
        <w:rPr>
          <w:szCs w:val="24"/>
        </w:rPr>
        <w:t xml:space="preserve">the topic by considering the full array of postindustrial cleavages </w:t>
      </w:r>
      <w:r w:rsidR="00FE0D56" w:rsidRPr="00F512C2">
        <w:rPr>
          <w:szCs w:val="24"/>
        </w:rPr>
        <w:t xml:space="preserve">and attendant electoral challenges </w:t>
      </w:r>
      <w:r w:rsidR="002F2E3E" w:rsidRPr="00F512C2">
        <w:rPr>
          <w:szCs w:val="24"/>
        </w:rPr>
        <w:t>facing left parties</w:t>
      </w:r>
      <w:r w:rsidR="00FE0D56" w:rsidRPr="00F512C2">
        <w:rPr>
          <w:szCs w:val="24"/>
        </w:rPr>
        <w:t xml:space="preserve">, by more fully elaborating the logic of why encompassing labor organization is crucial, </w:t>
      </w:r>
      <w:r w:rsidR="005B1487" w:rsidRPr="00F512C2">
        <w:rPr>
          <w:szCs w:val="24"/>
        </w:rPr>
        <w:t>and by considering a</w:t>
      </w:r>
      <w:r w:rsidR="002A6B33" w:rsidRPr="00F512C2">
        <w:rPr>
          <w:szCs w:val="24"/>
        </w:rPr>
        <w:t xml:space="preserve"> more complete </w:t>
      </w:r>
      <w:r w:rsidR="005B1487" w:rsidRPr="00F512C2">
        <w:rPr>
          <w:szCs w:val="24"/>
        </w:rPr>
        <w:t xml:space="preserve">set of </w:t>
      </w:r>
      <w:r w:rsidR="00CF0615" w:rsidRPr="00F512C2">
        <w:rPr>
          <w:szCs w:val="24"/>
        </w:rPr>
        <w:t>measures of social and labor market polic</w:t>
      </w:r>
      <w:r w:rsidR="0096731B" w:rsidRPr="00F512C2">
        <w:rPr>
          <w:szCs w:val="24"/>
        </w:rPr>
        <w:t>ies</w:t>
      </w:r>
      <w:r w:rsidR="002E4B82" w:rsidRPr="00F512C2">
        <w:rPr>
          <w:szCs w:val="24"/>
        </w:rPr>
        <w:t xml:space="preserve"> than extant work</w:t>
      </w:r>
      <w:r w:rsidR="00CF0615" w:rsidRPr="00F512C2">
        <w:rPr>
          <w:szCs w:val="24"/>
        </w:rPr>
        <w:t xml:space="preserve">. In concluding, I </w:t>
      </w:r>
      <w:r w:rsidR="00A47172" w:rsidRPr="00F512C2">
        <w:rPr>
          <w:szCs w:val="24"/>
        </w:rPr>
        <w:t xml:space="preserve">compare my arguments and findings to “new politics of the welfare state” research </w:t>
      </w:r>
      <w:r w:rsidR="00245D07" w:rsidRPr="00F512C2">
        <w:rPr>
          <w:szCs w:val="24"/>
        </w:rPr>
        <w:t xml:space="preserve">as well </w:t>
      </w:r>
      <w:r w:rsidR="00F41E33" w:rsidRPr="00F512C2">
        <w:rPr>
          <w:szCs w:val="24"/>
        </w:rPr>
        <w:t xml:space="preserve">as </w:t>
      </w:r>
      <w:r w:rsidR="00A47172" w:rsidRPr="00F512C2">
        <w:rPr>
          <w:szCs w:val="24"/>
        </w:rPr>
        <w:t xml:space="preserve">to </w:t>
      </w:r>
      <w:r w:rsidR="009375C3" w:rsidRPr="00F512C2">
        <w:rPr>
          <w:szCs w:val="24"/>
        </w:rPr>
        <w:t xml:space="preserve">important </w:t>
      </w:r>
      <w:r w:rsidR="00A47172" w:rsidRPr="00F512C2">
        <w:rPr>
          <w:szCs w:val="24"/>
        </w:rPr>
        <w:t xml:space="preserve">new work </w:t>
      </w:r>
      <w:r w:rsidR="00266D46" w:rsidRPr="00F512C2">
        <w:rPr>
          <w:szCs w:val="24"/>
        </w:rPr>
        <w:t xml:space="preserve">that </w:t>
      </w:r>
      <w:r w:rsidR="009375C3" w:rsidRPr="00F512C2">
        <w:rPr>
          <w:szCs w:val="24"/>
        </w:rPr>
        <w:t xml:space="preserve">stresses coalition building and partisan politics but </w:t>
      </w:r>
      <w:r w:rsidR="00A47172" w:rsidRPr="00F512C2">
        <w:rPr>
          <w:szCs w:val="24"/>
        </w:rPr>
        <w:t xml:space="preserve">minimizes the role of </w:t>
      </w:r>
      <w:r w:rsidR="009375C3" w:rsidRPr="00F512C2">
        <w:rPr>
          <w:szCs w:val="24"/>
        </w:rPr>
        <w:t>class organization.</w:t>
      </w:r>
      <w:r w:rsidR="008D2113" w:rsidRPr="00F512C2">
        <w:rPr>
          <w:szCs w:val="24"/>
        </w:rPr>
        <w:t xml:space="preserve"> </w:t>
      </w:r>
    </w:p>
    <w:p w14:paraId="4B486187" w14:textId="6428CE81" w:rsidR="002C0C06" w:rsidRPr="00F512C2" w:rsidRDefault="00441565" w:rsidP="00C169E0">
      <w:pPr>
        <w:pStyle w:val="Heading2"/>
        <w:rPr>
          <w:rFonts w:ascii="Times New Roman" w:hAnsi="Times New Roman" w:cs="Times New Roman"/>
        </w:rPr>
      </w:pPr>
      <w:r w:rsidRPr="00F512C2">
        <w:rPr>
          <w:rFonts w:ascii="Times New Roman" w:hAnsi="Times New Roman" w:cs="Times New Roman"/>
        </w:rPr>
        <w:t xml:space="preserve">1.1 </w:t>
      </w:r>
      <w:r w:rsidR="006B2D8E" w:rsidRPr="00F512C2">
        <w:rPr>
          <w:rFonts w:ascii="Times New Roman" w:hAnsi="Times New Roman" w:cs="Times New Roman"/>
        </w:rPr>
        <w:t>An Overview of Labor Market Outsider</w:t>
      </w:r>
      <w:r w:rsidR="00C47A51" w:rsidRPr="00F512C2">
        <w:rPr>
          <w:rFonts w:ascii="Times New Roman" w:hAnsi="Times New Roman" w:cs="Times New Roman"/>
        </w:rPr>
        <w:t xml:space="preserve"> Policies and Outcomes</w:t>
      </w:r>
    </w:p>
    <w:p w14:paraId="6A182895" w14:textId="22D1871F" w:rsidR="00163DB3" w:rsidRPr="00F512C2" w:rsidRDefault="00217D74" w:rsidP="0044340F">
      <w:pPr>
        <w:widowControl w:val="0"/>
        <w:spacing w:line="480" w:lineRule="auto"/>
        <w:ind w:firstLine="720"/>
      </w:pPr>
      <w:r w:rsidRPr="00F512C2">
        <w:t xml:space="preserve">I focus on three dimensions of </w:t>
      </w:r>
      <w:r w:rsidR="00114513" w:rsidRPr="00F512C2">
        <w:t xml:space="preserve">public policy </w:t>
      </w:r>
      <w:r w:rsidR="0029185A" w:rsidRPr="00F512C2">
        <w:t xml:space="preserve">specifically </w:t>
      </w:r>
      <w:r w:rsidR="00114513" w:rsidRPr="00F512C2">
        <w:t xml:space="preserve">oriented to ameliorating the economic hardships </w:t>
      </w:r>
      <w:r w:rsidR="003A01B7" w:rsidRPr="00F512C2">
        <w:t xml:space="preserve">of </w:t>
      </w:r>
      <w:r w:rsidR="00651AB8" w:rsidRPr="00F512C2">
        <w:t xml:space="preserve">labor market </w:t>
      </w:r>
      <w:r w:rsidR="00C12F0B" w:rsidRPr="00F512C2">
        <w:t xml:space="preserve">outsiders </w:t>
      </w:r>
      <w:r w:rsidR="00011CFA" w:rsidRPr="00F512C2">
        <w:t>in the postindustrial labor market.</w:t>
      </w:r>
      <w:r w:rsidR="000D57C4" w:rsidRPr="00F512C2">
        <w:t xml:space="preserve"> Th</w:t>
      </w:r>
      <w:r w:rsidR="00656D62" w:rsidRPr="00F512C2">
        <w:t>e first two policies are directed toward income protection for low</w:t>
      </w:r>
      <w:r w:rsidR="002F38CD" w:rsidRPr="00F512C2">
        <w:t xml:space="preserve"> income households</w:t>
      </w:r>
      <w:r w:rsidR="00163DB3" w:rsidRPr="00F512C2">
        <w:t>: average income replacement rates of unemployment compensation across single and two earner households at 50 percent of the average production worker earnings</w:t>
      </w:r>
      <w:r w:rsidR="00853B73" w:rsidRPr="00F512C2">
        <w:t xml:space="preserve"> and</w:t>
      </w:r>
      <w:r w:rsidR="00163DB3" w:rsidRPr="00F512C2">
        <w:t xml:space="preserve"> minimum income protection for outsiders. Minimum income protection is the sum of means-tested cash assistance plus family </w:t>
      </w:r>
      <w:r w:rsidR="00B05139" w:rsidRPr="00F512C2">
        <w:t xml:space="preserve">services </w:t>
      </w:r>
      <w:r w:rsidR="00163DB3" w:rsidRPr="00F512C2">
        <w:t xml:space="preserve">and housing </w:t>
      </w:r>
      <w:r w:rsidR="00EF6297" w:rsidRPr="00F512C2">
        <w:t xml:space="preserve">subsidies </w:t>
      </w:r>
      <w:r w:rsidR="00163DB3" w:rsidRPr="00F512C2">
        <w:t>averaged across single, lone-parent, and two-parent households as a percent of the average production worker’s wage.</w:t>
      </w:r>
      <w:r w:rsidR="00713505" w:rsidRPr="00F512C2">
        <w:rPr>
          <w:rStyle w:val="FootnoteReference"/>
        </w:rPr>
        <w:footnoteReference w:id="2"/>
      </w:r>
      <w:r w:rsidR="00163DB3" w:rsidRPr="00F512C2">
        <w:t xml:space="preserve"> </w:t>
      </w:r>
      <w:r w:rsidR="00C52BA9" w:rsidRPr="00F512C2">
        <w:t xml:space="preserve">In addition, I </w:t>
      </w:r>
      <w:r w:rsidR="002C140F" w:rsidRPr="00F512C2">
        <w:t>focus on the magnitude of national comm</w:t>
      </w:r>
      <w:r w:rsidR="0016558A" w:rsidRPr="00F512C2">
        <w:t xml:space="preserve">itments </w:t>
      </w:r>
      <w:r w:rsidR="002C140F" w:rsidRPr="00F512C2">
        <w:t>for active labor market policy (hereafter ALMP)</w:t>
      </w:r>
      <w:r w:rsidR="00847F9D" w:rsidRPr="00F512C2">
        <w:t xml:space="preserve">, or ALMP spending </w:t>
      </w:r>
      <w:r w:rsidR="002C140F" w:rsidRPr="00F512C2">
        <w:t>as a percentage of GDP</w:t>
      </w:r>
      <w:r w:rsidR="0076003E" w:rsidRPr="00F512C2">
        <w:t xml:space="preserve">. AMLP programs include provision of </w:t>
      </w:r>
      <w:r w:rsidR="00990A8D" w:rsidRPr="00F512C2">
        <w:t xml:space="preserve">an array of labor market services (e.g., job search assistance), training for </w:t>
      </w:r>
      <w:r w:rsidR="00E151DD" w:rsidRPr="00F512C2">
        <w:t>major categories of labor market outsiders (</w:t>
      </w:r>
      <w:proofErr w:type="spellStart"/>
      <w:r w:rsidR="00E151DD" w:rsidRPr="00F512C2">
        <w:t>e.g</w:t>
      </w:r>
      <w:proofErr w:type="spellEnd"/>
      <w:r w:rsidR="00E151DD" w:rsidRPr="00F512C2">
        <w:t xml:space="preserve">, unemployed youth, low-skilled </w:t>
      </w:r>
      <w:r w:rsidR="00E75493" w:rsidRPr="00F512C2">
        <w:t>workers displaced by globalization and technological change), and publicly subsidized jobs.</w:t>
      </w:r>
      <w:r w:rsidR="001C3FAB" w:rsidRPr="00F512C2">
        <w:rPr>
          <w:rStyle w:val="FootnoteReference"/>
        </w:rPr>
        <w:t xml:space="preserve"> </w:t>
      </w:r>
      <w:r w:rsidR="001C3FAB" w:rsidRPr="00F512C2">
        <w:rPr>
          <w:rStyle w:val="FootnoteReference"/>
        </w:rPr>
        <w:footnoteReference w:id="3"/>
      </w:r>
      <w:r w:rsidR="001C3FAB" w:rsidRPr="00F512C2">
        <w:t xml:space="preserve"> </w:t>
      </w:r>
      <w:r w:rsidR="00E75493" w:rsidRPr="00F512C2">
        <w:t xml:space="preserve"> </w:t>
      </w:r>
      <w:r w:rsidR="00163DB3" w:rsidRPr="00F512C2">
        <w:t>I also include an analysis of</w:t>
      </w:r>
      <w:r w:rsidR="00A4180B" w:rsidRPr="00F512C2">
        <w:t xml:space="preserve"> </w:t>
      </w:r>
      <w:r w:rsidR="00163DB3" w:rsidRPr="00F512C2">
        <w:t>the reduction in the relative poverty rate</w:t>
      </w:r>
      <w:r w:rsidR="002D5E51" w:rsidRPr="00F512C2">
        <w:t xml:space="preserve"> through income transfers and taxes</w:t>
      </w:r>
      <w:r w:rsidR="00163DB3" w:rsidRPr="00F512C2">
        <w:t>. I use 50 percent of median income as the poverty line and compute poverty reduction as the percentage change from pre-tax-and-transfer to post-tax-and-transfer poverty rates. The poverty rate, itself, is defined as the percentage of working-age households earning below 50 percent of median family income.</w:t>
      </w:r>
      <w:r w:rsidR="00BB771C" w:rsidRPr="00F512C2">
        <w:rPr>
          <w:rStyle w:val="FootnoteReference"/>
        </w:rPr>
        <w:footnoteReference w:id="4"/>
      </w:r>
      <w:r w:rsidR="00482A3B" w:rsidRPr="00F512C2">
        <w:t xml:space="preserve"> </w:t>
      </w:r>
      <w:r w:rsidR="007B6076" w:rsidRPr="00F512C2">
        <w:t>With this focus</w:t>
      </w:r>
      <w:r w:rsidR="00482A3B" w:rsidRPr="00F512C2">
        <w:t xml:space="preserve">, I go beyond existing studies that have </w:t>
      </w:r>
      <w:r w:rsidR="0030006D" w:rsidRPr="00F512C2">
        <w:t>near</w:t>
      </w:r>
      <w:r w:rsidR="00EF4B0A" w:rsidRPr="00F512C2">
        <w:t>ly</w:t>
      </w:r>
      <w:r w:rsidR="0030006D" w:rsidRPr="00F512C2">
        <w:t xml:space="preserve"> exclusively focused </w:t>
      </w:r>
      <w:r w:rsidR="003C6CC7" w:rsidRPr="00F512C2">
        <w:t xml:space="preserve">on </w:t>
      </w:r>
      <w:r w:rsidR="0030006D" w:rsidRPr="00F512C2">
        <w:t xml:space="preserve">ALMP and </w:t>
      </w:r>
      <w:r w:rsidR="00A15148" w:rsidRPr="00F512C2">
        <w:t>general unemployment benefits</w:t>
      </w:r>
      <w:r w:rsidR="008424DC" w:rsidRPr="00F512C2">
        <w:t xml:space="preserve"> </w:t>
      </w:r>
      <w:r w:rsidR="00500AAC" w:rsidRPr="00F512C2">
        <w:t xml:space="preserve">as </w:t>
      </w:r>
      <w:r w:rsidR="0012655B" w:rsidRPr="00F512C2">
        <w:t>indicators of outsider policies (e.g., Rueda 2005; 2007; Iversen and Soskice 2015</w:t>
      </w:r>
      <w:r w:rsidR="00B17B29" w:rsidRPr="00F512C2">
        <w:t>a</w:t>
      </w:r>
      <w:r w:rsidR="0012655B" w:rsidRPr="00F512C2">
        <w:t xml:space="preserve">). </w:t>
      </w:r>
    </w:p>
    <w:p w14:paraId="7ADB3C9F" w14:textId="1FE31425" w:rsidR="007D1565" w:rsidRPr="00F512C2" w:rsidRDefault="007D1565" w:rsidP="007D1565">
      <w:pPr>
        <w:widowControl w:val="0"/>
        <w:spacing w:line="480" w:lineRule="auto"/>
        <w:jc w:val="center"/>
      </w:pPr>
      <w:r w:rsidRPr="00F512C2">
        <w:t>-Table 1 about here-</w:t>
      </w:r>
    </w:p>
    <w:p w14:paraId="0979A704" w14:textId="7B88F538" w:rsidR="00C53F75" w:rsidRPr="00F512C2" w:rsidRDefault="001C3FAB" w:rsidP="00A55059">
      <w:pPr>
        <w:spacing w:line="480" w:lineRule="auto"/>
      </w:pPr>
      <w:r w:rsidRPr="00F512C2">
        <w:tab/>
      </w:r>
      <w:r w:rsidR="002B6A55" w:rsidRPr="00F512C2">
        <w:t xml:space="preserve">I display data for these four dimensions of outsider policies and outcomes </w:t>
      </w:r>
      <w:r w:rsidR="007B6AC5" w:rsidRPr="00F512C2">
        <w:t xml:space="preserve">in Table 1. The table provides </w:t>
      </w:r>
      <w:r w:rsidR="00905307" w:rsidRPr="00F512C2">
        <w:t xml:space="preserve">values for the mid-1980s and </w:t>
      </w:r>
      <w:r w:rsidR="00F353D6" w:rsidRPr="00F512C2">
        <w:t>early 2010s for the 18 focal nations of this study</w:t>
      </w:r>
      <w:r w:rsidR="0039627D" w:rsidRPr="00F512C2">
        <w:t xml:space="preserve"> (grouped by welfare state regimes).</w:t>
      </w:r>
      <w:r w:rsidR="0039627D" w:rsidRPr="00F512C2">
        <w:rPr>
          <w:rStyle w:val="FootnoteReference"/>
        </w:rPr>
        <w:footnoteReference w:id="5"/>
      </w:r>
      <w:r w:rsidR="009B20DF" w:rsidRPr="00F512C2">
        <w:t xml:space="preserve"> </w:t>
      </w:r>
      <w:r w:rsidR="00B417A8" w:rsidRPr="00F512C2">
        <w:t xml:space="preserve">Generally, </w:t>
      </w:r>
      <w:r w:rsidR="0003449A" w:rsidRPr="00F512C2">
        <w:t>as even casual observers would expect</w:t>
      </w:r>
      <w:r w:rsidR="00135A72" w:rsidRPr="00F512C2">
        <w:t xml:space="preserve">, Nordic social democratic welfare states score moderately higher </w:t>
      </w:r>
      <w:r w:rsidR="00761A87" w:rsidRPr="00F512C2">
        <w:t>in all areas</w:t>
      </w:r>
      <w:r w:rsidR="003A4E7A" w:rsidRPr="00F512C2">
        <w:t xml:space="preserve">. In both the 1980s and 2010s, </w:t>
      </w:r>
      <w:r w:rsidR="00C91BDE" w:rsidRPr="00F512C2">
        <w:t xml:space="preserve">the Nordic countries </w:t>
      </w:r>
      <w:r w:rsidR="00C4400E" w:rsidRPr="00F512C2">
        <w:t>replace several percentage points more income for low</w:t>
      </w:r>
      <w:r w:rsidR="001F22EE" w:rsidRPr="00F512C2">
        <w:t xml:space="preserve"> wage workers </w:t>
      </w:r>
      <w:r w:rsidR="00BC0E76" w:rsidRPr="00F512C2">
        <w:t xml:space="preserve">through </w:t>
      </w:r>
      <w:r w:rsidR="00CE5E74" w:rsidRPr="00F512C2">
        <w:t xml:space="preserve">unemployment compensation and minimum protection programs </w:t>
      </w:r>
      <w:r w:rsidR="001F22EE" w:rsidRPr="00F512C2">
        <w:t xml:space="preserve">than do the continental </w:t>
      </w:r>
      <w:r w:rsidR="00871E43" w:rsidRPr="00F512C2">
        <w:t>(</w:t>
      </w:r>
      <w:r w:rsidR="001F22EE" w:rsidRPr="00F512C2">
        <w:t>conservative</w:t>
      </w:r>
      <w:r w:rsidR="00871E43" w:rsidRPr="00F512C2">
        <w:t>)</w:t>
      </w:r>
      <w:r w:rsidR="001F22EE" w:rsidRPr="00F512C2">
        <w:t xml:space="preserve"> welfare states</w:t>
      </w:r>
      <w:r w:rsidR="00C05EAA" w:rsidRPr="00F512C2">
        <w:t xml:space="preserve">; the difference </w:t>
      </w:r>
      <w:r w:rsidR="003852A5" w:rsidRPr="00F512C2">
        <w:t xml:space="preserve">in these policies </w:t>
      </w:r>
      <w:r w:rsidR="00C05EAA" w:rsidRPr="00F512C2">
        <w:t xml:space="preserve">between </w:t>
      </w:r>
      <w:r w:rsidR="005105E9" w:rsidRPr="00F512C2">
        <w:t xml:space="preserve">Nordic and Anglo-liberal welfare states is </w:t>
      </w:r>
      <w:r w:rsidR="00C8365E" w:rsidRPr="00F512C2">
        <w:t xml:space="preserve">in excess of 20 percentage points. A similar pattern holds </w:t>
      </w:r>
      <w:proofErr w:type="gramStart"/>
      <w:r w:rsidR="00C8365E" w:rsidRPr="00F512C2">
        <w:t>with regard to</w:t>
      </w:r>
      <w:proofErr w:type="gramEnd"/>
      <w:r w:rsidR="00C8365E" w:rsidRPr="00F512C2">
        <w:t xml:space="preserve"> all dimensions of outsider policies and outcomes. </w:t>
      </w:r>
    </w:p>
    <w:p w14:paraId="516670ED" w14:textId="621D19B4" w:rsidR="00EC092C" w:rsidRPr="00F512C2" w:rsidRDefault="00EC092C" w:rsidP="00A55059">
      <w:pPr>
        <w:spacing w:line="480" w:lineRule="auto"/>
      </w:pPr>
      <w:r w:rsidRPr="00F512C2">
        <w:tab/>
        <w:t>In addition, and surpris</w:t>
      </w:r>
      <w:r w:rsidR="006817B8" w:rsidRPr="00F512C2">
        <w:t xml:space="preserve">ingly, change </w:t>
      </w:r>
      <w:r w:rsidR="00370B65" w:rsidRPr="00F512C2">
        <w:t>o</w:t>
      </w:r>
      <w:r w:rsidR="006817B8" w:rsidRPr="00F512C2">
        <w:t xml:space="preserve">n each dimension </w:t>
      </w:r>
      <w:r w:rsidR="00370B65" w:rsidRPr="00F512C2">
        <w:t xml:space="preserve">in each welfare state type </w:t>
      </w:r>
      <w:r w:rsidR="005B570C" w:rsidRPr="00F512C2">
        <w:t>i</w:t>
      </w:r>
      <w:r w:rsidR="00370B65" w:rsidRPr="00F512C2">
        <w:t>s, for the most part, remarkabl</w:t>
      </w:r>
      <w:r w:rsidR="00CE44C2" w:rsidRPr="00F512C2">
        <w:t>y modest</w:t>
      </w:r>
      <w:r w:rsidR="00370B65" w:rsidRPr="00F512C2">
        <w:t xml:space="preserve"> across </w:t>
      </w:r>
      <w:r w:rsidR="00E650C4" w:rsidRPr="00F512C2">
        <w:t>early and late postindustrial</w:t>
      </w:r>
      <w:r w:rsidR="00CE44C2" w:rsidRPr="00F512C2">
        <w:t xml:space="preserve"> periods</w:t>
      </w:r>
      <w:r w:rsidR="00E650C4" w:rsidRPr="00F512C2">
        <w:t xml:space="preserve">. </w:t>
      </w:r>
      <w:r w:rsidR="006D12FF" w:rsidRPr="00F512C2">
        <w:t>In fact</w:t>
      </w:r>
      <w:r w:rsidR="00DF7E7E" w:rsidRPr="00F512C2">
        <w:t>,</w:t>
      </w:r>
      <w:r w:rsidR="006D12FF" w:rsidRPr="00F512C2">
        <w:t xml:space="preserve"> the aggregate averages for mid-1980s and early 2010s</w:t>
      </w:r>
      <w:r w:rsidR="0070702A" w:rsidRPr="00F512C2">
        <w:t xml:space="preserve"> for all 18 nations</w:t>
      </w:r>
      <w:r w:rsidR="00AD6434" w:rsidRPr="00F512C2">
        <w:t xml:space="preserve"> </w:t>
      </w:r>
      <w:r w:rsidR="00796374" w:rsidRPr="00F512C2">
        <w:t xml:space="preserve">differs </w:t>
      </w:r>
      <w:r w:rsidR="00AD6434" w:rsidRPr="00F512C2">
        <w:t xml:space="preserve">by only one percentage point (i.e., in percent of income replaced) </w:t>
      </w:r>
      <w:r w:rsidR="00A84F7F" w:rsidRPr="00F512C2">
        <w:t xml:space="preserve">for low wage worker unemployment compensation and means-tested benefits. </w:t>
      </w:r>
      <w:r w:rsidR="00534BF1" w:rsidRPr="00F512C2">
        <w:t xml:space="preserve">ALMP spending is identical in the mid-1980s and early 2010s while </w:t>
      </w:r>
      <w:r w:rsidR="0007543A" w:rsidRPr="00F512C2">
        <w:t>pre- to post-</w:t>
      </w:r>
      <w:proofErr w:type="spellStart"/>
      <w:r w:rsidR="0007543A" w:rsidRPr="00F512C2">
        <w:t>fisc</w:t>
      </w:r>
      <w:proofErr w:type="spellEnd"/>
      <w:r w:rsidR="0007543A" w:rsidRPr="00F512C2">
        <w:t xml:space="preserve"> </w:t>
      </w:r>
      <w:r w:rsidR="00534BF1" w:rsidRPr="00F512C2">
        <w:t xml:space="preserve">poverty reduction only </w:t>
      </w:r>
      <w:r w:rsidR="0007543A" w:rsidRPr="00F512C2">
        <w:t xml:space="preserve">increases by four percentage points. That said, there are some notable changes within countries and welfare state types. </w:t>
      </w:r>
      <w:r w:rsidR="00DB1D19" w:rsidRPr="00F512C2">
        <w:t>For instance, while still relatively generous, m</w:t>
      </w:r>
      <w:r w:rsidR="000C290F" w:rsidRPr="00F512C2">
        <w:t>inimum income support declines in the Nordic cases</w:t>
      </w:r>
      <w:r w:rsidR="009D20E3" w:rsidRPr="00F512C2">
        <w:t>,</w:t>
      </w:r>
      <w:r w:rsidR="000A62A1" w:rsidRPr="00F512C2">
        <w:t xml:space="preserve"> </w:t>
      </w:r>
      <w:r w:rsidR="00260233" w:rsidRPr="00F512C2">
        <w:t xml:space="preserve">unemployment compensation for low income workers increases notably in Italy </w:t>
      </w:r>
      <w:r w:rsidR="009D20E3" w:rsidRPr="00F512C2">
        <w:t>and Switzerland</w:t>
      </w:r>
      <w:r w:rsidR="00C47211" w:rsidRPr="00F512C2">
        <w:t xml:space="preserve"> and declines </w:t>
      </w:r>
      <w:r w:rsidR="00274306" w:rsidRPr="00F512C2">
        <w:t xml:space="preserve">by more than 10 points </w:t>
      </w:r>
      <w:r w:rsidR="00C47211" w:rsidRPr="00F512C2">
        <w:t>in New Zealand</w:t>
      </w:r>
      <w:r w:rsidR="009D20E3" w:rsidRPr="00F512C2">
        <w:t xml:space="preserve">, and ALMP spending declines by half </w:t>
      </w:r>
      <w:r w:rsidR="00AB5177" w:rsidRPr="00F512C2">
        <w:t xml:space="preserve">or more </w:t>
      </w:r>
      <w:r w:rsidR="009D20E3" w:rsidRPr="00F512C2">
        <w:t xml:space="preserve">in </w:t>
      </w:r>
      <w:r w:rsidR="00AB5177" w:rsidRPr="00F512C2">
        <w:t xml:space="preserve">New Zealand and </w:t>
      </w:r>
      <w:r w:rsidR="009D20E3" w:rsidRPr="00F512C2">
        <w:t>the UK.</w:t>
      </w:r>
      <w:r w:rsidR="005853A4" w:rsidRPr="00F512C2">
        <w:t xml:space="preserve"> I now turn to </w:t>
      </w:r>
      <w:r w:rsidR="00983E1D" w:rsidRPr="00F512C2">
        <w:t>the widely debated question of how politics and, specifically, how partisan politics</w:t>
      </w:r>
      <w:r w:rsidR="00274306" w:rsidRPr="00F512C2">
        <w:t>,</w:t>
      </w:r>
      <w:r w:rsidR="00983E1D" w:rsidRPr="00F512C2">
        <w:t xml:space="preserve"> has shaped </w:t>
      </w:r>
      <w:r w:rsidR="00AA01FE" w:rsidRPr="00F512C2">
        <w:t xml:space="preserve">these programs and outcomes in the postindustrial era. </w:t>
      </w:r>
    </w:p>
    <w:p w14:paraId="01FEC0A2" w14:textId="2DD19EDC" w:rsidR="00854C7A" w:rsidRPr="00F512C2" w:rsidRDefault="00706DF6" w:rsidP="00A12CF8">
      <w:pPr>
        <w:pStyle w:val="Heading1"/>
        <w:rPr>
          <w:rFonts w:ascii="Times New Roman" w:hAnsi="Times New Roman" w:cs="Times New Roman"/>
        </w:rPr>
      </w:pPr>
      <w:r w:rsidRPr="00F512C2">
        <w:rPr>
          <w:rFonts w:ascii="Times New Roman" w:hAnsi="Times New Roman" w:cs="Times New Roman"/>
        </w:rPr>
        <w:t xml:space="preserve">2 </w:t>
      </w:r>
      <w:r w:rsidR="00211783" w:rsidRPr="00F512C2">
        <w:rPr>
          <w:rFonts w:ascii="Times New Roman" w:hAnsi="Times New Roman" w:cs="Times New Roman"/>
        </w:rPr>
        <w:t>T</w:t>
      </w:r>
      <w:r w:rsidRPr="00F512C2">
        <w:rPr>
          <w:rFonts w:ascii="Times New Roman" w:hAnsi="Times New Roman" w:cs="Times New Roman"/>
        </w:rPr>
        <w:t>heory</w:t>
      </w:r>
      <w:r w:rsidR="00211783" w:rsidRPr="00F512C2">
        <w:rPr>
          <w:rFonts w:ascii="Times New Roman" w:hAnsi="Times New Roman" w:cs="Times New Roman"/>
        </w:rPr>
        <w:t>: P</w:t>
      </w:r>
      <w:r w:rsidRPr="00F512C2">
        <w:rPr>
          <w:rFonts w:ascii="Times New Roman" w:hAnsi="Times New Roman" w:cs="Times New Roman"/>
        </w:rPr>
        <w:t>arties</w:t>
      </w:r>
      <w:r w:rsidR="006E6545" w:rsidRPr="00F512C2">
        <w:rPr>
          <w:rFonts w:ascii="Times New Roman" w:hAnsi="Times New Roman" w:cs="Times New Roman"/>
        </w:rPr>
        <w:t>, L</w:t>
      </w:r>
      <w:r w:rsidRPr="00F512C2">
        <w:rPr>
          <w:rFonts w:ascii="Times New Roman" w:hAnsi="Times New Roman" w:cs="Times New Roman"/>
        </w:rPr>
        <w:t xml:space="preserve">abor </w:t>
      </w:r>
      <w:r w:rsidR="006E6545" w:rsidRPr="00F512C2">
        <w:rPr>
          <w:rFonts w:ascii="Times New Roman" w:hAnsi="Times New Roman" w:cs="Times New Roman"/>
        </w:rPr>
        <w:t>O</w:t>
      </w:r>
      <w:r w:rsidRPr="00F512C2">
        <w:rPr>
          <w:rFonts w:ascii="Times New Roman" w:hAnsi="Times New Roman" w:cs="Times New Roman"/>
        </w:rPr>
        <w:t>rganization</w:t>
      </w:r>
      <w:r w:rsidR="006E6545" w:rsidRPr="00F512C2">
        <w:rPr>
          <w:rFonts w:ascii="Times New Roman" w:hAnsi="Times New Roman" w:cs="Times New Roman"/>
        </w:rPr>
        <w:t xml:space="preserve">, </w:t>
      </w:r>
      <w:r w:rsidRPr="00F512C2">
        <w:rPr>
          <w:rFonts w:ascii="Times New Roman" w:hAnsi="Times New Roman" w:cs="Times New Roman"/>
        </w:rPr>
        <w:t xml:space="preserve">and </w:t>
      </w:r>
      <w:r w:rsidR="006E6545" w:rsidRPr="00F512C2">
        <w:rPr>
          <w:rFonts w:ascii="Times New Roman" w:hAnsi="Times New Roman" w:cs="Times New Roman"/>
        </w:rPr>
        <w:t>S</w:t>
      </w:r>
      <w:r w:rsidRPr="00F512C2">
        <w:rPr>
          <w:rFonts w:ascii="Times New Roman" w:hAnsi="Times New Roman" w:cs="Times New Roman"/>
        </w:rPr>
        <w:t>ocial</w:t>
      </w:r>
      <w:r w:rsidR="006E6545" w:rsidRPr="00F512C2">
        <w:rPr>
          <w:rFonts w:ascii="Times New Roman" w:hAnsi="Times New Roman" w:cs="Times New Roman"/>
        </w:rPr>
        <w:t xml:space="preserve"> P</w:t>
      </w:r>
      <w:r w:rsidRPr="00F512C2">
        <w:rPr>
          <w:rFonts w:ascii="Times New Roman" w:hAnsi="Times New Roman" w:cs="Times New Roman"/>
        </w:rPr>
        <w:t>rotection</w:t>
      </w:r>
      <w:r w:rsidR="006E6545" w:rsidRPr="00F512C2">
        <w:rPr>
          <w:rFonts w:ascii="Times New Roman" w:hAnsi="Times New Roman" w:cs="Times New Roman"/>
        </w:rPr>
        <w:t xml:space="preserve"> </w:t>
      </w:r>
      <w:r w:rsidRPr="00F512C2">
        <w:rPr>
          <w:rFonts w:ascii="Times New Roman" w:hAnsi="Times New Roman" w:cs="Times New Roman"/>
        </w:rPr>
        <w:t>of</w:t>
      </w:r>
      <w:r w:rsidR="006E6545" w:rsidRPr="00F512C2">
        <w:rPr>
          <w:rFonts w:ascii="Times New Roman" w:hAnsi="Times New Roman" w:cs="Times New Roman"/>
        </w:rPr>
        <w:t xml:space="preserve"> O</w:t>
      </w:r>
      <w:r w:rsidRPr="00F512C2">
        <w:rPr>
          <w:rFonts w:ascii="Times New Roman" w:hAnsi="Times New Roman" w:cs="Times New Roman"/>
        </w:rPr>
        <w:t>utsiders</w:t>
      </w:r>
    </w:p>
    <w:p w14:paraId="1BCFE9D3" w14:textId="485F6B40" w:rsidR="00854C7A" w:rsidRPr="00F512C2" w:rsidRDefault="00854C7A" w:rsidP="00854C7A">
      <w:pPr>
        <w:rPr>
          <w:szCs w:val="24"/>
        </w:rPr>
      </w:pPr>
    </w:p>
    <w:p w14:paraId="0FA254F6" w14:textId="4151268F" w:rsidR="00854C7A" w:rsidRPr="00F512C2" w:rsidRDefault="00267F73" w:rsidP="00B955F5">
      <w:pPr>
        <w:spacing w:line="480" w:lineRule="auto"/>
        <w:rPr>
          <w:szCs w:val="24"/>
        </w:rPr>
      </w:pPr>
      <w:r w:rsidRPr="00F512C2">
        <w:rPr>
          <w:szCs w:val="24"/>
        </w:rPr>
        <w:tab/>
        <w:t xml:space="preserve">Beyond the </w:t>
      </w:r>
      <w:r w:rsidR="000C7F23" w:rsidRPr="00F512C2">
        <w:rPr>
          <w:szCs w:val="24"/>
        </w:rPr>
        <w:t xml:space="preserve">analysis of </w:t>
      </w:r>
      <w:r w:rsidR="006B1D41" w:rsidRPr="00F512C2">
        <w:rPr>
          <w:szCs w:val="24"/>
        </w:rPr>
        <w:t xml:space="preserve">the nature </w:t>
      </w:r>
      <w:r w:rsidR="000C7F23" w:rsidRPr="00F512C2">
        <w:rPr>
          <w:szCs w:val="24"/>
        </w:rPr>
        <w:t xml:space="preserve">of </w:t>
      </w:r>
      <w:r w:rsidR="008A6C44" w:rsidRPr="00F512C2">
        <w:rPr>
          <w:szCs w:val="24"/>
        </w:rPr>
        <w:t>new social risks, contributor</w:t>
      </w:r>
      <w:r w:rsidR="006F7A50" w:rsidRPr="00F512C2">
        <w:rPr>
          <w:szCs w:val="24"/>
        </w:rPr>
        <w:t>s</w:t>
      </w:r>
      <w:r w:rsidR="008A6C44" w:rsidRPr="00F512C2">
        <w:rPr>
          <w:szCs w:val="24"/>
        </w:rPr>
        <w:t xml:space="preserve"> to </w:t>
      </w:r>
      <w:proofErr w:type="spellStart"/>
      <w:r w:rsidR="008A6C44" w:rsidRPr="00F512C2">
        <w:rPr>
          <w:szCs w:val="24"/>
        </w:rPr>
        <w:t>Amingeon</w:t>
      </w:r>
      <w:proofErr w:type="spellEnd"/>
      <w:r w:rsidR="008A6C44" w:rsidRPr="00F512C2">
        <w:rPr>
          <w:szCs w:val="24"/>
        </w:rPr>
        <w:t xml:space="preserve"> and </w:t>
      </w:r>
      <w:proofErr w:type="spellStart"/>
      <w:r w:rsidR="008A6C44" w:rsidRPr="00F512C2">
        <w:rPr>
          <w:szCs w:val="24"/>
        </w:rPr>
        <w:t>Bonoli</w:t>
      </w:r>
      <w:proofErr w:type="spellEnd"/>
      <w:r w:rsidR="008A6C44" w:rsidRPr="00F512C2">
        <w:rPr>
          <w:szCs w:val="24"/>
        </w:rPr>
        <w:t xml:space="preserve"> (200</w:t>
      </w:r>
      <w:r w:rsidR="00673545" w:rsidRPr="00F512C2">
        <w:rPr>
          <w:szCs w:val="24"/>
        </w:rPr>
        <w:t xml:space="preserve">6) </w:t>
      </w:r>
      <w:r w:rsidR="006F7A50" w:rsidRPr="00F512C2">
        <w:rPr>
          <w:szCs w:val="24"/>
        </w:rPr>
        <w:t xml:space="preserve">focused on the implications of </w:t>
      </w:r>
      <w:r w:rsidR="00DE5CEC" w:rsidRPr="00F512C2">
        <w:rPr>
          <w:szCs w:val="24"/>
        </w:rPr>
        <w:t>these risks for parties’ electoral strategies, ideological orientations</w:t>
      </w:r>
      <w:r w:rsidR="00787CA7" w:rsidRPr="00F512C2">
        <w:rPr>
          <w:szCs w:val="24"/>
        </w:rPr>
        <w:t xml:space="preserve">, and, most central to this </w:t>
      </w:r>
      <w:r w:rsidR="007635D6" w:rsidRPr="00F512C2">
        <w:rPr>
          <w:szCs w:val="24"/>
        </w:rPr>
        <w:t xml:space="preserve">chapter’s </w:t>
      </w:r>
      <w:r w:rsidR="00787CA7" w:rsidRPr="00F512C2">
        <w:rPr>
          <w:szCs w:val="24"/>
        </w:rPr>
        <w:t>inqui</w:t>
      </w:r>
      <w:r w:rsidR="007635D6" w:rsidRPr="00F512C2">
        <w:rPr>
          <w:szCs w:val="24"/>
        </w:rPr>
        <w:t>r</w:t>
      </w:r>
      <w:r w:rsidR="00787CA7" w:rsidRPr="00F512C2">
        <w:rPr>
          <w:szCs w:val="24"/>
        </w:rPr>
        <w:t xml:space="preserve">y, partisan impacts on </w:t>
      </w:r>
      <w:r w:rsidR="00951E4E" w:rsidRPr="00F512C2">
        <w:rPr>
          <w:szCs w:val="24"/>
        </w:rPr>
        <w:t>social policy</w:t>
      </w:r>
      <w:r w:rsidR="00B95337" w:rsidRPr="00F512C2">
        <w:rPr>
          <w:szCs w:val="24"/>
        </w:rPr>
        <w:t>, itself</w:t>
      </w:r>
      <w:r w:rsidR="00951E4E" w:rsidRPr="00F512C2">
        <w:rPr>
          <w:szCs w:val="24"/>
        </w:rPr>
        <w:t>.</w:t>
      </w:r>
      <w:r w:rsidR="00B95337" w:rsidRPr="00F512C2">
        <w:rPr>
          <w:szCs w:val="24"/>
        </w:rPr>
        <w:t xml:space="preserve"> To begin</w:t>
      </w:r>
      <w:r w:rsidR="009109BF" w:rsidRPr="00F512C2">
        <w:rPr>
          <w:szCs w:val="24"/>
        </w:rPr>
        <w:t xml:space="preserve">, </w:t>
      </w:r>
      <w:r w:rsidR="00B95337" w:rsidRPr="00F512C2">
        <w:rPr>
          <w:szCs w:val="24"/>
        </w:rPr>
        <w:t xml:space="preserve">I consider </w:t>
      </w:r>
      <w:r w:rsidR="009109BF" w:rsidRPr="00F512C2">
        <w:rPr>
          <w:szCs w:val="24"/>
        </w:rPr>
        <w:t>t</w:t>
      </w:r>
      <w:r w:rsidR="00C54293" w:rsidRPr="00F512C2">
        <w:rPr>
          <w:szCs w:val="24"/>
        </w:rPr>
        <w:t>he question of how part</w:t>
      </w:r>
      <w:r w:rsidR="007C01C1" w:rsidRPr="00F512C2">
        <w:rPr>
          <w:szCs w:val="24"/>
        </w:rPr>
        <w:t xml:space="preserve">isan politics has </w:t>
      </w:r>
      <w:r w:rsidR="00AE42F4" w:rsidRPr="00F512C2">
        <w:rPr>
          <w:szCs w:val="24"/>
        </w:rPr>
        <w:t xml:space="preserve">influenced </w:t>
      </w:r>
      <w:r w:rsidR="007C01C1" w:rsidRPr="00F512C2">
        <w:rPr>
          <w:szCs w:val="24"/>
        </w:rPr>
        <w:t xml:space="preserve">support for </w:t>
      </w:r>
      <w:r w:rsidR="007B6772" w:rsidRPr="00F512C2">
        <w:rPr>
          <w:szCs w:val="24"/>
        </w:rPr>
        <w:t xml:space="preserve">policies that aid </w:t>
      </w:r>
      <w:r w:rsidR="007C01C1" w:rsidRPr="00F512C2">
        <w:rPr>
          <w:szCs w:val="24"/>
        </w:rPr>
        <w:t>labor market outsiders</w:t>
      </w:r>
      <w:r w:rsidR="00AE42F4" w:rsidRPr="00F512C2">
        <w:rPr>
          <w:szCs w:val="24"/>
        </w:rPr>
        <w:t xml:space="preserve"> </w:t>
      </w:r>
      <w:proofErr w:type="gramStart"/>
      <w:r w:rsidR="00E163AF" w:rsidRPr="00F512C2">
        <w:rPr>
          <w:szCs w:val="24"/>
        </w:rPr>
        <w:t xml:space="preserve">in </w:t>
      </w:r>
      <w:r w:rsidR="003C557C" w:rsidRPr="00F512C2">
        <w:rPr>
          <w:szCs w:val="24"/>
        </w:rPr>
        <w:t>light of</w:t>
      </w:r>
      <w:proofErr w:type="gramEnd"/>
      <w:r w:rsidR="003C557C" w:rsidRPr="00F512C2">
        <w:rPr>
          <w:szCs w:val="24"/>
        </w:rPr>
        <w:t xml:space="preserve"> the broader debate over whether or not </w:t>
      </w:r>
      <w:r w:rsidR="002E23AD" w:rsidRPr="00F512C2">
        <w:rPr>
          <w:szCs w:val="24"/>
        </w:rPr>
        <w:t xml:space="preserve">“parties still matter” for </w:t>
      </w:r>
      <w:r w:rsidR="00B955F5" w:rsidRPr="00F512C2">
        <w:rPr>
          <w:szCs w:val="24"/>
        </w:rPr>
        <w:t xml:space="preserve">social welfare policy. </w:t>
      </w:r>
      <w:r w:rsidR="003C557C" w:rsidRPr="00F512C2">
        <w:rPr>
          <w:szCs w:val="24"/>
        </w:rPr>
        <w:t xml:space="preserve"> </w:t>
      </w:r>
    </w:p>
    <w:p w14:paraId="0BBC50D8" w14:textId="6366E006" w:rsidR="0065656E" w:rsidRPr="00F512C2" w:rsidRDefault="0020197E" w:rsidP="00C47FE1">
      <w:pPr>
        <w:spacing w:line="480" w:lineRule="auto"/>
      </w:pPr>
      <w:r w:rsidRPr="00F512C2">
        <w:rPr>
          <w:szCs w:val="24"/>
        </w:rPr>
        <w:tab/>
        <w:t xml:space="preserve">The first wave of studies on </w:t>
      </w:r>
      <w:r w:rsidR="004628F9" w:rsidRPr="00F512C2">
        <w:rPr>
          <w:szCs w:val="24"/>
        </w:rPr>
        <w:t>partisan government impacts on post-WW II social welfare policy</w:t>
      </w:r>
      <w:r w:rsidR="00B9626D" w:rsidRPr="00F512C2">
        <w:rPr>
          <w:szCs w:val="24"/>
        </w:rPr>
        <w:t xml:space="preserve"> </w:t>
      </w:r>
      <w:r w:rsidR="00943A6E" w:rsidRPr="00F512C2">
        <w:rPr>
          <w:szCs w:val="24"/>
        </w:rPr>
        <w:t>consistently reported large positive impacts of social democratic (and to a more limited extent Christian democratic</w:t>
      </w:r>
      <w:r w:rsidR="00426A15" w:rsidRPr="00F512C2">
        <w:rPr>
          <w:szCs w:val="24"/>
        </w:rPr>
        <w:t>)</w:t>
      </w:r>
      <w:r w:rsidR="00943A6E" w:rsidRPr="00F512C2">
        <w:rPr>
          <w:szCs w:val="24"/>
        </w:rPr>
        <w:t xml:space="preserve"> </w:t>
      </w:r>
      <w:r w:rsidR="00426A15" w:rsidRPr="00F512C2">
        <w:rPr>
          <w:szCs w:val="24"/>
        </w:rPr>
        <w:t xml:space="preserve">government on national resource commitments to social protection (e.g., </w:t>
      </w:r>
      <w:r w:rsidR="00EC3915" w:rsidRPr="00F512C2">
        <w:rPr>
          <w:szCs w:val="24"/>
        </w:rPr>
        <w:t xml:space="preserve">Cameron 1978; Stephens 1979; contributors to Castles 1982; </w:t>
      </w:r>
      <w:r w:rsidR="00F90B77" w:rsidRPr="00F512C2">
        <w:rPr>
          <w:szCs w:val="24"/>
        </w:rPr>
        <w:t xml:space="preserve">Hicks and Swank </w:t>
      </w:r>
      <w:r w:rsidR="00B158F6" w:rsidRPr="00F512C2">
        <w:rPr>
          <w:szCs w:val="24"/>
        </w:rPr>
        <w:t>19</w:t>
      </w:r>
      <w:r w:rsidR="00F90B77" w:rsidRPr="00F512C2">
        <w:rPr>
          <w:szCs w:val="24"/>
        </w:rPr>
        <w:t>92; Huber, Reagan, and Stephens 1993).</w:t>
      </w:r>
      <w:r w:rsidR="00C47FE1" w:rsidRPr="00F512C2">
        <w:rPr>
          <w:rStyle w:val="FootnoteReference"/>
        </w:rPr>
        <w:footnoteReference w:id="6"/>
      </w:r>
      <w:r w:rsidR="00C47FE1" w:rsidRPr="00F512C2">
        <w:t xml:space="preserve"> </w:t>
      </w:r>
      <w:r w:rsidR="0065656E" w:rsidRPr="00F512C2">
        <w:t xml:space="preserve">Yet, in the wake of 1970s and 1980s economic crises and </w:t>
      </w:r>
      <w:proofErr w:type="spellStart"/>
      <w:r w:rsidR="0065656E" w:rsidRPr="00F512C2">
        <w:t>postindustrialization</w:t>
      </w:r>
      <w:proofErr w:type="spellEnd"/>
      <w:r w:rsidR="0065656E" w:rsidRPr="00F512C2">
        <w:t xml:space="preserve">, a group of scholars led by Paul Pierson (1994; 1996) questioned continued partisan </w:t>
      </w:r>
      <w:r w:rsidR="00A940F3" w:rsidRPr="00F512C2">
        <w:t xml:space="preserve">policy </w:t>
      </w:r>
      <w:r w:rsidR="0065656E" w:rsidRPr="00F512C2">
        <w:t>effects. In this view, the new politics of welfare policy under postindustrial pressures for austerity and efficiency involved the politically difficult job of reducing concentrated benefits to well-defined, mobilized constituencies in return for future, diffuse benefits. In the face of continued political support for social</w:t>
      </w:r>
      <w:r w:rsidR="00610724" w:rsidRPr="00F512C2">
        <w:t xml:space="preserve"> programs</w:t>
      </w:r>
      <w:r w:rsidR="0065656E" w:rsidRPr="00F512C2">
        <w:t xml:space="preserve">, incumbent politicians had to engage in the politics of blame avoidance where the success of reform depends on the character of program constituencies, the depth of lock-in effects of programs, and related programmatic traits. </w:t>
      </w:r>
      <w:r w:rsidR="0065656E" w:rsidRPr="00F512C2">
        <w:rPr>
          <w:szCs w:val="24"/>
        </w:rPr>
        <w:t>The partisan hue of governments</w:t>
      </w:r>
      <w:r w:rsidR="00E50953" w:rsidRPr="00F512C2">
        <w:rPr>
          <w:szCs w:val="24"/>
        </w:rPr>
        <w:t xml:space="preserve"> </w:t>
      </w:r>
      <w:proofErr w:type="gramStart"/>
      <w:r w:rsidR="0065656E" w:rsidRPr="00F512C2">
        <w:rPr>
          <w:szCs w:val="24"/>
        </w:rPr>
        <w:t>have</w:t>
      </w:r>
      <w:proofErr w:type="gramEnd"/>
      <w:r w:rsidR="0065656E" w:rsidRPr="00F512C2">
        <w:rPr>
          <w:szCs w:val="24"/>
        </w:rPr>
        <w:t xml:space="preserve"> minimal impacts on policy reforms.</w:t>
      </w:r>
    </w:p>
    <w:p w14:paraId="4928482B" w14:textId="11886228" w:rsidR="007920E7" w:rsidRPr="00F512C2" w:rsidRDefault="0003002F" w:rsidP="0065656E">
      <w:pPr>
        <w:spacing w:line="480" w:lineRule="auto"/>
        <w:rPr>
          <w:szCs w:val="24"/>
        </w:rPr>
      </w:pPr>
      <w:r w:rsidRPr="00F512C2">
        <w:rPr>
          <w:szCs w:val="24"/>
        </w:rPr>
        <w:tab/>
        <w:t xml:space="preserve">Beyond </w:t>
      </w:r>
      <w:proofErr w:type="spellStart"/>
      <w:r w:rsidRPr="00F512C2">
        <w:rPr>
          <w:szCs w:val="24"/>
        </w:rPr>
        <w:t>Piersonian</w:t>
      </w:r>
      <w:proofErr w:type="spellEnd"/>
      <w:r w:rsidRPr="00F512C2">
        <w:rPr>
          <w:szCs w:val="24"/>
        </w:rPr>
        <w:t xml:space="preserve"> “new politics” dynamics, </w:t>
      </w:r>
      <w:r w:rsidR="004352F6" w:rsidRPr="00F512C2">
        <w:rPr>
          <w:szCs w:val="24"/>
        </w:rPr>
        <w:t xml:space="preserve">welfare state scholars have </w:t>
      </w:r>
      <w:r w:rsidR="00C6175A" w:rsidRPr="00F512C2">
        <w:rPr>
          <w:szCs w:val="24"/>
        </w:rPr>
        <w:t xml:space="preserve">highlighted </w:t>
      </w:r>
      <w:r w:rsidR="004352F6" w:rsidRPr="00F512C2">
        <w:rPr>
          <w:szCs w:val="24"/>
        </w:rPr>
        <w:t>three important conflicts among postindustrial constituencies</w:t>
      </w:r>
      <w:r w:rsidR="00FF57C5" w:rsidRPr="00F512C2">
        <w:rPr>
          <w:szCs w:val="24"/>
        </w:rPr>
        <w:t xml:space="preserve"> of Left parties that may well undercut their ability to enact </w:t>
      </w:r>
      <w:r w:rsidR="00912069" w:rsidRPr="00F512C2">
        <w:rPr>
          <w:szCs w:val="24"/>
        </w:rPr>
        <w:t>inclusive social and labor market policies.</w:t>
      </w:r>
      <w:r w:rsidR="006F179C" w:rsidRPr="00F512C2">
        <w:rPr>
          <w:szCs w:val="24"/>
        </w:rPr>
        <w:t xml:space="preserve"> First, contributors to </w:t>
      </w:r>
      <w:proofErr w:type="spellStart"/>
      <w:r w:rsidR="0081640E" w:rsidRPr="00F512C2">
        <w:rPr>
          <w:szCs w:val="24"/>
        </w:rPr>
        <w:t>Armingeon</w:t>
      </w:r>
      <w:proofErr w:type="spellEnd"/>
      <w:r w:rsidR="0081640E" w:rsidRPr="00F512C2">
        <w:rPr>
          <w:szCs w:val="24"/>
        </w:rPr>
        <w:t xml:space="preserve"> and </w:t>
      </w:r>
      <w:proofErr w:type="spellStart"/>
      <w:r w:rsidR="0081640E" w:rsidRPr="00F512C2">
        <w:rPr>
          <w:szCs w:val="24"/>
        </w:rPr>
        <w:t>Bonoli</w:t>
      </w:r>
      <w:proofErr w:type="spellEnd"/>
      <w:r w:rsidR="0081640E" w:rsidRPr="00F512C2">
        <w:rPr>
          <w:szCs w:val="24"/>
        </w:rPr>
        <w:t xml:space="preserve"> (20</w:t>
      </w:r>
      <w:r w:rsidR="002B1B86" w:rsidRPr="00F512C2">
        <w:rPr>
          <w:szCs w:val="24"/>
        </w:rPr>
        <w:t>0</w:t>
      </w:r>
      <w:r w:rsidR="0081640E" w:rsidRPr="00F512C2">
        <w:rPr>
          <w:szCs w:val="24"/>
        </w:rPr>
        <w:t xml:space="preserve">6) </w:t>
      </w:r>
      <w:r w:rsidR="00A1112B" w:rsidRPr="00F512C2">
        <w:rPr>
          <w:szCs w:val="24"/>
        </w:rPr>
        <w:t>as well as contemporary scholars (</w:t>
      </w:r>
      <w:r w:rsidR="00E0774F" w:rsidRPr="00F512C2">
        <w:rPr>
          <w:szCs w:val="24"/>
        </w:rPr>
        <w:t xml:space="preserve">e.g., </w:t>
      </w:r>
      <w:proofErr w:type="spellStart"/>
      <w:r w:rsidR="008445AA" w:rsidRPr="00F512C2">
        <w:rPr>
          <w:szCs w:val="24"/>
        </w:rPr>
        <w:t>Häusermann</w:t>
      </w:r>
      <w:proofErr w:type="spellEnd"/>
      <w:r w:rsidR="008445AA" w:rsidRPr="00F512C2">
        <w:rPr>
          <w:szCs w:val="24"/>
        </w:rPr>
        <w:t xml:space="preserve">, </w:t>
      </w:r>
      <w:proofErr w:type="spellStart"/>
      <w:r w:rsidR="008445AA" w:rsidRPr="00F512C2">
        <w:rPr>
          <w:szCs w:val="24"/>
        </w:rPr>
        <w:t>Pirot</w:t>
      </w:r>
      <w:proofErr w:type="spellEnd"/>
      <w:r w:rsidR="008445AA" w:rsidRPr="00F512C2">
        <w:rPr>
          <w:szCs w:val="24"/>
        </w:rPr>
        <w:t xml:space="preserve">, and </w:t>
      </w:r>
      <w:proofErr w:type="spellStart"/>
      <w:r w:rsidR="005902A7" w:rsidRPr="00F512C2">
        <w:rPr>
          <w:szCs w:val="24"/>
        </w:rPr>
        <w:t>Geering</w:t>
      </w:r>
      <w:proofErr w:type="spellEnd"/>
      <w:r w:rsidR="005902A7" w:rsidRPr="00F512C2">
        <w:rPr>
          <w:szCs w:val="24"/>
        </w:rPr>
        <w:t xml:space="preserve"> 2012; Gingrich and </w:t>
      </w:r>
      <w:proofErr w:type="spellStart"/>
      <w:r w:rsidR="005902A7" w:rsidRPr="00F512C2">
        <w:rPr>
          <w:szCs w:val="24"/>
        </w:rPr>
        <w:t>Häusermann</w:t>
      </w:r>
      <w:proofErr w:type="spellEnd"/>
      <w:r w:rsidR="005902A7" w:rsidRPr="00F512C2">
        <w:rPr>
          <w:szCs w:val="24"/>
        </w:rPr>
        <w:t xml:space="preserve"> 2015)</w:t>
      </w:r>
      <w:r w:rsidR="008445AA" w:rsidRPr="00F512C2">
        <w:rPr>
          <w:szCs w:val="24"/>
        </w:rPr>
        <w:t xml:space="preserve"> </w:t>
      </w:r>
      <w:r w:rsidR="000A748D" w:rsidRPr="00F512C2">
        <w:rPr>
          <w:szCs w:val="24"/>
        </w:rPr>
        <w:t xml:space="preserve">highlight </w:t>
      </w:r>
      <w:r w:rsidR="002B1B86" w:rsidRPr="00F512C2">
        <w:rPr>
          <w:szCs w:val="24"/>
        </w:rPr>
        <w:t xml:space="preserve">the divergent interests between </w:t>
      </w:r>
      <w:r w:rsidR="00B01181" w:rsidRPr="00F512C2">
        <w:rPr>
          <w:szCs w:val="24"/>
        </w:rPr>
        <w:t xml:space="preserve">important </w:t>
      </w:r>
      <w:r w:rsidR="007F04C0" w:rsidRPr="00F512C2">
        <w:rPr>
          <w:szCs w:val="24"/>
        </w:rPr>
        <w:t xml:space="preserve">new </w:t>
      </w:r>
      <w:r w:rsidR="00044326" w:rsidRPr="00F512C2">
        <w:rPr>
          <w:szCs w:val="24"/>
        </w:rPr>
        <w:t xml:space="preserve">middleclass </w:t>
      </w:r>
      <w:r w:rsidR="00D63B41" w:rsidRPr="00F512C2">
        <w:rPr>
          <w:szCs w:val="24"/>
        </w:rPr>
        <w:t xml:space="preserve">groups </w:t>
      </w:r>
      <w:r w:rsidR="00295C37" w:rsidRPr="00F512C2">
        <w:rPr>
          <w:szCs w:val="24"/>
        </w:rPr>
        <w:t xml:space="preserve">on the one hand, and traditional welfare state constituencies on the other. To elaborate, </w:t>
      </w:r>
      <w:r w:rsidR="005D4921" w:rsidRPr="00F512C2">
        <w:rPr>
          <w:szCs w:val="24"/>
        </w:rPr>
        <w:t>these scholars stress that younger, better educated, disproportionately female</w:t>
      </w:r>
      <w:r w:rsidR="00D63B41" w:rsidRPr="00F512C2">
        <w:rPr>
          <w:szCs w:val="24"/>
        </w:rPr>
        <w:t xml:space="preserve"> socio-cultural professionals</w:t>
      </w:r>
      <w:r w:rsidR="000A748D" w:rsidRPr="00F512C2">
        <w:rPr>
          <w:szCs w:val="24"/>
        </w:rPr>
        <w:t>,</w:t>
      </w:r>
      <w:r w:rsidR="007F04C0" w:rsidRPr="00F512C2">
        <w:rPr>
          <w:szCs w:val="24"/>
        </w:rPr>
        <w:t xml:space="preserve"> increasingly important numerically to social democratic parties, </w:t>
      </w:r>
      <w:r w:rsidR="0096183D" w:rsidRPr="00F512C2">
        <w:rPr>
          <w:szCs w:val="24"/>
        </w:rPr>
        <w:t xml:space="preserve">prefer social investment spending on family services and supports, education, and activation policies. </w:t>
      </w:r>
      <w:r w:rsidR="00251734" w:rsidRPr="00F512C2">
        <w:rPr>
          <w:szCs w:val="24"/>
        </w:rPr>
        <w:t xml:space="preserve">Although lower-skilled </w:t>
      </w:r>
      <w:proofErr w:type="gramStart"/>
      <w:r w:rsidR="00251734" w:rsidRPr="00F512C2">
        <w:rPr>
          <w:szCs w:val="24"/>
        </w:rPr>
        <w:t>blue collar</w:t>
      </w:r>
      <w:proofErr w:type="gramEnd"/>
      <w:r w:rsidR="00251734" w:rsidRPr="00F512C2">
        <w:rPr>
          <w:szCs w:val="24"/>
        </w:rPr>
        <w:t xml:space="preserve"> workers have an interest in </w:t>
      </w:r>
      <w:r w:rsidR="00D77564" w:rsidRPr="00F512C2">
        <w:rPr>
          <w:szCs w:val="24"/>
        </w:rPr>
        <w:t xml:space="preserve">ALMP programs, they and the broader </w:t>
      </w:r>
      <w:r w:rsidR="00F07FA2" w:rsidRPr="00F512C2">
        <w:rPr>
          <w:szCs w:val="24"/>
        </w:rPr>
        <w:t>working class have a strong preference for maintenance or expansion of income protection t</w:t>
      </w:r>
      <w:r w:rsidR="00E608D4" w:rsidRPr="00F512C2">
        <w:rPr>
          <w:szCs w:val="24"/>
        </w:rPr>
        <w:t xml:space="preserve">hrough the programs of the </w:t>
      </w:r>
      <w:r w:rsidR="00C1758C" w:rsidRPr="00F512C2">
        <w:rPr>
          <w:szCs w:val="24"/>
        </w:rPr>
        <w:t>“</w:t>
      </w:r>
      <w:r w:rsidR="00E608D4" w:rsidRPr="00F512C2">
        <w:rPr>
          <w:szCs w:val="24"/>
        </w:rPr>
        <w:t>traditional</w:t>
      </w:r>
      <w:r w:rsidR="00C1758C" w:rsidRPr="00F512C2">
        <w:rPr>
          <w:szCs w:val="24"/>
        </w:rPr>
        <w:t>”</w:t>
      </w:r>
      <w:r w:rsidR="00E608D4" w:rsidRPr="00F512C2">
        <w:rPr>
          <w:szCs w:val="24"/>
        </w:rPr>
        <w:t xml:space="preserve"> welfare state</w:t>
      </w:r>
      <w:r w:rsidR="0001600F" w:rsidRPr="00F512C2">
        <w:rPr>
          <w:szCs w:val="24"/>
        </w:rPr>
        <w:t xml:space="preserve">. </w:t>
      </w:r>
    </w:p>
    <w:p w14:paraId="52762B62" w14:textId="54A4916D" w:rsidR="0065656E" w:rsidRPr="00F512C2" w:rsidRDefault="0065656E" w:rsidP="0065656E">
      <w:pPr>
        <w:spacing w:line="480" w:lineRule="auto"/>
        <w:rPr>
          <w:szCs w:val="24"/>
        </w:rPr>
      </w:pPr>
      <w:r w:rsidRPr="00F512C2">
        <w:rPr>
          <w:szCs w:val="24"/>
        </w:rPr>
        <w:tab/>
      </w:r>
      <w:r w:rsidR="004D400B" w:rsidRPr="00F512C2">
        <w:rPr>
          <w:szCs w:val="24"/>
        </w:rPr>
        <w:t xml:space="preserve">Second, scholars have argued that </w:t>
      </w:r>
      <w:r w:rsidR="009B740F" w:rsidRPr="00F512C2">
        <w:rPr>
          <w:szCs w:val="24"/>
        </w:rPr>
        <w:t xml:space="preserve">a new conflict has emerged among key constituent groups of left parties as a function of </w:t>
      </w:r>
      <w:r w:rsidRPr="00F512C2">
        <w:rPr>
          <w:szCs w:val="24"/>
        </w:rPr>
        <w:t xml:space="preserve">changes in postindustrial occupational structures. </w:t>
      </w:r>
      <w:r w:rsidR="009B740F" w:rsidRPr="00F512C2">
        <w:rPr>
          <w:szCs w:val="24"/>
        </w:rPr>
        <w:t xml:space="preserve">As mentioned above, </w:t>
      </w:r>
      <w:r w:rsidRPr="00F512C2">
        <w:rPr>
          <w:szCs w:val="24"/>
        </w:rPr>
        <w:t>David Rueda (2005; 2007) has argued that with respect to social democratic parties’ constituencies, postindustrial labor markets increasingly consist of insiders (skilled industrial sector workers) and outsiders (younger, female, immigrant and less skilled workers increasingly concentrated in the service sector). Iversen and Soskice (2015</w:t>
      </w:r>
      <w:r w:rsidR="0018564D" w:rsidRPr="00F512C2">
        <w:rPr>
          <w:szCs w:val="24"/>
        </w:rPr>
        <w:t>a</w:t>
      </w:r>
      <w:r w:rsidRPr="00F512C2">
        <w:rPr>
          <w:szCs w:val="24"/>
        </w:rPr>
        <w:t>) make a similar point by noting that in the postindustrial production process, skilled and unskilled workers – heretofore intertwined in the structure of industrial production and politically integrated in a progressive social democratic-led coalition – are increasingly separated and dispersed across enterprises and sectors.</w:t>
      </w:r>
      <w:r w:rsidRPr="00F512C2">
        <w:rPr>
          <w:rStyle w:val="FootnoteReference"/>
          <w:szCs w:val="24"/>
        </w:rPr>
        <w:footnoteReference w:id="7"/>
      </w:r>
    </w:p>
    <w:p w14:paraId="1A6B424B" w14:textId="5530EF86" w:rsidR="0065656E" w:rsidRPr="00F512C2" w:rsidRDefault="0065656E" w:rsidP="0065656E">
      <w:pPr>
        <w:spacing w:line="480" w:lineRule="auto"/>
        <w:rPr>
          <w:szCs w:val="24"/>
        </w:rPr>
      </w:pPr>
      <w:r w:rsidRPr="00F512C2">
        <w:rPr>
          <w:szCs w:val="24"/>
        </w:rPr>
        <w:tab/>
        <w:t xml:space="preserve">For Rueda, the interests of insiders are in the maintenance of employment protection and the moderation of taxation of labor income, while outsiders favor both income transfers for short-term security and active labor market programs for human capital development and, ultimately, secure employment. Rueda argues that in the absence of rises in unemployment and risks that threaten insiders, social democratic parties will maintain employment protection and moderate tax burdens but not increase transfers and active labor market programs (with their </w:t>
      </w:r>
      <w:r w:rsidR="006402D3" w:rsidRPr="00F512C2">
        <w:rPr>
          <w:szCs w:val="24"/>
        </w:rPr>
        <w:t>a</w:t>
      </w:r>
      <w:r w:rsidRPr="00F512C2">
        <w:rPr>
          <w:szCs w:val="24"/>
        </w:rPr>
        <w:t>ssociated tax burdens) that enhance the incomes of</w:t>
      </w:r>
      <w:r w:rsidR="00DC018A" w:rsidRPr="00F512C2">
        <w:rPr>
          <w:szCs w:val="24"/>
        </w:rPr>
        <w:t xml:space="preserve"> outsiders</w:t>
      </w:r>
      <w:r w:rsidRPr="00F512C2">
        <w:rPr>
          <w:szCs w:val="24"/>
        </w:rPr>
        <w:t xml:space="preserve">. Generally, Rueda and collaborators (e.g., </w:t>
      </w:r>
      <w:proofErr w:type="spellStart"/>
      <w:r w:rsidRPr="00F512C2">
        <w:rPr>
          <w:szCs w:val="24"/>
        </w:rPr>
        <w:t>Lindvall</w:t>
      </w:r>
      <w:proofErr w:type="spellEnd"/>
      <w:r w:rsidRPr="00F512C2">
        <w:rPr>
          <w:szCs w:val="24"/>
        </w:rPr>
        <w:t xml:space="preserve"> and Rueda 201</w:t>
      </w:r>
      <w:r w:rsidR="00B65A45" w:rsidRPr="00F512C2">
        <w:rPr>
          <w:szCs w:val="24"/>
        </w:rPr>
        <w:t>4</w:t>
      </w:r>
      <w:r w:rsidRPr="00F512C2">
        <w:rPr>
          <w:szCs w:val="24"/>
        </w:rPr>
        <w:t xml:space="preserve">) stress the complex electoral dilemma facing social democrats. </w:t>
      </w:r>
      <w:r w:rsidR="003220CC" w:rsidRPr="00F512C2">
        <w:rPr>
          <w:szCs w:val="24"/>
        </w:rPr>
        <w:t xml:space="preserve">Social democratic </w:t>
      </w:r>
      <w:r w:rsidRPr="00F512C2">
        <w:rPr>
          <w:szCs w:val="24"/>
        </w:rPr>
        <w:t xml:space="preserve">shifts to insider and </w:t>
      </w:r>
      <w:proofErr w:type="gramStart"/>
      <w:r w:rsidRPr="00F512C2">
        <w:rPr>
          <w:szCs w:val="24"/>
        </w:rPr>
        <w:t>middle class</w:t>
      </w:r>
      <w:proofErr w:type="gramEnd"/>
      <w:r w:rsidRPr="00F512C2">
        <w:rPr>
          <w:szCs w:val="24"/>
        </w:rPr>
        <w:t xml:space="preserve"> appeals risk outsider defections (</w:t>
      </w:r>
      <w:proofErr w:type="spellStart"/>
      <w:r w:rsidRPr="00F512C2">
        <w:rPr>
          <w:szCs w:val="24"/>
        </w:rPr>
        <w:t>e.g</w:t>
      </w:r>
      <w:proofErr w:type="spellEnd"/>
      <w:r w:rsidRPr="00F512C2">
        <w:rPr>
          <w:szCs w:val="24"/>
        </w:rPr>
        <w:t xml:space="preserve">, </w:t>
      </w:r>
      <w:r w:rsidR="00874708" w:rsidRPr="00F512C2">
        <w:rPr>
          <w:szCs w:val="24"/>
        </w:rPr>
        <w:t xml:space="preserve">1998 Swedish </w:t>
      </w:r>
      <w:r w:rsidRPr="00F512C2">
        <w:rPr>
          <w:szCs w:val="24"/>
        </w:rPr>
        <w:t xml:space="preserve">parliamentary elections); often left parties respond by returning to policy orientations that encompass outsider interests (e.g., </w:t>
      </w:r>
      <w:r w:rsidR="00BC76B7" w:rsidRPr="00F512C2">
        <w:rPr>
          <w:szCs w:val="24"/>
        </w:rPr>
        <w:t xml:space="preserve">2006 and 2010 Swedish </w:t>
      </w:r>
      <w:r w:rsidRPr="00F512C2">
        <w:rPr>
          <w:szCs w:val="24"/>
        </w:rPr>
        <w:t xml:space="preserve">parliamentary elections). </w:t>
      </w:r>
    </w:p>
    <w:p w14:paraId="1FDAFC1C" w14:textId="0C0DC290" w:rsidR="0065656E" w:rsidRPr="00F512C2" w:rsidRDefault="0065656E" w:rsidP="0065656E">
      <w:pPr>
        <w:spacing w:line="480" w:lineRule="auto"/>
        <w:rPr>
          <w:szCs w:val="24"/>
        </w:rPr>
      </w:pPr>
      <w:r w:rsidRPr="00F512C2">
        <w:rPr>
          <w:szCs w:val="24"/>
        </w:rPr>
        <w:tab/>
      </w:r>
      <w:r w:rsidR="00E311A0" w:rsidRPr="00F512C2">
        <w:rPr>
          <w:szCs w:val="24"/>
        </w:rPr>
        <w:t xml:space="preserve">Third, </w:t>
      </w:r>
      <w:proofErr w:type="spellStart"/>
      <w:r w:rsidRPr="00F512C2">
        <w:rPr>
          <w:szCs w:val="24"/>
        </w:rPr>
        <w:t>Häusermann</w:t>
      </w:r>
      <w:proofErr w:type="spellEnd"/>
      <w:r w:rsidRPr="00F512C2">
        <w:rPr>
          <w:szCs w:val="24"/>
        </w:rPr>
        <w:t xml:space="preserve"> and </w:t>
      </w:r>
      <w:proofErr w:type="spellStart"/>
      <w:r w:rsidRPr="00F512C2">
        <w:rPr>
          <w:szCs w:val="24"/>
        </w:rPr>
        <w:t>Kriesi</w:t>
      </w:r>
      <w:proofErr w:type="spellEnd"/>
      <w:r w:rsidRPr="00F512C2">
        <w:rPr>
          <w:szCs w:val="24"/>
        </w:rPr>
        <w:t xml:space="preserve"> (2015) and </w:t>
      </w:r>
      <w:proofErr w:type="spellStart"/>
      <w:r w:rsidRPr="00F512C2">
        <w:rPr>
          <w:szCs w:val="24"/>
        </w:rPr>
        <w:t>Kitschelt</w:t>
      </w:r>
      <w:proofErr w:type="spellEnd"/>
      <w:r w:rsidRPr="00F512C2">
        <w:rPr>
          <w:szCs w:val="24"/>
        </w:rPr>
        <w:t xml:space="preserve"> and Rehm (2015)</w:t>
      </w:r>
      <w:r w:rsidR="00E311A0" w:rsidRPr="00F512C2">
        <w:rPr>
          <w:szCs w:val="24"/>
        </w:rPr>
        <w:t>, among others,</w:t>
      </w:r>
      <w:r w:rsidRPr="00F512C2">
        <w:rPr>
          <w:szCs w:val="24"/>
        </w:rPr>
        <w:t xml:space="preserve"> adopt a different perspective and stress that while </w:t>
      </w:r>
      <w:r w:rsidR="00E311A0" w:rsidRPr="00F512C2">
        <w:rPr>
          <w:szCs w:val="24"/>
        </w:rPr>
        <w:t xml:space="preserve">economic </w:t>
      </w:r>
      <w:r w:rsidRPr="00F512C2">
        <w:rPr>
          <w:szCs w:val="24"/>
        </w:rPr>
        <w:t>conflict</w:t>
      </w:r>
      <w:r w:rsidR="00E311A0" w:rsidRPr="00F512C2">
        <w:rPr>
          <w:szCs w:val="24"/>
        </w:rPr>
        <w:t>s</w:t>
      </w:r>
      <w:r w:rsidRPr="00F512C2">
        <w:rPr>
          <w:szCs w:val="24"/>
        </w:rPr>
        <w:t xml:space="preserve"> still divide</w:t>
      </w:r>
      <w:r w:rsidR="002E1EF8" w:rsidRPr="00F512C2">
        <w:rPr>
          <w:szCs w:val="24"/>
        </w:rPr>
        <w:t xml:space="preserve"> Left party constituencies, </w:t>
      </w:r>
      <w:r w:rsidRPr="00F512C2">
        <w:rPr>
          <w:szCs w:val="24"/>
        </w:rPr>
        <w:t xml:space="preserve">a strong </w:t>
      </w:r>
      <w:proofErr w:type="spellStart"/>
      <w:r w:rsidRPr="00F512C2">
        <w:rPr>
          <w:szCs w:val="24"/>
        </w:rPr>
        <w:t>univeralism</w:t>
      </w:r>
      <w:proofErr w:type="spellEnd"/>
      <w:r w:rsidRPr="00F512C2">
        <w:rPr>
          <w:szCs w:val="24"/>
        </w:rPr>
        <w:t xml:space="preserve">-particularism dimension of cultural conflict creates </w:t>
      </w:r>
      <w:r w:rsidR="00C42865" w:rsidRPr="00F512C2">
        <w:rPr>
          <w:szCs w:val="24"/>
        </w:rPr>
        <w:t xml:space="preserve">additional, serious </w:t>
      </w:r>
      <w:r w:rsidRPr="00F512C2">
        <w:rPr>
          <w:szCs w:val="24"/>
        </w:rPr>
        <w:t xml:space="preserve">electoral dilemmas for social democrats. </w:t>
      </w:r>
      <w:r w:rsidR="00C42865" w:rsidRPr="00F512C2">
        <w:rPr>
          <w:szCs w:val="24"/>
        </w:rPr>
        <w:t xml:space="preserve">As noted, </w:t>
      </w:r>
      <w:proofErr w:type="gramStart"/>
      <w:r w:rsidRPr="00F512C2">
        <w:rPr>
          <w:szCs w:val="24"/>
        </w:rPr>
        <w:t>Left</w:t>
      </w:r>
      <w:proofErr w:type="gramEnd"/>
      <w:r w:rsidRPr="00F512C2">
        <w:rPr>
          <w:szCs w:val="24"/>
        </w:rPr>
        <w:t xml:space="preserve"> parties increasingly rely on the support of socio-cultural professions who </w:t>
      </w:r>
      <w:r w:rsidR="002761FB" w:rsidRPr="00F512C2">
        <w:rPr>
          <w:szCs w:val="24"/>
        </w:rPr>
        <w:t xml:space="preserve">work </w:t>
      </w:r>
      <w:r w:rsidRPr="00F512C2">
        <w:rPr>
          <w:szCs w:val="24"/>
        </w:rPr>
        <w:t xml:space="preserve">in education, health, and family and cultural services; these citizens prefer policies that promote an inclusive, multicultural, and participatory society. Yet, social democrats must balance policies for this constituency with those for </w:t>
      </w:r>
      <w:r w:rsidR="00A62EA1" w:rsidRPr="00F512C2">
        <w:rPr>
          <w:szCs w:val="24"/>
        </w:rPr>
        <w:t xml:space="preserve">blue collar </w:t>
      </w:r>
      <w:r w:rsidRPr="00F512C2">
        <w:rPr>
          <w:szCs w:val="24"/>
        </w:rPr>
        <w:t xml:space="preserve">wage earners who tend to favor exclusionary and traditionalist if not authoritarian socio-cultural policies. </w:t>
      </w:r>
    </w:p>
    <w:p w14:paraId="677F8906" w14:textId="4F699462" w:rsidR="00332A81" w:rsidRPr="00F512C2" w:rsidRDefault="00332A81" w:rsidP="00332A81">
      <w:pPr>
        <w:spacing w:line="480" w:lineRule="auto"/>
        <w:jc w:val="center"/>
        <w:rPr>
          <w:szCs w:val="24"/>
        </w:rPr>
      </w:pPr>
      <w:r w:rsidRPr="00F512C2">
        <w:rPr>
          <w:szCs w:val="24"/>
        </w:rPr>
        <w:t>-Figure 1 about here-</w:t>
      </w:r>
    </w:p>
    <w:p w14:paraId="206E4A5F" w14:textId="071671A9" w:rsidR="00332A81" w:rsidRPr="00F512C2" w:rsidRDefault="00332A81" w:rsidP="00332A81">
      <w:pPr>
        <w:spacing w:line="480" w:lineRule="auto"/>
        <w:rPr>
          <w:szCs w:val="24"/>
        </w:rPr>
      </w:pPr>
      <w:r w:rsidRPr="00F512C2">
        <w:rPr>
          <w:szCs w:val="24"/>
        </w:rPr>
        <w:tab/>
        <w:t>Figure 1</w:t>
      </w:r>
      <w:r w:rsidR="003B50D5" w:rsidRPr="00F512C2">
        <w:rPr>
          <w:szCs w:val="24"/>
        </w:rPr>
        <w:t xml:space="preserve"> highlights these three conflicts – and sets of tradeoffs – as well as the </w:t>
      </w:r>
      <w:r w:rsidR="00845AF2" w:rsidRPr="00F512C2">
        <w:rPr>
          <w:szCs w:val="24"/>
        </w:rPr>
        <w:t xml:space="preserve">positions of three </w:t>
      </w:r>
      <w:r w:rsidR="00356C5C" w:rsidRPr="00F512C2">
        <w:rPr>
          <w:szCs w:val="24"/>
        </w:rPr>
        <w:t xml:space="preserve">central </w:t>
      </w:r>
      <w:r w:rsidR="00845AF2" w:rsidRPr="00F512C2">
        <w:rPr>
          <w:szCs w:val="24"/>
        </w:rPr>
        <w:t>constituen</w:t>
      </w:r>
      <w:r w:rsidR="002D589D" w:rsidRPr="00F512C2">
        <w:rPr>
          <w:szCs w:val="24"/>
        </w:rPr>
        <w:t>cy</w:t>
      </w:r>
      <w:r w:rsidR="00845AF2" w:rsidRPr="00F512C2">
        <w:rPr>
          <w:szCs w:val="24"/>
        </w:rPr>
        <w:t xml:space="preserve"> groups of </w:t>
      </w:r>
      <w:r w:rsidR="00356C5C" w:rsidRPr="00F512C2">
        <w:rPr>
          <w:szCs w:val="24"/>
        </w:rPr>
        <w:t xml:space="preserve">contemporary </w:t>
      </w:r>
      <w:r w:rsidR="00845AF2" w:rsidRPr="00F512C2">
        <w:rPr>
          <w:szCs w:val="24"/>
        </w:rPr>
        <w:t xml:space="preserve">social democratic parties. </w:t>
      </w:r>
      <w:r w:rsidR="00356C5C" w:rsidRPr="00F512C2">
        <w:rPr>
          <w:szCs w:val="24"/>
        </w:rPr>
        <w:t xml:space="preserve">While the degree of </w:t>
      </w:r>
      <w:r w:rsidR="00D14BB3" w:rsidRPr="00F512C2">
        <w:rPr>
          <w:szCs w:val="24"/>
        </w:rPr>
        <w:t xml:space="preserve">difficulty in </w:t>
      </w:r>
      <w:r w:rsidR="00356C5C" w:rsidRPr="00F512C2">
        <w:rPr>
          <w:szCs w:val="24"/>
        </w:rPr>
        <w:t xml:space="preserve">coalition building will </w:t>
      </w:r>
      <w:r w:rsidR="00AB1AC2" w:rsidRPr="00F512C2">
        <w:rPr>
          <w:szCs w:val="24"/>
        </w:rPr>
        <w:t xml:space="preserve">vary depending on the absolute and relative size of these groups in each nation, among other </w:t>
      </w:r>
      <w:r w:rsidR="00423E5B" w:rsidRPr="00F512C2">
        <w:rPr>
          <w:szCs w:val="24"/>
        </w:rPr>
        <w:t xml:space="preserve">factors, left parties will in all likelihood have to strategically </w:t>
      </w:r>
      <w:r w:rsidR="001D06EA" w:rsidRPr="00F512C2">
        <w:rPr>
          <w:szCs w:val="24"/>
        </w:rPr>
        <w:t>adjudicate multiple conflicts to create a</w:t>
      </w:r>
      <w:r w:rsidR="00C7365E" w:rsidRPr="00F512C2">
        <w:rPr>
          <w:szCs w:val="24"/>
        </w:rPr>
        <w:t>n</w:t>
      </w:r>
      <w:r w:rsidR="002D589D" w:rsidRPr="00F512C2">
        <w:rPr>
          <w:szCs w:val="24"/>
        </w:rPr>
        <w:t xml:space="preserve"> electorally successful </w:t>
      </w:r>
      <w:r w:rsidR="001D06EA" w:rsidRPr="00F512C2">
        <w:rPr>
          <w:szCs w:val="24"/>
        </w:rPr>
        <w:t xml:space="preserve">coalition behind an inclusive, </w:t>
      </w:r>
      <w:proofErr w:type="spellStart"/>
      <w:r w:rsidR="001D06EA" w:rsidRPr="00F512C2">
        <w:rPr>
          <w:szCs w:val="24"/>
        </w:rPr>
        <w:t>solidaristic</w:t>
      </w:r>
      <w:proofErr w:type="spellEnd"/>
      <w:r w:rsidR="001D06EA" w:rsidRPr="00F512C2">
        <w:rPr>
          <w:szCs w:val="24"/>
        </w:rPr>
        <w:t xml:space="preserve"> social policy.</w:t>
      </w:r>
      <w:r w:rsidR="00BD1344" w:rsidRPr="00F512C2">
        <w:rPr>
          <w:szCs w:val="24"/>
        </w:rPr>
        <w:t xml:space="preserve"> </w:t>
      </w:r>
      <w:r w:rsidR="009E7EAA" w:rsidRPr="00F512C2">
        <w:rPr>
          <w:szCs w:val="24"/>
        </w:rPr>
        <w:t>I</w:t>
      </w:r>
      <w:r w:rsidR="00C53769" w:rsidRPr="00F512C2">
        <w:rPr>
          <w:szCs w:val="24"/>
        </w:rPr>
        <w:t xml:space="preserve"> now turn to an analysis of the conditions under which </w:t>
      </w:r>
      <w:r w:rsidR="00D940B1" w:rsidRPr="00F512C2">
        <w:rPr>
          <w:szCs w:val="24"/>
        </w:rPr>
        <w:t>left parties are likely to be more successful in navigating these conflicts</w:t>
      </w:r>
      <w:r w:rsidR="003862F5" w:rsidRPr="00F512C2">
        <w:rPr>
          <w:szCs w:val="24"/>
        </w:rPr>
        <w:t xml:space="preserve"> and, in turn, building coalitions around </w:t>
      </w:r>
      <w:r w:rsidR="00A46D42" w:rsidRPr="00F512C2">
        <w:rPr>
          <w:szCs w:val="24"/>
        </w:rPr>
        <w:t xml:space="preserve">an inclusive social and labor market policy mix.  </w:t>
      </w:r>
    </w:p>
    <w:p w14:paraId="2C819D0E" w14:textId="3C3AC48A" w:rsidR="00A672AD" w:rsidRPr="00F512C2" w:rsidRDefault="00A672AD" w:rsidP="00A12CF8">
      <w:pPr>
        <w:pStyle w:val="Heading3"/>
        <w:rPr>
          <w:rFonts w:ascii="Times New Roman" w:hAnsi="Times New Roman" w:cs="Times New Roman"/>
        </w:rPr>
      </w:pPr>
      <w:r w:rsidRPr="00F512C2">
        <w:rPr>
          <w:rFonts w:ascii="Times New Roman" w:hAnsi="Times New Roman" w:cs="Times New Roman"/>
        </w:rPr>
        <w:t>2.</w:t>
      </w:r>
      <w:r w:rsidR="00E12E47" w:rsidRPr="00F512C2">
        <w:rPr>
          <w:rFonts w:ascii="Times New Roman" w:hAnsi="Times New Roman" w:cs="Times New Roman"/>
        </w:rPr>
        <w:t>1</w:t>
      </w:r>
      <w:r w:rsidRPr="00F512C2">
        <w:rPr>
          <w:rFonts w:ascii="Times New Roman" w:hAnsi="Times New Roman" w:cs="Times New Roman"/>
        </w:rPr>
        <w:t xml:space="preserve"> </w:t>
      </w:r>
      <w:r w:rsidR="007E07FC" w:rsidRPr="00F512C2">
        <w:rPr>
          <w:rFonts w:ascii="Times New Roman" w:hAnsi="Times New Roman" w:cs="Times New Roman"/>
        </w:rPr>
        <w:t xml:space="preserve">Labor Organization. </w:t>
      </w:r>
    </w:p>
    <w:p w14:paraId="75C0F88E" w14:textId="6B7D2CFB" w:rsidR="007E07FC" w:rsidRPr="00F512C2" w:rsidRDefault="007151F0" w:rsidP="00A672AD">
      <w:pPr>
        <w:widowControl w:val="0"/>
        <w:spacing w:line="480" w:lineRule="auto"/>
        <w:ind w:firstLine="720"/>
        <w:rPr>
          <w:szCs w:val="24"/>
        </w:rPr>
      </w:pPr>
      <w:r w:rsidRPr="00F512C2">
        <w:rPr>
          <w:szCs w:val="24"/>
        </w:rPr>
        <w:t xml:space="preserve">My central hypothesis is that </w:t>
      </w:r>
      <w:r w:rsidR="006673EC" w:rsidRPr="00F512C2">
        <w:rPr>
          <w:szCs w:val="24"/>
        </w:rPr>
        <w:t xml:space="preserve">encompassing </w:t>
      </w:r>
      <w:r w:rsidRPr="00F512C2">
        <w:rPr>
          <w:szCs w:val="24"/>
        </w:rPr>
        <w:t>labor organization</w:t>
      </w:r>
      <w:r w:rsidR="006673EC" w:rsidRPr="00F512C2">
        <w:rPr>
          <w:szCs w:val="24"/>
        </w:rPr>
        <w:t>, namely, high levels of union density, centraliza</w:t>
      </w:r>
      <w:r w:rsidR="00185E97" w:rsidRPr="00F512C2">
        <w:rPr>
          <w:szCs w:val="24"/>
        </w:rPr>
        <w:t xml:space="preserve">tion of powers </w:t>
      </w:r>
      <w:r w:rsidR="00C806C7" w:rsidRPr="00F512C2">
        <w:rPr>
          <w:szCs w:val="24"/>
        </w:rPr>
        <w:t xml:space="preserve">over </w:t>
      </w:r>
      <w:r w:rsidR="00185E97" w:rsidRPr="00F512C2">
        <w:rPr>
          <w:szCs w:val="24"/>
        </w:rPr>
        <w:t>constituent unions in one or a few peak</w:t>
      </w:r>
      <w:r w:rsidR="00C806C7" w:rsidRPr="00F512C2">
        <w:rPr>
          <w:szCs w:val="24"/>
        </w:rPr>
        <w:t xml:space="preserve"> associations, and state integration of unions</w:t>
      </w:r>
      <w:r w:rsidR="00E24F92" w:rsidRPr="00F512C2">
        <w:rPr>
          <w:szCs w:val="24"/>
        </w:rPr>
        <w:t xml:space="preserve"> (advisory boards, commissions</w:t>
      </w:r>
      <w:r w:rsidR="00D57BEE" w:rsidRPr="00F512C2">
        <w:rPr>
          <w:szCs w:val="24"/>
        </w:rPr>
        <w:t xml:space="preserve">, tripartite concertation; social program administration), </w:t>
      </w:r>
      <w:r w:rsidR="00CB4940" w:rsidRPr="00F512C2">
        <w:rPr>
          <w:szCs w:val="24"/>
        </w:rPr>
        <w:t xml:space="preserve">provides a central mechanism through which social democratic parties can mitigate </w:t>
      </w:r>
      <w:r w:rsidR="00DB3FB3" w:rsidRPr="00F512C2">
        <w:rPr>
          <w:szCs w:val="24"/>
        </w:rPr>
        <w:t>postindustrial cleavages</w:t>
      </w:r>
      <w:r w:rsidR="00D93859" w:rsidRPr="00F512C2">
        <w:rPr>
          <w:szCs w:val="24"/>
        </w:rPr>
        <w:t xml:space="preserve"> and, in turn, build </w:t>
      </w:r>
      <w:r w:rsidR="00C7365E" w:rsidRPr="00F512C2">
        <w:rPr>
          <w:szCs w:val="24"/>
        </w:rPr>
        <w:t xml:space="preserve">effective </w:t>
      </w:r>
      <w:r w:rsidR="00F55FFB" w:rsidRPr="00F512C2">
        <w:rPr>
          <w:szCs w:val="24"/>
        </w:rPr>
        <w:t xml:space="preserve">egalitarian </w:t>
      </w:r>
      <w:r w:rsidR="00D93859" w:rsidRPr="00F512C2">
        <w:rPr>
          <w:szCs w:val="24"/>
        </w:rPr>
        <w:t>coalitions.</w:t>
      </w:r>
      <w:r w:rsidR="00101B18" w:rsidRPr="00F512C2">
        <w:rPr>
          <w:i/>
          <w:szCs w:val="24"/>
        </w:rPr>
        <w:t xml:space="preserve"> </w:t>
      </w:r>
      <w:r w:rsidR="00101B18" w:rsidRPr="00F512C2">
        <w:rPr>
          <w:szCs w:val="24"/>
        </w:rPr>
        <w:t>I make this argument for several reasons.</w:t>
      </w:r>
      <w:r w:rsidR="00CA52D0" w:rsidRPr="00F512C2">
        <w:rPr>
          <w:szCs w:val="24"/>
        </w:rPr>
        <w:t xml:space="preserve"> In doing so, I build </w:t>
      </w:r>
      <w:r w:rsidR="00AD2E17" w:rsidRPr="00F512C2">
        <w:rPr>
          <w:szCs w:val="24"/>
        </w:rPr>
        <w:t xml:space="preserve">on Hou (2009) who has argued in his study of ALMP that </w:t>
      </w:r>
      <w:r w:rsidR="007A0EBE" w:rsidRPr="00F512C2">
        <w:t xml:space="preserve">encompassing labor movements moderate the tradeoffs faced by social democratic parties as they seek to </w:t>
      </w:r>
      <w:r w:rsidR="00E56384" w:rsidRPr="00F512C2">
        <w:t xml:space="preserve">balance the interests of </w:t>
      </w:r>
      <w:r w:rsidR="00982471" w:rsidRPr="00F512C2">
        <w:t>insider and outsider groups</w:t>
      </w:r>
      <w:r w:rsidR="00E56384" w:rsidRPr="00F512C2">
        <w:t xml:space="preserve">. </w:t>
      </w:r>
      <w:r w:rsidR="007A0EBE" w:rsidRPr="00F512C2">
        <w:rPr>
          <w:szCs w:val="24"/>
        </w:rPr>
        <w:t>I</w:t>
      </w:r>
      <w:r w:rsidR="00982471" w:rsidRPr="00F512C2">
        <w:rPr>
          <w:szCs w:val="24"/>
        </w:rPr>
        <w:t xml:space="preserve"> also </w:t>
      </w:r>
      <w:r w:rsidR="007A5A6D" w:rsidRPr="00F512C2">
        <w:rPr>
          <w:szCs w:val="24"/>
        </w:rPr>
        <w:t xml:space="preserve">build on </w:t>
      </w:r>
      <w:proofErr w:type="spellStart"/>
      <w:r w:rsidR="007A0EBE" w:rsidRPr="00F512C2">
        <w:rPr>
          <w:szCs w:val="24"/>
        </w:rPr>
        <w:t>Thelen</w:t>
      </w:r>
      <w:proofErr w:type="spellEnd"/>
      <w:r w:rsidR="007A0EBE" w:rsidRPr="00F512C2">
        <w:rPr>
          <w:szCs w:val="24"/>
        </w:rPr>
        <w:t xml:space="preserve"> (2014) has </w:t>
      </w:r>
      <w:r w:rsidR="007A5A6D" w:rsidRPr="00F512C2">
        <w:rPr>
          <w:szCs w:val="24"/>
        </w:rPr>
        <w:t xml:space="preserve">who </w:t>
      </w:r>
      <w:r w:rsidR="007A0EBE" w:rsidRPr="00F512C2">
        <w:rPr>
          <w:szCs w:val="24"/>
        </w:rPr>
        <w:t xml:space="preserve">recently shown that </w:t>
      </w:r>
      <w:r w:rsidR="00442836" w:rsidRPr="00F512C2">
        <w:rPr>
          <w:szCs w:val="24"/>
        </w:rPr>
        <w:t xml:space="preserve">labor organization is </w:t>
      </w:r>
      <w:r w:rsidR="00B9000F" w:rsidRPr="00F512C2">
        <w:rPr>
          <w:szCs w:val="24"/>
        </w:rPr>
        <w:t>a</w:t>
      </w:r>
      <w:r w:rsidR="007A0EBE" w:rsidRPr="00F512C2">
        <w:rPr>
          <w:szCs w:val="24"/>
        </w:rPr>
        <w:t xml:space="preserve"> key factor in Danish governments</w:t>
      </w:r>
      <w:r w:rsidR="00442836" w:rsidRPr="00F512C2">
        <w:rPr>
          <w:szCs w:val="24"/>
        </w:rPr>
        <w:t>’</w:t>
      </w:r>
      <w:r w:rsidR="007A0EBE" w:rsidRPr="00F512C2">
        <w:rPr>
          <w:szCs w:val="24"/>
        </w:rPr>
        <w:t xml:space="preserve"> </w:t>
      </w:r>
      <w:r w:rsidR="00B91F04" w:rsidRPr="00F512C2">
        <w:rPr>
          <w:szCs w:val="24"/>
        </w:rPr>
        <w:t xml:space="preserve">ability </w:t>
      </w:r>
      <w:r w:rsidR="007A0EBE" w:rsidRPr="00F512C2">
        <w:rPr>
          <w:szCs w:val="24"/>
        </w:rPr>
        <w:t xml:space="preserve">to embed market liberalization in policies that promote extensive human capital development and preserve social protection. Encompassing labor organization effectively brought together white collar, public sector, skilled manufacturing, and low-skill service workers </w:t>
      </w:r>
      <w:r w:rsidR="00372D2E" w:rsidRPr="00F512C2">
        <w:rPr>
          <w:szCs w:val="24"/>
        </w:rPr>
        <w:t>(mitigating the insider-outsider and social investment-</w:t>
      </w:r>
      <w:r w:rsidR="008D054C" w:rsidRPr="00F512C2">
        <w:rPr>
          <w:szCs w:val="24"/>
        </w:rPr>
        <w:t xml:space="preserve">social insurance divides) </w:t>
      </w:r>
      <w:r w:rsidR="007A0EBE" w:rsidRPr="00F512C2">
        <w:rPr>
          <w:szCs w:val="24"/>
        </w:rPr>
        <w:t>in support of “embedded flexibilization.”</w:t>
      </w:r>
      <w:r w:rsidR="008D054C" w:rsidRPr="00F512C2">
        <w:rPr>
          <w:szCs w:val="24"/>
        </w:rPr>
        <w:t xml:space="preserve"> I expand</w:t>
      </w:r>
      <w:r w:rsidR="0015024E" w:rsidRPr="00F512C2">
        <w:rPr>
          <w:szCs w:val="24"/>
        </w:rPr>
        <w:t xml:space="preserve"> and elaborate the logic of these </w:t>
      </w:r>
      <w:r w:rsidR="00DE3D9F" w:rsidRPr="00F512C2">
        <w:rPr>
          <w:szCs w:val="24"/>
        </w:rPr>
        <w:t xml:space="preserve">as well as my own recent </w:t>
      </w:r>
      <w:r w:rsidR="00301987" w:rsidRPr="00F512C2">
        <w:rPr>
          <w:szCs w:val="24"/>
        </w:rPr>
        <w:t>arguments (Swank 2014</w:t>
      </w:r>
      <w:r w:rsidR="00EB5922" w:rsidRPr="00F512C2">
        <w:rPr>
          <w:szCs w:val="24"/>
        </w:rPr>
        <w:t>; Martin and Swank 2012</w:t>
      </w:r>
      <w:r w:rsidR="00301987" w:rsidRPr="00F512C2">
        <w:rPr>
          <w:szCs w:val="24"/>
        </w:rPr>
        <w:t xml:space="preserve">) </w:t>
      </w:r>
      <w:r w:rsidR="0015024E" w:rsidRPr="00F512C2">
        <w:rPr>
          <w:szCs w:val="24"/>
        </w:rPr>
        <w:t xml:space="preserve">and provide new evidence on </w:t>
      </w:r>
      <w:r w:rsidR="00712506" w:rsidRPr="00F512C2">
        <w:rPr>
          <w:szCs w:val="24"/>
        </w:rPr>
        <w:t xml:space="preserve">the role of labor organization </w:t>
      </w:r>
      <w:r w:rsidR="003B1E99" w:rsidRPr="00F512C2">
        <w:rPr>
          <w:szCs w:val="24"/>
        </w:rPr>
        <w:t xml:space="preserve">in facilitating left party </w:t>
      </w:r>
      <w:r w:rsidR="00742C14" w:rsidRPr="00F512C2">
        <w:rPr>
          <w:szCs w:val="24"/>
        </w:rPr>
        <w:t xml:space="preserve">promotion of </w:t>
      </w:r>
      <w:r w:rsidR="003B1E99" w:rsidRPr="00F512C2">
        <w:rPr>
          <w:szCs w:val="24"/>
        </w:rPr>
        <w:t xml:space="preserve">social protections for outsiders. </w:t>
      </w:r>
    </w:p>
    <w:p w14:paraId="070C6291" w14:textId="678AD39F" w:rsidR="007E07FC" w:rsidRPr="00F512C2" w:rsidRDefault="00684325" w:rsidP="00684325">
      <w:pPr>
        <w:widowControl w:val="0"/>
        <w:spacing w:line="480" w:lineRule="auto"/>
        <w:ind w:firstLine="720"/>
      </w:pPr>
      <w:r w:rsidRPr="00F512C2">
        <w:t xml:space="preserve">First, union density is very </w:t>
      </w:r>
      <w:r w:rsidR="002257AA" w:rsidRPr="00F512C2">
        <w:t>important</w:t>
      </w:r>
      <w:r w:rsidR="00DA7D1F" w:rsidRPr="00F512C2">
        <w:t>.</w:t>
      </w:r>
      <w:r w:rsidR="002257AA" w:rsidRPr="00F512C2">
        <w:t xml:space="preserve"> </w:t>
      </w:r>
      <w:r w:rsidR="007E07FC" w:rsidRPr="00F512C2">
        <w:t xml:space="preserve">As </w:t>
      </w:r>
      <w:r w:rsidR="002257AA" w:rsidRPr="00F512C2">
        <w:t xml:space="preserve">Hou (2009) and </w:t>
      </w:r>
      <w:r w:rsidR="007E07FC" w:rsidRPr="00F512C2">
        <w:t xml:space="preserve">Iversen and Soskice (2015b) have noted, unions disseminate political information and provide forums for political discussion. This, in turn, fosters a better understanding of material interests by members and the capacity of members to make informed political choices. </w:t>
      </w:r>
      <w:proofErr w:type="spellStart"/>
      <w:r w:rsidR="007E07FC" w:rsidRPr="00F512C2">
        <w:t>Mosimann</w:t>
      </w:r>
      <w:proofErr w:type="spellEnd"/>
      <w:r w:rsidR="007E07FC" w:rsidRPr="00F512C2">
        <w:t xml:space="preserve"> and </w:t>
      </w:r>
      <w:proofErr w:type="spellStart"/>
      <w:r w:rsidR="007E07FC" w:rsidRPr="00F512C2">
        <w:t>Pontusson</w:t>
      </w:r>
      <w:proofErr w:type="spellEnd"/>
      <w:r w:rsidR="007E07FC" w:rsidRPr="00F512C2">
        <w:t xml:space="preserve"> (2017), moreover, </w:t>
      </w:r>
      <w:r w:rsidR="002257AA" w:rsidRPr="00F512C2">
        <w:t xml:space="preserve">make the crucial point </w:t>
      </w:r>
      <w:r w:rsidR="007E07FC" w:rsidRPr="00F512C2">
        <w:t xml:space="preserve">that unions’ behavior and rhetoric create distributive norms (fairness, aversion to inequality) that members adopt as their own. In fact, </w:t>
      </w:r>
      <w:proofErr w:type="spellStart"/>
      <w:r w:rsidR="007E07FC" w:rsidRPr="00F512C2">
        <w:t>Mosimann</w:t>
      </w:r>
      <w:proofErr w:type="spellEnd"/>
      <w:r w:rsidR="007E07FC" w:rsidRPr="00F512C2">
        <w:t xml:space="preserve"> and </w:t>
      </w:r>
      <w:proofErr w:type="spellStart"/>
      <w:r w:rsidR="007E07FC" w:rsidRPr="00F512C2">
        <w:t>Pontusson</w:t>
      </w:r>
      <w:proofErr w:type="spellEnd"/>
      <w:r w:rsidR="007E07FC" w:rsidRPr="00F512C2">
        <w:t xml:space="preserve"> demonstrate in empirical analyses of individual-level data in 21 European democracies that union membership has a strong, positive effect on support for redistribution and that this effect increases with members’ income. </w:t>
      </w:r>
      <w:proofErr w:type="spellStart"/>
      <w:r w:rsidR="00392BEA" w:rsidRPr="00F512C2">
        <w:t>Rennwald</w:t>
      </w:r>
      <w:proofErr w:type="spellEnd"/>
      <w:r w:rsidR="00392BEA" w:rsidRPr="00F512C2">
        <w:t xml:space="preserve"> and </w:t>
      </w:r>
      <w:proofErr w:type="spellStart"/>
      <w:r w:rsidR="00392BEA" w:rsidRPr="00F512C2">
        <w:t>Pontusson</w:t>
      </w:r>
      <w:proofErr w:type="spellEnd"/>
      <w:r w:rsidR="00392BEA" w:rsidRPr="00F512C2">
        <w:t xml:space="preserve"> (2017) also show</w:t>
      </w:r>
      <w:r w:rsidR="00AD0737" w:rsidRPr="00F512C2">
        <w:t>, and this is especially relevant to the uni</w:t>
      </w:r>
      <w:r w:rsidR="00643D0B" w:rsidRPr="00F512C2">
        <w:t>ve</w:t>
      </w:r>
      <w:r w:rsidR="00AD0737" w:rsidRPr="00F512C2">
        <w:t>rsalis</w:t>
      </w:r>
      <w:r w:rsidR="00643D0B" w:rsidRPr="00F512C2">
        <w:t>m</w:t>
      </w:r>
      <w:r w:rsidR="00AD0737" w:rsidRPr="00F512C2">
        <w:t>-particular</w:t>
      </w:r>
      <w:r w:rsidR="00643D0B" w:rsidRPr="00F512C2">
        <w:t xml:space="preserve">ism divide, </w:t>
      </w:r>
      <w:r w:rsidR="00392BEA" w:rsidRPr="00F512C2">
        <w:t>that union membership</w:t>
      </w:r>
      <w:r w:rsidR="00871BE8" w:rsidRPr="00F512C2">
        <w:t xml:space="preserve"> </w:t>
      </w:r>
      <w:r w:rsidR="005C23E2" w:rsidRPr="00F512C2">
        <w:t xml:space="preserve">significantly </w:t>
      </w:r>
      <w:r w:rsidR="00871BE8" w:rsidRPr="00F512C2">
        <w:t xml:space="preserve">lowers the probability </w:t>
      </w:r>
      <w:r w:rsidR="008A0D03" w:rsidRPr="00F512C2">
        <w:t xml:space="preserve">that </w:t>
      </w:r>
      <w:proofErr w:type="gramStart"/>
      <w:r w:rsidR="00871BE8" w:rsidRPr="00F512C2">
        <w:t>working class</w:t>
      </w:r>
      <w:proofErr w:type="gramEnd"/>
      <w:r w:rsidR="00871BE8" w:rsidRPr="00F512C2">
        <w:t xml:space="preserve"> voters who defect from social democratic parties</w:t>
      </w:r>
      <w:r w:rsidR="005C23E2" w:rsidRPr="00F512C2">
        <w:t xml:space="preserve"> vot</w:t>
      </w:r>
      <w:r w:rsidR="008A0D03" w:rsidRPr="00F512C2">
        <w:t>e</w:t>
      </w:r>
      <w:r w:rsidR="005C23E2" w:rsidRPr="00F512C2">
        <w:t xml:space="preserve"> for right-wing populist</w:t>
      </w:r>
      <w:r w:rsidR="006A5E6F" w:rsidRPr="00F512C2">
        <w:t xml:space="preserve"> parties</w:t>
      </w:r>
      <w:r w:rsidR="005C23E2" w:rsidRPr="00F512C2">
        <w:t xml:space="preserve">. </w:t>
      </w:r>
    </w:p>
    <w:p w14:paraId="012E0C5A" w14:textId="564703EC" w:rsidR="007E07FC" w:rsidRPr="00F512C2" w:rsidRDefault="007E07FC" w:rsidP="007E07FC">
      <w:pPr>
        <w:widowControl w:val="0"/>
        <w:spacing w:line="480" w:lineRule="auto"/>
      </w:pPr>
      <w:r w:rsidRPr="00F512C2">
        <w:tab/>
        <w:t xml:space="preserve">High levels of overall union density should also effectively incorporate many outsiders into the labor movement. Indeed, scholars have stressed that where unions remain relatively encompassing (Nordic countries and Belgium), public sector and low-wage service sector unions (and hence women, younger, and low-skilled workers) are represented alongside core sector industrial unions and white collar workers (e.g., Ebbinghaus 2006; </w:t>
      </w:r>
      <w:proofErr w:type="spellStart"/>
      <w:r w:rsidRPr="00F512C2">
        <w:t>Huo</w:t>
      </w:r>
      <w:proofErr w:type="spellEnd"/>
      <w:r w:rsidRPr="00F512C2">
        <w:t xml:space="preserve"> 2009). In fact, the simple correlation between aggregate union density and the ratio of outsider to insider unionization rates is .56 in a sample of 15 European political economies in 2008 (Beecher and </w:t>
      </w:r>
      <w:proofErr w:type="spellStart"/>
      <w:r w:rsidRPr="00F512C2">
        <w:t>Pontusson</w:t>
      </w:r>
      <w:proofErr w:type="spellEnd"/>
      <w:r w:rsidRPr="00F512C2">
        <w:t xml:space="preserve"> 2011). </w:t>
      </w:r>
    </w:p>
    <w:p w14:paraId="5E9C8A99" w14:textId="7D6E6007" w:rsidR="007E07FC" w:rsidRPr="00F512C2" w:rsidRDefault="007E07FC" w:rsidP="007E07FC">
      <w:pPr>
        <w:widowControl w:val="0"/>
        <w:spacing w:line="480" w:lineRule="auto"/>
      </w:pPr>
      <w:r w:rsidRPr="00F512C2">
        <w:tab/>
        <w:t>In addition, union centralization (that is, extensive control over political-economic strategies and behaviors of constituent unions by one or a few national peak associations) should reinforce the inclusiveness of relatively densely organized union movements. As Gordon (2015) has pointed out, highly centralized union movements have strong norms for the democratic representation of all constituent unions (including low-skilled unions) in peak association decision making. Moreover, centralized peak associations are more likely to promote coherence in norms and policy positions across the union movement</w:t>
      </w:r>
      <w:r w:rsidR="009D39F3" w:rsidRPr="00F512C2">
        <w:t xml:space="preserve"> crucial to the mitigation of cleavages</w:t>
      </w:r>
      <w:r w:rsidRPr="00F512C2">
        <w:t xml:space="preserve">, and the general disposition of such encompassing union peaks is to champion broad social justice goals (Hall 2017). </w:t>
      </w:r>
    </w:p>
    <w:p w14:paraId="367DE860" w14:textId="6839E7B1" w:rsidR="007E07FC" w:rsidRPr="00F512C2" w:rsidRDefault="007E07FC" w:rsidP="007E07FC">
      <w:pPr>
        <w:widowControl w:val="0"/>
        <w:spacing w:line="480" w:lineRule="auto"/>
      </w:pPr>
      <w:r w:rsidRPr="00F512C2">
        <w:tab/>
        <w:t>The presence of unions within the state is also important. The integration of unions within policy-making forms (e.g., advisory boards and commissions) and administrative units in mature welfare states is not only likely to offer points of political leverage for the union movement (Swank 2002), it is also likely to foster support for redistributive programs among trade unions. As Gordon (2015) argues, the presence of Ghent system union predominance in the administration of unemployment compensation, and to a less</w:t>
      </w:r>
      <w:r w:rsidR="00F66F8E" w:rsidRPr="00F512C2">
        <w:t>e</w:t>
      </w:r>
      <w:r w:rsidRPr="00F512C2">
        <w:t>r</w:t>
      </w:r>
      <w:r w:rsidR="00F66F8E" w:rsidRPr="00F512C2">
        <w:t xml:space="preserve"> </w:t>
      </w:r>
      <w:r w:rsidRPr="00F512C2">
        <w:t xml:space="preserve">extent joint union-employer administration of broad social insurance programs, is likely to cultivate union support of these programs as a vehicle of union maintenance and recruitment of members. </w:t>
      </w:r>
    </w:p>
    <w:p w14:paraId="00A83404" w14:textId="261EF5A8" w:rsidR="00854C7A" w:rsidRPr="00F512C2" w:rsidRDefault="00461638" w:rsidP="00B955F5">
      <w:pPr>
        <w:spacing w:line="480" w:lineRule="auto"/>
        <w:rPr>
          <w:szCs w:val="24"/>
        </w:rPr>
      </w:pPr>
      <w:r w:rsidRPr="00F512C2">
        <w:rPr>
          <w:szCs w:val="24"/>
        </w:rPr>
        <w:tab/>
        <w:t xml:space="preserve">In sum, </w:t>
      </w:r>
      <w:r w:rsidR="006C5E7A" w:rsidRPr="00F512C2">
        <w:rPr>
          <w:szCs w:val="24"/>
        </w:rPr>
        <w:t>key features of encompassing union organization</w:t>
      </w:r>
      <w:r w:rsidR="00223724" w:rsidRPr="00F512C2">
        <w:rPr>
          <w:szCs w:val="24"/>
        </w:rPr>
        <w:t xml:space="preserve"> </w:t>
      </w:r>
      <w:r w:rsidR="003A02F4" w:rsidRPr="00F512C2">
        <w:rPr>
          <w:szCs w:val="24"/>
        </w:rPr>
        <w:t xml:space="preserve">should </w:t>
      </w:r>
      <w:r w:rsidR="00223724" w:rsidRPr="00F512C2">
        <w:rPr>
          <w:szCs w:val="24"/>
        </w:rPr>
        <w:t>integrate</w:t>
      </w:r>
      <w:r w:rsidR="003A02F4" w:rsidRPr="00F512C2">
        <w:rPr>
          <w:szCs w:val="24"/>
        </w:rPr>
        <w:t xml:space="preserve"> the core postindustrial constituencies of left parties</w:t>
      </w:r>
      <w:r w:rsidR="009B1A77" w:rsidRPr="00F512C2">
        <w:rPr>
          <w:szCs w:val="24"/>
        </w:rPr>
        <w:t xml:space="preserve">, foster broad commitments to social justice and </w:t>
      </w:r>
      <w:r w:rsidR="001373B9" w:rsidRPr="00F512C2">
        <w:rPr>
          <w:szCs w:val="24"/>
        </w:rPr>
        <w:t xml:space="preserve">inclusive policies, and otherwise facilitate </w:t>
      </w:r>
      <w:r w:rsidR="006D6743" w:rsidRPr="00F512C2">
        <w:rPr>
          <w:szCs w:val="24"/>
        </w:rPr>
        <w:t xml:space="preserve">social democratic parties’ pursuit of </w:t>
      </w:r>
      <w:r w:rsidR="00DD13E7" w:rsidRPr="00F512C2">
        <w:rPr>
          <w:szCs w:val="24"/>
        </w:rPr>
        <w:t xml:space="preserve">policies that address the needs of outsiders. </w:t>
      </w:r>
      <w:r w:rsidR="000759A1" w:rsidRPr="00F512C2">
        <w:rPr>
          <w:szCs w:val="24"/>
        </w:rPr>
        <w:t>And, a</w:t>
      </w:r>
      <w:r w:rsidR="006B3C09" w:rsidRPr="00F512C2">
        <w:rPr>
          <w:szCs w:val="24"/>
        </w:rPr>
        <w:t>s</w:t>
      </w:r>
      <w:r w:rsidR="000759A1" w:rsidRPr="00F512C2">
        <w:rPr>
          <w:szCs w:val="24"/>
        </w:rPr>
        <w:t xml:space="preserve"> </w:t>
      </w:r>
      <w:r w:rsidR="00CC4CEB" w:rsidRPr="00F512C2">
        <w:rPr>
          <w:szCs w:val="24"/>
        </w:rPr>
        <w:t xml:space="preserve">foreshadowed in </w:t>
      </w:r>
      <w:r w:rsidR="000759A1" w:rsidRPr="00F512C2">
        <w:rPr>
          <w:szCs w:val="24"/>
        </w:rPr>
        <w:t xml:space="preserve">Walter </w:t>
      </w:r>
      <w:proofErr w:type="spellStart"/>
      <w:r w:rsidR="004326FD" w:rsidRPr="00F512C2">
        <w:rPr>
          <w:szCs w:val="24"/>
        </w:rPr>
        <w:t>Korpi’s</w:t>
      </w:r>
      <w:proofErr w:type="spellEnd"/>
      <w:r w:rsidR="004326FD" w:rsidRPr="00F512C2">
        <w:rPr>
          <w:szCs w:val="24"/>
        </w:rPr>
        <w:t xml:space="preserve"> </w:t>
      </w:r>
      <w:r w:rsidR="007B3DEE" w:rsidRPr="00F512C2">
        <w:rPr>
          <w:szCs w:val="24"/>
        </w:rPr>
        <w:t>(1983)</w:t>
      </w:r>
      <w:r w:rsidR="00CC4CEB" w:rsidRPr="00F512C2">
        <w:rPr>
          <w:szCs w:val="24"/>
        </w:rPr>
        <w:t xml:space="preserve"> seminal work on social democracy</w:t>
      </w:r>
      <w:r w:rsidR="006B3C09" w:rsidRPr="00F512C2">
        <w:rPr>
          <w:szCs w:val="24"/>
        </w:rPr>
        <w:t xml:space="preserve">, </w:t>
      </w:r>
      <w:r w:rsidR="000759A1" w:rsidRPr="00F512C2">
        <w:rPr>
          <w:szCs w:val="24"/>
        </w:rPr>
        <w:t>e</w:t>
      </w:r>
      <w:r w:rsidR="006B3C09" w:rsidRPr="00F512C2">
        <w:rPr>
          <w:szCs w:val="24"/>
        </w:rPr>
        <w:t>ncompassing u</w:t>
      </w:r>
      <w:r w:rsidR="000759A1" w:rsidRPr="00F512C2">
        <w:rPr>
          <w:szCs w:val="24"/>
        </w:rPr>
        <w:t>nion movements</w:t>
      </w:r>
      <w:r w:rsidR="00E61A08" w:rsidRPr="00F512C2">
        <w:rPr>
          <w:szCs w:val="24"/>
        </w:rPr>
        <w:t>, at a rudimen</w:t>
      </w:r>
      <w:r w:rsidR="00213F43" w:rsidRPr="00F512C2">
        <w:rPr>
          <w:szCs w:val="24"/>
        </w:rPr>
        <w:t>t</w:t>
      </w:r>
      <w:r w:rsidR="00E61A08" w:rsidRPr="00F512C2">
        <w:rPr>
          <w:szCs w:val="24"/>
        </w:rPr>
        <w:t>ary electoral level,</w:t>
      </w:r>
      <w:r w:rsidR="00342DE3" w:rsidRPr="00F512C2">
        <w:rPr>
          <w:szCs w:val="24"/>
        </w:rPr>
        <w:t xml:space="preserve"> </w:t>
      </w:r>
      <w:r w:rsidR="002E02E3" w:rsidRPr="00F512C2">
        <w:rPr>
          <w:szCs w:val="24"/>
        </w:rPr>
        <w:t xml:space="preserve">still </w:t>
      </w:r>
      <w:r w:rsidR="00342DE3" w:rsidRPr="00F512C2">
        <w:rPr>
          <w:szCs w:val="24"/>
        </w:rPr>
        <w:t>ha</w:t>
      </w:r>
      <w:r w:rsidR="00E61A08" w:rsidRPr="00F512C2">
        <w:rPr>
          <w:szCs w:val="24"/>
        </w:rPr>
        <w:t>ve</w:t>
      </w:r>
      <w:r w:rsidR="00342DE3" w:rsidRPr="00F512C2">
        <w:rPr>
          <w:szCs w:val="24"/>
        </w:rPr>
        <w:t xml:space="preserve"> large, significant effects on electoral mobilization (Radcliff and Davis 2000) and votes for left parties (Arndt and </w:t>
      </w:r>
      <w:proofErr w:type="spellStart"/>
      <w:r w:rsidR="00342DE3" w:rsidRPr="00F512C2">
        <w:rPr>
          <w:szCs w:val="24"/>
        </w:rPr>
        <w:t>Rennwald</w:t>
      </w:r>
      <w:proofErr w:type="spellEnd"/>
      <w:r w:rsidR="00342DE3" w:rsidRPr="00F512C2">
        <w:rPr>
          <w:szCs w:val="24"/>
        </w:rPr>
        <w:t xml:space="preserve"> 2016) in </w:t>
      </w:r>
      <w:r w:rsidR="00581617" w:rsidRPr="00F512C2">
        <w:rPr>
          <w:szCs w:val="24"/>
        </w:rPr>
        <w:t xml:space="preserve">postindustrial </w:t>
      </w:r>
      <w:r w:rsidR="007C06F0" w:rsidRPr="00F512C2">
        <w:rPr>
          <w:szCs w:val="24"/>
        </w:rPr>
        <w:t>d</w:t>
      </w:r>
      <w:r w:rsidR="00342DE3" w:rsidRPr="00F512C2">
        <w:rPr>
          <w:szCs w:val="24"/>
        </w:rPr>
        <w:t>emocracies.</w:t>
      </w:r>
    </w:p>
    <w:p w14:paraId="6AB90AA6" w14:textId="4BDB67EC" w:rsidR="002E02E3" w:rsidRPr="00F512C2" w:rsidRDefault="00A672AD" w:rsidP="00A12CF8">
      <w:pPr>
        <w:pStyle w:val="Heading2"/>
        <w:rPr>
          <w:rFonts w:ascii="Times New Roman" w:hAnsi="Times New Roman" w:cs="Times New Roman"/>
        </w:rPr>
      </w:pPr>
      <w:r w:rsidRPr="00F512C2">
        <w:rPr>
          <w:rFonts w:ascii="Times New Roman" w:hAnsi="Times New Roman" w:cs="Times New Roman"/>
        </w:rPr>
        <w:t>2.2</w:t>
      </w:r>
      <w:r w:rsidRPr="00F512C2">
        <w:rPr>
          <w:rFonts w:ascii="Times New Roman" w:hAnsi="Times New Roman" w:cs="Times New Roman"/>
          <w:b/>
        </w:rPr>
        <w:t xml:space="preserve"> </w:t>
      </w:r>
      <w:r w:rsidR="002E02E3" w:rsidRPr="00F512C2">
        <w:rPr>
          <w:rFonts w:ascii="Times New Roman" w:hAnsi="Times New Roman" w:cs="Times New Roman"/>
        </w:rPr>
        <w:t xml:space="preserve">A Note on </w:t>
      </w:r>
      <w:r w:rsidRPr="00F512C2">
        <w:rPr>
          <w:rFonts w:ascii="Times New Roman" w:hAnsi="Times New Roman" w:cs="Times New Roman"/>
        </w:rPr>
        <w:t>Employers Organization</w:t>
      </w:r>
    </w:p>
    <w:p w14:paraId="376B5E65" w14:textId="0BF66C36" w:rsidR="008F4578" w:rsidRPr="00F512C2" w:rsidRDefault="004A3B55" w:rsidP="008F4578">
      <w:pPr>
        <w:widowControl w:val="0"/>
        <w:spacing w:line="480" w:lineRule="auto"/>
        <w:rPr>
          <w:szCs w:val="24"/>
        </w:rPr>
      </w:pPr>
      <w:r w:rsidRPr="00F512C2">
        <w:rPr>
          <w:szCs w:val="24"/>
        </w:rPr>
        <w:tab/>
      </w:r>
      <w:r w:rsidR="008F4578" w:rsidRPr="00F512C2">
        <w:rPr>
          <w:szCs w:val="24"/>
        </w:rPr>
        <w:t>I also account for employer organization. Specifically, Martin and Swank (2012) have pointed out that high levels of employers’ organization cultivate a collective orientation to the long-run interests of employers (for instance, an interest in human capital). In addition, the repeated exchanges with labor and the state that occur at high levels of organization build trust, reciprocity and a commitment to the public interest among employers. These considerations, along with the tendency of highly organized employer</w:t>
      </w:r>
      <w:r w:rsidR="005D543A" w:rsidRPr="00F512C2">
        <w:rPr>
          <w:szCs w:val="24"/>
        </w:rPr>
        <w:t>s</w:t>
      </w:r>
      <w:r w:rsidR="008F4578" w:rsidRPr="00F512C2">
        <w:rPr>
          <w:szCs w:val="24"/>
        </w:rPr>
        <w:t xml:space="preserve"> to support social insurance that bolsters worker investment in specific skills, suggest that the greater the employer organization, the greater </w:t>
      </w:r>
      <w:r w:rsidR="005D543A" w:rsidRPr="00F512C2">
        <w:rPr>
          <w:szCs w:val="24"/>
        </w:rPr>
        <w:t xml:space="preserve">the </w:t>
      </w:r>
      <w:r w:rsidR="008D37A4" w:rsidRPr="00F512C2">
        <w:rPr>
          <w:szCs w:val="24"/>
        </w:rPr>
        <w:t xml:space="preserve">social </w:t>
      </w:r>
      <w:r w:rsidR="005D543A" w:rsidRPr="00F512C2">
        <w:rPr>
          <w:szCs w:val="24"/>
        </w:rPr>
        <w:t xml:space="preserve">protection </w:t>
      </w:r>
      <w:r w:rsidR="008D37A4" w:rsidRPr="00F512C2">
        <w:rPr>
          <w:szCs w:val="24"/>
        </w:rPr>
        <w:t xml:space="preserve">for outsider policies; Martin and Swank report </w:t>
      </w:r>
      <w:r w:rsidR="005E4DA3" w:rsidRPr="00F512C2">
        <w:rPr>
          <w:szCs w:val="24"/>
        </w:rPr>
        <w:t xml:space="preserve">clear </w:t>
      </w:r>
      <w:r w:rsidR="008D37A4" w:rsidRPr="00F512C2">
        <w:rPr>
          <w:szCs w:val="24"/>
        </w:rPr>
        <w:t xml:space="preserve">evidence for this proposition in the case of </w:t>
      </w:r>
      <w:r w:rsidR="00B07513" w:rsidRPr="00F512C2">
        <w:rPr>
          <w:szCs w:val="24"/>
        </w:rPr>
        <w:t xml:space="preserve">ALMP. </w:t>
      </w:r>
    </w:p>
    <w:p w14:paraId="685B0783" w14:textId="10C16D71" w:rsidR="000D4B9F" w:rsidRPr="00F512C2" w:rsidRDefault="005C030B" w:rsidP="00A12CF8">
      <w:pPr>
        <w:pStyle w:val="Heading1"/>
        <w:rPr>
          <w:rFonts w:ascii="Times New Roman" w:hAnsi="Times New Roman" w:cs="Times New Roman"/>
        </w:rPr>
      </w:pPr>
      <w:r w:rsidRPr="00F512C2">
        <w:rPr>
          <w:rFonts w:ascii="Times New Roman" w:hAnsi="Times New Roman" w:cs="Times New Roman"/>
        </w:rPr>
        <w:t xml:space="preserve">3 </w:t>
      </w:r>
      <w:r w:rsidR="00EE210A" w:rsidRPr="00F512C2">
        <w:rPr>
          <w:rFonts w:ascii="Times New Roman" w:hAnsi="Times New Roman" w:cs="Times New Roman"/>
        </w:rPr>
        <w:t>A</w:t>
      </w:r>
      <w:r w:rsidR="0019227E" w:rsidRPr="00F512C2">
        <w:rPr>
          <w:rFonts w:ascii="Times New Roman" w:hAnsi="Times New Roman" w:cs="Times New Roman"/>
        </w:rPr>
        <w:t>n</w:t>
      </w:r>
      <w:r w:rsidR="00EE210A" w:rsidRPr="00F512C2">
        <w:rPr>
          <w:rFonts w:ascii="Times New Roman" w:hAnsi="Times New Roman" w:cs="Times New Roman"/>
        </w:rPr>
        <w:t xml:space="preserve"> </w:t>
      </w:r>
      <w:r w:rsidR="00475A9B" w:rsidRPr="00F512C2">
        <w:rPr>
          <w:rFonts w:ascii="Times New Roman" w:hAnsi="Times New Roman" w:cs="Times New Roman"/>
        </w:rPr>
        <w:t xml:space="preserve">Empirical </w:t>
      </w:r>
      <w:r w:rsidR="00EE210A" w:rsidRPr="00F512C2">
        <w:rPr>
          <w:rFonts w:ascii="Times New Roman" w:hAnsi="Times New Roman" w:cs="Times New Roman"/>
        </w:rPr>
        <w:t>A</w:t>
      </w:r>
      <w:r w:rsidR="00475A9B" w:rsidRPr="00F512C2">
        <w:rPr>
          <w:rFonts w:ascii="Times New Roman" w:hAnsi="Times New Roman" w:cs="Times New Roman"/>
        </w:rPr>
        <w:t>nalysis</w:t>
      </w:r>
      <w:r w:rsidR="00EE210A" w:rsidRPr="00F512C2">
        <w:rPr>
          <w:rFonts w:ascii="Times New Roman" w:hAnsi="Times New Roman" w:cs="Times New Roman"/>
        </w:rPr>
        <w:t xml:space="preserve"> </w:t>
      </w:r>
      <w:r w:rsidR="00475A9B" w:rsidRPr="00F512C2">
        <w:rPr>
          <w:rFonts w:ascii="Times New Roman" w:hAnsi="Times New Roman" w:cs="Times New Roman"/>
        </w:rPr>
        <w:t>of the</w:t>
      </w:r>
      <w:r w:rsidR="00EE210A" w:rsidRPr="00F512C2">
        <w:rPr>
          <w:rFonts w:ascii="Times New Roman" w:hAnsi="Times New Roman" w:cs="Times New Roman"/>
        </w:rPr>
        <w:t xml:space="preserve"> P</w:t>
      </w:r>
      <w:r w:rsidR="00475A9B" w:rsidRPr="00F512C2">
        <w:rPr>
          <w:rFonts w:ascii="Times New Roman" w:hAnsi="Times New Roman" w:cs="Times New Roman"/>
        </w:rPr>
        <w:t>artisan</w:t>
      </w:r>
      <w:r w:rsidR="00EE210A" w:rsidRPr="00F512C2">
        <w:rPr>
          <w:rFonts w:ascii="Times New Roman" w:hAnsi="Times New Roman" w:cs="Times New Roman"/>
        </w:rPr>
        <w:t xml:space="preserve"> B</w:t>
      </w:r>
      <w:r w:rsidR="00475A9B" w:rsidRPr="00F512C2">
        <w:rPr>
          <w:rFonts w:ascii="Times New Roman" w:hAnsi="Times New Roman" w:cs="Times New Roman"/>
        </w:rPr>
        <w:t>asis</w:t>
      </w:r>
      <w:r w:rsidR="00EE210A" w:rsidRPr="00F512C2">
        <w:rPr>
          <w:rFonts w:ascii="Times New Roman" w:hAnsi="Times New Roman" w:cs="Times New Roman"/>
        </w:rPr>
        <w:t xml:space="preserve"> </w:t>
      </w:r>
      <w:r w:rsidR="00475A9B" w:rsidRPr="00F512C2">
        <w:rPr>
          <w:rFonts w:ascii="Times New Roman" w:hAnsi="Times New Roman" w:cs="Times New Roman"/>
        </w:rPr>
        <w:t xml:space="preserve">of </w:t>
      </w:r>
      <w:r w:rsidR="00EE210A" w:rsidRPr="00F512C2">
        <w:rPr>
          <w:rFonts w:ascii="Times New Roman" w:hAnsi="Times New Roman" w:cs="Times New Roman"/>
        </w:rPr>
        <w:t>O</w:t>
      </w:r>
      <w:r w:rsidR="0019227E" w:rsidRPr="00F512C2">
        <w:rPr>
          <w:rFonts w:ascii="Times New Roman" w:hAnsi="Times New Roman" w:cs="Times New Roman"/>
        </w:rPr>
        <w:t>utsider</w:t>
      </w:r>
      <w:r w:rsidR="00036278" w:rsidRPr="00F512C2">
        <w:rPr>
          <w:rFonts w:ascii="Times New Roman" w:hAnsi="Times New Roman" w:cs="Times New Roman"/>
        </w:rPr>
        <w:t xml:space="preserve"> P</w:t>
      </w:r>
      <w:r w:rsidR="0019227E" w:rsidRPr="00F512C2">
        <w:rPr>
          <w:rFonts w:ascii="Times New Roman" w:hAnsi="Times New Roman" w:cs="Times New Roman"/>
        </w:rPr>
        <w:t>olicies</w:t>
      </w:r>
      <w:r w:rsidR="00036278" w:rsidRPr="00F512C2">
        <w:rPr>
          <w:rFonts w:ascii="Times New Roman" w:hAnsi="Times New Roman" w:cs="Times New Roman"/>
        </w:rPr>
        <w:t xml:space="preserve"> </w:t>
      </w:r>
      <w:r w:rsidR="0019227E" w:rsidRPr="00F512C2">
        <w:rPr>
          <w:rFonts w:ascii="Times New Roman" w:hAnsi="Times New Roman" w:cs="Times New Roman"/>
        </w:rPr>
        <w:t>and</w:t>
      </w:r>
      <w:r w:rsidR="00036278" w:rsidRPr="00F512C2">
        <w:rPr>
          <w:rFonts w:ascii="Times New Roman" w:hAnsi="Times New Roman" w:cs="Times New Roman"/>
        </w:rPr>
        <w:t xml:space="preserve"> O</w:t>
      </w:r>
      <w:r w:rsidR="0019227E" w:rsidRPr="00F512C2">
        <w:rPr>
          <w:rFonts w:ascii="Times New Roman" w:hAnsi="Times New Roman" w:cs="Times New Roman"/>
        </w:rPr>
        <w:t>u</w:t>
      </w:r>
      <w:r w:rsidR="00E03B94" w:rsidRPr="00F512C2">
        <w:rPr>
          <w:rFonts w:ascii="Times New Roman" w:hAnsi="Times New Roman" w:cs="Times New Roman"/>
        </w:rPr>
        <w:t>tcomes</w:t>
      </w:r>
    </w:p>
    <w:p w14:paraId="23A5CFDD" w14:textId="4C95D7B0" w:rsidR="000D4B9F" w:rsidRPr="00F512C2" w:rsidRDefault="000D4B9F" w:rsidP="003067E1">
      <w:pPr>
        <w:widowControl w:val="0"/>
        <w:spacing w:line="480" w:lineRule="auto"/>
      </w:pPr>
      <w:r w:rsidRPr="00F512C2">
        <w:tab/>
        <w:t xml:space="preserve">In the following analysis, </w:t>
      </w:r>
      <w:r w:rsidR="00F61480" w:rsidRPr="00F512C2">
        <w:t>I</w:t>
      </w:r>
      <w:r w:rsidRPr="00F512C2">
        <w:t xml:space="preserve"> focus on </w:t>
      </w:r>
      <w:r w:rsidR="00E93E3D" w:rsidRPr="00F512C2">
        <w:t xml:space="preserve">the four dimensions of outsider policies and outcomes discussed above: low-wage </w:t>
      </w:r>
      <w:r w:rsidR="00F62670" w:rsidRPr="00F512C2">
        <w:t xml:space="preserve">worker </w:t>
      </w:r>
      <w:r w:rsidR="00E93E3D" w:rsidRPr="00F512C2">
        <w:t>unemployment</w:t>
      </w:r>
      <w:r w:rsidR="00F62670" w:rsidRPr="00F512C2">
        <w:t xml:space="preserve"> benefits, means-tested income protection, ALMP, and </w:t>
      </w:r>
      <w:r w:rsidR="0097429F" w:rsidRPr="00F512C2">
        <w:t>reduction in relative poverty.</w:t>
      </w:r>
      <w:r w:rsidR="006C2AF3" w:rsidRPr="00F512C2">
        <w:t xml:space="preserve"> </w:t>
      </w:r>
      <w:r w:rsidRPr="00F512C2">
        <w:t xml:space="preserve">I </w:t>
      </w:r>
      <w:r w:rsidR="00F574A1" w:rsidRPr="00F512C2">
        <w:t xml:space="preserve">draw on the large literature of the determinants of social and labor market policies and outcomes and develop and </w:t>
      </w:r>
      <w:r w:rsidRPr="00F512C2">
        <w:t xml:space="preserve">estimate empirical models of variations across space and time in </w:t>
      </w:r>
      <w:r w:rsidR="007529C3" w:rsidRPr="00F512C2">
        <w:t xml:space="preserve">outsider policies and </w:t>
      </w:r>
      <w:r w:rsidRPr="00F512C2">
        <w:t>poverty reduction</w:t>
      </w:r>
      <w:r w:rsidR="007529C3" w:rsidRPr="00F512C2">
        <w:t xml:space="preserve"> </w:t>
      </w:r>
      <w:r w:rsidRPr="00F512C2">
        <w:t>for 13 to 18 developed capitalist democracies (see Table 1) for the years 1979-2012.</w:t>
      </w:r>
      <w:r w:rsidRPr="00F512C2">
        <w:rPr>
          <w:rStyle w:val="FootnoteReference"/>
        </w:rPr>
        <w:footnoteReference w:id="8"/>
      </w:r>
      <w:r w:rsidRPr="00F512C2">
        <w:t xml:space="preserve"> The general model of outsider policies and poverty reduction is: </w:t>
      </w:r>
    </w:p>
    <w:p w14:paraId="2B240669" w14:textId="79F98EF2" w:rsidR="000D4B9F" w:rsidRPr="00F512C2" w:rsidRDefault="000D4B9F" w:rsidP="000D4B9F">
      <w:pPr>
        <w:widowControl w:val="0"/>
        <w:spacing w:line="480" w:lineRule="auto"/>
        <w:ind w:left="720"/>
      </w:pPr>
      <w:r w:rsidRPr="00F512C2">
        <w:t xml:space="preserve">[Eq. 1] Outsider Policy/Poverty </w:t>
      </w:r>
      <w:proofErr w:type="spellStart"/>
      <w:r w:rsidRPr="00F512C2">
        <w:t>Reduction</w:t>
      </w:r>
      <w:r w:rsidRPr="00F512C2">
        <w:rPr>
          <w:i/>
          <w:vertAlign w:val="subscript"/>
        </w:rPr>
        <w:t>i,t</w:t>
      </w:r>
      <w:proofErr w:type="spellEnd"/>
      <w:r w:rsidRPr="00F512C2">
        <w:rPr>
          <w:vertAlign w:val="subscript"/>
        </w:rPr>
        <w:t xml:space="preserve"> </w:t>
      </w:r>
      <w:r w:rsidRPr="00F512C2">
        <w:t xml:space="preserve"> = </w:t>
      </w:r>
      <w:r w:rsidRPr="00F512C2">
        <w:rPr>
          <w:i/>
        </w:rPr>
        <w:t>α</w:t>
      </w:r>
      <w:r w:rsidRPr="00F512C2">
        <w:t xml:space="preserve"> </w:t>
      </w:r>
      <w:r w:rsidRPr="00F512C2">
        <w:rPr>
          <w:i/>
        </w:rPr>
        <w:t xml:space="preserve">+ </w:t>
      </w:r>
      <w:r w:rsidRPr="00F512C2">
        <w:rPr>
          <w:i/>
          <w:vertAlign w:val="subscript"/>
        </w:rPr>
        <w:t xml:space="preserve"> </w:t>
      </w:r>
      <w:r w:rsidRPr="00F512C2">
        <w:rPr>
          <w:i/>
        </w:rPr>
        <w:t>β</w:t>
      </w:r>
      <w:r w:rsidRPr="00F512C2">
        <w:rPr>
          <w:i/>
          <w:vertAlign w:val="subscript"/>
        </w:rPr>
        <w:t>1</w:t>
      </w:r>
      <w:r w:rsidRPr="00F512C2">
        <w:rPr>
          <w:i/>
        </w:rPr>
        <w:t xml:space="preserve"> </w:t>
      </w:r>
      <w:r w:rsidRPr="00F512C2">
        <w:t>(Partisan Govt )</w:t>
      </w:r>
      <w:proofErr w:type="spellStart"/>
      <w:r w:rsidRPr="00F512C2">
        <w:rPr>
          <w:i/>
          <w:vertAlign w:val="subscript"/>
        </w:rPr>
        <w:t>i,mean</w:t>
      </w:r>
      <w:proofErr w:type="spellEnd"/>
      <w:r w:rsidRPr="00F512C2">
        <w:rPr>
          <w:i/>
          <w:vertAlign w:val="subscript"/>
        </w:rPr>
        <w:t xml:space="preserve"> t-10/</w:t>
      </w:r>
      <w:r w:rsidR="00C96B64" w:rsidRPr="00F512C2">
        <w:rPr>
          <w:i/>
          <w:vertAlign w:val="subscript"/>
        </w:rPr>
        <w:t>5/</w:t>
      </w:r>
      <w:r w:rsidRPr="00F512C2">
        <w:rPr>
          <w:i/>
          <w:vertAlign w:val="subscript"/>
        </w:rPr>
        <w:t>3 to t-1</w:t>
      </w:r>
      <w:r w:rsidRPr="00F512C2">
        <w:rPr>
          <w:i/>
        </w:rPr>
        <w:t xml:space="preserve"> + β</w:t>
      </w:r>
      <w:r w:rsidRPr="00F512C2">
        <w:rPr>
          <w:i/>
          <w:vertAlign w:val="subscript"/>
        </w:rPr>
        <w:t>2</w:t>
      </w:r>
      <w:r w:rsidRPr="00F512C2">
        <w:t>(Labor Organization)</w:t>
      </w:r>
      <w:r w:rsidRPr="00F512C2">
        <w:rPr>
          <w:i/>
          <w:vertAlign w:val="subscript"/>
        </w:rPr>
        <w:t>i,t-1</w:t>
      </w:r>
      <w:r w:rsidRPr="00F512C2">
        <w:t xml:space="preserve">  </w:t>
      </w:r>
      <w:r w:rsidRPr="00F512C2">
        <w:rPr>
          <w:i/>
        </w:rPr>
        <w:t>+  Β</w:t>
      </w:r>
      <w:r w:rsidRPr="00F512C2">
        <w:rPr>
          <w:i/>
          <w:vertAlign w:val="subscript"/>
        </w:rPr>
        <w:t>3</w:t>
      </w:r>
      <w:r w:rsidRPr="00F512C2">
        <w:t>(Position of the Median Citizen/Income Skew)</w:t>
      </w:r>
      <w:r w:rsidRPr="00F512C2">
        <w:rPr>
          <w:i/>
          <w:vertAlign w:val="subscript"/>
        </w:rPr>
        <w:t xml:space="preserve">i,t-1 </w:t>
      </w:r>
      <w:r w:rsidRPr="00F512C2">
        <w:rPr>
          <w:i/>
        </w:rPr>
        <w:t xml:space="preserve"> + β</w:t>
      </w:r>
      <w:r w:rsidRPr="00F512C2">
        <w:rPr>
          <w:i/>
          <w:vertAlign w:val="subscript"/>
        </w:rPr>
        <w:t>4</w:t>
      </w:r>
      <w:r w:rsidRPr="00F512C2">
        <w:t>(Employer Organization)</w:t>
      </w:r>
      <w:r w:rsidRPr="00F512C2">
        <w:rPr>
          <w:i/>
          <w:vertAlign w:val="subscript"/>
        </w:rPr>
        <w:t xml:space="preserve">i,t-1 </w:t>
      </w:r>
      <w:r w:rsidRPr="00F512C2">
        <w:t>+</w:t>
      </w:r>
      <w:r w:rsidRPr="00F512C2">
        <w:rPr>
          <w:i/>
        </w:rPr>
        <w:t xml:space="preserve"> β</w:t>
      </w:r>
      <w:r w:rsidRPr="00F512C2">
        <w:rPr>
          <w:i/>
          <w:vertAlign w:val="subscript"/>
        </w:rPr>
        <w:t>5</w:t>
      </w:r>
      <w:r w:rsidRPr="00F512C2">
        <w:t>(Trade Openness.)</w:t>
      </w:r>
      <w:r w:rsidRPr="00F512C2">
        <w:rPr>
          <w:i/>
          <w:vertAlign w:val="subscript"/>
        </w:rPr>
        <w:t>i,t-1</w:t>
      </w:r>
      <w:r w:rsidRPr="00F512C2">
        <w:rPr>
          <w:i/>
        </w:rPr>
        <w:t xml:space="preserve"> +  β</w:t>
      </w:r>
      <w:r w:rsidRPr="00F512C2">
        <w:rPr>
          <w:i/>
          <w:vertAlign w:val="subscript"/>
        </w:rPr>
        <w:t>6</w:t>
      </w:r>
      <w:r w:rsidRPr="00F512C2">
        <w:t>(Capital Mobility)</w:t>
      </w:r>
      <w:r w:rsidRPr="00F512C2">
        <w:rPr>
          <w:i/>
          <w:vertAlign w:val="subscript"/>
        </w:rPr>
        <w:t>i,t-1</w:t>
      </w:r>
      <w:r w:rsidRPr="00F512C2">
        <w:rPr>
          <w:i/>
        </w:rPr>
        <w:t xml:space="preserve"> + β</w:t>
      </w:r>
      <w:r w:rsidRPr="00F512C2">
        <w:rPr>
          <w:i/>
          <w:vertAlign w:val="subscript"/>
        </w:rPr>
        <w:t>7</w:t>
      </w:r>
      <w:r w:rsidRPr="00F512C2">
        <w:t>(De-industrialization)</w:t>
      </w:r>
      <w:r w:rsidRPr="00F512C2">
        <w:rPr>
          <w:i/>
          <w:vertAlign w:val="subscript"/>
        </w:rPr>
        <w:t>i,t-1</w:t>
      </w:r>
      <w:r w:rsidRPr="00F512C2">
        <w:rPr>
          <w:i/>
        </w:rPr>
        <w:t xml:space="preserve"> + β</w:t>
      </w:r>
      <w:r w:rsidRPr="00F512C2">
        <w:rPr>
          <w:i/>
          <w:vertAlign w:val="subscript"/>
        </w:rPr>
        <w:t>8</w:t>
      </w:r>
      <w:r w:rsidRPr="00F512C2">
        <w:t>(Unemployment)</w:t>
      </w:r>
      <w:r w:rsidRPr="00F512C2">
        <w:rPr>
          <w:i/>
          <w:vertAlign w:val="subscript"/>
        </w:rPr>
        <w:t>i,t-1</w:t>
      </w:r>
      <w:r w:rsidRPr="00F512C2">
        <w:rPr>
          <w:i/>
        </w:rPr>
        <w:t>+ β</w:t>
      </w:r>
      <w:r w:rsidRPr="00F512C2">
        <w:rPr>
          <w:i/>
          <w:vertAlign w:val="subscript"/>
        </w:rPr>
        <w:t>8</w:t>
      </w:r>
      <w:r w:rsidRPr="00F512C2">
        <w:t>(Percent Change in Real per capita GDP)</w:t>
      </w:r>
      <w:r w:rsidRPr="00F512C2">
        <w:rPr>
          <w:i/>
          <w:vertAlign w:val="subscript"/>
        </w:rPr>
        <w:t>i,t-1</w:t>
      </w:r>
      <w:r w:rsidRPr="00F512C2">
        <w:rPr>
          <w:i/>
        </w:rPr>
        <w:t xml:space="preserve"> + </w:t>
      </w:r>
      <w:proofErr w:type="spellStart"/>
      <w:r w:rsidRPr="00F512C2">
        <w:rPr>
          <w:i/>
        </w:rPr>
        <w:t>ε</w:t>
      </w:r>
      <w:r w:rsidRPr="00F512C2">
        <w:rPr>
          <w:i/>
          <w:vertAlign w:val="subscript"/>
        </w:rPr>
        <w:t>i,t</w:t>
      </w:r>
      <w:proofErr w:type="spellEnd"/>
      <w:r w:rsidRPr="00F512C2">
        <w:t xml:space="preserve"> ,</w:t>
      </w:r>
    </w:p>
    <w:p w14:paraId="37095C76" w14:textId="5010AA9B" w:rsidR="001731BC" w:rsidRPr="00F512C2" w:rsidRDefault="000D4B9F" w:rsidP="000D4B9F">
      <w:pPr>
        <w:widowControl w:val="0"/>
        <w:spacing w:line="480" w:lineRule="auto"/>
      </w:pPr>
      <w:r w:rsidRPr="00F512C2">
        <w:t>In the model of ALMP, I add a control for variations in skills demand of the economy in the form of a technological change variable. For the poverty reduction model, I add the lagged level of poverty reduction to tap autoregressive processes</w:t>
      </w:r>
      <w:r w:rsidR="001731BC" w:rsidRPr="00F512C2">
        <w:t xml:space="preserve"> (see below</w:t>
      </w:r>
      <w:r w:rsidR="00F73791" w:rsidRPr="00F512C2">
        <w:t xml:space="preserve"> for more on this point</w:t>
      </w:r>
      <w:r w:rsidR="001731BC" w:rsidRPr="00F512C2">
        <w:t>).</w:t>
      </w:r>
      <w:r w:rsidRPr="00F512C2">
        <w:t xml:space="preserve"> </w:t>
      </w:r>
    </w:p>
    <w:p w14:paraId="232A5A93" w14:textId="22E702E9" w:rsidR="000D4B9F" w:rsidRPr="00F512C2" w:rsidRDefault="000D4B9F" w:rsidP="000D4B9F">
      <w:pPr>
        <w:widowControl w:val="0"/>
        <w:spacing w:line="480" w:lineRule="auto"/>
      </w:pPr>
      <w:r w:rsidRPr="00F512C2">
        <w:tab/>
        <w:t xml:space="preserve">For core political variables, I measure partisan control of government in the short and intermediate term. I do so for two reasons. First, effects of long-term cumulative partisan measures of left government are difficult to separate from those of labor union organization as they co-evolve across time. Second, much of the debate about the political sources of </w:t>
      </w:r>
      <w:r w:rsidR="005B5A4A" w:rsidRPr="00F512C2">
        <w:t xml:space="preserve">social protection and </w:t>
      </w:r>
      <w:r w:rsidRPr="00F512C2">
        <w:t xml:space="preserve">redistribution involves discerning the impact of </w:t>
      </w:r>
      <w:r w:rsidR="0050187B" w:rsidRPr="00F512C2">
        <w:t xml:space="preserve">alternation in </w:t>
      </w:r>
      <w:r w:rsidR="00A668D5" w:rsidRPr="00F512C2">
        <w:t xml:space="preserve">Left, Center and Right </w:t>
      </w:r>
      <w:r w:rsidR="00AE7A63" w:rsidRPr="00F512C2">
        <w:t>governments</w:t>
      </w:r>
      <w:r w:rsidRPr="00F512C2">
        <w:t xml:space="preserve"> in the postindustrial era. That is, do partisan outcomes of democratic elections still fundamentally matter</w:t>
      </w:r>
      <w:r w:rsidR="0074111B" w:rsidRPr="00F512C2">
        <w:t xml:space="preserve"> today</w:t>
      </w:r>
      <w:r w:rsidRPr="00F512C2">
        <w:t xml:space="preserve">? Long-term cumulative measures stretching </w:t>
      </w:r>
      <w:r w:rsidR="001F6BC8" w:rsidRPr="00F512C2">
        <w:t xml:space="preserve">back </w:t>
      </w:r>
      <w:r w:rsidRPr="00F512C2">
        <w:t xml:space="preserve">several decades give us </w:t>
      </w:r>
      <w:r w:rsidR="0050187B" w:rsidRPr="00F512C2">
        <w:t xml:space="preserve">limited </w:t>
      </w:r>
      <w:r w:rsidRPr="00F512C2">
        <w:t>power to address this question. Thus, I assess partisan impacts in the short term with a measure of the average ideological position of government over the last three years.</w:t>
      </w:r>
      <w:r w:rsidR="000A64E4" w:rsidRPr="00F512C2">
        <w:rPr>
          <w:rStyle w:val="FootnoteReference"/>
        </w:rPr>
        <w:footnoteReference w:id="9"/>
      </w:r>
      <w:r w:rsidRPr="00F512C2">
        <w:t xml:space="preserve"> Short-term (three-year) measures allow us to assess the relatively immediate policy effects of partisan policy choices. I also </w:t>
      </w:r>
      <w:r w:rsidR="002127EC" w:rsidRPr="00F512C2">
        <w:t xml:space="preserve">examine </w:t>
      </w:r>
      <w:r w:rsidRPr="00F512C2">
        <w:t xml:space="preserve">mean ideological scores of governments over the preceding five and 10 years. These measures of intermediate-term power in office are assessed because policy changes are </w:t>
      </w:r>
      <w:r w:rsidR="00B07513" w:rsidRPr="00F512C2">
        <w:t xml:space="preserve">often </w:t>
      </w:r>
      <w:r w:rsidRPr="00F512C2">
        <w:t xml:space="preserve">phased in over a few years and frequently take the form of discrete, limited reforms whose effects accumulate over an intermediate </w:t>
      </w:r>
      <w:proofErr w:type="gramStart"/>
      <w:r w:rsidRPr="00F512C2">
        <w:t>period of time</w:t>
      </w:r>
      <w:proofErr w:type="gramEnd"/>
      <w:r w:rsidRPr="00F512C2">
        <w:t>. I use both short- and intermediate-term measures, alternatively, in each model, and</w:t>
      </w:r>
      <w:r w:rsidR="00360FCC" w:rsidRPr="00F512C2">
        <w:t>, ultimately,</w:t>
      </w:r>
      <w:r w:rsidRPr="00F512C2">
        <w:t xml:space="preserve"> report the most substantively and significantly important measure.</w:t>
      </w:r>
      <w:r w:rsidRPr="00F512C2">
        <w:rPr>
          <w:rStyle w:val="FootnoteReference"/>
        </w:rPr>
        <w:footnoteReference w:id="10"/>
      </w:r>
    </w:p>
    <w:p w14:paraId="2AE18FDF" w14:textId="4CC32E4D" w:rsidR="000D4B9F" w:rsidRPr="00F512C2" w:rsidRDefault="000D4B9F" w:rsidP="000D4B9F">
      <w:pPr>
        <w:widowControl w:val="0"/>
        <w:spacing w:line="480" w:lineRule="auto"/>
      </w:pPr>
      <w:r w:rsidRPr="00F512C2">
        <w:tab/>
        <w:t>The organization of labor is measured as a standard score index of union density, a 0.0 to 4.0 scale of centralization of powers in the largest national peak association (control of affiliate appointments, over strikes, of bargaining strategy, and of conflict funds), and a 0.0 to 1.0 scale of integration of unions into public policymaking forums. Employer organization is measured through a standard score index of the presence of a national employers’ peak association, 0.0 to 4.0 scale of powers of the peak (control of affiliate appointments, over lockouts, of bargaining strategy, and of conflict funds), and 0.0 to 1.0 scale of policymaking integration of employers.</w:t>
      </w:r>
    </w:p>
    <w:p w14:paraId="2A592904" w14:textId="6530FDB0" w:rsidR="000D4B9F" w:rsidRPr="00F512C2" w:rsidRDefault="000D4B9F" w:rsidP="000D4B9F">
      <w:pPr>
        <w:widowControl w:val="0"/>
        <w:spacing w:line="480" w:lineRule="auto"/>
      </w:pPr>
      <w:r w:rsidRPr="00F512C2">
        <w:tab/>
        <w:t>As to the economic position of the median</w:t>
      </w:r>
      <w:r w:rsidR="00CE3D8D" w:rsidRPr="00F512C2">
        <w:t xml:space="preserve"> citizen</w:t>
      </w:r>
      <w:r w:rsidRPr="00F512C2">
        <w:t xml:space="preserve">, I follow the conceptualization and measurement procedures of </w:t>
      </w:r>
      <w:proofErr w:type="spellStart"/>
      <w:r w:rsidRPr="00F512C2">
        <w:t>Lupu</w:t>
      </w:r>
      <w:proofErr w:type="spellEnd"/>
      <w:r w:rsidRPr="00F512C2">
        <w:t xml:space="preserve"> and </w:t>
      </w:r>
      <w:proofErr w:type="spellStart"/>
      <w:r w:rsidRPr="00F512C2">
        <w:t>Pontusson</w:t>
      </w:r>
      <w:proofErr w:type="spellEnd"/>
      <w:r w:rsidRPr="00F512C2">
        <w:t xml:space="preserve"> (2011) and use a ratio of ratios, or income skew: I compute the ratios of earners at the 90</w:t>
      </w:r>
      <w:r w:rsidRPr="00F512C2">
        <w:rPr>
          <w:vertAlign w:val="superscript"/>
        </w:rPr>
        <w:t>th</w:t>
      </w:r>
      <w:r w:rsidRPr="00F512C2">
        <w:t xml:space="preserve"> and 50</w:t>
      </w:r>
      <w:r w:rsidRPr="00F512C2">
        <w:rPr>
          <w:vertAlign w:val="superscript"/>
        </w:rPr>
        <w:t>th</w:t>
      </w:r>
      <w:r w:rsidRPr="00F512C2">
        <w:t xml:space="preserve"> percentiles and at the 50</w:t>
      </w:r>
      <w:r w:rsidRPr="00F512C2">
        <w:rPr>
          <w:vertAlign w:val="superscript"/>
        </w:rPr>
        <w:t>th</w:t>
      </w:r>
      <w:r w:rsidRPr="00F512C2">
        <w:t xml:space="preserve"> and 10</w:t>
      </w:r>
      <w:r w:rsidRPr="00F512C2">
        <w:rPr>
          <w:vertAlign w:val="superscript"/>
        </w:rPr>
        <w:t>th</w:t>
      </w:r>
      <w:r w:rsidRPr="00F512C2">
        <w:t xml:space="preserve"> percentiles. As suggested by theory, I use the ratio of these two numbers to capture relative closeness of median</w:t>
      </w:r>
      <w:r w:rsidR="0011260D" w:rsidRPr="00F512C2">
        <w:t xml:space="preserve"> citizen/voter</w:t>
      </w:r>
      <w:r w:rsidRPr="00F512C2">
        <w:t xml:space="preserve"> to low income earners. </w:t>
      </w:r>
    </w:p>
    <w:p w14:paraId="39875179" w14:textId="688C6487" w:rsidR="000D4B9F" w:rsidRPr="00F512C2" w:rsidRDefault="000D4B9F" w:rsidP="000D4B9F">
      <w:pPr>
        <w:widowControl w:val="0"/>
        <w:spacing w:line="480" w:lineRule="auto"/>
      </w:pPr>
      <w:r w:rsidRPr="00F512C2">
        <w:tab/>
        <w:t xml:space="preserve">As to globalization, I control for imports and exports </w:t>
      </w:r>
      <w:r w:rsidR="00A96A01" w:rsidRPr="00F512C2">
        <w:t xml:space="preserve">of goods and services </w:t>
      </w:r>
      <w:r w:rsidRPr="00F512C2">
        <w:t>a</w:t>
      </w:r>
      <w:r w:rsidR="005D5C06" w:rsidRPr="00F512C2">
        <w:t>s</w:t>
      </w:r>
      <w:r w:rsidRPr="00F512C2">
        <w:t xml:space="preserve"> percentage of  GDP and a general measure of capital mobility (0.0 to 100 scale of liberalization of capital flows); substitutions of trade with developing countries and actual capital flows produce results similar to those reported below for the main measures. Technological change in the ALMP equation is measured as patents per one million population (OECD 2011). As to structural economic change, I follow Iversen and Cusack (2000) and measure deindustrialization as 100 minus industrial and agricultural employment as a percentage share of the working age population. Unemployment is measured as the percentage of the civilian work force unemployed (standardized across nations). As an additional control for economic conditions, I use growth rates in real per capita GDP (in international prices). I employ a </w:t>
      </w:r>
      <w:proofErr w:type="gramStart"/>
      <w:r w:rsidRPr="00F512C2">
        <w:t>one year</w:t>
      </w:r>
      <w:proofErr w:type="gramEnd"/>
      <w:r w:rsidRPr="00F512C2">
        <w:t xml:space="preserve"> lag of all variables unless otherwise noted.</w:t>
      </w:r>
    </w:p>
    <w:p w14:paraId="174D72B0" w14:textId="7CE89972" w:rsidR="000D4B9F" w:rsidRPr="00F512C2" w:rsidRDefault="000D4B9F" w:rsidP="000D4B9F">
      <w:pPr>
        <w:widowControl w:val="0"/>
        <w:spacing w:line="480" w:lineRule="auto"/>
      </w:pPr>
      <w:r w:rsidRPr="00F512C2">
        <w:tab/>
        <w:t>To assess the effects of partisan government</w:t>
      </w:r>
      <w:r w:rsidR="00620362" w:rsidRPr="00F512C2">
        <w:t xml:space="preserve"> across levels of union organization</w:t>
      </w:r>
      <w:r w:rsidRPr="00F512C2">
        <w:t xml:space="preserve">, I estimate Eq. 1 with interaction terms; the equation for each measure of </w:t>
      </w:r>
      <w:r w:rsidR="00D047EE" w:rsidRPr="00F512C2">
        <w:t xml:space="preserve">low-income policy and </w:t>
      </w:r>
      <w:r w:rsidR="008A45F8" w:rsidRPr="00F512C2">
        <w:t xml:space="preserve">relative poverty reduction </w:t>
      </w:r>
      <w:r w:rsidR="007F1430" w:rsidRPr="00F512C2">
        <w:t xml:space="preserve">is as </w:t>
      </w:r>
      <w:r w:rsidRPr="00F512C2">
        <w:t>follow</w:t>
      </w:r>
      <w:r w:rsidR="007F1430" w:rsidRPr="00F512C2">
        <w:t>s</w:t>
      </w:r>
      <w:r w:rsidRPr="00F512C2">
        <w:t>:</w:t>
      </w:r>
    </w:p>
    <w:p w14:paraId="11359AB7" w14:textId="468EE1A4" w:rsidR="000D4B9F" w:rsidRPr="00F512C2" w:rsidRDefault="000D4B9F" w:rsidP="000D4B9F">
      <w:pPr>
        <w:widowControl w:val="0"/>
        <w:spacing w:line="480" w:lineRule="auto"/>
        <w:ind w:left="720"/>
      </w:pPr>
      <w:r w:rsidRPr="00F512C2">
        <w:t xml:space="preserve">[Eq. 2] </w:t>
      </w:r>
      <w:r w:rsidR="00B813DE" w:rsidRPr="00F512C2">
        <w:t xml:space="preserve">Outsider Policy/Poverty </w:t>
      </w:r>
      <w:proofErr w:type="spellStart"/>
      <w:proofErr w:type="gramStart"/>
      <w:r w:rsidR="00B813DE" w:rsidRPr="00F512C2">
        <w:t>Reduction</w:t>
      </w:r>
      <w:r w:rsidR="00B813DE" w:rsidRPr="00F512C2">
        <w:rPr>
          <w:i/>
          <w:vertAlign w:val="subscript"/>
        </w:rPr>
        <w:t>i,t</w:t>
      </w:r>
      <w:proofErr w:type="spellEnd"/>
      <w:proofErr w:type="gramEnd"/>
      <w:r w:rsidR="00B813DE" w:rsidRPr="00F512C2">
        <w:rPr>
          <w:vertAlign w:val="subscript"/>
        </w:rPr>
        <w:t xml:space="preserve"> </w:t>
      </w:r>
      <w:r w:rsidR="00B813DE" w:rsidRPr="00F512C2">
        <w:t xml:space="preserve"> = </w:t>
      </w:r>
      <w:r w:rsidR="00B813DE" w:rsidRPr="00F512C2">
        <w:rPr>
          <w:i/>
        </w:rPr>
        <w:t>α</w:t>
      </w:r>
      <w:r w:rsidR="00B813DE" w:rsidRPr="00F512C2">
        <w:t xml:space="preserve"> </w:t>
      </w:r>
      <w:r w:rsidR="00B813DE" w:rsidRPr="00F512C2">
        <w:rPr>
          <w:i/>
        </w:rPr>
        <w:t xml:space="preserve">+ </w:t>
      </w:r>
      <w:r w:rsidR="00B813DE" w:rsidRPr="00F512C2">
        <w:rPr>
          <w:i/>
          <w:vertAlign w:val="subscript"/>
        </w:rPr>
        <w:t xml:space="preserve"> </w:t>
      </w:r>
      <w:r w:rsidR="00B813DE" w:rsidRPr="00F512C2">
        <w:rPr>
          <w:i/>
        </w:rPr>
        <w:t>β</w:t>
      </w:r>
      <w:r w:rsidR="00B813DE" w:rsidRPr="00F512C2">
        <w:rPr>
          <w:i/>
          <w:vertAlign w:val="subscript"/>
        </w:rPr>
        <w:t>1</w:t>
      </w:r>
      <w:r w:rsidR="00B813DE" w:rsidRPr="00F512C2">
        <w:rPr>
          <w:i/>
        </w:rPr>
        <w:t xml:space="preserve"> </w:t>
      </w:r>
      <w:r w:rsidR="00B813DE" w:rsidRPr="00F512C2">
        <w:t>(Partisan Govt )</w:t>
      </w:r>
      <w:proofErr w:type="spellStart"/>
      <w:r w:rsidR="00B813DE" w:rsidRPr="00F512C2">
        <w:rPr>
          <w:i/>
          <w:vertAlign w:val="subscript"/>
        </w:rPr>
        <w:t>i,mean</w:t>
      </w:r>
      <w:proofErr w:type="spellEnd"/>
      <w:r w:rsidR="00B813DE" w:rsidRPr="00F512C2">
        <w:rPr>
          <w:i/>
          <w:vertAlign w:val="subscript"/>
        </w:rPr>
        <w:t xml:space="preserve"> t-10/</w:t>
      </w:r>
      <w:r w:rsidR="00EA2965" w:rsidRPr="00F512C2">
        <w:rPr>
          <w:i/>
          <w:vertAlign w:val="subscript"/>
        </w:rPr>
        <w:t>5/</w:t>
      </w:r>
      <w:r w:rsidR="00B813DE" w:rsidRPr="00F512C2">
        <w:rPr>
          <w:i/>
          <w:vertAlign w:val="subscript"/>
        </w:rPr>
        <w:t>3 to t-1</w:t>
      </w:r>
      <w:r w:rsidR="00B813DE" w:rsidRPr="00F512C2">
        <w:rPr>
          <w:i/>
        </w:rPr>
        <w:t xml:space="preserve"> + β</w:t>
      </w:r>
      <w:r w:rsidR="00B813DE" w:rsidRPr="00F512C2">
        <w:rPr>
          <w:i/>
          <w:vertAlign w:val="subscript"/>
        </w:rPr>
        <w:t>2</w:t>
      </w:r>
      <w:r w:rsidR="00B813DE" w:rsidRPr="00F512C2">
        <w:t>(Labor Organization)</w:t>
      </w:r>
      <w:r w:rsidR="00B813DE" w:rsidRPr="00F512C2">
        <w:rPr>
          <w:i/>
          <w:vertAlign w:val="subscript"/>
        </w:rPr>
        <w:t>i,t-1</w:t>
      </w:r>
      <w:r w:rsidR="00B813DE" w:rsidRPr="00F512C2">
        <w:t xml:space="preserve">  </w:t>
      </w:r>
      <w:r w:rsidR="00503BE4" w:rsidRPr="00F512C2">
        <w:t xml:space="preserve">+ </w:t>
      </w:r>
      <w:r w:rsidR="00503BE4" w:rsidRPr="00F512C2">
        <w:rPr>
          <w:i/>
        </w:rPr>
        <w:t xml:space="preserve">… </w:t>
      </w:r>
      <w:r w:rsidR="00901FF9" w:rsidRPr="00F512C2">
        <w:rPr>
          <w:i/>
        </w:rPr>
        <w:t>β</w:t>
      </w:r>
      <w:r w:rsidR="00503BE4" w:rsidRPr="00F512C2">
        <w:rPr>
          <w:i/>
          <w:vertAlign w:val="subscript"/>
        </w:rPr>
        <w:t>9</w:t>
      </w:r>
      <w:r w:rsidR="00901FF9" w:rsidRPr="00F512C2">
        <w:t>(Social Democratic Govt × Labor Organization)</w:t>
      </w:r>
      <w:r w:rsidR="00901FF9" w:rsidRPr="00F512C2">
        <w:rPr>
          <w:i/>
          <w:vertAlign w:val="subscript"/>
        </w:rPr>
        <w:t>i,t-1</w:t>
      </w:r>
      <w:r w:rsidR="00901FF9" w:rsidRPr="00F512C2">
        <w:rPr>
          <w:i/>
        </w:rPr>
        <w:t xml:space="preserve"> </w:t>
      </w:r>
      <w:r w:rsidRPr="00F512C2">
        <w:rPr>
          <w:i/>
        </w:rPr>
        <w:t xml:space="preserve">+ </w:t>
      </w:r>
      <w:proofErr w:type="spellStart"/>
      <w:r w:rsidRPr="00F512C2">
        <w:rPr>
          <w:i/>
        </w:rPr>
        <w:t>ε</w:t>
      </w:r>
      <w:r w:rsidRPr="00F512C2">
        <w:rPr>
          <w:i/>
          <w:vertAlign w:val="subscript"/>
        </w:rPr>
        <w:t>i,t</w:t>
      </w:r>
      <w:proofErr w:type="spellEnd"/>
      <w:r w:rsidRPr="00F512C2">
        <w:t xml:space="preserve"> ,</w:t>
      </w:r>
    </w:p>
    <w:p w14:paraId="29275DC2" w14:textId="6559EE57" w:rsidR="00BD2AE7" w:rsidRPr="00F512C2" w:rsidRDefault="000D4B9F" w:rsidP="000D4B9F">
      <w:pPr>
        <w:widowControl w:val="0"/>
        <w:spacing w:line="480" w:lineRule="auto"/>
      </w:pPr>
      <w:r w:rsidRPr="00F512C2">
        <w:tab/>
        <w:t xml:space="preserve">For estimation of </w:t>
      </w:r>
      <w:r w:rsidR="00C773B1" w:rsidRPr="00F512C2">
        <w:t xml:space="preserve">outsider policy </w:t>
      </w:r>
      <w:r w:rsidRPr="00F512C2">
        <w:t>models</w:t>
      </w:r>
      <w:r w:rsidR="004259D3" w:rsidRPr="00F512C2">
        <w:t>,</w:t>
      </w:r>
      <w:r w:rsidRPr="00F512C2">
        <w:t xml:space="preserve"> I use </w:t>
      </w:r>
      <w:proofErr w:type="spellStart"/>
      <w:r w:rsidRPr="00F512C2">
        <w:t>Prais-Winsten</w:t>
      </w:r>
      <w:proofErr w:type="spellEnd"/>
      <w:r w:rsidRPr="00F512C2">
        <w:t xml:space="preserve"> regression with first-order serial correlation and panel correct standard errors. In addition, as the time series for some nations occasionally begin after 1979 or end before 201</w:t>
      </w:r>
      <w:r w:rsidR="00660D78" w:rsidRPr="00F512C2">
        <w:t>2</w:t>
      </w:r>
      <w:r w:rsidRPr="00F512C2">
        <w:t xml:space="preserve">, I use a standard technique for unbalanced panels where elements of the variance-covariance matrix are computed with all available pairs of panels. </w:t>
      </w:r>
      <w:r w:rsidR="00BD2AE7" w:rsidRPr="00F512C2">
        <w:t>As noted, for relative poverty reduction models</w:t>
      </w:r>
      <w:r w:rsidR="002345AF" w:rsidRPr="00F512C2">
        <w:t xml:space="preserve"> that </w:t>
      </w:r>
      <w:r w:rsidR="0088545E" w:rsidRPr="00F512C2">
        <w:t>rely on</w:t>
      </w:r>
      <w:r w:rsidR="00025287" w:rsidRPr="00F512C2">
        <w:t xml:space="preserve"> data with </w:t>
      </w:r>
      <w:r w:rsidR="007C2923" w:rsidRPr="00F512C2">
        <w:t xml:space="preserve">somewhat </w:t>
      </w:r>
      <w:r w:rsidR="00025287" w:rsidRPr="00F512C2">
        <w:t>variable numbers of years between observations</w:t>
      </w:r>
      <w:r w:rsidR="00BD2AE7" w:rsidRPr="00F512C2">
        <w:t xml:space="preserve">, I use </w:t>
      </w:r>
      <w:r w:rsidR="00AE3C1B" w:rsidRPr="00F512C2">
        <w:t>OLS regression with panel-correct standard errors</w:t>
      </w:r>
      <w:r w:rsidR="0083646A" w:rsidRPr="00F512C2">
        <w:t xml:space="preserve"> and a lagged dependent variable– a common alternative to </w:t>
      </w:r>
      <w:proofErr w:type="spellStart"/>
      <w:r w:rsidR="0083646A" w:rsidRPr="00F512C2">
        <w:t>Prais-Winsten</w:t>
      </w:r>
      <w:proofErr w:type="spellEnd"/>
      <w:r w:rsidR="0083646A" w:rsidRPr="00F512C2">
        <w:t xml:space="preserve"> regression</w:t>
      </w:r>
      <w:r w:rsidR="00274044" w:rsidRPr="00F512C2">
        <w:t xml:space="preserve"> (Beck and Katz, 1996). </w:t>
      </w:r>
      <w:r w:rsidR="0030664A" w:rsidRPr="00F512C2">
        <w:t xml:space="preserve">To assess </w:t>
      </w:r>
      <w:r w:rsidR="00FA730C" w:rsidRPr="00F512C2">
        <w:t xml:space="preserve">robustness </w:t>
      </w:r>
      <w:r w:rsidR="0038197F" w:rsidRPr="00F512C2">
        <w:t xml:space="preserve">of results </w:t>
      </w:r>
      <w:r w:rsidR="00FA730C" w:rsidRPr="00F512C2">
        <w:t>(and check for potential bias from unmodeled country or time effects</w:t>
      </w:r>
      <w:r w:rsidR="004219E7" w:rsidRPr="00F512C2">
        <w:t>)</w:t>
      </w:r>
      <w:r w:rsidR="00FA730C" w:rsidRPr="00F512C2">
        <w:t>, I re</w:t>
      </w:r>
      <w:r w:rsidR="00B42B37" w:rsidRPr="00F512C2">
        <w:t>-estimate all models with fixed and random effects estimators.</w:t>
      </w:r>
      <w:r w:rsidR="00E62CBC" w:rsidRPr="00F512C2">
        <w:rPr>
          <w:rStyle w:val="FootnoteReference"/>
        </w:rPr>
        <w:footnoteReference w:id="11"/>
      </w:r>
    </w:p>
    <w:p w14:paraId="4D7DA827" w14:textId="571F525E" w:rsidR="00290A51" w:rsidRPr="00F512C2" w:rsidRDefault="003C1162" w:rsidP="006745E3">
      <w:pPr>
        <w:pStyle w:val="Heading1"/>
        <w:rPr>
          <w:rFonts w:ascii="Times New Roman" w:hAnsi="Times New Roman" w:cs="Times New Roman"/>
        </w:rPr>
      </w:pPr>
      <w:r w:rsidRPr="00F512C2">
        <w:rPr>
          <w:rFonts w:ascii="Times New Roman" w:hAnsi="Times New Roman" w:cs="Times New Roman"/>
        </w:rPr>
        <w:t xml:space="preserve">4. </w:t>
      </w:r>
      <w:r w:rsidR="006627B3" w:rsidRPr="00F512C2">
        <w:rPr>
          <w:rFonts w:ascii="Times New Roman" w:hAnsi="Times New Roman" w:cs="Times New Roman"/>
        </w:rPr>
        <w:t>F</w:t>
      </w:r>
      <w:r w:rsidRPr="00F512C2">
        <w:rPr>
          <w:rFonts w:ascii="Times New Roman" w:hAnsi="Times New Roman" w:cs="Times New Roman"/>
        </w:rPr>
        <w:t>indings</w:t>
      </w:r>
    </w:p>
    <w:p w14:paraId="7602DBEC" w14:textId="3564D28B" w:rsidR="008450AF" w:rsidRPr="00F512C2" w:rsidRDefault="00EA3004" w:rsidP="007E65AB">
      <w:pPr>
        <w:spacing w:line="480" w:lineRule="auto"/>
      </w:pPr>
      <w:r w:rsidRPr="00F512C2">
        <w:tab/>
        <w:t xml:space="preserve">The results of </w:t>
      </w:r>
      <w:r w:rsidR="00442EA7" w:rsidRPr="00F512C2">
        <w:t xml:space="preserve">the analysis </w:t>
      </w:r>
      <w:r w:rsidRPr="00F512C2">
        <w:t xml:space="preserve">of </w:t>
      </w:r>
      <w:r w:rsidR="00442EA7" w:rsidRPr="00F512C2">
        <w:t xml:space="preserve">the partisan basis of </w:t>
      </w:r>
      <w:r w:rsidR="00E50C03" w:rsidRPr="00F512C2">
        <w:t>income protection</w:t>
      </w:r>
      <w:r w:rsidR="00814252" w:rsidRPr="00F512C2">
        <w:t xml:space="preserve">s for </w:t>
      </w:r>
      <w:r w:rsidR="00B629F9" w:rsidRPr="00F512C2">
        <w:t>low-wage</w:t>
      </w:r>
      <w:r w:rsidR="00814252" w:rsidRPr="00F512C2">
        <w:t xml:space="preserve"> </w:t>
      </w:r>
      <w:r w:rsidR="00B629F9" w:rsidRPr="00F512C2">
        <w:t>earner</w:t>
      </w:r>
      <w:r w:rsidR="00814252" w:rsidRPr="00F512C2">
        <w:t>s</w:t>
      </w:r>
      <w:r w:rsidR="00B629F9" w:rsidRPr="00F512C2">
        <w:t xml:space="preserve"> are presented in </w:t>
      </w:r>
      <w:r w:rsidR="00F62A5C" w:rsidRPr="00F512C2">
        <w:t xml:space="preserve">Table 2. </w:t>
      </w:r>
      <w:r w:rsidR="000506DB" w:rsidRPr="00F512C2">
        <w:t xml:space="preserve">As the table reveals, the </w:t>
      </w:r>
      <w:r w:rsidR="00311FDC" w:rsidRPr="00F512C2">
        <w:t xml:space="preserve">general </w:t>
      </w:r>
      <w:r w:rsidR="000506DB" w:rsidRPr="00F512C2">
        <w:t xml:space="preserve">impact of left partisan government on </w:t>
      </w:r>
      <w:r w:rsidR="009E6893" w:rsidRPr="00F512C2">
        <w:t xml:space="preserve">unemployment </w:t>
      </w:r>
      <w:r w:rsidR="00A26420" w:rsidRPr="00F512C2">
        <w:t xml:space="preserve">benefit replacement rates and minimum income protection is </w:t>
      </w:r>
      <w:r w:rsidR="008450AF" w:rsidRPr="00F512C2">
        <w:t xml:space="preserve">indeed </w:t>
      </w:r>
      <w:r w:rsidR="00A26420" w:rsidRPr="00F512C2">
        <w:t xml:space="preserve">significant. </w:t>
      </w:r>
      <w:r w:rsidR="00880554" w:rsidRPr="00F512C2">
        <w:t>In concrete terms</w:t>
      </w:r>
      <w:r w:rsidR="00142310" w:rsidRPr="00F512C2">
        <w:t>, a shift</w:t>
      </w:r>
      <w:r w:rsidR="00EC3E1D" w:rsidRPr="00F512C2">
        <w:t xml:space="preserve">, let’s say, </w:t>
      </w:r>
      <w:r w:rsidR="00142310" w:rsidRPr="00F512C2">
        <w:t xml:space="preserve">in partisan government </w:t>
      </w:r>
      <w:r w:rsidR="00560044" w:rsidRPr="00F512C2">
        <w:t xml:space="preserve">of 25 points </w:t>
      </w:r>
      <w:r w:rsidR="009769F7" w:rsidRPr="00F512C2">
        <w:t>on the 100</w:t>
      </w:r>
      <w:r w:rsidR="008D00BB" w:rsidRPr="00F512C2">
        <w:t>-</w:t>
      </w:r>
      <w:r w:rsidR="009769F7" w:rsidRPr="00F512C2">
        <w:t xml:space="preserve">point ideological scale would increase </w:t>
      </w:r>
      <w:r w:rsidR="001433B2" w:rsidRPr="00F512C2">
        <w:t xml:space="preserve">unemployment compensation replacement rates for low-wage workers by </w:t>
      </w:r>
      <w:r w:rsidR="002E17CE" w:rsidRPr="00F512C2">
        <w:t xml:space="preserve">2.8 percent (25 × .1111) and means-tested benefits (as a percentage of an average production worker’s wage) </w:t>
      </w:r>
      <w:r w:rsidR="00597EE2" w:rsidRPr="00F512C2">
        <w:t>by 4.5 percent (25 × .1809).</w:t>
      </w:r>
      <w:r w:rsidR="005942FD" w:rsidRPr="00F512C2">
        <w:rPr>
          <w:rStyle w:val="FootnoteReference"/>
        </w:rPr>
        <w:footnoteReference w:id="12"/>
      </w:r>
      <w:r w:rsidR="008D00BB" w:rsidRPr="00F512C2">
        <w:t xml:space="preserve"> </w:t>
      </w:r>
      <w:r w:rsidR="00597EE2" w:rsidRPr="00F512C2">
        <w:t xml:space="preserve"> </w:t>
      </w:r>
      <w:r w:rsidR="0050034E" w:rsidRPr="00F512C2">
        <w:t>This magnitude of partisan change would be</w:t>
      </w:r>
      <w:r w:rsidR="00040DA0" w:rsidRPr="00F512C2">
        <w:t xml:space="preserve">, for instance, </w:t>
      </w:r>
      <w:r w:rsidR="0050034E" w:rsidRPr="00F512C2">
        <w:t xml:space="preserve">equivalent </w:t>
      </w:r>
      <w:r w:rsidR="00B13125" w:rsidRPr="00F512C2">
        <w:t xml:space="preserve">to </w:t>
      </w:r>
      <w:r w:rsidR="00040DA0" w:rsidRPr="00F512C2">
        <w:t xml:space="preserve">a shift from a moderate center-right government to a moderate center-left one. </w:t>
      </w:r>
      <w:r w:rsidR="000A5656" w:rsidRPr="00F512C2">
        <w:t xml:space="preserve">In addition, it is important to note that </w:t>
      </w:r>
      <w:r w:rsidR="00BA6882" w:rsidRPr="00F512C2">
        <w:t xml:space="preserve">the direct </w:t>
      </w:r>
      <w:r w:rsidR="00A86521" w:rsidRPr="00F512C2">
        <w:t xml:space="preserve">impact of labor organization on unemployment benefits for low income workers is substantively large </w:t>
      </w:r>
      <w:r w:rsidR="0085426C" w:rsidRPr="00F512C2">
        <w:t>and statistically significant</w:t>
      </w:r>
      <w:r w:rsidR="00411715" w:rsidRPr="00F512C2">
        <w:t>;</w:t>
      </w:r>
      <w:r w:rsidR="00CA1B18" w:rsidRPr="00F512C2">
        <w:t xml:space="preserve"> a one (standard deviation) unit increase in the index of labor organization (</w:t>
      </w:r>
      <w:r w:rsidR="00A07B0F" w:rsidRPr="00F512C2">
        <w:t xml:space="preserve">for instance, a move </w:t>
      </w:r>
      <w:r w:rsidR="00121618" w:rsidRPr="00F512C2">
        <w:t xml:space="preserve">from </w:t>
      </w:r>
      <w:r w:rsidR="00A07B0F" w:rsidRPr="00F512C2">
        <w:t xml:space="preserve">the degree of 1980s labor organization in </w:t>
      </w:r>
      <w:r w:rsidR="00AC428D" w:rsidRPr="00F512C2">
        <w:t xml:space="preserve">New Zealand </w:t>
      </w:r>
      <w:r w:rsidR="00121618" w:rsidRPr="00F512C2">
        <w:t xml:space="preserve">to the </w:t>
      </w:r>
      <w:r w:rsidR="00FF4A78" w:rsidRPr="00F512C2">
        <w:t xml:space="preserve">level in the </w:t>
      </w:r>
      <w:r w:rsidR="0036638D" w:rsidRPr="00F512C2">
        <w:t>Netherlands</w:t>
      </w:r>
      <w:r w:rsidR="006B47AE" w:rsidRPr="00F512C2">
        <w:t xml:space="preserve">) </w:t>
      </w:r>
      <w:r w:rsidR="00AB436B" w:rsidRPr="00F512C2">
        <w:t>would, itself, increase</w:t>
      </w:r>
      <w:r w:rsidR="00FE6772" w:rsidRPr="00F512C2">
        <w:t xml:space="preserve"> </w:t>
      </w:r>
      <w:r w:rsidR="00AB436B" w:rsidRPr="00F512C2">
        <w:t>income replace</w:t>
      </w:r>
      <w:r w:rsidR="00FF4A78" w:rsidRPr="00F512C2">
        <w:t>ment</w:t>
      </w:r>
      <w:r w:rsidR="00AB436B" w:rsidRPr="00F512C2">
        <w:t xml:space="preserve"> rates by three and a half percent. </w:t>
      </w:r>
      <w:r w:rsidR="00FE6772" w:rsidRPr="00F512C2">
        <w:t>W</w:t>
      </w:r>
      <w:r w:rsidR="0085426C" w:rsidRPr="00F512C2">
        <w:t>hile positive</w:t>
      </w:r>
      <w:r w:rsidR="00FE6772" w:rsidRPr="00F512C2">
        <w:t xml:space="preserve">, the substantive </w:t>
      </w:r>
      <w:r w:rsidR="009E5288" w:rsidRPr="00F512C2">
        <w:t xml:space="preserve">direct </w:t>
      </w:r>
      <w:r w:rsidR="00FE6772" w:rsidRPr="00F512C2">
        <w:t xml:space="preserve">effect </w:t>
      </w:r>
      <w:r w:rsidR="000F58D3" w:rsidRPr="00F512C2">
        <w:t xml:space="preserve">of union organization on minimum income protection </w:t>
      </w:r>
      <w:r w:rsidR="009E5288" w:rsidRPr="00F512C2">
        <w:t>is smaller and not significant at conventional levels</w:t>
      </w:r>
      <w:r w:rsidR="00411715" w:rsidRPr="00F512C2">
        <w:t>.</w:t>
      </w:r>
      <w:r w:rsidR="00C13343" w:rsidRPr="00F512C2">
        <w:t xml:space="preserve"> </w:t>
      </w:r>
    </w:p>
    <w:p w14:paraId="71EB448B" w14:textId="2AC7E83A" w:rsidR="007B7602" w:rsidRPr="00F512C2" w:rsidRDefault="007B7602" w:rsidP="007B7602">
      <w:pPr>
        <w:spacing w:line="480" w:lineRule="auto"/>
        <w:jc w:val="center"/>
      </w:pPr>
      <w:r w:rsidRPr="00F512C2">
        <w:t>-Table 2 about here-</w:t>
      </w:r>
    </w:p>
    <w:p w14:paraId="467DDCED" w14:textId="1D1D2BA4" w:rsidR="002B5E39" w:rsidRPr="00F512C2" w:rsidRDefault="00693537" w:rsidP="007E65AB">
      <w:pPr>
        <w:spacing w:line="480" w:lineRule="auto"/>
        <w:ind w:firstLine="720"/>
      </w:pPr>
      <w:r w:rsidRPr="00F512C2">
        <w:t xml:space="preserve">The second and fourth columns of Table 2 present the results for the basic assessment of </w:t>
      </w:r>
      <w:r w:rsidR="003D2C68" w:rsidRPr="00F512C2">
        <w:t xml:space="preserve">the core hypothesis of the chapter, namely, that </w:t>
      </w:r>
      <w:r w:rsidR="00EB2271" w:rsidRPr="00F512C2">
        <w:t xml:space="preserve">Left government impacts on income protection for outsiders </w:t>
      </w:r>
      <w:r w:rsidR="00822D25" w:rsidRPr="00F512C2">
        <w:t xml:space="preserve">will </w:t>
      </w:r>
      <w:r w:rsidR="005449E4" w:rsidRPr="00F512C2">
        <w:t xml:space="preserve">differ across levels of labor organization. </w:t>
      </w:r>
      <w:r w:rsidR="004D1CFF" w:rsidRPr="00F512C2">
        <w:t xml:space="preserve">As the </w:t>
      </w:r>
      <w:r w:rsidR="00032FF8" w:rsidRPr="00F512C2">
        <w:t xml:space="preserve">table suggests, the coefficient for the interaction between partisan government and labor organization is not significant </w:t>
      </w:r>
      <w:r w:rsidR="00143495" w:rsidRPr="00F512C2">
        <w:t>for unemployment compensation</w:t>
      </w:r>
      <w:r w:rsidR="00617D88" w:rsidRPr="00F512C2">
        <w:t xml:space="preserve">; it is, however, clearly significant in the case of minimum income protection. Moreover, </w:t>
      </w:r>
      <w:r w:rsidR="000346BA" w:rsidRPr="00F512C2">
        <w:t xml:space="preserve">when one </w:t>
      </w:r>
      <w:r w:rsidR="00A66DF3" w:rsidRPr="00F512C2">
        <w:t xml:space="preserve">applies </w:t>
      </w:r>
      <w:r w:rsidR="000346BA" w:rsidRPr="00F512C2">
        <w:t xml:space="preserve">the advice of </w:t>
      </w:r>
      <w:r w:rsidR="00292A12" w:rsidRPr="00F512C2">
        <w:t>K</w:t>
      </w:r>
      <w:r w:rsidR="000346BA" w:rsidRPr="00F512C2">
        <w:t xml:space="preserve">am and Franzese (2009) </w:t>
      </w:r>
      <w:r w:rsidR="00A66DF3" w:rsidRPr="00F512C2">
        <w:t>to the current context</w:t>
      </w:r>
      <w:r w:rsidR="003A3C31" w:rsidRPr="00F512C2">
        <w:t xml:space="preserve"> </w:t>
      </w:r>
      <w:r w:rsidR="0073696A" w:rsidRPr="00F512C2">
        <w:t xml:space="preserve">and examines </w:t>
      </w:r>
      <w:r w:rsidR="00FB5C55" w:rsidRPr="00F512C2">
        <w:t xml:space="preserve">marginal impacts of partisan government across specific levels of </w:t>
      </w:r>
      <w:r w:rsidR="00A56F29" w:rsidRPr="00F512C2">
        <w:t xml:space="preserve">labor organization, it becomes clear that alternation in partisan governments </w:t>
      </w:r>
      <w:r w:rsidR="005A38DB" w:rsidRPr="00F512C2">
        <w:t>ha</w:t>
      </w:r>
      <w:r w:rsidR="00DD7E96" w:rsidRPr="00F512C2">
        <w:t>s</w:t>
      </w:r>
      <w:r w:rsidR="005A38DB" w:rsidRPr="00F512C2">
        <w:t xml:space="preserve"> little impact on both types of </w:t>
      </w:r>
      <w:r w:rsidR="00986F1B" w:rsidRPr="00F512C2">
        <w:t xml:space="preserve">outsider </w:t>
      </w:r>
      <w:r w:rsidR="005A38DB" w:rsidRPr="00F512C2">
        <w:t xml:space="preserve">income protection </w:t>
      </w:r>
      <w:r w:rsidR="00986F1B" w:rsidRPr="00F512C2">
        <w:t>when</w:t>
      </w:r>
      <w:r w:rsidR="00461B88" w:rsidRPr="00F512C2">
        <w:t xml:space="preserve"> </w:t>
      </w:r>
      <w:r w:rsidR="00DD7E96" w:rsidRPr="00F512C2">
        <w:t>labor organization</w:t>
      </w:r>
      <w:r w:rsidR="00986F1B" w:rsidRPr="00F512C2">
        <w:t xml:space="preserve"> is low (e.g.,</w:t>
      </w:r>
      <w:r w:rsidR="00F272B3" w:rsidRPr="00F512C2">
        <w:t xml:space="preserve"> Britain and the United States)</w:t>
      </w:r>
      <w:r w:rsidR="00DD7E96" w:rsidRPr="00F512C2">
        <w:t xml:space="preserve">. Partisan impacts </w:t>
      </w:r>
      <w:r w:rsidR="001A63D0" w:rsidRPr="00F512C2">
        <w:t>are</w:t>
      </w:r>
      <w:r w:rsidR="0032784F" w:rsidRPr="00F512C2">
        <w:t>, however,</w:t>
      </w:r>
      <w:r w:rsidR="001A63D0" w:rsidRPr="00F512C2">
        <w:t xml:space="preserve"> significant and substantive</w:t>
      </w:r>
      <w:r w:rsidR="003D6F77" w:rsidRPr="00F512C2">
        <w:t>ly</w:t>
      </w:r>
      <w:r w:rsidR="001A63D0" w:rsidRPr="00F512C2">
        <w:t xml:space="preserve"> important for </w:t>
      </w:r>
      <w:r w:rsidR="00AB2D79" w:rsidRPr="00F512C2">
        <w:t xml:space="preserve">outsider </w:t>
      </w:r>
      <w:r w:rsidR="001A63D0" w:rsidRPr="00F512C2">
        <w:t>policies</w:t>
      </w:r>
      <w:r w:rsidR="00AB2D79" w:rsidRPr="00F512C2">
        <w:t xml:space="preserve"> at medium and high levels of labor organization</w:t>
      </w:r>
      <w:r w:rsidR="0063523F" w:rsidRPr="00F512C2">
        <w:t>.</w:t>
      </w:r>
      <w:r w:rsidR="0063523F" w:rsidRPr="00F512C2">
        <w:rPr>
          <w:rStyle w:val="FootnoteReference"/>
        </w:rPr>
        <w:footnoteReference w:id="13"/>
      </w:r>
      <w:r w:rsidR="0063523F" w:rsidRPr="00F512C2">
        <w:t xml:space="preserve"> </w:t>
      </w:r>
      <w:r w:rsidR="0010168E" w:rsidRPr="00F512C2">
        <w:t>For low wage unemployment benefits</w:t>
      </w:r>
      <w:r w:rsidR="000A30E5" w:rsidRPr="00F512C2">
        <w:t xml:space="preserve">, the impact of a 25 point upward shift in </w:t>
      </w:r>
      <w:r w:rsidR="00233305" w:rsidRPr="00F512C2">
        <w:t xml:space="preserve">party government ideological position at medium levels of union organization </w:t>
      </w:r>
      <w:r w:rsidR="00DF202E" w:rsidRPr="00F512C2">
        <w:t xml:space="preserve">(e.g., the Netherlands) is </w:t>
      </w:r>
      <w:r w:rsidR="00A86E60" w:rsidRPr="00F512C2">
        <w:t xml:space="preserve">2.8; at high levels of union organization (e.g., Austria and Denmark) </w:t>
      </w:r>
      <w:r w:rsidR="00813226" w:rsidRPr="00F512C2">
        <w:t xml:space="preserve">the replacement rate impact </w:t>
      </w:r>
      <w:r w:rsidR="0020304D" w:rsidRPr="00F512C2">
        <w:t xml:space="preserve">is </w:t>
      </w:r>
      <w:r w:rsidR="00813226" w:rsidRPr="00F512C2">
        <w:t xml:space="preserve">3.4 percentage points. </w:t>
      </w:r>
      <w:r w:rsidR="00A62D61" w:rsidRPr="00F512C2">
        <w:t xml:space="preserve">An identical pattern emerges with respect to minimum income protection benefits, and this is highlighted in Figure 2. </w:t>
      </w:r>
      <w:r w:rsidR="00383CF4" w:rsidRPr="00F512C2">
        <w:t xml:space="preserve">As labor organization rises, the effect of social democratic government </w:t>
      </w:r>
      <w:r w:rsidR="001302C1" w:rsidRPr="00F512C2">
        <w:t xml:space="preserve">increases in substantive magnitude and </w:t>
      </w:r>
      <w:proofErr w:type="spellStart"/>
      <w:r w:rsidR="001302C1" w:rsidRPr="00F512C2">
        <w:t>significan</w:t>
      </w:r>
      <w:r w:rsidR="000B74CA" w:rsidRPr="00F512C2">
        <w:t>cr</w:t>
      </w:r>
      <w:proofErr w:type="spellEnd"/>
      <w:r w:rsidR="00E37B8D" w:rsidRPr="00F512C2">
        <w:t xml:space="preserve">. At high levels of union organization, benefits relative to </w:t>
      </w:r>
      <w:r w:rsidR="004C104C" w:rsidRPr="00F512C2">
        <w:t xml:space="preserve">median wages increase over seven percentage points </w:t>
      </w:r>
      <w:r w:rsidR="00FB09F8" w:rsidRPr="00F512C2">
        <w:t>under a left-leaning</w:t>
      </w:r>
      <w:r w:rsidR="00E37B8D" w:rsidRPr="00F512C2">
        <w:t xml:space="preserve"> </w:t>
      </w:r>
      <w:r w:rsidR="00FB09F8" w:rsidRPr="00F512C2">
        <w:t>versus right</w:t>
      </w:r>
      <w:r w:rsidR="000B74CA" w:rsidRPr="00F512C2">
        <w:t>-</w:t>
      </w:r>
      <w:r w:rsidR="00FB09F8" w:rsidRPr="00F512C2">
        <w:t>leaning government.</w:t>
      </w:r>
    </w:p>
    <w:p w14:paraId="0320059A" w14:textId="791D64ED" w:rsidR="000B74CA" w:rsidRPr="00F512C2" w:rsidRDefault="000B74CA" w:rsidP="008E3CA6">
      <w:pPr>
        <w:spacing w:line="480" w:lineRule="auto"/>
        <w:jc w:val="center"/>
      </w:pPr>
      <w:r w:rsidRPr="00F512C2">
        <w:t>-</w:t>
      </w:r>
      <w:r w:rsidR="008E3CA6" w:rsidRPr="00F512C2">
        <w:t>Figure 2 about here-</w:t>
      </w:r>
    </w:p>
    <w:p w14:paraId="2215D79E" w14:textId="78A39402" w:rsidR="0095671C" w:rsidRPr="00F512C2" w:rsidRDefault="00BA1EA3" w:rsidP="007E65AB">
      <w:pPr>
        <w:spacing w:line="480" w:lineRule="auto"/>
        <w:ind w:firstLine="720"/>
      </w:pPr>
      <w:r w:rsidRPr="00F512C2">
        <w:t>The estimat</w:t>
      </w:r>
      <w:r w:rsidR="00461464" w:rsidRPr="00F512C2">
        <w:t>es of the effects</w:t>
      </w:r>
      <w:r w:rsidRPr="00F512C2">
        <w:t xml:space="preserve"> of the models’ </w:t>
      </w:r>
      <w:r w:rsidR="00461464" w:rsidRPr="00F512C2">
        <w:t xml:space="preserve">other </w:t>
      </w:r>
      <w:r w:rsidRPr="00F512C2">
        <w:t xml:space="preserve">variables are presented in subsequent rows of Table 2. </w:t>
      </w:r>
      <w:r w:rsidR="00DC3FB6" w:rsidRPr="00F512C2">
        <w:t xml:space="preserve">While of secondary interest here, one might note the following findings: </w:t>
      </w:r>
      <w:r w:rsidR="00A059F5" w:rsidRPr="00F512C2">
        <w:t xml:space="preserve">core features of </w:t>
      </w:r>
      <w:r w:rsidR="005C7D40" w:rsidRPr="00F512C2">
        <w:t>globalization</w:t>
      </w:r>
      <w:r w:rsidR="002A5A16" w:rsidRPr="00F512C2">
        <w:t xml:space="preserve">, trade and capital openness, </w:t>
      </w:r>
      <w:r w:rsidR="005C7D40" w:rsidRPr="00F512C2">
        <w:t xml:space="preserve">bolster </w:t>
      </w:r>
      <w:r w:rsidR="00925C28" w:rsidRPr="00F512C2">
        <w:t xml:space="preserve">the level of unemployment benefits for low wage workers; </w:t>
      </w:r>
      <w:r w:rsidR="00ED3258" w:rsidRPr="00F512C2">
        <w:t>globalization</w:t>
      </w:r>
      <w:r w:rsidR="002B037B" w:rsidRPr="00F512C2">
        <w:t xml:space="preserve">’s </w:t>
      </w:r>
      <w:r w:rsidR="00ED3258" w:rsidRPr="00F512C2">
        <w:t xml:space="preserve">impacts </w:t>
      </w:r>
      <w:r w:rsidR="002A5A16" w:rsidRPr="00F512C2">
        <w:t xml:space="preserve">are also </w:t>
      </w:r>
      <w:r w:rsidR="00ED3258" w:rsidRPr="00F512C2">
        <w:t xml:space="preserve">positive and </w:t>
      </w:r>
      <w:r w:rsidR="002A5A16" w:rsidRPr="00F512C2">
        <w:t xml:space="preserve">near significant </w:t>
      </w:r>
      <w:r w:rsidR="00ED3258" w:rsidRPr="00F512C2">
        <w:t xml:space="preserve">in the minimum </w:t>
      </w:r>
      <w:r w:rsidR="00EB2B8F" w:rsidRPr="00F512C2">
        <w:t>income protection models. In addition, there are substantively large need effects</w:t>
      </w:r>
      <w:r w:rsidR="00BC3242" w:rsidRPr="00F512C2">
        <w:t>.</w:t>
      </w:r>
      <w:r w:rsidR="00EB2B8F" w:rsidRPr="00F512C2">
        <w:t xml:space="preserve"> For unemployment benefits, </w:t>
      </w:r>
      <w:r w:rsidR="00580666" w:rsidRPr="00F512C2">
        <w:t xml:space="preserve">slow economic growth is associated with </w:t>
      </w:r>
      <w:r w:rsidR="00D27B28" w:rsidRPr="00F512C2">
        <w:t xml:space="preserve">relatively </w:t>
      </w:r>
      <w:r w:rsidR="00580666" w:rsidRPr="00F512C2">
        <w:t>more generous support</w:t>
      </w:r>
      <w:r w:rsidR="00D27B28" w:rsidRPr="00F512C2">
        <w:t xml:space="preserve"> for low-wage workers; for minimum income protection</w:t>
      </w:r>
      <w:r w:rsidR="00DB7E3A" w:rsidRPr="00F512C2">
        <w:t>,</w:t>
      </w:r>
      <w:r w:rsidR="00AD43B9" w:rsidRPr="00F512C2">
        <w:t xml:space="preserve"> </w:t>
      </w:r>
      <w:r w:rsidR="00DB7E3A" w:rsidRPr="00F512C2">
        <w:t>h</w:t>
      </w:r>
      <w:r w:rsidR="00AD43B9" w:rsidRPr="00F512C2">
        <w:t>igh unemployment is associated with more generous assistance. Finally, two additional findings</w:t>
      </w:r>
      <w:r w:rsidR="002350E5" w:rsidRPr="00F512C2">
        <w:t xml:space="preserve"> might be mentioned: employer organization is positively associated with both forms of outsider policy, but these effects are only significant for minimum income protection. </w:t>
      </w:r>
      <w:r w:rsidR="005C71B3" w:rsidRPr="00F512C2">
        <w:t xml:space="preserve">Second, </w:t>
      </w:r>
      <w:r w:rsidR="00D855E3" w:rsidRPr="00F512C2">
        <w:t>deindustrialization has a significant, negative impact on minimum income protection</w:t>
      </w:r>
      <w:r w:rsidR="00EA26E1" w:rsidRPr="00F512C2">
        <w:t xml:space="preserve">. One interpretation for this finding </w:t>
      </w:r>
      <w:r w:rsidR="00642F7E" w:rsidRPr="00F512C2">
        <w:t xml:space="preserve">is </w:t>
      </w:r>
      <w:r w:rsidR="00EA26E1" w:rsidRPr="00F512C2">
        <w:t xml:space="preserve">that deindustrialization </w:t>
      </w:r>
      <w:r w:rsidR="005F36C6" w:rsidRPr="00F512C2">
        <w:t xml:space="preserve">generally </w:t>
      </w:r>
      <w:r w:rsidR="00EA26E1" w:rsidRPr="00F512C2">
        <w:t xml:space="preserve">promotes </w:t>
      </w:r>
      <w:r w:rsidR="005F36C6" w:rsidRPr="00F512C2">
        <w:t xml:space="preserve">the shift to an activation strategy and this, in turn, </w:t>
      </w:r>
      <w:r w:rsidR="00642F7E" w:rsidRPr="00F512C2">
        <w:t xml:space="preserve">inherently entails reductions in the generosity of long-term income assistance for outsiders. </w:t>
      </w:r>
    </w:p>
    <w:p w14:paraId="3AD337C5" w14:textId="715CB6C0" w:rsidR="00380065" w:rsidRPr="00F512C2" w:rsidRDefault="00FE5BFA" w:rsidP="00FE5BFA">
      <w:pPr>
        <w:spacing w:after="200" w:line="276" w:lineRule="auto"/>
        <w:jc w:val="center"/>
      </w:pPr>
      <w:r w:rsidRPr="00F512C2">
        <w:t>-Table 3 about here-</w:t>
      </w:r>
    </w:p>
    <w:p w14:paraId="0CDBE142" w14:textId="47264A00" w:rsidR="00FE5BFA" w:rsidRPr="00F512C2" w:rsidRDefault="00FE5BFA" w:rsidP="00A55059">
      <w:pPr>
        <w:spacing w:line="480" w:lineRule="auto"/>
      </w:pPr>
      <w:r w:rsidRPr="00F512C2">
        <w:tab/>
      </w:r>
      <w:r w:rsidR="007A0149" w:rsidRPr="00F512C2">
        <w:t xml:space="preserve">The results of the analysis of </w:t>
      </w:r>
      <w:r w:rsidR="00F26291" w:rsidRPr="00F512C2">
        <w:t xml:space="preserve">partisan and labor organization impacts </w:t>
      </w:r>
      <w:r w:rsidR="00EB244C" w:rsidRPr="00F512C2">
        <w:t xml:space="preserve">on </w:t>
      </w:r>
      <w:r w:rsidR="000E58A7" w:rsidRPr="00F512C2">
        <w:t>ALMP and poverty reduction</w:t>
      </w:r>
      <w:r w:rsidR="002A4F7C" w:rsidRPr="00F512C2">
        <w:t xml:space="preserve"> </w:t>
      </w:r>
      <w:r w:rsidR="000E58A7" w:rsidRPr="00F512C2">
        <w:t xml:space="preserve">are </w:t>
      </w:r>
      <w:r w:rsidR="002A4F7C" w:rsidRPr="00F512C2">
        <w:t>presented in Table</w:t>
      </w:r>
      <w:r w:rsidR="0038238A" w:rsidRPr="00F512C2">
        <w:t xml:space="preserve"> </w:t>
      </w:r>
      <w:r w:rsidR="002A4F7C" w:rsidRPr="00F512C2">
        <w:t>3.</w:t>
      </w:r>
      <w:r w:rsidR="0038238A" w:rsidRPr="00F512C2">
        <w:t xml:space="preserve"> As in the case of income protection for low income workers</w:t>
      </w:r>
      <w:r w:rsidR="00EC38C2" w:rsidRPr="00F512C2">
        <w:t>, left party government is associated with significantly higher AMLP sp</w:t>
      </w:r>
      <w:r w:rsidR="001B35E7" w:rsidRPr="00F512C2">
        <w:t xml:space="preserve">ending and poverty reduction </w:t>
      </w:r>
      <w:r w:rsidR="00DA6EBF" w:rsidRPr="00F512C2">
        <w:t xml:space="preserve">than </w:t>
      </w:r>
      <w:r w:rsidR="000E58A7" w:rsidRPr="00F512C2">
        <w:t xml:space="preserve">under </w:t>
      </w:r>
      <w:r w:rsidR="00DA6EBF" w:rsidRPr="00F512C2">
        <w:t xml:space="preserve">center-right governments. The direct </w:t>
      </w:r>
      <w:r w:rsidR="0099022B" w:rsidRPr="00F512C2">
        <w:t xml:space="preserve">impacts of party government are substantively important. As shown in the first column, </w:t>
      </w:r>
      <w:r w:rsidR="00F14BED" w:rsidRPr="00F512C2">
        <w:t xml:space="preserve">a </w:t>
      </w:r>
      <w:r w:rsidR="008E3CA6" w:rsidRPr="00F512C2">
        <w:t>shift</w:t>
      </w:r>
      <w:r w:rsidR="009201BF" w:rsidRPr="00F512C2">
        <w:t xml:space="preserve"> </w:t>
      </w:r>
      <w:r w:rsidR="00F14BED" w:rsidRPr="00F512C2">
        <w:t xml:space="preserve">of 25 points </w:t>
      </w:r>
      <w:r w:rsidR="0096094E" w:rsidRPr="00F512C2">
        <w:t>i</w:t>
      </w:r>
      <w:r w:rsidR="00F14BED" w:rsidRPr="00F512C2">
        <w:t>n the ideological position of the government (for insta</w:t>
      </w:r>
      <w:r w:rsidR="00D82924" w:rsidRPr="00F512C2">
        <w:t>nce,</w:t>
      </w:r>
      <w:r w:rsidR="00F14BED" w:rsidRPr="00F512C2">
        <w:t xml:space="preserve"> </w:t>
      </w:r>
      <w:r w:rsidR="00D82924" w:rsidRPr="00F512C2">
        <w:t xml:space="preserve">a </w:t>
      </w:r>
      <w:r w:rsidR="00223B5A" w:rsidRPr="00F512C2">
        <w:t xml:space="preserve">move </w:t>
      </w:r>
      <w:r w:rsidR="00F14BED" w:rsidRPr="00F512C2">
        <w:t>from a center-</w:t>
      </w:r>
      <w:r w:rsidR="00223B5A" w:rsidRPr="00F512C2">
        <w:t>right</w:t>
      </w:r>
      <w:r w:rsidR="00F14BED" w:rsidRPr="00F512C2">
        <w:t xml:space="preserve"> to center-</w:t>
      </w:r>
      <w:r w:rsidR="00223B5A" w:rsidRPr="00F512C2">
        <w:t>left</w:t>
      </w:r>
      <w:r w:rsidR="00F14BED" w:rsidRPr="00F512C2">
        <w:t xml:space="preserve"> government) would shift </w:t>
      </w:r>
      <w:r w:rsidR="0021668D" w:rsidRPr="00F512C2">
        <w:t>ALMP spending by .1 (2</w:t>
      </w:r>
      <w:r w:rsidR="00893A89" w:rsidRPr="00F512C2">
        <w:t>5</w:t>
      </w:r>
      <w:r w:rsidR="0021668D" w:rsidRPr="00F512C2">
        <w:t>×.0036). Given that mean ALMP</w:t>
      </w:r>
      <w:r w:rsidR="00F11048" w:rsidRPr="00F512C2">
        <w:t xml:space="preserve"> </w:t>
      </w:r>
      <w:r w:rsidR="0021668D" w:rsidRPr="00F512C2">
        <w:t>spending as a percent of GDP i</w:t>
      </w:r>
      <w:r w:rsidR="0043662B" w:rsidRPr="00F512C2">
        <w:t xml:space="preserve">s .8, this change </w:t>
      </w:r>
      <w:r w:rsidR="00DF0134" w:rsidRPr="00F512C2">
        <w:t xml:space="preserve">in </w:t>
      </w:r>
      <w:r w:rsidR="0043662B" w:rsidRPr="00F512C2">
        <w:t xml:space="preserve">resource commitments </w:t>
      </w:r>
      <w:r w:rsidR="00FB19C0" w:rsidRPr="00F512C2">
        <w:t xml:space="preserve">for </w:t>
      </w:r>
      <w:r w:rsidR="0043662B" w:rsidRPr="00F512C2">
        <w:t xml:space="preserve">ALMP is not trivial. </w:t>
      </w:r>
      <w:r w:rsidR="00565BFB" w:rsidRPr="00F512C2">
        <w:t xml:space="preserve">Similarly, </w:t>
      </w:r>
      <w:r w:rsidR="0016713F" w:rsidRPr="00F512C2">
        <w:t xml:space="preserve">a </w:t>
      </w:r>
      <w:proofErr w:type="gramStart"/>
      <w:r w:rsidR="0016713F" w:rsidRPr="00F512C2">
        <w:t>25 point</w:t>
      </w:r>
      <w:proofErr w:type="gramEnd"/>
      <w:r w:rsidR="0016713F" w:rsidRPr="00F512C2">
        <w:t xml:space="preserve"> shift in government is associated with a 4 percent point </w:t>
      </w:r>
      <w:r w:rsidR="00DF0134" w:rsidRPr="00F512C2">
        <w:t xml:space="preserve">increase </w:t>
      </w:r>
      <w:r w:rsidR="0016713F" w:rsidRPr="00F512C2">
        <w:t>(25</w:t>
      </w:r>
      <w:r w:rsidR="00054494" w:rsidRPr="00F512C2">
        <w:t xml:space="preserve">× .1601) in </w:t>
      </w:r>
      <w:r w:rsidR="002D7BB2" w:rsidRPr="00F512C2">
        <w:t>pre-</w:t>
      </w:r>
      <w:proofErr w:type="spellStart"/>
      <w:r w:rsidR="002D7BB2" w:rsidRPr="00F512C2">
        <w:t>fisc</w:t>
      </w:r>
      <w:proofErr w:type="spellEnd"/>
      <w:r w:rsidR="002D7BB2" w:rsidRPr="00F512C2">
        <w:t xml:space="preserve"> to post-</w:t>
      </w:r>
      <w:proofErr w:type="spellStart"/>
      <w:r w:rsidR="002D7BB2" w:rsidRPr="00F512C2">
        <w:t>fisc</w:t>
      </w:r>
      <w:proofErr w:type="spellEnd"/>
      <w:r w:rsidR="002D7BB2" w:rsidRPr="00F512C2">
        <w:t xml:space="preserve"> relative poverty reduction</w:t>
      </w:r>
      <w:r w:rsidR="00054494" w:rsidRPr="00F512C2">
        <w:t xml:space="preserve">. The direct impacts of labor organization (first and third columns) are also </w:t>
      </w:r>
      <w:r w:rsidR="00543647" w:rsidRPr="00F512C2">
        <w:t xml:space="preserve">substantively important: </w:t>
      </w:r>
      <w:r w:rsidR="006B406D" w:rsidRPr="00F512C2">
        <w:t xml:space="preserve"> ALMP </w:t>
      </w:r>
      <w:r w:rsidR="00B53998" w:rsidRPr="00F512C2">
        <w:t xml:space="preserve">spending </w:t>
      </w:r>
      <w:r w:rsidR="006B406D" w:rsidRPr="00F512C2">
        <w:t xml:space="preserve">and poverty reduction </w:t>
      </w:r>
      <w:r w:rsidR="00F335E9" w:rsidRPr="00F512C2">
        <w:t xml:space="preserve">increase </w:t>
      </w:r>
      <w:r w:rsidR="00FB63C4" w:rsidRPr="00F512C2">
        <w:t>.1 and 3.7</w:t>
      </w:r>
      <w:r w:rsidR="00F335E9" w:rsidRPr="00F512C2">
        <w:t>,</w:t>
      </w:r>
      <w:r w:rsidR="00FB63C4" w:rsidRPr="00F512C2">
        <w:t xml:space="preserve"> </w:t>
      </w:r>
      <w:r w:rsidR="006B406D" w:rsidRPr="00F512C2">
        <w:t>respectively</w:t>
      </w:r>
      <w:r w:rsidR="00F335E9" w:rsidRPr="00F512C2">
        <w:t>,</w:t>
      </w:r>
      <w:r w:rsidR="006B406D" w:rsidRPr="00F512C2">
        <w:t xml:space="preserve"> </w:t>
      </w:r>
      <w:r w:rsidR="00543647" w:rsidRPr="00F512C2">
        <w:t xml:space="preserve">for a one (standard deviation) unit change in </w:t>
      </w:r>
      <w:r w:rsidR="00F335E9" w:rsidRPr="00F512C2">
        <w:t>labor organization</w:t>
      </w:r>
      <w:r w:rsidR="00025DC1" w:rsidRPr="00F512C2">
        <w:t xml:space="preserve">. </w:t>
      </w:r>
    </w:p>
    <w:p w14:paraId="62B16C7A" w14:textId="6C4AC875" w:rsidR="003914E3" w:rsidRPr="00F512C2" w:rsidRDefault="003514CA" w:rsidP="00A55059">
      <w:pPr>
        <w:spacing w:line="480" w:lineRule="auto"/>
      </w:pPr>
      <w:r w:rsidRPr="00F512C2">
        <w:tab/>
      </w:r>
      <w:proofErr w:type="gramStart"/>
      <w:r w:rsidRPr="00F512C2">
        <w:t>With regard to</w:t>
      </w:r>
      <w:proofErr w:type="gramEnd"/>
      <w:r w:rsidRPr="00F512C2">
        <w:t xml:space="preserve"> the </w:t>
      </w:r>
      <w:r w:rsidR="00C25F65" w:rsidRPr="00F512C2">
        <w:t xml:space="preserve">mediation of partisan government effects by labor organization, Table 3 illustrates that </w:t>
      </w:r>
      <w:r w:rsidR="00372F59" w:rsidRPr="00F512C2">
        <w:t>higher labor organization</w:t>
      </w:r>
      <w:r w:rsidR="00F11048" w:rsidRPr="00F512C2">
        <w:t>, as expected,</w:t>
      </w:r>
      <w:r w:rsidR="00372F59" w:rsidRPr="00F512C2">
        <w:t xml:space="preserve"> intensifies the impact of party government</w:t>
      </w:r>
      <w:r w:rsidR="00E85D92" w:rsidRPr="00F512C2">
        <w:t xml:space="preserve"> on ALMP</w:t>
      </w:r>
      <w:r w:rsidR="006B2555" w:rsidRPr="00F512C2">
        <w:t xml:space="preserve">. </w:t>
      </w:r>
      <w:r w:rsidR="008F3278" w:rsidRPr="00F512C2">
        <w:t xml:space="preserve">For instance, </w:t>
      </w:r>
      <w:r w:rsidR="00D75A56" w:rsidRPr="00F512C2">
        <w:t xml:space="preserve">at average levels of labor organization (0.0 on the standard score index), </w:t>
      </w:r>
      <w:r w:rsidR="00FC3CDF" w:rsidRPr="00F512C2">
        <w:t>the impact of a one unit change in party government is .0031</w:t>
      </w:r>
      <w:r w:rsidR="003914E3" w:rsidRPr="00F512C2">
        <w:t>.</w:t>
      </w:r>
      <w:r w:rsidR="003914E3" w:rsidRPr="00F512C2">
        <w:rPr>
          <w:rStyle w:val="FootnoteReference"/>
        </w:rPr>
        <w:footnoteReference w:id="14"/>
      </w:r>
      <w:r w:rsidR="00F51C2B" w:rsidRPr="00F512C2">
        <w:t xml:space="preserve"> </w:t>
      </w:r>
      <w:r w:rsidR="007D733D" w:rsidRPr="00F512C2">
        <w:t xml:space="preserve">At </w:t>
      </w:r>
      <w:r w:rsidR="003A0F54" w:rsidRPr="00F512C2">
        <w:t xml:space="preserve">moderately high labor organization (say a standard score index value of 1), the partisan government impact is </w:t>
      </w:r>
      <w:r w:rsidR="00BD620E" w:rsidRPr="00F512C2">
        <w:t>.0081 (.0031+.0050×</w:t>
      </w:r>
      <w:r w:rsidR="00B67079" w:rsidRPr="00F512C2">
        <w:t>1.0).</w:t>
      </w:r>
      <w:r w:rsidR="00893A89" w:rsidRPr="00F512C2">
        <w:t xml:space="preserve"> </w:t>
      </w:r>
      <w:r w:rsidR="00F51C2B" w:rsidRPr="00F512C2">
        <w:t xml:space="preserve">If we use a </w:t>
      </w:r>
      <w:proofErr w:type="gramStart"/>
      <w:r w:rsidR="00F51C2B" w:rsidRPr="00F512C2">
        <w:t>25 point</w:t>
      </w:r>
      <w:proofErr w:type="gramEnd"/>
      <w:r w:rsidR="00F51C2B" w:rsidRPr="00F512C2">
        <w:t xml:space="preserve"> shift on the ideological position scale</w:t>
      </w:r>
      <w:r w:rsidR="00AC646B" w:rsidRPr="00F512C2">
        <w:t xml:space="preserve"> as the magnitude in change in party government</w:t>
      </w:r>
      <w:r w:rsidR="00B67079" w:rsidRPr="00F512C2">
        <w:t xml:space="preserve">, ALMP spending would increase by </w:t>
      </w:r>
      <w:r w:rsidR="00631F75" w:rsidRPr="00F512C2">
        <w:t xml:space="preserve">.1 at average levels and .2 at moderately high levels of labor organization </w:t>
      </w:r>
      <w:r w:rsidR="00AB0FD7" w:rsidRPr="00F512C2">
        <w:t xml:space="preserve">with such </w:t>
      </w:r>
      <w:r w:rsidR="00FB19C0" w:rsidRPr="00F512C2">
        <w:t xml:space="preserve">a partisan </w:t>
      </w:r>
      <w:r w:rsidR="00AB0FD7" w:rsidRPr="00F512C2">
        <w:t xml:space="preserve">change. On the other hand, the interaction between party government and </w:t>
      </w:r>
      <w:r w:rsidR="00BA17C4" w:rsidRPr="00F512C2">
        <w:t xml:space="preserve">labor organization is not significant in the poverty reduction model. </w:t>
      </w:r>
      <w:r w:rsidR="008305F0" w:rsidRPr="00F512C2">
        <w:t>Yet, recalling Kam and Franzese</w:t>
      </w:r>
      <w:r w:rsidR="006D6E5C" w:rsidRPr="00F512C2">
        <w:t>’s</w:t>
      </w:r>
      <w:r w:rsidR="008305F0" w:rsidRPr="00F512C2">
        <w:t xml:space="preserve"> (2009) suggestion, when we examine individual marginal effects of partisan government</w:t>
      </w:r>
      <w:r w:rsidR="00BD7E7B" w:rsidRPr="00F512C2">
        <w:t xml:space="preserve"> we do see important differences in party impacts across levels of</w:t>
      </w:r>
      <w:r w:rsidR="00B71CE6" w:rsidRPr="00F512C2">
        <w:t xml:space="preserve"> </w:t>
      </w:r>
      <w:r w:rsidR="00BB2A72" w:rsidRPr="00F512C2">
        <w:t>labor organization</w:t>
      </w:r>
      <w:r w:rsidR="00BD7E7B" w:rsidRPr="00F512C2">
        <w:t xml:space="preserve">: party </w:t>
      </w:r>
      <w:r w:rsidR="00C65534" w:rsidRPr="00F512C2">
        <w:t>alternation in power</w:t>
      </w:r>
      <w:r w:rsidR="006D6E5C" w:rsidRPr="00F512C2">
        <w:t xml:space="preserve"> has no effect </w:t>
      </w:r>
      <w:r w:rsidR="00547BFD" w:rsidRPr="00F512C2">
        <w:t xml:space="preserve">on the magnitude of poverty reduction </w:t>
      </w:r>
      <w:r w:rsidR="006D6E5C" w:rsidRPr="00F512C2">
        <w:t xml:space="preserve">at low levels of </w:t>
      </w:r>
      <w:r w:rsidR="00547BFD" w:rsidRPr="00F512C2">
        <w:t>labor organization but substantively important ones at moderate and high amounts of labor organization</w:t>
      </w:r>
      <w:r w:rsidR="002336B8" w:rsidRPr="00F512C2">
        <w:t xml:space="preserve"> (3.9 and 4.6 percent, </w:t>
      </w:r>
      <w:r w:rsidR="00DE4985" w:rsidRPr="00F512C2">
        <w:t>respectively)</w:t>
      </w:r>
      <w:r w:rsidR="00547BFD" w:rsidRPr="00F512C2">
        <w:t xml:space="preserve">. </w:t>
      </w:r>
    </w:p>
    <w:p w14:paraId="3F962211" w14:textId="6CB55C36" w:rsidR="00547BFD" w:rsidRPr="00F512C2" w:rsidRDefault="00547BFD" w:rsidP="00A55059">
      <w:pPr>
        <w:spacing w:line="480" w:lineRule="auto"/>
      </w:pPr>
      <w:r w:rsidRPr="00F512C2">
        <w:tab/>
      </w:r>
      <w:r w:rsidR="00226361" w:rsidRPr="00F512C2">
        <w:t xml:space="preserve">With respect to other factors in the model, three </w:t>
      </w:r>
      <w:r w:rsidR="00C6167D" w:rsidRPr="00F512C2">
        <w:t xml:space="preserve">findings </w:t>
      </w:r>
      <w:r w:rsidR="00226361" w:rsidRPr="00F512C2">
        <w:t xml:space="preserve">deserve note. Employers’ organization </w:t>
      </w:r>
      <w:r w:rsidR="00256E4A" w:rsidRPr="00F512C2">
        <w:t>has significant positive effects, as predicted by Martin and Swank (2012)</w:t>
      </w:r>
      <w:r w:rsidR="0081467B" w:rsidRPr="00F512C2">
        <w:t>,</w:t>
      </w:r>
      <w:r w:rsidR="00256E4A" w:rsidRPr="00F512C2">
        <w:t xml:space="preserve"> on ALMP; </w:t>
      </w:r>
      <w:r w:rsidR="001A6D22" w:rsidRPr="00F512C2">
        <w:t xml:space="preserve">it </w:t>
      </w:r>
      <w:r w:rsidR="000F1C31" w:rsidRPr="00F512C2">
        <w:t xml:space="preserve">is </w:t>
      </w:r>
      <w:r w:rsidR="001A6D22" w:rsidRPr="00F512C2">
        <w:t>also significantly associated with poverty reduction in one of two models (and nearly so in the other).</w:t>
      </w:r>
      <w:r w:rsidR="00A06778" w:rsidRPr="00F512C2">
        <w:rPr>
          <w:rStyle w:val="FootnoteReference"/>
        </w:rPr>
        <w:footnoteReference w:id="15"/>
      </w:r>
      <w:r w:rsidR="001A6D22" w:rsidRPr="00F512C2">
        <w:t xml:space="preserve"> </w:t>
      </w:r>
      <w:r w:rsidR="00540107" w:rsidRPr="00F512C2">
        <w:t>Second, i</w:t>
      </w:r>
      <w:r w:rsidR="0081467B" w:rsidRPr="00F512C2">
        <w:t xml:space="preserve">ncreases in </w:t>
      </w:r>
      <w:r w:rsidR="003B189C" w:rsidRPr="00F512C2">
        <w:t>international capital mobility are significantly related to ALMP spending</w:t>
      </w:r>
      <w:r w:rsidR="00540107" w:rsidRPr="00F512C2">
        <w:t xml:space="preserve">, although international openness variables are not associated with poverty reduction. </w:t>
      </w:r>
      <w:r w:rsidR="00745E72" w:rsidRPr="00F512C2">
        <w:t>Finally, needs ha</w:t>
      </w:r>
      <w:r w:rsidR="001A3983" w:rsidRPr="00F512C2">
        <w:t>ve</w:t>
      </w:r>
      <w:r w:rsidR="00745E72" w:rsidRPr="00F512C2">
        <w:t xml:space="preserve"> substantial impacts on both ALMP and p</w:t>
      </w:r>
      <w:r w:rsidR="009711D9" w:rsidRPr="00F512C2">
        <w:t xml:space="preserve">overty reduction. In the case ALMP, a drop in economic growth and </w:t>
      </w:r>
      <w:r w:rsidR="00DE4985" w:rsidRPr="00F512C2">
        <w:t xml:space="preserve">a </w:t>
      </w:r>
      <w:r w:rsidR="009711D9" w:rsidRPr="00F512C2">
        <w:t xml:space="preserve">rise unemployment rates both </w:t>
      </w:r>
      <w:r w:rsidR="000B3E9B" w:rsidRPr="00F512C2">
        <w:t xml:space="preserve">significantly increase ALMP spending. </w:t>
      </w:r>
      <w:r w:rsidR="00391914" w:rsidRPr="00F512C2">
        <w:t>For poverty reduction, an increase in unemployment has a large substantive effect o</w:t>
      </w:r>
      <w:r w:rsidR="00801E56" w:rsidRPr="00F512C2">
        <w:t>n</w:t>
      </w:r>
      <w:r w:rsidR="00391914" w:rsidRPr="00F512C2">
        <w:t xml:space="preserve"> the magnitude of poverty reduction</w:t>
      </w:r>
      <w:r w:rsidR="00CF4929" w:rsidRPr="00F512C2">
        <w:t>: a one</w:t>
      </w:r>
      <w:r w:rsidR="001115B6" w:rsidRPr="00F512C2">
        <w:t xml:space="preserve"> percentage</w:t>
      </w:r>
      <w:r w:rsidR="00CF4929" w:rsidRPr="00F512C2">
        <w:t xml:space="preserve"> point rise in the unemployment rate would, alone, increase </w:t>
      </w:r>
      <w:r w:rsidR="00A55803" w:rsidRPr="00F512C2">
        <w:t xml:space="preserve">poverty reduction by roughly 1.3 percent points. </w:t>
      </w:r>
    </w:p>
    <w:p w14:paraId="3FA24B3F" w14:textId="5129E960" w:rsidR="00EE6238" w:rsidRPr="00F512C2" w:rsidRDefault="003C1162" w:rsidP="006745E3">
      <w:pPr>
        <w:pStyle w:val="Heading1"/>
        <w:rPr>
          <w:rFonts w:ascii="Times New Roman" w:hAnsi="Times New Roman" w:cs="Times New Roman"/>
        </w:rPr>
      </w:pPr>
      <w:r w:rsidRPr="00F512C2">
        <w:rPr>
          <w:rFonts w:ascii="Times New Roman" w:hAnsi="Times New Roman" w:cs="Times New Roman"/>
        </w:rPr>
        <w:t>5 Conclusions</w:t>
      </w:r>
    </w:p>
    <w:p w14:paraId="763CB4D1" w14:textId="1A65C7AA" w:rsidR="003E4125" w:rsidRPr="00F512C2" w:rsidRDefault="00401084" w:rsidP="003E4125">
      <w:pPr>
        <w:spacing w:line="480" w:lineRule="auto"/>
        <w:ind w:firstLine="720"/>
        <w:rPr>
          <w:szCs w:val="24"/>
        </w:rPr>
      </w:pPr>
      <w:r w:rsidRPr="00F512C2">
        <w:rPr>
          <w:szCs w:val="24"/>
        </w:rPr>
        <w:t xml:space="preserve">This chapter speaks to a central </w:t>
      </w:r>
      <w:r w:rsidR="006B634B" w:rsidRPr="00F512C2">
        <w:rPr>
          <w:szCs w:val="24"/>
        </w:rPr>
        <w:t xml:space="preserve">question </w:t>
      </w:r>
      <w:r w:rsidRPr="00F512C2">
        <w:rPr>
          <w:szCs w:val="24"/>
        </w:rPr>
        <w:t xml:space="preserve">in the </w:t>
      </w:r>
      <w:r w:rsidR="006B634B" w:rsidRPr="00F512C2">
        <w:rPr>
          <w:szCs w:val="24"/>
        </w:rPr>
        <w:t xml:space="preserve">debate over the nature of </w:t>
      </w:r>
      <w:r w:rsidRPr="00F512C2">
        <w:rPr>
          <w:szCs w:val="24"/>
        </w:rPr>
        <w:t>the new politics of the welfare</w:t>
      </w:r>
      <w:r w:rsidR="006B634B" w:rsidRPr="00F512C2">
        <w:rPr>
          <w:szCs w:val="24"/>
        </w:rPr>
        <w:t xml:space="preserve"> state, namely, does </w:t>
      </w:r>
      <w:r w:rsidR="007C0FBC" w:rsidRPr="00F512C2">
        <w:rPr>
          <w:szCs w:val="24"/>
        </w:rPr>
        <w:t xml:space="preserve">partisan government shape the state’s responses to </w:t>
      </w:r>
      <w:r w:rsidR="003B6A39" w:rsidRPr="00F512C2">
        <w:rPr>
          <w:szCs w:val="24"/>
        </w:rPr>
        <w:t xml:space="preserve">the challenges of new social risks in postindustrial society? Specifically, </w:t>
      </w:r>
      <w:r w:rsidR="003E4125" w:rsidRPr="00F512C2">
        <w:rPr>
          <w:szCs w:val="24"/>
        </w:rPr>
        <w:t xml:space="preserve">I analyze the impacts of partisan government </w:t>
      </w:r>
      <w:r w:rsidR="00CA0ADE" w:rsidRPr="00F512C2">
        <w:rPr>
          <w:szCs w:val="24"/>
        </w:rPr>
        <w:t xml:space="preserve">on policies to address </w:t>
      </w:r>
      <w:r w:rsidR="003B6A39" w:rsidRPr="00F512C2">
        <w:rPr>
          <w:szCs w:val="24"/>
        </w:rPr>
        <w:t xml:space="preserve">labor market </w:t>
      </w:r>
      <w:r w:rsidR="00CA0ADE" w:rsidRPr="00F512C2">
        <w:rPr>
          <w:szCs w:val="24"/>
        </w:rPr>
        <w:t xml:space="preserve">dualism </w:t>
      </w:r>
      <w:r w:rsidR="003E4125" w:rsidRPr="00F512C2">
        <w:rPr>
          <w:szCs w:val="24"/>
        </w:rPr>
        <w:t xml:space="preserve">from the perspective </w:t>
      </w:r>
      <w:r w:rsidR="00B71CE6" w:rsidRPr="00F512C2">
        <w:rPr>
          <w:szCs w:val="24"/>
        </w:rPr>
        <w:t xml:space="preserve">of </w:t>
      </w:r>
      <w:r w:rsidR="003E4125" w:rsidRPr="00F512C2">
        <w:rPr>
          <w:szCs w:val="24"/>
        </w:rPr>
        <w:t xml:space="preserve">coalition building </w:t>
      </w:r>
      <w:r w:rsidR="00CA0ADE" w:rsidRPr="00F512C2">
        <w:rPr>
          <w:szCs w:val="24"/>
        </w:rPr>
        <w:t xml:space="preserve">by </w:t>
      </w:r>
      <w:r w:rsidR="003E4125" w:rsidRPr="00F512C2">
        <w:rPr>
          <w:szCs w:val="24"/>
        </w:rPr>
        <w:t>social democratic parties. I find systematic empirical evidence that left parties have significant, substantively important impacts on key features of income protection for low income workers, ALMP, and pre- to post-</w:t>
      </w:r>
      <w:proofErr w:type="spellStart"/>
      <w:r w:rsidR="003E4125" w:rsidRPr="00F512C2">
        <w:rPr>
          <w:szCs w:val="24"/>
        </w:rPr>
        <w:t>fisc</w:t>
      </w:r>
      <w:proofErr w:type="spellEnd"/>
      <w:r w:rsidR="003E4125" w:rsidRPr="00F512C2">
        <w:rPr>
          <w:szCs w:val="24"/>
        </w:rPr>
        <w:t xml:space="preserve"> relative poverty </w:t>
      </w:r>
      <w:r w:rsidR="00040C4C" w:rsidRPr="00F512C2">
        <w:rPr>
          <w:szCs w:val="24"/>
        </w:rPr>
        <w:t>r</w:t>
      </w:r>
      <w:r w:rsidR="003E4125" w:rsidRPr="00F512C2">
        <w:rPr>
          <w:szCs w:val="24"/>
        </w:rPr>
        <w:t xml:space="preserve">eduction in the 1980s to 2010s period. These results are also in line with the contributors to </w:t>
      </w:r>
      <w:proofErr w:type="spellStart"/>
      <w:r w:rsidR="003E4125" w:rsidRPr="00F512C2">
        <w:rPr>
          <w:szCs w:val="24"/>
        </w:rPr>
        <w:t>Armingeon</w:t>
      </w:r>
      <w:proofErr w:type="spellEnd"/>
      <w:r w:rsidR="003E4125" w:rsidRPr="00F512C2">
        <w:rPr>
          <w:szCs w:val="24"/>
        </w:rPr>
        <w:t xml:space="preserve"> and </w:t>
      </w:r>
      <w:proofErr w:type="spellStart"/>
      <w:r w:rsidR="003E4125" w:rsidRPr="00F512C2">
        <w:rPr>
          <w:szCs w:val="24"/>
        </w:rPr>
        <w:t>Bonoli</w:t>
      </w:r>
      <w:proofErr w:type="spellEnd"/>
      <w:r w:rsidR="003E4125" w:rsidRPr="00F512C2">
        <w:rPr>
          <w:szCs w:val="24"/>
        </w:rPr>
        <w:t xml:space="preserve"> (2006) who stressed the </w:t>
      </w:r>
      <w:r w:rsidR="00423E11" w:rsidRPr="00F512C2">
        <w:rPr>
          <w:szCs w:val="24"/>
        </w:rPr>
        <w:t xml:space="preserve">general </w:t>
      </w:r>
      <w:r w:rsidR="003E4125" w:rsidRPr="00F512C2">
        <w:rPr>
          <w:szCs w:val="24"/>
        </w:rPr>
        <w:t xml:space="preserve">importance of the power resources model in explaining policies to address new social risks; the findings are also line with </w:t>
      </w:r>
      <w:r w:rsidR="008E7E0E" w:rsidRPr="00F512C2">
        <w:rPr>
          <w:szCs w:val="24"/>
        </w:rPr>
        <w:t xml:space="preserve">other </w:t>
      </w:r>
      <w:r w:rsidR="003E4125" w:rsidRPr="00F512C2">
        <w:rPr>
          <w:szCs w:val="24"/>
        </w:rPr>
        <w:t xml:space="preserve">scholars such as </w:t>
      </w:r>
      <w:proofErr w:type="spellStart"/>
      <w:r w:rsidR="003E4125" w:rsidRPr="00F512C2">
        <w:rPr>
          <w:szCs w:val="24"/>
        </w:rPr>
        <w:t>Korpi</w:t>
      </w:r>
      <w:proofErr w:type="spellEnd"/>
      <w:r w:rsidR="003E4125" w:rsidRPr="00F512C2">
        <w:rPr>
          <w:szCs w:val="24"/>
        </w:rPr>
        <w:t xml:space="preserve"> and Palme (2003) and Hou (2009) who continue to stress the central importance of social democratic government to egalitarian social policy in the postindustrial era. </w:t>
      </w:r>
    </w:p>
    <w:p w14:paraId="4FE10380" w14:textId="5D307303" w:rsidR="002B4FF8" w:rsidRPr="00F512C2" w:rsidRDefault="0083569F" w:rsidP="003E4125">
      <w:pPr>
        <w:spacing w:line="480" w:lineRule="auto"/>
        <w:ind w:firstLine="720"/>
        <w:rPr>
          <w:szCs w:val="24"/>
        </w:rPr>
      </w:pPr>
      <w:r w:rsidRPr="00F512C2">
        <w:rPr>
          <w:szCs w:val="24"/>
        </w:rPr>
        <w:t>This paper also highlights the importance of the organization of producer interests</w:t>
      </w:r>
      <w:r w:rsidR="00E6673C" w:rsidRPr="00F512C2">
        <w:rPr>
          <w:szCs w:val="24"/>
        </w:rPr>
        <w:t xml:space="preserve"> to postindustrial welfare state politics. </w:t>
      </w:r>
      <w:r w:rsidR="001041CA" w:rsidRPr="00F512C2">
        <w:rPr>
          <w:szCs w:val="24"/>
        </w:rPr>
        <w:t xml:space="preserve">As Paul Pierson </w:t>
      </w:r>
      <w:r w:rsidR="00E6673C" w:rsidRPr="00F512C2">
        <w:rPr>
          <w:szCs w:val="24"/>
        </w:rPr>
        <w:t xml:space="preserve">(2016) </w:t>
      </w:r>
      <w:r w:rsidR="001041CA" w:rsidRPr="00F512C2">
        <w:rPr>
          <w:szCs w:val="24"/>
        </w:rPr>
        <w:t xml:space="preserve">recently noted </w:t>
      </w:r>
      <w:r w:rsidR="009C2B8C" w:rsidRPr="00F512C2">
        <w:rPr>
          <w:szCs w:val="24"/>
        </w:rPr>
        <w:t xml:space="preserve">in a commentary on </w:t>
      </w:r>
      <w:proofErr w:type="spellStart"/>
      <w:r w:rsidR="009C2B8C" w:rsidRPr="00F512C2">
        <w:rPr>
          <w:szCs w:val="24"/>
        </w:rPr>
        <w:t>Beramendi</w:t>
      </w:r>
      <w:proofErr w:type="spellEnd"/>
      <w:r w:rsidR="009C2B8C" w:rsidRPr="00F512C2">
        <w:rPr>
          <w:szCs w:val="24"/>
        </w:rPr>
        <w:t xml:space="preserve"> </w:t>
      </w:r>
      <w:r w:rsidR="009C2B8C" w:rsidRPr="00F512C2">
        <w:rPr>
          <w:i/>
          <w:szCs w:val="24"/>
        </w:rPr>
        <w:t xml:space="preserve">et </w:t>
      </w:r>
      <w:proofErr w:type="spellStart"/>
      <w:r w:rsidR="009C2B8C" w:rsidRPr="00F512C2">
        <w:rPr>
          <w:i/>
          <w:szCs w:val="24"/>
        </w:rPr>
        <w:t>al</w:t>
      </w:r>
      <w:r w:rsidR="008A78D8" w:rsidRPr="00F512C2">
        <w:rPr>
          <w:szCs w:val="24"/>
        </w:rPr>
        <w:t>’s</w:t>
      </w:r>
      <w:proofErr w:type="spellEnd"/>
      <w:r w:rsidR="009C2B8C" w:rsidRPr="00F512C2">
        <w:rPr>
          <w:szCs w:val="24"/>
        </w:rPr>
        <w:t xml:space="preserve"> (2015) </w:t>
      </w:r>
      <w:r w:rsidR="009E4DB7" w:rsidRPr="00F512C2">
        <w:rPr>
          <w:szCs w:val="24"/>
        </w:rPr>
        <w:t xml:space="preserve">sweeping analytical assessment of </w:t>
      </w:r>
      <w:r w:rsidR="00794318" w:rsidRPr="00F512C2">
        <w:rPr>
          <w:szCs w:val="24"/>
        </w:rPr>
        <w:t xml:space="preserve">trajectories of </w:t>
      </w:r>
      <w:r w:rsidR="00A4724D" w:rsidRPr="00F512C2">
        <w:rPr>
          <w:szCs w:val="24"/>
        </w:rPr>
        <w:t xml:space="preserve">economic and social </w:t>
      </w:r>
      <w:r w:rsidR="00D2415A" w:rsidRPr="00F512C2">
        <w:rPr>
          <w:szCs w:val="24"/>
        </w:rPr>
        <w:t>polic</w:t>
      </w:r>
      <w:r w:rsidR="008A78D8" w:rsidRPr="00F512C2">
        <w:rPr>
          <w:szCs w:val="24"/>
        </w:rPr>
        <w:t>y</w:t>
      </w:r>
      <w:r w:rsidR="00D2415A" w:rsidRPr="00F512C2">
        <w:rPr>
          <w:szCs w:val="24"/>
        </w:rPr>
        <w:t xml:space="preserve"> in advanced postindustrial capitalism, the role electoral </w:t>
      </w:r>
      <w:r w:rsidR="00A27ED3" w:rsidRPr="00F512C2">
        <w:rPr>
          <w:szCs w:val="24"/>
        </w:rPr>
        <w:t xml:space="preserve">politics, coalition building, and partisanship is central </w:t>
      </w:r>
      <w:r w:rsidR="008B0201" w:rsidRPr="00F512C2">
        <w:rPr>
          <w:szCs w:val="24"/>
        </w:rPr>
        <w:t xml:space="preserve">to </w:t>
      </w:r>
      <w:r w:rsidR="000C1764" w:rsidRPr="00F512C2">
        <w:rPr>
          <w:szCs w:val="24"/>
        </w:rPr>
        <w:t xml:space="preserve">the </w:t>
      </w:r>
      <w:r w:rsidR="008B0201" w:rsidRPr="00F512C2">
        <w:rPr>
          <w:szCs w:val="24"/>
        </w:rPr>
        <w:t>explanation of policy change</w:t>
      </w:r>
      <w:r w:rsidR="00E2791E" w:rsidRPr="00F512C2">
        <w:rPr>
          <w:szCs w:val="24"/>
        </w:rPr>
        <w:t>; the role of class organization is not.</w:t>
      </w:r>
      <w:r w:rsidR="008B0201" w:rsidRPr="00F512C2">
        <w:rPr>
          <w:szCs w:val="24"/>
        </w:rPr>
        <w:t xml:space="preserve"> </w:t>
      </w:r>
      <w:r w:rsidR="00A82041" w:rsidRPr="00F512C2">
        <w:rPr>
          <w:szCs w:val="24"/>
        </w:rPr>
        <w:t xml:space="preserve">The arguments and findings presented here are both complementary to this recent work and </w:t>
      </w:r>
      <w:r w:rsidR="00E83060" w:rsidRPr="00F512C2">
        <w:rPr>
          <w:szCs w:val="24"/>
        </w:rPr>
        <w:t xml:space="preserve">implicitly critical of it. </w:t>
      </w:r>
      <w:r w:rsidR="00A42783" w:rsidRPr="00F512C2">
        <w:rPr>
          <w:szCs w:val="24"/>
        </w:rPr>
        <w:t xml:space="preserve">On the one hand, this paper’s arguments and findings confirm the importance of </w:t>
      </w:r>
      <w:r w:rsidR="001248D1" w:rsidRPr="00F512C2">
        <w:rPr>
          <w:szCs w:val="24"/>
        </w:rPr>
        <w:t>electoral politics in shaping responses to the challenges of labor market dualism</w:t>
      </w:r>
      <w:r w:rsidR="003E4125" w:rsidRPr="00F512C2">
        <w:rPr>
          <w:szCs w:val="24"/>
        </w:rPr>
        <w:t xml:space="preserve">. </w:t>
      </w:r>
      <w:r w:rsidR="00701224" w:rsidRPr="00F512C2">
        <w:rPr>
          <w:szCs w:val="24"/>
        </w:rPr>
        <w:t xml:space="preserve">On the other hand, my findings diverge from </w:t>
      </w:r>
      <w:proofErr w:type="spellStart"/>
      <w:r w:rsidR="00701224" w:rsidRPr="00F512C2">
        <w:rPr>
          <w:szCs w:val="24"/>
        </w:rPr>
        <w:t>Beramendi</w:t>
      </w:r>
      <w:proofErr w:type="spellEnd"/>
      <w:r w:rsidR="00701224" w:rsidRPr="00F512C2">
        <w:rPr>
          <w:szCs w:val="24"/>
        </w:rPr>
        <w:t xml:space="preserve"> </w:t>
      </w:r>
      <w:r w:rsidR="00701224" w:rsidRPr="00F512C2">
        <w:rPr>
          <w:i/>
          <w:szCs w:val="24"/>
        </w:rPr>
        <w:t>et al</w:t>
      </w:r>
      <w:r w:rsidR="00701224" w:rsidRPr="00F512C2">
        <w:rPr>
          <w:szCs w:val="24"/>
        </w:rPr>
        <w:t xml:space="preserve"> (2015), Iversen and So</w:t>
      </w:r>
      <w:r w:rsidR="0072546A" w:rsidRPr="00F512C2">
        <w:rPr>
          <w:szCs w:val="24"/>
        </w:rPr>
        <w:t>s</w:t>
      </w:r>
      <w:r w:rsidR="00701224" w:rsidRPr="00F512C2">
        <w:rPr>
          <w:szCs w:val="24"/>
        </w:rPr>
        <w:t>kice (2015</w:t>
      </w:r>
      <w:r w:rsidR="002C644F" w:rsidRPr="00F512C2">
        <w:rPr>
          <w:szCs w:val="24"/>
        </w:rPr>
        <w:t>a</w:t>
      </w:r>
      <w:r w:rsidR="00701224" w:rsidRPr="00F512C2">
        <w:rPr>
          <w:szCs w:val="24"/>
        </w:rPr>
        <w:t>)</w:t>
      </w:r>
      <w:r w:rsidR="003C6BE3" w:rsidRPr="00F512C2">
        <w:rPr>
          <w:szCs w:val="24"/>
        </w:rPr>
        <w:t xml:space="preserve">, and others who </w:t>
      </w:r>
      <w:r w:rsidR="00E245AD" w:rsidRPr="00F512C2">
        <w:rPr>
          <w:szCs w:val="24"/>
        </w:rPr>
        <w:t>minimize the importance of class organization in the contemporary periods. As this chapter show</w:t>
      </w:r>
      <w:r w:rsidR="003A6199" w:rsidRPr="00F512C2">
        <w:rPr>
          <w:szCs w:val="24"/>
        </w:rPr>
        <w:t>s</w:t>
      </w:r>
      <w:r w:rsidR="000223B5" w:rsidRPr="00F512C2">
        <w:rPr>
          <w:szCs w:val="24"/>
        </w:rPr>
        <w:t>,</w:t>
      </w:r>
      <w:r w:rsidR="003A6199" w:rsidRPr="00F512C2">
        <w:rPr>
          <w:szCs w:val="24"/>
        </w:rPr>
        <w:t xml:space="preserve"> encompassing labor organization</w:t>
      </w:r>
      <w:r w:rsidR="000223B5" w:rsidRPr="00F512C2">
        <w:rPr>
          <w:szCs w:val="24"/>
        </w:rPr>
        <w:t xml:space="preserve"> </w:t>
      </w:r>
      <w:r w:rsidR="00627E95" w:rsidRPr="00F512C2">
        <w:rPr>
          <w:szCs w:val="24"/>
        </w:rPr>
        <w:t xml:space="preserve">has a </w:t>
      </w:r>
      <w:r w:rsidR="001E1398" w:rsidRPr="00F512C2">
        <w:rPr>
          <w:szCs w:val="24"/>
        </w:rPr>
        <w:t>significant, substantively large direct effect on social policies for outsiders and, ultimately their relative economic status</w:t>
      </w:r>
      <w:r w:rsidR="00160CB3" w:rsidRPr="00F512C2">
        <w:rPr>
          <w:szCs w:val="24"/>
        </w:rPr>
        <w:t>; l</w:t>
      </w:r>
      <w:r w:rsidR="00C219A6" w:rsidRPr="00F512C2">
        <w:rPr>
          <w:szCs w:val="24"/>
        </w:rPr>
        <w:t xml:space="preserve">abor organization also systematically mediates the capacity of partisan governments to </w:t>
      </w:r>
      <w:r w:rsidR="00545582" w:rsidRPr="00F512C2">
        <w:rPr>
          <w:szCs w:val="24"/>
        </w:rPr>
        <w:t xml:space="preserve">adjudicate deep divisions between core constituencies and, in turn, pursue </w:t>
      </w:r>
      <w:proofErr w:type="spellStart"/>
      <w:r w:rsidR="00545582" w:rsidRPr="00F512C2">
        <w:rPr>
          <w:szCs w:val="24"/>
        </w:rPr>
        <w:t>solidar</w:t>
      </w:r>
      <w:r w:rsidR="004272C1" w:rsidRPr="00F512C2">
        <w:rPr>
          <w:szCs w:val="24"/>
        </w:rPr>
        <w:t>istic</w:t>
      </w:r>
      <w:proofErr w:type="spellEnd"/>
      <w:r w:rsidR="004272C1" w:rsidRPr="00F512C2">
        <w:rPr>
          <w:szCs w:val="24"/>
        </w:rPr>
        <w:t xml:space="preserve"> policies</w:t>
      </w:r>
      <w:r w:rsidR="0072546A" w:rsidRPr="00F512C2">
        <w:rPr>
          <w:szCs w:val="24"/>
        </w:rPr>
        <w:t xml:space="preserve"> that address the needs of outsiders. </w:t>
      </w:r>
      <w:r w:rsidR="006D690D" w:rsidRPr="00F512C2">
        <w:rPr>
          <w:szCs w:val="24"/>
        </w:rPr>
        <w:t>Moreover, as stressed by Martin and Swank</w:t>
      </w:r>
      <w:r w:rsidR="004272C1" w:rsidRPr="00F512C2">
        <w:rPr>
          <w:szCs w:val="24"/>
        </w:rPr>
        <w:t xml:space="preserve"> </w:t>
      </w:r>
      <w:r w:rsidR="006D690D" w:rsidRPr="00F512C2">
        <w:rPr>
          <w:szCs w:val="24"/>
        </w:rPr>
        <w:t>(2004; 2012), one must also recognize the importance of empl</w:t>
      </w:r>
      <w:r w:rsidR="00C53C8F" w:rsidRPr="00F512C2">
        <w:rPr>
          <w:szCs w:val="24"/>
        </w:rPr>
        <w:t xml:space="preserve">oyer organization for some forms of inclusive social and labor market policy. This is especially the case </w:t>
      </w:r>
      <w:r w:rsidR="00BC5EC7" w:rsidRPr="00F512C2">
        <w:rPr>
          <w:szCs w:val="24"/>
        </w:rPr>
        <w:t>in the area of ALMP; earlier</w:t>
      </w:r>
      <w:r w:rsidR="00C53C8F" w:rsidRPr="00F512C2">
        <w:rPr>
          <w:szCs w:val="24"/>
        </w:rPr>
        <w:t xml:space="preserve"> </w:t>
      </w:r>
      <w:r w:rsidR="006E0E6C" w:rsidRPr="00F512C2">
        <w:rPr>
          <w:szCs w:val="24"/>
        </w:rPr>
        <w:t xml:space="preserve">evidence </w:t>
      </w:r>
      <w:r w:rsidR="006E49D0" w:rsidRPr="00F512C2">
        <w:rPr>
          <w:szCs w:val="24"/>
        </w:rPr>
        <w:t xml:space="preserve">offered by Martin and Swank on the salience of employer organization </w:t>
      </w:r>
      <w:r w:rsidR="006E0E6C" w:rsidRPr="00F512C2">
        <w:rPr>
          <w:szCs w:val="24"/>
        </w:rPr>
        <w:t xml:space="preserve">is </w:t>
      </w:r>
      <w:r w:rsidR="006E49D0" w:rsidRPr="00F512C2">
        <w:rPr>
          <w:szCs w:val="24"/>
        </w:rPr>
        <w:t>reinforce</w:t>
      </w:r>
      <w:r w:rsidR="006E0E6C" w:rsidRPr="00F512C2">
        <w:rPr>
          <w:szCs w:val="24"/>
        </w:rPr>
        <w:t>d</w:t>
      </w:r>
      <w:r w:rsidR="006E49D0" w:rsidRPr="00F512C2">
        <w:rPr>
          <w:szCs w:val="24"/>
        </w:rPr>
        <w:t xml:space="preserve"> here with new analyses of ALMP that extend </w:t>
      </w:r>
      <w:r w:rsidR="002C644F" w:rsidRPr="00F512C2">
        <w:rPr>
          <w:szCs w:val="24"/>
        </w:rPr>
        <w:t xml:space="preserve">over </w:t>
      </w:r>
      <w:r w:rsidR="006E49D0" w:rsidRPr="00F512C2">
        <w:rPr>
          <w:szCs w:val="24"/>
        </w:rPr>
        <w:t>a decade</w:t>
      </w:r>
      <w:r w:rsidR="00E84DDB" w:rsidRPr="00F512C2">
        <w:rPr>
          <w:szCs w:val="24"/>
        </w:rPr>
        <w:t xml:space="preserve"> </w:t>
      </w:r>
      <w:r w:rsidR="005A75E6" w:rsidRPr="00F512C2">
        <w:rPr>
          <w:szCs w:val="24"/>
        </w:rPr>
        <w:t>into the 21</w:t>
      </w:r>
      <w:r w:rsidR="005A75E6" w:rsidRPr="00F512C2">
        <w:rPr>
          <w:szCs w:val="24"/>
          <w:vertAlign w:val="superscript"/>
        </w:rPr>
        <w:t>st</w:t>
      </w:r>
      <w:r w:rsidR="005A75E6" w:rsidRPr="00F512C2">
        <w:rPr>
          <w:szCs w:val="24"/>
        </w:rPr>
        <w:t xml:space="preserve"> century. </w:t>
      </w:r>
    </w:p>
    <w:p w14:paraId="2FD065A1" w14:textId="4D7845A5" w:rsidR="003C6BE3" w:rsidRPr="00F512C2" w:rsidRDefault="005A75E6" w:rsidP="00A82041">
      <w:pPr>
        <w:spacing w:line="480" w:lineRule="auto"/>
        <w:rPr>
          <w:szCs w:val="24"/>
        </w:rPr>
      </w:pPr>
      <w:r w:rsidRPr="00F512C2">
        <w:rPr>
          <w:szCs w:val="24"/>
        </w:rPr>
        <w:tab/>
        <w:t xml:space="preserve">In sum, the analysis and conclusions of this chapter </w:t>
      </w:r>
      <w:r w:rsidR="00872EA4" w:rsidRPr="00F512C2">
        <w:rPr>
          <w:szCs w:val="24"/>
        </w:rPr>
        <w:t xml:space="preserve">reinforce the initial assessments of </w:t>
      </w:r>
      <w:proofErr w:type="spellStart"/>
      <w:r w:rsidR="00872EA4" w:rsidRPr="00F512C2">
        <w:rPr>
          <w:szCs w:val="24"/>
        </w:rPr>
        <w:t>Armingeon</w:t>
      </w:r>
      <w:proofErr w:type="spellEnd"/>
      <w:r w:rsidR="00872EA4" w:rsidRPr="00F512C2">
        <w:rPr>
          <w:szCs w:val="24"/>
        </w:rPr>
        <w:t xml:space="preserve"> and collaborators</w:t>
      </w:r>
      <w:r w:rsidR="006E78DF" w:rsidRPr="00F512C2">
        <w:rPr>
          <w:szCs w:val="24"/>
        </w:rPr>
        <w:t xml:space="preserve"> as well as the array of like-minded scholars discussed above</w:t>
      </w:r>
      <w:r w:rsidR="00872EA4" w:rsidRPr="00F512C2">
        <w:rPr>
          <w:szCs w:val="24"/>
        </w:rPr>
        <w:t xml:space="preserve">: </w:t>
      </w:r>
      <w:r w:rsidR="006E78DF" w:rsidRPr="00F512C2">
        <w:rPr>
          <w:szCs w:val="24"/>
        </w:rPr>
        <w:t xml:space="preserve">the </w:t>
      </w:r>
      <w:r w:rsidR="00872EA4" w:rsidRPr="00F512C2">
        <w:rPr>
          <w:szCs w:val="24"/>
        </w:rPr>
        <w:t>politics</w:t>
      </w:r>
      <w:r w:rsidR="006E78DF" w:rsidRPr="00F512C2">
        <w:rPr>
          <w:szCs w:val="24"/>
        </w:rPr>
        <w:t xml:space="preserve"> of new social risks, and especially the </w:t>
      </w:r>
      <w:r w:rsidR="00A83D2E" w:rsidRPr="00F512C2">
        <w:rPr>
          <w:szCs w:val="24"/>
        </w:rPr>
        <w:t>politics of inclusive social and labor market policy, is a story</w:t>
      </w:r>
      <w:r w:rsidR="00CC6B80" w:rsidRPr="00F512C2">
        <w:rPr>
          <w:szCs w:val="24"/>
        </w:rPr>
        <w:t xml:space="preserve"> </w:t>
      </w:r>
      <w:r w:rsidR="00A83D2E" w:rsidRPr="00F512C2">
        <w:rPr>
          <w:szCs w:val="24"/>
        </w:rPr>
        <w:t xml:space="preserve">of </w:t>
      </w:r>
      <w:r w:rsidR="00CC6B80" w:rsidRPr="00F512C2">
        <w:rPr>
          <w:szCs w:val="24"/>
        </w:rPr>
        <w:t xml:space="preserve">the dynamics of coalition building in </w:t>
      </w:r>
      <w:r w:rsidR="00336E2F" w:rsidRPr="00F512C2">
        <w:rPr>
          <w:szCs w:val="24"/>
        </w:rPr>
        <w:t xml:space="preserve">advanced postindustrial society, </w:t>
      </w:r>
      <w:r w:rsidR="005150D8" w:rsidRPr="00F512C2">
        <w:rPr>
          <w:szCs w:val="24"/>
        </w:rPr>
        <w:t xml:space="preserve">the continued importance </w:t>
      </w:r>
      <w:r w:rsidR="00336E2F" w:rsidRPr="00F512C2">
        <w:rPr>
          <w:szCs w:val="24"/>
        </w:rPr>
        <w:t>partisan government, and the power of organized interests</w:t>
      </w:r>
      <w:r w:rsidR="000D431E" w:rsidRPr="00F512C2">
        <w:rPr>
          <w:szCs w:val="24"/>
        </w:rPr>
        <w:t xml:space="preserve">. </w:t>
      </w:r>
      <w:r w:rsidR="004950DD" w:rsidRPr="00F512C2">
        <w:rPr>
          <w:szCs w:val="24"/>
        </w:rPr>
        <w:t xml:space="preserve">This story </w:t>
      </w:r>
      <w:r w:rsidR="00504B25" w:rsidRPr="00F512C2">
        <w:rPr>
          <w:szCs w:val="24"/>
        </w:rPr>
        <w:t xml:space="preserve">is not unlike, in broad </w:t>
      </w:r>
      <w:r w:rsidR="00B52DF6" w:rsidRPr="00F512C2">
        <w:rPr>
          <w:szCs w:val="24"/>
        </w:rPr>
        <w:t xml:space="preserve">structural </w:t>
      </w:r>
      <w:r w:rsidR="00504B25" w:rsidRPr="00F512C2">
        <w:rPr>
          <w:szCs w:val="24"/>
        </w:rPr>
        <w:t xml:space="preserve">terms, the well-established </w:t>
      </w:r>
      <w:r w:rsidR="004950DD" w:rsidRPr="00F512C2">
        <w:rPr>
          <w:szCs w:val="24"/>
        </w:rPr>
        <w:t xml:space="preserve">narrative </w:t>
      </w:r>
      <w:r w:rsidR="00504B25" w:rsidRPr="00F512C2">
        <w:rPr>
          <w:szCs w:val="24"/>
        </w:rPr>
        <w:t xml:space="preserve">of the politics of </w:t>
      </w:r>
      <w:r w:rsidR="00B52DF6" w:rsidRPr="00F512C2">
        <w:rPr>
          <w:szCs w:val="24"/>
        </w:rPr>
        <w:t>20</w:t>
      </w:r>
      <w:r w:rsidR="00B52DF6" w:rsidRPr="00F512C2">
        <w:rPr>
          <w:szCs w:val="24"/>
          <w:vertAlign w:val="superscript"/>
        </w:rPr>
        <w:t>th</w:t>
      </w:r>
      <w:r w:rsidR="00B52DF6" w:rsidRPr="00F512C2">
        <w:rPr>
          <w:szCs w:val="24"/>
        </w:rPr>
        <w:t xml:space="preserve"> century welfare state development.  </w:t>
      </w:r>
    </w:p>
    <w:p w14:paraId="5004C48A" w14:textId="77777777" w:rsidR="00FE31E1" w:rsidRPr="00F512C2" w:rsidRDefault="00FE31E1">
      <w:pPr>
        <w:spacing w:after="200" w:line="276" w:lineRule="auto"/>
        <w:rPr>
          <w:szCs w:val="24"/>
        </w:rPr>
      </w:pPr>
      <w:r w:rsidRPr="00F512C2">
        <w:rPr>
          <w:szCs w:val="24"/>
        </w:rPr>
        <w:br w:type="page"/>
      </w:r>
    </w:p>
    <w:p w14:paraId="61F4C363" w14:textId="0125650A" w:rsidR="00FE31E1" w:rsidRPr="00F512C2" w:rsidRDefault="00FE31E1" w:rsidP="006745E3">
      <w:pPr>
        <w:pStyle w:val="Heading1"/>
        <w:rPr>
          <w:rFonts w:ascii="Times New Roman" w:hAnsi="Times New Roman" w:cs="Times New Roman"/>
        </w:rPr>
      </w:pPr>
      <w:r w:rsidRPr="00F512C2">
        <w:rPr>
          <w:rFonts w:ascii="Times New Roman" w:hAnsi="Times New Roman" w:cs="Times New Roman"/>
        </w:rPr>
        <w:t>Appendix</w:t>
      </w:r>
      <w:r w:rsidR="00F3315B" w:rsidRPr="00F512C2">
        <w:rPr>
          <w:rFonts w:ascii="Times New Roman" w:hAnsi="Times New Roman" w:cs="Times New Roman"/>
        </w:rPr>
        <w:t>: Data Sources</w:t>
      </w:r>
      <w:r w:rsidRPr="00F512C2">
        <w:rPr>
          <w:rFonts w:ascii="Times New Roman" w:hAnsi="Times New Roman" w:cs="Times New Roman"/>
        </w:rPr>
        <w:t xml:space="preserve"> </w:t>
      </w:r>
    </w:p>
    <w:p w14:paraId="538D7389" w14:textId="54413019" w:rsidR="00FE31E1" w:rsidRPr="00F512C2" w:rsidRDefault="00FE31E1" w:rsidP="00FE31E1"/>
    <w:p w14:paraId="74963D83" w14:textId="77777777" w:rsidR="00FE31E1" w:rsidRPr="00F512C2" w:rsidRDefault="00FE31E1" w:rsidP="00FE31E1">
      <w:pPr>
        <w:widowControl w:val="0"/>
        <w:ind w:left="720" w:hanging="720"/>
      </w:pPr>
    </w:p>
    <w:p w14:paraId="42C2B643" w14:textId="77777777" w:rsidR="00FE31E1" w:rsidRPr="00F512C2" w:rsidRDefault="00FE31E1" w:rsidP="006745E3">
      <w:pPr>
        <w:pStyle w:val="Heading2"/>
        <w:rPr>
          <w:rFonts w:ascii="Times New Roman" w:hAnsi="Times New Roman" w:cs="Times New Roman"/>
        </w:rPr>
      </w:pPr>
      <w:r w:rsidRPr="00F512C2">
        <w:rPr>
          <w:rFonts w:ascii="Times New Roman" w:hAnsi="Times New Roman" w:cs="Times New Roman"/>
        </w:rPr>
        <w:t>Outsider Policies and Relative Poverty Reduction:</w:t>
      </w:r>
    </w:p>
    <w:p w14:paraId="42D702EE" w14:textId="77777777" w:rsidR="00FE31E1" w:rsidRPr="00F512C2" w:rsidRDefault="00FE31E1" w:rsidP="00FE31E1">
      <w:pPr>
        <w:widowControl w:val="0"/>
      </w:pPr>
    </w:p>
    <w:p w14:paraId="4D982F17" w14:textId="5C1E0555" w:rsidR="00FE31E1" w:rsidRPr="00F512C2" w:rsidRDefault="00FE31E1" w:rsidP="00FE31E1">
      <w:pPr>
        <w:widowControl w:val="0"/>
      </w:pPr>
      <w:r w:rsidRPr="00F512C2">
        <w:rPr>
          <w:i/>
        </w:rPr>
        <w:tab/>
        <w:t>ALMP</w:t>
      </w:r>
      <w:r w:rsidRPr="00F512C2">
        <w:t xml:space="preserve">: OECD </w:t>
      </w:r>
      <w:proofErr w:type="spellStart"/>
      <w:r w:rsidRPr="00F512C2">
        <w:t>iLibrary</w:t>
      </w:r>
      <w:proofErr w:type="spellEnd"/>
      <w:r w:rsidRPr="00F512C2">
        <w:t xml:space="preserve"> (Social Expenditures Data Base). </w:t>
      </w:r>
    </w:p>
    <w:p w14:paraId="62535BE5" w14:textId="77777777" w:rsidR="00FE31E1" w:rsidRPr="00F512C2" w:rsidRDefault="00FE31E1" w:rsidP="00FE31E1">
      <w:pPr>
        <w:widowControl w:val="0"/>
        <w:rPr>
          <w:i/>
        </w:rPr>
      </w:pPr>
    </w:p>
    <w:p w14:paraId="32F95887" w14:textId="7755CFB8" w:rsidR="00FE31E1" w:rsidRPr="00F512C2" w:rsidRDefault="00FE31E1" w:rsidP="00FE31E1">
      <w:pPr>
        <w:widowControl w:val="0"/>
      </w:pPr>
      <w:r w:rsidRPr="00F512C2">
        <w:rPr>
          <w:i/>
        </w:rPr>
        <w:tab/>
        <w:t>Minimum Income Protection for Outsiders</w:t>
      </w:r>
      <w:r w:rsidRPr="00F512C2">
        <w:t xml:space="preserve">: </w:t>
      </w:r>
      <w:r w:rsidR="00F1417E" w:rsidRPr="00F512C2">
        <w:t xml:space="preserve"> </w:t>
      </w:r>
      <w:r w:rsidRPr="00F512C2">
        <w:rPr>
          <w:i/>
        </w:rPr>
        <w:t xml:space="preserve">social protection data </w:t>
      </w:r>
      <w:r w:rsidRPr="00F512C2">
        <w:t xml:space="preserve">from Nelson (2007); </w:t>
      </w:r>
      <w:r w:rsidRPr="00F512C2">
        <w:rPr>
          <w:i/>
        </w:rPr>
        <w:t xml:space="preserve">average production worker’s wage </w:t>
      </w:r>
      <w:r w:rsidRPr="00F512C2">
        <w:t xml:space="preserve">is from Van Vliet &amp; </w:t>
      </w:r>
      <w:proofErr w:type="spellStart"/>
      <w:r w:rsidRPr="00F512C2">
        <w:t>Caminada</w:t>
      </w:r>
      <w:proofErr w:type="spellEnd"/>
      <w:r w:rsidRPr="00F512C2">
        <w:t xml:space="preserve"> (2012)</w:t>
      </w:r>
      <w:r w:rsidR="00176993" w:rsidRPr="00F512C2">
        <w:t>.</w:t>
      </w:r>
    </w:p>
    <w:p w14:paraId="22C601F2" w14:textId="77777777" w:rsidR="00FE31E1" w:rsidRPr="00F512C2" w:rsidRDefault="00FE31E1" w:rsidP="00FE31E1">
      <w:pPr>
        <w:widowControl w:val="0"/>
      </w:pPr>
    </w:p>
    <w:p w14:paraId="21455EA8" w14:textId="1836FB19" w:rsidR="00FE31E1" w:rsidRPr="00F512C2" w:rsidRDefault="00FE31E1" w:rsidP="00FE31E1">
      <w:pPr>
        <w:widowControl w:val="0"/>
        <w:rPr>
          <w:szCs w:val="24"/>
        </w:rPr>
      </w:pPr>
      <w:r w:rsidRPr="00F512C2">
        <w:rPr>
          <w:i/>
          <w:szCs w:val="24"/>
        </w:rPr>
        <w:tab/>
        <w:t xml:space="preserve">Unemployment Benefits for the </w:t>
      </w:r>
      <w:proofErr w:type="gramStart"/>
      <w:r w:rsidRPr="00F512C2">
        <w:rPr>
          <w:i/>
          <w:szCs w:val="24"/>
        </w:rPr>
        <w:t>Low Income</w:t>
      </w:r>
      <w:proofErr w:type="gramEnd"/>
      <w:r w:rsidRPr="00F512C2">
        <w:rPr>
          <w:i/>
          <w:szCs w:val="24"/>
        </w:rPr>
        <w:t xml:space="preserve"> Production Worker</w:t>
      </w:r>
      <w:r w:rsidRPr="00F512C2">
        <w:rPr>
          <w:szCs w:val="24"/>
        </w:rPr>
        <w:t xml:space="preserve">: </w:t>
      </w:r>
      <w:r w:rsidR="00176993" w:rsidRPr="00F512C2">
        <w:rPr>
          <w:szCs w:val="24"/>
        </w:rPr>
        <w:t xml:space="preserve"> </w:t>
      </w:r>
      <w:r w:rsidRPr="00F512C2">
        <w:rPr>
          <w:color w:val="000000"/>
          <w:szCs w:val="24"/>
        </w:rPr>
        <w:t xml:space="preserve">Scruggs, Lyle, Detlef Jahn, and Kati </w:t>
      </w:r>
      <w:proofErr w:type="spellStart"/>
      <w:r w:rsidRPr="00F512C2">
        <w:rPr>
          <w:color w:val="000000"/>
          <w:szCs w:val="24"/>
        </w:rPr>
        <w:t>Kuitto</w:t>
      </w:r>
      <w:proofErr w:type="spellEnd"/>
      <w:r w:rsidRPr="00F512C2">
        <w:rPr>
          <w:color w:val="000000"/>
          <w:szCs w:val="24"/>
        </w:rPr>
        <w:t>. 2017. “Comparative Welfare Entitlements Dataset 2. Version 2017-09.” University of Connecticut &amp; University of Greifswald.</w:t>
      </w:r>
    </w:p>
    <w:p w14:paraId="7D4D2047" w14:textId="77777777" w:rsidR="00FE31E1" w:rsidRPr="00F512C2" w:rsidRDefault="00FE31E1" w:rsidP="00FE31E1">
      <w:pPr>
        <w:widowControl w:val="0"/>
      </w:pPr>
    </w:p>
    <w:p w14:paraId="12DC4E6A" w14:textId="74A8FE58" w:rsidR="00FE31E1" w:rsidRPr="00F512C2" w:rsidRDefault="00FE31E1" w:rsidP="00FE31E1">
      <w:pPr>
        <w:rPr>
          <w:szCs w:val="24"/>
        </w:rPr>
      </w:pPr>
      <w:r w:rsidRPr="00F512C2">
        <w:tab/>
      </w:r>
      <w:r w:rsidRPr="00F512C2">
        <w:rPr>
          <w:i/>
        </w:rPr>
        <w:t>Relative Poverty Reduction</w:t>
      </w:r>
      <w:r w:rsidRPr="00F512C2">
        <w:t xml:space="preserve">: </w:t>
      </w:r>
      <w:r w:rsidRPr="00F512C2">
        <w:rPr>
          <w:szCs w:val="24"/>
          <w:lang w:val="en-CA"/>
        </w:rPr>
        <w:fldChar w:fldCharType="begin"/>
      </w:r>
      <w:r w:rsidRPr="00F512C2">
        <w:rPr>
          <w:szCs w:val="24"/>
          <w:lang w:val="en-CA"/>
        </w:rPr>
        <w:instrText xml:space="preserve"> SEQ CHAPTER \h \r 1</w:instrText>
      </w:r>
      <w:r w:rsidRPr="00F512C2">
        <w:rPr>
          <w:szCs w:val="24"/>
          <w:lang w:val="en-CA"/>
        </w:rPr>
        <w:fldChar w:fldCharType="end"/>
      </w:r>
      <w:r w:rsidRPr="00F512C2">
        <w:rPr>
          <w:szCs w:val="24"/>
        </w:rPr>
        <w:t xml:space="preserve">computed from data in the Luxembourg Income Study nation micro-files. LIS micro-files available at </w:t>
      </w:r>
      <w:hyperlink r:id="rId12" w:history="1">
        <w:r w:rsidRPr="00F512C2">
          <w:rPr>
            <w:color w:val="0000FF"/>
            <w:szCs w:val="24"/>
            <w:u w:val="single"/>
          </w:rPr>
          <w:t>http://www.lisdatacenter.org/our-data/lis-database/</w:t>
        </w:r>
      </w:hyperlink>
      <w:r w:rsidRPr="00F512C2">
        <w:rPr>
          <w:szCs w:val="24"/>
        </w:rPr>
        <w:t xml:space="preserve"> (Microdata accessed during March and April 2013). </w:t>
      </w:r>
    </w:p>
    <w:p w14:paraId="28B8ED7C" w14:textId="77777777" w:rsidR="00FE31E1" w:rsidRPr="00F512C2" w:rsidRDefault="00FE31E1" w:rsidP="00FE31E1">
      <w:pPr>
        <w:widowControl w:val="0"/>
        <w:rPr>
          <w:i/>
        </w:rPr>
      </w:pPr>
    </w:p>
    <w:p w14:paraId="597B71A2" w14:textId="77777777" w:rsidR="00FE31E1" w:rsidRPr="00F512C2" w:rsidRDefault="00FE31E1" w:rsidP="003C24AD">
      <w:pPr>
        <w:pStyle w:val="Heading2"/>
        <w:rPr>
          <w:rFonts w:ascii="Times New Roman" w:hAnsi="Times New Roman" w:cs="Times New Roman"/>
        </w:rPr>
      </w:pPr>
      <w:r w:rsidRPr="00F512C2">
        <w:rPr>
          <w:rFonts w:ascii="Times New Roman" w:hAnsi="Times New Roman" w:cs="Times New Roman"/>
        </w:rPr>
        <w:t>Politics:</w:t>
      </w:r>
    </w:p>
    <w:p w14:paraId="6FC3278B" w14:textId="77777777" w:rsidR="00FE31E1" w:rsidRPr="00F512C2" w:rsidRDefault="00FE31E1" w:rsidP="00FE31E1">
      <w:pPr>
        <w:widowControl w:val="0"/>
      </w:pPr>
    </w:p>
    <w:p w14:paraId="2CD0FB94" w14:textId="6C1742DA" w:rsidR="00FE31E1" w:rsidRPr="00F512C2" w:rsidRDefault="00FE31E1" w:rsidP="00FE31E1">
      <w:pPr>
        <w:widowControl w:val="0"/>
      </w:pPr>
      <w:r w:rsidRPr="00F512C2">
        <w:rPr>
          <w:i/>
        </w:rPr>
        <w:tab/>
        <w:t>The Wage Position of the Median Wage Earner (90/50 to 50/10 Ratios)</w:t>
      </w:r>
      <w:r w:rsidRPr="00F512C2">
        <w:t xml:space="preserve">: OECD </w:t>
      </w:r>
      <w:proofErr w:type="spellStart"/>
      <w:r w:rsidRPr="00F512C2">
        <w:t>iLibrary</w:t>
      </w:r>
      <w:proofErr w:type="spellEnd"/>
      <w:r w:rsidRPr="00F512C2">
        <w:t xml:space="preserve"> (Earnings Data Base).</w:t>
      </w:r>
    </w:p>
    <w:p w14:paraId="68502ECF" w14:textId="77777777" w:rsidR="00FE31E1" w:rsidRPr="00F512C2" w:rsidRDefault="00FE31E1" w:rsidP="00FE31E1">
      <w:pPr>
        <w:widowControl w:val="0"/>
        <w:rPr>
          <w:i/>
        </w:rPr>
      </w:pPr>
    </w:p>
    <w:p w14:paraId="6720B76E" w14:textId="536CA373" w:rsidR="00FE31E1" w:rsidRPr="00F512C2" w:rsidRDefault="00FE31E1" w:rsidP="00FE31E1">
      <w:pPr>
        <w:widowControl w:val="0"/>
      </w:pPr>
      <w:r w:rsidRPr="00F512C2">
        <w:rPr>
          <w:i/>
        </w:rPr>
        <w:tab/>
        <w:t>Party Government-Ideological Position</w:t>
      </w:r>
      <w:r w:rsidRPr="00F512C2">
        <w:t xml:space="preserve">: Party Manifesto Data Collection project as described in in A. </w:t>
      </w:r>
      <w:proofErr w:type="spellStart"/>
      <w:r w:rsidRPr="00F512C2">
        <w:t>Volkens</w:t>
      </w:r>
      <w:proofErr w:type="spellEnd"/>
      <w:r w:rsidRPr="00F512C2">
        <w:t xml:space="preserve"> (2013). </w:t>
      </w:r>
    </w:p>
    <w:p w14:paraId="6D29D6F1" w14:textId="77777777" w:rsidR="00FE31E1" w:rsidRPr="00F512C2" w:rsidRDefault="00FE31E1" w:rsidP="00FE31E1">
      <w:pPr>
        <w:widowControl w:val="0"/>
      </w:pPr>
    </w:p>
    <w:p w14:paraId="7927CF89" w14:textId="6B8C4298" w:rsidR="00FE31E1" w:rsidRPr="00F512C2" w:rsidRDefault="00FE31E1" w:rsidP="00FE31E1">
      <w:pPr>
        <w:widowControl w:val="0"/>
      </w:pPr>
      <w:r w:rsidRPr="00F512C2">
        <w:rPr>
          <w:i/>
        </w:rPr>
        <w:tab/>
        <w:t>Party Government-Cabinet Portfolios</w:t>
      </w:r>
      <w:r w:rsidRPr="00F512C2">
        <w:t>:</w:t>
      </w:r>
      <w:r w:rsidR="00A56CA3" w:rsidRPr="00F512C2">
        <w:t xml:space="preserve"> Duane Swank, “Comparative Parties Dataset,” </w:t>
      </w:r>
      <w:hyperlink r:id="rId13" w:history="1">
        <w:r w:rsidRPr="00F512C2">
          <w:rPr>
            <w:rStyle w:val="Hyperlink"/>
          </w:rPr>
          <w:t>http://www.marquette.edu/polisci/faculty_swank.shtml</w:t>
        </w:r>
      </w:hyperlink>
      <w:r w:rsidRPr="00F512C2">
        <w:t xml:space="preserve">. </w:t>
      </w:r>
    </w:p>
    <w:p w14:paraId="0751C1DE" w14:textId="77777777" w:rsidR="00FE31E1" w:rsidRPr="00F512C2" w:rsidRDefault="00FE31E1" w:rsidP="00FE31E1">
      <w:pPr>
        <w:widowControl w:val="0"/>
      </w:pPr>
    </w:p>
    <w:p w14:paraId="6687284E" w14:textId="18FE406E" w:rsidR="00FE31E1" w:rsidRPr="00F512C2" w:rsidRDefault="00FE31E1" w:rsidP="00FE31E1">
      <w:pPr>
        <w:widowControl w:val="0"/>
      </w:pPr>
      <w:r w:rsidRPr="00F512C2">
        <w:rPr>
          <w:i/>
        </w:rPr>
        <w:tab/>
        <w:t>Union Organization</w:t>
      </w:r>
      <w:r w:rsidRPr="00F512C2">
        <w:t>: All variables are from Visser (2013).</w:t>
      </w:r>
    </w:p>
    <w:p w14:paraId="6A221D30" w14:textId="77777777" w:rsidR="00FE31E1" w:rsidRPr="00F512C2" w:rsidRDefault="00FE31E1" w:rsidP="00FE31E1">
      <w:pPr>
        <w:widowControl w:val="0"/>
      </w:pPr>
    </w:p>
    <w:p w14:paraId="02F3CC4A" w14:textId="298592D8" w:rsidR="00FE31E1" w:rsidRPr="00F512C2" w:rsidRDefault="00FE31E1" w:rsidP="001B4A3C">
      <w:pPr>
        <w:widowControl w:val="0"/>
      </w:pPr>
      <w:r w:rsidRPr="00F512C2">
        <w:rPr>
          <w:i/>
        </w:rPr>
        <w:tab/>
        <w:t>Employer Organization</w:t>
      </w:r>
      <w:r w:rsidRPr="00F512C2">
        <w:rPr>
          <w:b/>
        </w:rPr>
        <w:t xml:space="preserve">: </w:t>
      </w:r>
      <w:r w:rsidRPr="00F512C2">
        <w:t xml:space="preserve">Data for 1955-1992: Golden, Wallerstein, and Lange (2009); for 1993-1997: Traxler, </w:t>
      </w:r>
      <w:proofErr w:type="spellStart"/>
      <w:r w:rsidRPr="00F512C2">
        <w:t>Blaschke</w:t>
      </w:r>
      <w:proofErr w:type="spellEnd"/>
      <w:r w:rsidRPr="00F512C2">
        <w:t>, and Kittel (2001); for late 1990s-2010: Traxler and Humer (2007), country specific sources and labor and industrial relations periodicals.</w:t>
      </w:r>
    </w:p>
    <w:p w14:paraId="5DF0EBAD" w14:textId="77777777" w:rsidR="00FE31E1" w:rsidRPr="00F512C2" w:rsidRDefault="00FE31E1" w:rsidP="00FE31E1">
      <w:pPr>
        <w:widowControl w:val="0"/>
        <w:ind w:left="720"/>
      </w:pPr>
      <w:r w:rsidRPr="00F512C2">
        <w:t xml:space="preserve"> </w:t>
      </w:r>
    </w:p>
    <w:p w14:paraId="6D3EFB4F" w14:textId="660BB1F5" w:rsidR="00FE31E1" w:rsidRPr="00F512C2" w:rsidRDefault="00FE31E1" w:rsidP="00FE31E1">
      <w:pPr>
        <w:widowControl w:val="0"/>
      </w:pPr>
    </w:p>
    <w:p w14:paraId="243BEED3" w14:textId="77777777" w:rsidR="00FE31E1" w:rsidRPr="00F512C2" w:rsidRDefault="00FE31E1" w:rsidP="003C24AD">
      <w:pPr>
        <w:pStyle w:val="Heading2"/>
        <w:rPr>
          <w:rFonts w:ascii="Times New Roman" w:hAnsi="Times New Roman" w:cs="Times New Roman"/>
        </w:rPr>
      </w:pPr>
      <w:r w:rsidRPr="00F512C2">
        <w:rPr>
          <w:rFonts w:ascii="Times New Roman" w:hAnsi="Times New Roman" w:cs="Times New Roman"/>
        </w:rPr>
        <w:t>Post-industrialization, Business Cycles, and Needs:</w:t>
      </w:r>
    </w:p>
    <w:p w14:paraId="2A45E880" w14:textId="77777777" w:rsidR="00FE31E1" w:rsidRPr="00F512C2" w:rsidRDefault="00FE31E1" w:rsidP="00FE31E1">
      <w:pPr>
        <w:widowControl w:val="0"/>
        <w:rPr>
          <w:i/>
        </w:rPr>
      </w:pPr>
    </w:p>
    <w:p w14:paraId="2BB412AE" w14:textId="77777777" w:rsidR="00F72427" w:rsidRPr="00F512C2" w:rsidRDefault="00F72427" w:rsidP="00F72427">
      <w:pPr>
        <w:widowControl w:val="0"/>
        <w:tabs>
          <w:tab w:val="left" w:pos="720"/>
        </w:tabs>
        <w:ind w:left="720" w:hanging="720"/>
      </w:pPr>
      <w:r w:rsidRPr="00F512C2">
        <w:rPr>
          <w:i/>
        </w:rPr>
        <w:tab/>
      </w:r>
      <w:r w:rsidR="00FE31E1" w:rsidRPr="00F512C2">
        <w:rPr>
          <w:i/>
        </w:rPr>
        <w:t>International Capital Mobility</w:t>
      </w:r>
      <w:r w:rsidR="00FE31E1" w:rsidRPr="00F512C2">
        <w:t xml:space="preserve">: data from Dennis </w:t>
      </w:r>
      <w:proofErr w:type="spellStart"/>
      <w:proofErr w:type="gramStart"/>
      <w:r w:rsidR="00FE31E1" w:rsidRPr="00F512C2">
        <w:t>Quinn,Graduate</w:t>
      </w:r>
      <w:proofErr w:type="spellEnd"/>
      <w:proofErr w:type="gramEnd"/>
      <w:r w:rsidR="00FE31E1" w:rsidRPr="00F512C2">
        <w:t xml:space="preserve"> School of Business,</w:t>
      </w:r>
    </w:p>
    <w:p w14:paraId="12DD680C" w14:textId="765811E9" w:rsidR="00FE31E1" w:rsidRPr="00F512C2" w:rsidRDefault="00FE31E1" w:rsidP="00F72427">
      <w:pPr>
        <w:widowControl w:val="0"/>
        <w:tabs>
          <w:tab w:val="left" w:pos="720"/>
        </w:tabs>
        <w:ind w:left="720" w:hanging="720"/>
      </w:pPr>
      <w:r w:rsidRPr="00F512C2">
        <w:t>Georgetown University.</w:t>
      </w:r>
    </w:p>
    <w:p w14:paraId="52ED5F23" w14:textId="77777777" w:rsidR="00FE31E1" w:rsidRPr="00F512C2" w:rsidRDefault="00FE31E1" w:rsidP="00FE31E1">
      <w:pPr>
        <w:widowControl w:val="0"/>
        <w:ind w:left="720" w:hanging="720"/>
        <w:rPr>
          <w:i/>
        </w:rPr>
      </w:pPr>
    </w:p>
    <w:p w14:paraId="5E5F95E4" w14:textId="5694E9F0" w:rsidR="00FE31E1" w:rsidRPr="00F512C2" w:rsidRDefault="00FE31E1" w:rsidP="00AE41DE">
      <w:pPr>
        <w:widowControl w:val="0"/>
        <w:ind w:firstLine="720"/>
      </w:pPr>
      <w:r w:rsidRPr="00F512C2">
        <w:rPr>
          <w:i/>
        </w:rPr>
        <w:t>Trade Openness</w:t>
      </w:r>
      <w:r w:rsidRPr="00F512C2">
        <w:t xml:space="preserve">: components from OECD </w:t>
      </w:r>
      <w:proofErr w:type="spellStart"/>
      <w:r w:rsidRPr="00F512C2">
        <w:rPr>
          <w:i/>
        </w:rPr>
        <w:t>iLibrary</w:t>
      </w:r>
      <w:proofErr w:type="spellEnd"/>
      <w:r w:rsidRPr="00F512C2">
        <w:t xml:space="preserve">. </w:t>
      </w:r>
    </w:p>
    <w:p w14:paraId="140641D8" w14:textId="77777777" w:rsidR="00FE31E1" w:rsidRPr="00F512C2" w:rsidRDefault="00FE31E1" w:rsidP="00FE31E1">
      <w:pPr>
        <w:widowControl w:val="0"/>
        <w:rPr>
          <w:i/>
        </w:rPr>
      </w:pPr>
    </w:p>
    <w:p w14:paraId="4F18B22A" w14:textId="29DF85B0" w:rsidR="00FE31E1" w:rsidRPr="00F512C2" w:rsidRDefault="00FE31E1" w:rsidP="00FE31E1">
      <w:pPr>
        <w:widowControl w:val="0"/>
      </w:pPr>
      <w:r w:rsidRPr="00F512C2">
        <w:rPr>
          <w:i/>
        </w:rPr>
        <w:tab/>
        <w:t>FDI Outflows</w:t>
      </w:r>
      <w:r w:rsidRPr="00F512C2">
        <w:t xml:space="preserve">: International Monetary Fund (selected years b); GDP: OECD </w:t>
      </w:r>
      <w:proofErr w:type="spellStart"/>
      <w:r w:rsidRPr="00F512C2">
        <w:t>iLibrary</w:t>
      </w:r>
      <w:proofErr w:type="spellEnd"/>
      <w:r w:rsidRPr="00F512C2">
        <w:t xml:space="preserve"> (National Accounts).</w:t>
      </w:r>
    </w:p>
    <w:p w14:paraId="0177E607" w14:textId="77777777" w:rsidR="00FE31E1" w:rsidRPr="00F512C2" w:rsidRDefault="00FE31E1" w:rsidP="00FE31E1">
      <w:pPr>
        <w:widowControl w:val="0"/>
        <w:rPr>
          <w:i/>
        </w:rPr>
      </w:pPr>
    </w:p>
    <w:p w14:paraId="6FC05C2D" w14:textId="7F18812F" w:rsidR="00FE31E1" w:rsidRPr="00F512C2" w:rsidRDefault="00FE31E1" w:rsidP="00FE31E1">
      <w:pPr>
        <w:widowControl w:val="0"/>
      </w:pPr>
      <w:r w:rsidRPr="00F512C2">
        <w:rPr>
          <w:i/>
        </w:rPr>
        <w:tab/>
        <w:t>Technological Change</w:t>
      </w:r>
      <w:r w:rsidRPr="00F512C2">
        <w:t xml:space="preserve">: </w:t>
      </w:r>
      <w:r w:rsidRPr="00F512C2">
        <w:rPr>
          <w:i/>
        </w:rPr>
        <w:t>Patents</w:t>
      </w:r>
      <w:r w:rsidRPr="00F512C2">
        <w:t xml:space="preserve">: OECD </w:t>
      </w:r>
      <w:proofErr w:type="spellStart"/>
      <w:r w:rsidRPr="00F512C2">
        <w:t>iLibrary</w:t>
      </w:r>
      <w:proofErr w:type="spellEnd"/>
      <w:r w:rsidRPr="00F512C2">
        <w:t xml:space="preserve"> (Patent Statistics Database).</w:t>
      </w:r>
      <w:r w:rsidRPr="00F512C2">
        <w:rPr>
          <w:i/>
        </w:rPr>
        <w:t xml:space="preserve"> Population</w:t>
      </w:r>
      <w:r w:rsidRPr="00F512C2">
        <w:t xml:space="preserve">: OECD </w:t>
      </w:r>
      <w:proofErr w:type="spellStart"/>
      <w:r w:rsidRPr="00F512C2">
        <w:t>iLibrary</w:t>
      </w:r>
      <w:proofErr w:type="spellEnd"/>
      <w:r w:rsidRPr="00F512C2">
        <w:t xml:space="preserve"> (Employment and Labor Market Statistics Data Base).</w:t>
      </w:r>
    </w:p>
    <w:p w14:paraId="419D2F0C" w14:textId="77777777" w:rsidR="00FE31E1" w:rsidRPr="00F512C2" w:rsidRDefault="00FE31E1" w:rsidP="00FE31E1">
      <w:pPr>
        <w:widowControl w:val="0"/>
      </w:pPr>
    </w:p>
    <w:p w14:paraId="4622B8C0" w14:textId="0B3B6161" w:rsidR="00FE31E1" w:rsidRPr="00F512C2" w:rsidRDefault="00FE31E1" w:rsidP="00FE31E1">
      <w:pPr>
        <w:widowControl w:val="0"/>
      </w:pPr>
      <w:r w:rsidRPr="00F512C2">
        <w:tab/>
      </w:r>
      <w:r w:rsidRPr="00F512C2">
        <w:rPr>
          <w:i/>
        </w:rPr>
        <w:t>Deindustrialization</w:t>
      </w:r>
      <w:r w:rsidRPr="00F512C2">
        <w:t xml:space="preserve">: OECD </w:t>
      </w:r>
      <w:proofErr w:type="spellStart"/>
      <w:r w:rsidRPr="00F512C2">
        <w:t>iLibrary</w:t>
      </w:r>
      <w:proofErr w:type="spellEnd"/>
      <w:r w:rsidRPr="00F512C2">
        <w:t>, (Employment and Labor Market Statistics Data Base).</w:t>
      </w:r>
    </w:p>
    <w:p w14:paraId="3D166BFA" w14:textId="77777777" w:rsidR="00FE31E1" w:rsidRPr="00F512C2" w:rsidRDefault="00FE31E1" w:rsidP="00FE31E1">
      <w:pPr>
        <w:widowControl w:val="0"/>
      </w:pPr>
    </w:p>
    <w:p w14:paraId="20392193" w14:textId="00138781" w:rsidR="00FE31E1" w:rsidRPr="00F512C2" w:rsidRDefault="00FE31E1" w:rsidP="00FE31E1">
      <w:pPr>
        <w:widowControl w:val="0"/>
      </w:pPr>
      <w:r w:rsidRPr="00F512C2">
        <w:tab/>
      </w:r>
      <w:r w:rsidRPr="00F512C2">
        <w:rPr>
          <w:i/>
        </w:rPr>
        <w:t>Unemployment</w:t>
      </w:r>
      <w:r w:rsidRPr="00F512C2">
        <w:t xml:space="preserve">: OECD </w:t>
      </w:r>
      <w:proofErr w:type="spellStart"/>
      <w:proofErr w:type="gramStart"/>
      <w:r w:rsidRPr="00F512C2">
        <w:t>iLibrary</w:t>
      </w:r>
      <w:proofErr w:type="spellEnd"/>
      <w:r w:rsidRPr="00F512C2">
        <w:t>,(</w:t>
      </w:r>
      <w:proofErr w:type="gramEnd"/>
      <w:r w:rsidRPr="00F512C2">
        <w:t xml:space="preserve">Employment and Labor Market Statistics Data Base). </w:t>
      </w:r>
    </w:p>
    <w:p w14:paraId="4AC9D061" w14:textId="77777777" w:rsidR="00FE31E1" w:rsidRPr="00F512C2" w:rsidRDefault="00FE31E1" w:rsidP="00FE31E1">
      <w:pPr>
        <w:widowControl w:val="0"/>
      </w:pPr>
    </w:p>
    <w:p w14:paraId="3B4BFA1F" w14:textId="794B28AE" w:rsidR="00FE31E1" w:rsidRPr="00F512C2" w:rsidRDefault="00FE31E1" w:rsidP="00FE31E1">
      <w:pPr>
        <w:widowControl w:val="0"/>
      </w:pPr>
      <w:r w:rsidRPr="00F512C2">
        <w:tab/>
      </w:r>
      <w:r w:rsidRPr="00F512C2">
        <w:rPr>
          <w:i/>
        </w:rPr>
        <w:t xml:space="preserve">Per Capita Real GDP </w:t>
      </w:r>
      <w:r w:rsidRPr="00F512C2">
        <w:t>in International Prices</w:t>
      </w:r>
      <w:r w:rsidR="005350F2" w:rsidRPr="00F512C2">
        <w:t xml:space="preserve">: </w:t>
      </w:r>
      <w:r w:rsidRPr="00F512C2">
        <w:t>Heston, Summers, and Aten (2012)</w:t>
      </w:r>
    </w:p>
    <w:p w14:paraId="355021A1" w14:textId="1946E67B" w:rsidR="00A9098E" w:rsidRPr="00F512C2" w:rsidRDefault="00A9098E">
      <w:pPr>
        <w:spacing w:after="200" w:line="276" w:lineRule="auto"/>
        <w:rPr>
          <w:szCs w:val="24"/>
        </w:rPr>
      </w:pPr>
      <w:r w:rsidRPr="00F512C2">
        <w:rPr>
          <w:szCs w:val="24"/>
        </w:rPr>
        <w:br w:type="page"/>
      </w:r>
    </w:p>
    <w:p w14:paraId="6473F22A" w14:textId="77777777" w:rsidR="00AC1AA3" w:rsidRPr="00F512C2" w:rsidRDefault="00AC1AA3" w:rsidP="00BB4172">
      <w:pPr>
        <w:pStyle w:val="Heading1"/>
        <w:rPr>
          <w:rFonts w:ascii="Times New Roman" w:hAnsi="Times New Roman" w:cs="Times New Roman"/>
        </w:rPr>
      </w:pPr>
      <w:r w:rsidRPr="00F512C2">
        <w:rPr>
          <w:rFonts w:ascii="Times New Roman" w:hAnsi="Times New Roman" w:cs="Times New Roman"/>
        </w:rPr>
        <w:t>REFERENCES</w:t>
      </w:r>
    </w:p>
    <w:p w14:paraId="4F1E23B4" w14:textId="77777777" w:rsidR="00AC1AA3" w:rsidRPr="00F512C2" w:rsidRDefault="00AC1AA3" w:rsidP="00AC1AA3">
      <w:pPr>
        <w:widowControl w:val="0"/>
        <w:rPr>
          <w:b/>
        </w:rPr>
      </w:pPr>
    </w:p>
    <w:p w14:paraId="447D408A" w14:textId="3D573B03" w:rsidR="005B59E1" w:rsidRPr="00F512C2" w:rsidRDefault="005B59E1" w:rsidP="005B59E1">
      <w:pPr>
        <w:ind w:left="720" w:hanging="720"/>
        <w:rPr>
          <w:szCs w:val="24"/>
        </w:rPr>
      </w:pPr>
      <w:proofErr w:type="spellStart"/>
      <w:r w:rsidRPr="00F512C2">
        <w:rPr>
          <w:szCs w:val="24"/>
        </w:rPr>
        <w:t>Armingeon</w:t>
      </w:r>
      <w:proofErr w:type="spellEnd"/>
      <w:r w:rsidR="00117AED" w:rsidRPr="00F512C2">
        <w:rPr>
          <w:szCs w:val="24"/>
        </w:rPr>
        <w:t xml:space="preserve">, Klaus </w:t>
      </w:r>
      <w:r w:rsidRPr="00F512C2">
        <w:rPr>
          <w:szCs w:val="24"/>
        </w:rPr>
        <w:t>and G</w:t>
      </w:r>
      <w:r w:rsidR="00CC3E54" w:rsidRPr="00F512C2">
        <w:rPr>
          <w:szCs w:val="24"/>
        </w:rPr>
        <w:t>iuliano</w:t>
      </w:r>
      <w:r w:rsidRPr="00F512C2">
        <w:rPr>
          <w:szCs w:val="24"/>
        </w:rPr>
        <w:t xml:space="preserve"> </w:t>
      </w:r>
      <w:proofErr w:type="spellStart"/>
      <w:r w:rsidRPr="00F512C2">
        <w:rPr>
          <w:szCs w:val="24"/>
        </w:rPr>
        <w:t>Bonoli</w:t>
      </w:r>
      <w:proofErr w:type="spellEnd"/>
      <w:r w:rsidRPr="00F512C2">
        <w:rPr>
          <w:szCs w:val="24"/>
        </w:rPr>
        <w:t xml:space="preserve"> eds.</w:t>
      </w:r>
      <w:r w:rsidR="006E57CA" w:rsidRPr="00F512C2">
        <w:rPr>
          <w:szCs w:val="24"/>
        </w:rPr>
        <w:t>2006.</w:t>
      </w:r>
      <w:r w:rsidRPr="00F512C2">
        <w:rPr>
          <w:i/>
          <w:iCs/>
          <w:szCs w:val="24"/>
        </w:rPr>
        <w:t xml:space="preserve"> The Politics of Post-Industrial Welfare States: Adapting Post-war Social Policies to New Social Risks</w:t>
      </w:r>
      <w:r w:rsidR="00C96221" w:rsidRPr="00F512C2">
        <w:rPr>
          <w:szCs w:val="24"/>
        </w:rPr>
        <w:t>.</w:t>
      </w:r>
      <w:r w:rsidRPr="00F512C2">
        <w:rPr>
          <w:szCs w:val="24"/>
        </w:rPr>
        <w:t xml:space="preserve"> London: Routledge.</w:t>
      </w:r>
    </w:p>
    <w:p w14:paraId="46658BFD" w14:textId="1800A1FF" w:rsidR="005B59E1" w:rsidRPr="00F512C2" w:rsidRDefault="005B59E1" w:rsidP="00AC1AA3">
      <w:pPr>
        <w:ind w:left="720" w:hanging="720"/>
        <w:rPr>
          <w:szCs w:val="24"/>
        </w:rPr>
      </w:pPr>
    </w:p>
    <w:p w14:paraId="111E2A6C" w14:textId="10FAF215" w:rsidR="00AC1AA3" w:rsidRPr="00F512C2" w:rsidRDefault="00AC1AA3" w:rsidP="00AC1AA3">
      <w:pPr>
        <w:ind w:left="720" w:hanging="720"/>
        <w:rPr>
          <w:szCs w:val="24"/>
        </w:rPr>
      </w:pPr>
      <w:r w:rsidRPr="00F512C2">
        <w:rPr>
          <w:szCs w:val="24"/>
        </w:rPr>
        <w:t>Arndt, C</w:t>
      </w:r>
      <w:r w:rsidR="006016BA" w:rsidRPr="00F512C2">
        <w:rPr>
          <w:szCs w:val="24"/>
        </w:rPr>
        <w:t>hristopher</w:t>
      </w:r>
      <w:r w:rsidRPr="00F512C2">
        <w:rPr>
          <w:szCs w:val="24"/>
        </w:rPr>
        <w:t xml:space="preserve"> and </w:t>
      </w:r>
      <w:r w:rsidR="00605D37" w:rsidRPr="00F512C2">
        <w:rPr>
          <w:szCs w:val="24"/>
        </w:rPr>
        <w:t>Line</w:t>
      </w:r>
      <w:r w:rsidRPr="00F512C2">
        <w:rPr>
          <w:szCs w:val="24"/>
        </w:rPr>
        <w:t xml:space="preserve"> </w:t>
      </w:r>
      <w:proofErr w:type="spellStart"/>
      <w:r w:rsidRPr="00F512C2">
        <w:rPr>
          <w:szCs w:val="24"/>
        </w:rPr>
        <w:t>Rennwold</w:t>
      </w:r>
      <w:proofErr w:type="spellEnd"/>
      <w:r w:rsidRPr="00F512C2">
        <w:rPr>
          <w:szCs w:val="24"/>
        </w:rPr>
        <w:t xml:space="preserve"> (2016), “Union members at the polls in diverse trade union landscapes</w:t>
      </w:r>
      <w:r w:rsidR="00605D37" w:rsidRPr="00F512C2">
        <w:rPr>
          <w:szCs w:val="24"/>
        </w:rPr>
        <w:t>.</w:t>
      </w:r>
      <w:r w:rsidRPr="00F512C2">
        <w:rPr>
          <w:szCs w:val="24"/>
        </w:rPr>
        <w:t xml:space="preserve">” </w:t>
      </w:r>
      <w:r w:rsidRPr="00F512C2">
        <w:rPr>
          <w:i/>
          <w:szCs w:val="24"/>
        </w:rPr>
        <w:t>European Journal of Political Research</w:t>
      </w:r>
      <w:r w:rsidRPr="00F512C2">
        <w:rPr>
          <w:szCs w:val="24"/>
        </w:rPr>
        <w:t xml:space="preserve"> 55</w:t>
      </w:r>
      <w:r w:rsidR="00605D37" w:rsidRPr="00F512C2">
        <w:rPr>
          <w:szCs w:val="24"/>
        </w:rPr>
        <w:t xml:space="preserve"> (4):</w:t>
      </w:r>
      <w:r w:rsidRPr="00F512C2">
        <w:rPr>
          <w:szCs w:val="24"/>
        </w:rPr>
        <w:t xml:space="preserve"> 702-722.</w:t>
      </w:r>
    </w:p>
    <w:p w14:paraId="4D4E3C2A" w14:textId="77777777" w:rsidR="00AC1AA3" w:rsidRPr="00F512C2" w:rsidRDefault="00AC1AA3" w:rsidP="00AC1AA3">
      <w:pPr>
        <w:ind w:left="720" w:hanging="720"/>
        <w:rPr>
          <w:szCs w:val="24"/>
        </w:rPr>
      </w:pPr>
    </w:p>
    <w:p w14:paraId="19241779" w14:textId="77777777" w:rsidR="00AC1AA3" w:rsidRPr="00F512C2" w:rsidRDefault="00AC1AA3" w:rsidP="00AC1AA3">
      <w:pPr>
        <w:widowControl w:val="0"/>
        <w:ind w:left="720" w:hanging="720"/>
      </w:pPr>
      <w:r w:rsidRPr="00F512C2">
        <w:t xml:space="preserve">Beck, N. and J. Katz (1996), ‘Nuisance versus substance: Specifying and estimating time-series-cross-section models,’ </w:t>
      </w:r>
      <w:r w:rsidRPr="00F512C2">
        <w:rPr>
          <w:i/>
        </w:rPr>
        <w:t>Political Analysis</w:t>
      </w:r>
      <w:r w:rsidRPr="00F512C2">
        <w:t xml:space="preserve"> 6, 1-36.</w:t>
      </w:r>
    </w:p>
    <w:p w14:paraId="18A5475D" w14:textId="77777777" w:rsidR="00AC1AA3" w:rsidRPr="00F512C2" w:rsidRDefault="00AC1AA3" w:rsidP="00AC1AA3">
      <w:pPr>
        <w:widowControl w:val="0"/>
      </w:pPr>
    </w:p>
    <w:p w14:paraId="11E5888B" w14:textId="47AA6973" w:rsidR="00B804E3" w:rsidRPr="00F512C2" w:rsidRDefault="00AC1AA3" w:rsidP="00B804E3">
      <w:pPr>
        <w:widowControl w:val="0"/>
        <w:ind w:left="720" w:hanging="720"/>
      </w:pPr>
      <w:proofErr w:type="spellStart"/>
      <w:r w:rsidRPr="00F512C2">
        <w:t>Beramendi</w:t>
      </w:r>
      <w:proofErr w:type="spellEnd"/>
      <w:r w:rsidRPr="00F512C2">
        <w:t xml:space="preserve">, </w:t>
      </w:r>
      <w:r w:rsidR="00B804E3" w:rsidRPr="00F512C2">
        <w:t xml:space="preserve">Pablo, </w:t>
      </w:r>
      <w:proofErr w:type="spellStart"/>
      <w:r w:rsidR="00B804E3" w:rsidRPr="00F512C2">
        <w:t>S</w:t>
      </w:r>
      <w:r w:rsidR="008F3672" w:rsidRPr="00F512C2">
        <w:t>ilja</w:t>
      </w:r>
      <w:proofErr w:type="spellEnd"/>
      <w:r w:rsidR="00B804E3" w:rsidRPr="00F512C2">
        <w:t xml:space="preserve"> </w:t>
      </w:r>
      <w:proofErr w:type="spellStart"/>
      <w:r w:rsidR="00B804E3" w:rsidRPr="00F512C2">
        <w:t>Häusermann</w:t>
      </w:r>
      <w:proofErr w:type="spellEnd"/>
      <w:r w:rsidR="00B804E3" w:rsidRPr="00F512C2">
        <w:t xml:space="preserve">, Herbert </w:t>
      </w:r>
      <w:proofErr w:type="spellStart"/>
      <w:r w:rsidR="00B804E3" w:rsidRPr="00F512C2">
        <w:t>Kitschelt</w:t>
      </w:r>
      <w:proofErr w:type="spellEnd"/>
      <w:r w:rsidR="00B804E3" w:rsidRPr="00F512C2">
        <w:t xml:space="preserve">, and </w:t>
      </w:r>
      <w:proofErr w:type="spellStart"/>
      <w:r w:rsidR="00B804E3" w:rsidRPr="00F512C2">
        <w:t>Hanspeter</w:t>
      </w:r>
      <w:proofErr w:type="spellEnd"/>
      <w:r w:rsidR="00B804E3" w:rsidRPr="00F512C2">
        <w:t xml:space="preserve"> </w:t>
      </w:r>
      <w:proofErr w:type="spellStart"/>
      <w:r w:rsidR="00B804E3" w:rsidRPr="00F512C2">
        <w:t>Kriesi</w:t>
      </w:r>
      <w:proofErr w:type="spellEnd"/>
      <w:r w:rsidR="008F3672" w:rsidRPr="00F512C2">
        <w:t>,</w:t>
      </w:r>
      <w:r w:rsidR="00B804E3" w:rsidRPr="00F512C2">
        <w:t xml:space="preserve"> eds.</w:t>
      </w:r>
      <w:r w:rsidR="008F3672" w:rsidRPr="00F512C2">
        <w:t xml:space="preserve"> 2015.</w:t>
      </w:r>
      <w:r w:rsidR="00B804E3" w:rsidRPr="00F512C2">
        <w:t xml:space="preserve"> </w:t>
      </w:r>
      <w:r w:rsidR="00B804E3" w:rsidRPr="00F512C2">
        <w:rPr>
          <w:i/>
        </w:rPr>
        <w:t>The Politics of Advanced Capitalism</w:t>
      </w:r>
      <w:r w:rsidR="00B804E3" w:rsidRPr="00F512C2">
        <w:t>, New York: Cambridge University Press.</w:t>
      </w:r>
    </w:p>
    <w:p w14:paraId="073C5CEF" w14:textId="77777777" w:rsidR="00B804E3" w:rsidRPr="00F512C2" w:rsidRDefault="00B804E3" w:rsidP="00B804E3">
      <w:pPr>
        <w:widowControl w:val="0"/>
        <w:ind w:left="720" w:hanging="720"/>
      </w:pPr>
    </w:p>
    <w:p w14:paraId="10617755" w14:textId="77777777" w:rsidR="00A80E01" w:rsidRPr="00F512C2" w:rsidRDefault="00AC1AA3" w:rsidP="00A80E01">
      <w:pPr>
        <w:widowControl w:val="0"/>
        <w:ind w:left="720" w:hanging="720"/>
      </w:pPr>
      <w:r w:rsidRPr="00F512C2">
        <w:t>Becher, M</w:t>
      </w:r>
      <w:r w:rsidR="008A54F5" w:rsidRPr="00F512C2">
        <w:t>ichael</w:t>
      </w:r>
      <w:r w:rsidRPr="00F512C2">
        <w:t xml:space="preserve"> and J</w:t>
      </w:r>
      <w:r w:rsidR="008A54F5" w:rsidRPr="00F512C2">
        <w:t>onas</w:t>
      </w:r>
      <w:r w:rsidRPr="00F512C2">
        <w:t xml:space="preserve"> </w:t>
      </w:r>
      <w:proofErr w:type="spellStart"/>
      <w:r w:rsidRPr="00F512C2">
        <w:t>Pontusson</w:t>
      </w:r>
      <w:proofErr w:type="spellEnd"/>
      <w:r w:rsidRPr="00F512C2">
        <w:t xml:space="preserve"> (2011), “Whose interests do unions represent? Unionization by income western Europe,” </w:t>
      </w:r>
      <w:r w:rsidR="008A54F5" w:rsidRPr="00F512C2">
        <w:t xml:space="preserve">in </w:t>
      </w:r>
      <w:r w:rsidRPr="00F512C2">
        <w:t xml:space="preserve">D. Brady (ed.), </w:t>
      </w:r>
      <w:r w:rsidRPr="00F512C2">
        <w:rPr>
          <w:i/>
        </w:rPr>
        <w:t>Comparing European Workers Part B: Policies and Institutions</w:t>
      </w:r>
      <w:r w:rsidR="0060446B" w:rsidRPr="00F512C2">
        <w:t xml:space="preserve">. </w:t>
      </w:r>
      <w:r w:rsidRPr="00F512C2">
        <w:rPr>
          <w:i/>
        </w:rPr>
        <w:t>Research in the Sociology of Work</w:t>
      </w:r>
      <w:r w:rsidRPr="00F512C2">
        <w:t xml:space="preserve"> Vol</w:t>
      </w:r>
      <w:r w:rsidR="003B1A7D" w:rsidRPr="00F512C2">
        <w:t>u</w:t>
      </w:r>
      <w:r w:rsidRPr="00F512C2">
        <w:t>me 22,</w:t>
      </w:r>
      <w:r w:rsidR="008A54F5" w:rsidRPr="00F512C2">
        <w:t xml:space="preserve"> edited by David Brady</w:t>
      </w:r>
      <w:r w:rsidR="003B1A7D" w:rsidRPr="00F512C2">
        <w:t>,</w:t>
      </w:r>
      <w:r w:rsidRPr="00F512C2">
        <w:t xml:space="preserve"> 181-211</w:t>
      </w:r>
      <w:r w:rsidR="001F0D1A" w:rsidRPr="00F512C2">
        <w:t xml:space="preserve">. </w:t>
      </w:r>
      <w:proofErr w:type="spellStart"/>
      <w:r w:rsidR="001F0D1A" w:rsidRPr="00F512C2">
        <w:t>Bingly</w:t>
      </w:r>
      <w:proofErr w:type="spellEnd"/>
      <w:r w:rsidR="001F0D1A" w:rsidRPr="00F512C2">
        <w:t>, UK: Emerald Group Publishing.</w:t>
      </w:r>
      <w:r w:rsidR="00A80E01" w:rsidRPr="00F512C2">
        <w:t xml:space="preserve"> </w:t>
      </w:r>
    </w:p>
    <w:p w14:paraId="56B81871" w14:textId="77777777" w:rsidR="00A80E01" w:rsidRPr="00F512C2" w:rsidRDefault="00A80E01" w:rsidP="00A80E01">
      <w:pPr>
        <w:widowControl w:val="0"/>
        <w:ind w:left="720" w:hanging="720"/>
        <w:rPr>
          <w:szCs w:val="24"/>
        </w:rPr>
      </w:pPr>
    </w:p>
    <w:p w14:paraId="5D6E72A4" w14:textId="062BBB2B" w:rsidR="0080623D" w:rsidRPr="00F512C2" w:rsidRDefault="0080623D" w:rsidP="00A80E01">
      <w:pPr>
        <w:widowControl w:val="0"/>
        <w:ind w:left="720" w:hanging="720"/>
        <w:rPr>
          <w:szCs w:val="24"/>
        </w:rPr>
      </w:pPr>
      <w:r w:rsidRPr="00F512C2">
        <w:rPr>
          <w:szCs w:val="24"/>
        </w:rPr>
        <w:t xml:space="preserve">Cameron, David. 1978. ‘The expansion of the public economy: A comparative analysis,’ </w:t>
      </w:r>
      <w:r w:rsidRPr="00F512C2">
        <w:rPr>
          <w:i/>
          <w:iCs/>
          <w:szCs w:val="24"/>
        </w:rPr>
        <w:t>American Political Science Review</w:t>
      </w:r>
      <w:r w:rsidRPr="00F512C2">
        <w:rPr>
          <w:szCs w:val="24"/>
        </w:rPr>
        <w:t>, 72, 1243-1261.</w:t>
      </w:r>
    </w:p>
    <w:p w14:paraId="43A3F397" w14:textId="535E53EC" w:rsidR="00586125" w:rsidRPr="00F512C2" w:rsidRDefault="00586125" w:rsidP="00AC1AA3">
      <w:pPr>
        <w:widowControl w:val="0"/>
        <w:ind w:left="720" w:hanging="720"/>
      </w:pPr>
    </w:p>
    <w:p w14:paraId="64C67161" w14:textId="15EC555E" w:rsidR="00A80E01" w:rsidRPr="00F512C2" w:rsidRDefault="00A80E01" w:rsidP="00AC1AA3">
      <w:pPr>
        <w:widowControl w:val="0"/>
        <w:ind w:left="720" w:hanging="720"/>
      </w:pPr>
      <w:r w:rsidRPr="00F512C2">
        <w:t>Castles, Francis</w:t>
      </w:r>
      <w:r w:rsidR="00C679EA" w:rsidRPr="00F512C2">
        <w:t xml:space="preserve">, ed. 1982. </w:t>
      </w:r>
      <w:r w:rsidR="00C679EA" w:rsidRPr="00F512C2">
        <w:rPr>
          <w:i/>
        </w:rPr>
        <w:t>The Impact of Parties</w:t>
      </w:r>
      <w:r w:rsidR="00C679EA" w:rsidRPr="00F512C2">
        <w:t>. Beverl</w:t>
      </w:r>
      <w:r w:rsidR="00CC5C67" w:rsidRPr="00F512C2">
        <w:t>e</w:t>
      </w:r>
      <w:r w:rsidR="00C679EA" w:rsidRPr="00F512C2">
        <w:t xml:space="preserve">y Hills: Sage. </w:t>
      </w:r>
    </w:p>
    <w:p w14:paraId="2693C454" w14:textId="0DDF8171" w:rsidR="006B1E57" w:rsidRPr="00F512C2" w:rsidRDefault="006B1E57" w:rsidP="00AC1AA3">
      <w:pPr>
        <w:widowControl w:val="0"/>
        <w:ind w:left="720" w:hanging="720"/>
      </w:pPr>
    </w:p>
    <w:p w14:paraId="5633DFA2" w14:textId="77777777" w:rsidR="00AC1AA3" w:rsidRPr="00F512C2" w:rsidRDefault="00AC1AA3" w:rsidP="00AC1AA3">
      <w:pPr>
        <w:widowControl w:val="0"/>
        <w:ind w:left="720" w:hanging="720"/>
      </w:pPr>
      <w:proofErr w:type="spellStart"/>
      <w:r w:rsidRPr="00F512C2">
        <w:t>Davidsson</w:t>
      </w:r>
      <w:proofErr w:type="spellEnd"/>
      <w:r w:rsidRPr="00F512C2">
        <w:t xml:space="preserve">, J. and P. </w:t>
      </w:r>
      <w:proofErr w:type="spellStart"/>
      <w:r w:rsidRPr="00F512C2">
        <w:t>Emmenegger</w:t>
      </w:r>
      <w:proofErr w:type="spellEnd"/>
      <w:r w:rsidRPr="00F512C2">
        <w:t xml:space="preserve"> (2012), ‘Insider-outsider dynamics and the reform of job security </w:t>
      </w:r>
      <w:proofErr w:type="spellStart"/>
      <w:r w:rsidRPr="00F512C2">
        <w:t>legislation,’in</w:t>
      </w:r>
      <w:proofErr w:type="spellEnd"/>
      <w:r w:rsidRPr="00F512C2">
        <w:t xml:space="preserve"> G. </w:t>
      </w:r>
      <w:proofErr w:type="spellStart"/>
      <w:r w:rsidRPr="00F512C2">
        <w:t>Bonoli</w:t>
      </w:r>
      <w:proofErr w:type="spellEnd"/>
      <w:r w:rsidRPr="00F512C2">
        <w:t xml:space="preserve"> and D. Natali (eds.), </w:t>
      </w:r>
      <w:r w:rsidRPr="00F512C2">
        <w:rPr>
          <w:i/>
        </w:rPr>
        <w:t>The Politics of the New Welfare State</w:t>
      </w:r>
      <w:r w:rsidRPr="00F512C2">
        <w:t>, New York: Oxford University Press, pp. 206-229.</w:t>
      </w:r>
    </w:p>
    <w:p w14:paraId="1F173BAC" w14:textId="77777777" w:rsidR="00AC1AA3" w:rsidRPr="00F512C2" w:rsidRDefault="00AC1AA3" w:rsidP="00AC1AA3">
      <w:pPr>
        <w:widowControl w:val="0"/>
        <w:ind w:left="720" w:hanging="720"/>
      </w:pPr>
    </w:p>
    <w:p w14:paraId="3D37EAE6" w14:textId="77777777" w:rsidR="000D76C0" w:rsidRPr="00F512C2" w:rsidRDefault="00AC1AA3" w:rsidP="000D76C0">
      <w:pPr>
        <w:widowControl w:val="0"/>
        <w:ind w:left="720" w:hanging="720"/>
      </w:pPr>
      <w:r w:rsidRPr="00F512C2">
        <w:t xml:space="preserve">Ebbinghaus, B. (2006), ‘Trade union movements in post-industrial welfare states: Opening up to new social interests,’, in K. </w:t>
      </w:r>
      <w:proofErr w:type="spellStart"/>
      <w:r w:rsidRPr="00F512C2">
        <w:t>Armingeon</w:t>
      </w:r>
      <w:proofErr w:type="spellEnd"/>
      <w:r w:rsidRPr="00F512C2">
        <w:t xml:space="preserve"> (ed.), </w:t>
      </w:r>
      <w:r w:rsidRPr="00F512C2">
        <w:rPr>
          <w:i/>
        </w:rPr>
        <w:t>The Politics of Post-Industrial Welfare States</w:t>
      </w:r>
      <w:r w:rsidRPr="00F512C2">
        <w:t>. New York: Routledge, pp. 12-142.</w:t>
      </w:r>
    </w:p>
    <w:p w14:paraId="6D8597AF" w14:textId="77777777" w:rsidR="000D76C0" w:rsidRPr="00F512C2" w:rsidRDefault="000D76C0" w:rsidP="000D76C0">
      <w:pPr>
        <w:widowControl w:val="0"/>
        <w:ind w:left="720" w:hanging="720"/>
      </w:pPr>
    </w:p>
    <w:p w14:paraId="0E3313EF" w14:textId="3ED608CF" w:rsidR="00FA55F2" w:rsidRPr="00F512C2" w:rsidRDefault="00CE4EA8" w:rsidP="00FA55F2">
      <w:pPr>
        <w:widowControl w:val="0"/>
        <w:ind w:left="720" w:hanging="720"/>
      </w:pPr>
      <w:proofErr w:type="spellStart"/>
      <w:r w:rsidRPr="00F512C2">
        <w:t>Emmen</w:t>
      </w:r>
      <w:r w:rsidR="004B2FE2" w:rsidRPr="00F512C2">
        <w:t>egger</w:t>
      </w:r>
      <w:proofErr w:type="spellEnd"/>
      <w:r w:rsidR="00D915C7" w:rsidRPr="00F512C2">
        <w:t>, Patrick</w:t>
      </w:r>
      <w:r w:rsidR="004B2FE2" w:rsidRPr="00F512C2">
        <w:t xml:space="preserve">, </w:t>
      </w:r>
      <w:proofErr w:type="spellStart"/>
      <w:r w:rsidRPr="00F512C2">
        <w:t>Silja</w:t>
      </w:r>
      <w:proofErr w:type="spellEnd"/>
      <w:r w:rsidRPr="00F512C2">
        <w:t xml:space="preserve"> </w:t>
      </w:r>
      <w:proofErr w:type="spellStart"/>
      <w:r w:rsidRPr="00F512C2">
        <w:t>Häusermann</w:t>
      </w:r>
      <w:proofErr w:type="spellEnd"/>
      <w:r w:rsidR="004B2FE2" w:rsidRPr="00F512C2">
        <w:t xml:space="preserve">, Bruno </w:t>
      </w:r>
      <w:proofErr w:type="spellStart"/>
      <w:r w:rsidR="004B2FE2" w:rsidRPr="00F512C2">
        <w:t>Palier</w:t>
      </w:r>
      <w:proofErr w:type="spellEnd"/>
      <w:r w:rsidR="004B2FE2" w:rsidRPr="00F512C2">
        <w:t xml:space="preserve">, and Martin </w:t>
      </w:r>
      <w:proofErr w:type="spellStart"/>
      <w:r w:rsidR="004B2FE2" w:rsidRPr="00F512C2">
        <w:t>Seeleib</w:t>
      </w:r>
      <w:proofErr w:type="spellEnd"/>
      <w:r w:rsidR="004B2FE2" w:rsidRPr="00F512C2">
        <w:t>-Kaiser</w:t>
      </w:r>
      <w:r w:rsidR="009C74D6" w:rsidRPr="00F512C2">
        <w:t xml:space="preserve">, eds. 2012. </w:t>
      </w:r>
      <w:r w:rsidR="009C74D6" w:rsidRPr="00F512C2">
        <w:rPr>
          <w:i/>
        </w:rPr>
        <w:t xml:space="preserve">The Age of Dualization: The Changing Face of Inequality in Deindustrializing </w:t>
      </w:r>
      <w:r w:rsidR="000D76C0" w:rsidRPr="00F512C2">
        <w:rPr>
          <w:i/>
        </w:rPr>
        <w:t>Societies</w:t>
      </w:r>
      <w:r w:rsidR="000D76C0" w:rsidRPr="00F512C2">
        <w:t>. New York: Oxford University Press.</w:t>
      </w:r>
      <w:r w:rsidR="00FA55F2" w:rsidRPr="00F512C2">
        <w:t xml:space="preserve"> </w:t>
      </w:r>
    </w:p>
    <w:p w14:paraId="395424EB" w14:textId="77777777" w:rsidR="00FA55F2" w:rsidRPr="00F512C2" w:rsidRDefault="00FA55F2" w:rsidP="00FA55F2">
      <w:pPr>
        <w:widowControl w:val="0"/>
        <w:ind w:left="720" w:hanging="720"/>
      </w:pPr>
    </w:p>
    <w:p w14:paraId="0ACE9B61" w14:textId="34F08102" w:rsidR="00AC1AA3" w:rsidRPr="00F512C2" w:rsidRDefault="00AC1AA3" w:rsidP="00AC1AA3">
      <w:pPr>
        <w:widowControl w:val="0"/>
        <w:ind w:left="720" w:hanging="720"/>
      </w:pPr>
      <w:r w:rsidRPr="00F512C2">
        <w:t>Gingrich, J</w:t>
      </w:r>
      <w:r w:rsidR="00617C10" w:rsidRPr="00F512C2">
        <w:t>ane</w:t>
      </w:r>
      <w:r w:rsidRPr="00F512C2">
        <w:t xml:space="preserve"> and </w:t>
      </w:r>
      <w:proofErr w:type="spellStart"/>
      <w:r w:rsidRPr="00F512C2">
        <w:t>S</w:t>
      </w:r>
      <w:r w:rsidR="00617C10" w:rsidRPr="00F512C2">
        <w:t>ilja</w:t>
      </w:r>
      <w:proofErr w:type="spellEnd"/>
      <w:r w:rsidRPr="00F512C2">
        <w:t xml:space="preserve"> </w:t>
      </w:r>
      <w:proofErr w:type="spellStart"/>
      <w:r w:rsidRPr="00F512C2">
        <w:t>Häusermann</w:t>
      </w:r>
      <w:proofErr w:type="spellEnd"/>
      <w:r w:rsidR="00E4024F" w:rsidRPr="00F512C2">
        <w:t>.</w:t>
      </w:r>
      <w:r w:rsidRPr="00F512C2">
        <w:t xml:space="preserve"> 2015</w:t>
      </w:r>
      <w:r w:rsidR="00E4024F" w:rsidRPr="00F512C2">
        <w:t>.</w:t>
      </w:r>
      <w:r w:rsidRPr="00F512C2">
        <w:t xml:space="preserve"> “The </w:t>
      </w:r>
      <w:r w:rsidR="008603B2" w:rsidRPr="00F512C2">
        <w:t>D</w:t>
      </w:r>
      <w:r w:rsidRPr="00F512C2">
        <w:t xml:space="preserve">ecline of the </w:t>
      </w:r>
      <w:r w:rsidR="008603B2" w:rsidRPr="00F512C2">
        <w:t>W</w:t>
      </w:r>
      <w:r w:rsidRPr="00F512C2">
        <w:t>orking-</w:t>
      </w:r>
      <w:r w:rsidR="008603B2" w:rsidRPr="00F512C2">
        <w:t>C</w:t>
      </w:r>
      <w:r w:rsidRPr="00F512C2">
        <w:t xml:space="preserve">lass </w:t>
      </w:r>
      <w:r w:rsidR="008603B2" w:rsidRPr="00F512C2">
        <w:t>V</w:t>
      </w:r>
      <w:r w:rsidRPr="00F512C2">
        <w:t xml:space="preserve">ote, the </w:t>
      </w:r>
      <w:r w:rsidR="008603B2" w:rsidRPr="00F512C2">
        <w:t>R</w:t>
      </w:r>
      <w:r w:rsidRPr="00F512C2">
        <w:t xml:space="preserve">econfiguration of the </w:t>
      </w:r>
      <w:r w:rsidR="008603B2" w:rsidRPr="00F512C2">
        <w:t>W</w:t>
      </w:r>
      <w:r w:rsidRPr="00F512C2">
        <w:t xml:space="preserve">elfare </w:t>
      </w:r>
      <w:r w:rsidR="008603B2" w:rsidRPr="00F512C2">
        <w:t>S</w:t>
      </w:r>
      <w:r w:rsidRPr="00F512C2">
        <w:t xml:space="preserve">upport </w:t>
      </w:r>
      <w:r w:rsidR="008603B2" w:rsidRPr="00F512C2">
        <w:t>C</w:t>
      </w:r>
      <w:r w:rsidRPr="00F512C2">
        <w:t xml:space="preserve">oalition and </w:t>
      </w:r>
      <w:r w:rsidR="008603B2" w:rsidRPr="00F512C2">
        <w:t>C</w:t>
      </w:r>
      <w:r w:rsidRPr="00F512C2">
        <w:t xml:space="preserve">onsequences for the </w:t>
      </w:r>
      <w:r w:rsidR="008603B2" w:rsidRPr="00F512C2">
        <w:t>Welfare S</w:t>
      </w:r>
      <w:r w:rsidRPr="00F512C2">
        <w:t>tate</w:t>
      </w:r>
      <w:r w:rsidR="008603B2" w:rsidRPr="00F512C2">
        <w:t>.</w:t>
      </w:r>
      <w:r w:rsidRPr="00F512C2">
        <w:t xml:space="preserve">” </w:t>
      </w:r>
      <w:r w:rsidRPr="00F512C2">
        <w:rPr>
          <w:i/>
        </w:rPr>
        <w:t>Journal of European Social Policy</w:t>
      </w:r>
      <w:r w:rsidRPr="00F512C2">
        <w:t>, 25 (1), 5075.</w:t>
      </w:r>
    </w:p>
    <w:p w14:paraId="332B8C51" w14:textId="77777777" w:rsidR="00AC1AA3" w:rsidRPr="00F512C2" w:rsidRDefault="00AC1AA3" w:rsidP="00AC1AA3">
      <w:pPr>
        <w:widowControl w:val="0"/>
        <w:ind w:left="720" w:hanging="720"/>
      </w:pPr>
    </w:p>
    <w:p w14:paraId="28B2BC1F" w14:textId="475FAA78" w:rsidR="00AC1AA3" w:rsidRPr="00F512C2" w:rsidRDefault="00AC1AA3" w:rsidP="00AC1AA3">
      <w:pPr>
        <w:widowControl w:val="0"/>
        <w:ind w:left="720" w:hanging="720"/>
      </w:pPr>
      <w:r w:rsidRPr="00F512C2">
        <w:t>Gordon, J</w:t>
      </w:r>
      <w:r w:rsidR="00617C10" w:rsidRPr="00F512C2">
        <w:t>oshua</w:t>
      </w:r>
      <w:r w:rsidRPr="00F512C2">
        <w:t xml:space="preserve"> C. 2015</w:t>
      </w:r>
      <w:r w:rsidR="00617C10" w:rsidRPr="00F512C2">
        <w:t>.</w:t>
      </w:r>
      <w:r w:rsidRPr="00F512C2">
        <w:t xml:space="preserve"> “Protecting the </w:t>
      </w:r>
      <w:r w:rsidR="00617C10" w:rsidRPr="00F512C2">
        <w:t>U</w:t>
      </w:r>
      <w:r w:rsidRPr="00F512C2">
        <w:t xml:space="preserve">nemployed: </w:t>
      </w:r>
      <w:r w:rsidR="00617C10" w:rsidRPr="00F512C2">
        <w:t>V</w:t>
      </w:r>
      <w:r w:rsidRPr="00F512C2">
        <w:t xml:space="preserve">arieties of </w:t>
      </w:r>
      <w:r w:rsidR="00617C10" w:rsidRPr="00F512C2">
        <w:t>U</w:t>
      </w:r>
      <w:r w:rsidRPr="00F512C2">
        <w:t xml:space="preserve">nionism and the </w:t>
      </w:r>
      <w:r w:rsidR="00617C10" w:rsidRPr="00F512C2">
        <w:t>E</w:t>
      </w:r>
      <w:r w:rsidRPr="00F512C2">
        <w:t xml:space="preserve">volution of </w:t>
      </w:r>
      <w:r w:rsidR="00617C10" w:rsidRPr="00F512C2">
        <w:t>U</w:t>
      </w:r>
      <w:r w:rsidRPr="00F512C2">
        <w:t>nemployme</w:t>
      </w:r>
      <w:r w:rsidR="00617C10" w:rsidRPr="00F512C2">
        <w:t>n</w:t>
      </w:r>
      <w:r w:rsidRPr="00F512C2">
        <w:t xml:space="preserve">t </w:t>
      </w:r>
      <w:r w:rsidR="00617C10" w:rsidRPr="00F512C2">
        <w:t>B</w:t>
      </w:r>
      <w:r w:rsidRPr="00F512C2">
        <w:t xml:space="preserve">enefits and </w:t>
      </w:r>
      <w:r w:rsidR="00617C10" w:rsidRPr="00F512C2">
        <w:t>A</w:t>
      </w:r>
      <w:r w:rsidRPr="00F512C2">
        <w:t xml:space="preserve">ctive </w:t>
      </w:r>
      <w:r w:rsidR="00617C10" w:rsidRPr="00F512C2">
        <w:t>L</w:t>
      </w:r>
      <w:r w:rsidRPr="00F512C2">
        <w:t xml:space="preserve">abor </w:t>
      </w:r>
      <w:r w:rsidR="00617C10" w:rsidRPr="00F512C2">
        <w:t>M</w:t>
      </w:r>
      <w:r w:rsidRPr="00F512C2">
        <w:t xml:space="preserve">arket </w:t>
      </w:r>
      <w:r w:rsidR="00617C10" w:rsidRPr="00F512C2">
        <w:t>P</w:t>
      </w:r>
      <w:r w:rsidRPr="00F512C2">
        <w:t xml:space="preserve">olicy in the </w:t>
      </w:r>
      <w:r w:rsidR="00617C10" w:rsidRPr="00F512C2">
        <w:t>R</w:t>
      </w:r>
      <w:r w:rsidRPr="00F512C2">
        <w:t xml:space="preserve">ich </w:t>
      </w:r>
      <w:r w:rsidR="00617C10" w:rsidRPr="00F512C2">
        <w:t>D</w:t>
      </w:r>
      <w:r w:rsidRPr="00F512C2">
        <w:t xml:space="preserve">emocracies,” </w:t>
      </w:r>
      <w:r w:rsidRPr="00F512C2">
        <w:rPr>
          <w:i/>
        </w:rPr>
        <w:t>Socio-Economic Review</w:t>
      </w:r>
      <w:r w:rsidRPr="00F512C2">
        <w:t xml:space="preserve"> 13 (1)</w:t>
      </w:r>
      <w:r w:rsidR="00390362" w:rsidRPr="00F512C2">
        <w:t>:</w:t>
      </w:r>
      <w:r w:rsidRPr="00F512C2">
        <w:t xml:space="preserve"> 79-100.</w:t>
      </w:r>
    </w:p>
    <w:p w14:paraId="3C1B9483" w14:textId="77777777" w:rsidR="00152F73" w:rsidRPr="00F512C2" w:rsidRDefault="00152F73" w:rsidP="00AC1AA3">
      <w:pPr>
        <w:widowControl w:val="0"/>
        <w:ind w:left="720" w:hanging="720"/>
      </w:pPr>
    </w:p>
    <w:p w14:paraId="4BDA1E3A" w14:textId="0BDC7D83" w:rsidR="00AC1AA3" w:rsidRPr="00F512C2" w:rsidRDefault="00AC1AA3" w:rsidP="00AC1AA3">
      <w:pPr>
        <w:widowControl w:val="0"/>
        <w:ind w:left="720" w:hanging="720"/>
      </w:pPr>
      <w:r w:rsidRPr="00F512C2">
        <w:t>Hall, P</w:t>
      </w:r>
      <w:r w:rsidR="00390362" w:rsidRPr="00F512C2">
        <w:t>eter</w:t>
      </w:r>
      <w:r w:rsidRPr="00F512C2">
        <w:t xml:space="preserve"> A. 2017</w:t>
      </w:r>
      <w:r w:rsidR="00390362" w:rsidRPr="00F512C2">
        <w:t>.</w:t>
      </w:r>
      <w:r w:rsidRPr="00F512C2">
        <w:t xml:space="preserve"> “The Political Sources of Social Solidarity,” in</w:t>
      </w:r>
      <w:r w:rsidR="00D0181F" w:rsidRPr="00F512C2">
        <w:t xml:space="preserve"> </w:t>
      </w:r>
      <w:r w:rsidRPr="00F512C2">
        <w:rPr>
          <w:i/>
        </w:rPr>
        <w:t>The Strains of Commitment: The Political Sources of Solidarity in Diverse Societies</w:t>
      </w:r>
      <w:r w:rsidRPr="00F512C2">
        <w:t xml:space="preserve">, </w:t>
      </w:r>
      <w:r w:rsidR="009C6E92" w:rsidRPr="00F512C2">
        <w:t xml:space="preserve">edited by Keith Banting and Will </w:t>
      </w:r>
      <w:proofErr w:type="spellStart"/>
      <w:r w:rsidR="009C6E92" w:rsidRPr="00F512C2">
        <w:t>Kymlicka</w:t>
      </w:r>
      <w:proofErr w:type="spellEnd"/>
      <w:r w:rsidR="00220511" w:rsidRPr="00F512C2">
        <w:t xml:space="preserve">, 201-232. </w:t>
      </w:r>
      <w:r w:rsidRPr="00F512C2">
        <w:t>New York: Oxford University Press</w:t>
      </w:r>
      <w:r w:rsidR="00220511" w:rsidRPr="00F512C2">
        <w:t xml:space="preserve">. </w:t>
      </w:r>
    </w:p>
    <w:p w14:paraId="09C685F8" w14:textId="77777777" w:rsidR="00AC1AA3" w:rsidRPr="00F512C2" w:rsidRDefault="00AC1AA3" w:rsidP="00AC1AA3">
      <w:pPr>
        <w:widowControl w:val="0"/>
        <w:ind w:left="720" w:hanging="720"/>
      </w:pPr>
    </w:p>
    <w:p w14:paraId="5A207417" w14:textId="28B1003B" w:rsidR="00AC1AA3" w:rsidRPr="00F512C2" w:rsidRDefault="00AC1AA3" w:rsidP="008C1C50">
      <w:pPr>
        <w:widowControl w:val="0"/>
        <w:ind w:left="720" w:hanging="720"/>
      </w:pPr>
      <w:proofErr w:type="spellStart"/>
      <w:r w:rsidRPr="00F512C2">
        <w:t>Häusermann</w:t>
      </w:r>
      <w:proofErr w:type="spellEnd"/>
      <w:r w:rsidRPr="00F512C2">
        <w:t xml:space="preserve">, </w:t>
      </w:r>
      <w:proofErr w:type="spellStart"/>
      <w:r w:rsidRPr="00F512C2">
        <w:t>S</w:t>
      </w:r>
      <w:r w:rsidR="00D0181F" w:rsidRPr="00F512C2">
        <w:t>ilja</w:t>
      </w:r>
      <w:proofErr w:type="spellEnd"/>
      <w:r w:rsidRPr="00F512C2">
        <w:t xml:space="preserve"> and </w:t>
      </w:r>
      <w:proofErr w:type="spellStart"/>
      <w:r w:rsidRPr="00F512C2">
        <w:t>H</w:t>
      </w:r>
      <w:r w:rsidR="00D0181F" w:rsidRPr="00F512C2">
        <w:t>anspeter</w:t>
      </w:r>
      <w:proofErr w:type="spellEnd"/>
      <w:r w:rsidRPr="00F512C2">
        <w:t xml:space="preserve"> </w:t>
      </w:r>
      <w:proofErr w:type="spellStart"/>
      <w:r w:rsidRPr="00F512C2">
        <w:t>Kriesi</w:t>
      </w:r>
      <w:proofErr w:type="spellEnd"/>
      <w:r w:rsidR="00D0181F" w:rsidRPr="00F512C2">
        <w:t>.</w:t>
      </w:r>
      <w:r w:rsidRPr="00F512C2">
        <w:t xml:space="preserve"> 2015</w:t>
      </w:r>
      <w:r w:rsidR="00D0181F" w:rsidRPr="00F512C2">
        <w:t>.</w:t>
      </w:r>
      <w:r w:rsidRPr="00F512C2">
        <w:t xml:space="preserve"> ‘What </w:t>
      </w:r>
      <w:r w:rsidR="007B088D" w:rsidRPr="00F512C2">
        <w:t>D</w:t>
      </w:r>
      <w:r w:rsidRPr="00F512C2">
        <w:t xml:space="preserve">o </w:t>
      </w:r>
      <w:r w:rsidR="007B088D" w:rsidRPr="00F512C2">
        <w:t>V</w:t>
      </w:r>
      <w:r w:rsidRPr="00F512C2">
        <w:t xml:space="preserve">oters </w:t>
      </w:r>
      <w:r w:rsidR="007B088D" w:rsidRPr="00F512C2">
        <w:t>W</w:t>
      </w:r>
      <w:r w:rsidRPr="00F512C2">
        <w:t xml:space="preserve">ant? Dimensions and </w:t>
      </w:r>
      <w:r w:rsidR="007B088D" w:rsidRPr="00F512C2">
        <w:t>C</w:t>
      </w:r>
      <w:r w:rsidRPr="00F512C2">
        <w:t xml:space="preserve">onfigurations in </w:t>
      </w:r>
      <w:r w:rsidR="007B088D" w:rsidRPr="00F512C2">
        <w:t>I</w:t>
      </w:r>
      <w:r w:rsidRPr="00F512C2">
        <w:t>ndividual-</w:t>
      </w:r>
      <w:r w:rsidR="007B088D" w:rsidRPr="00F512C2">
        <w:t>L</w:t>
      </w:r>
      <w:r w:rsidRPr="00F512C2">
        <w:t xml:space="preserve">evel </w:t>
      </w:r>
      <w:r w:rsidR="007B088D" w:rsidRPr="00F512C2">
        <w:t>P</w:t>
      </w:r>
      <w:r w:rsidRPr="00F512C2">
        <w:t xml:space="preserve">references and </w:t>
      </w:r>
      <w:r w:rsidR="007B088D" w:rsidRPr="00F512C2">
        <w:t>P</w:t>
      </w:r>
      <w:r w:rsidRPr="00F512C2">
        <w:t xml:space="preserve">arty </w:t>
      </w:r>
      <w:r w:rsidR="007B088D" w:rsidRPr="00F512C2">
        <w:t>C</w:t>
      </w:r>
      <w:r w:rsidRPr="00F512C2">
        <w:t>hoice</w:t>
      </w:r>
      <w:r w:rsidR="004C252D" w:rsidRPr="00F512C2">
        <w:t>.”</w:t>
      </w:r>
      <w:r w:rsidRPr="00F512C2">
        <w:t xml:space="preserve"> </w:t>
      </w:r>
      <w:r w:rsidR="004C252D" w:rsidRPr="00F512C2">
        <w:t>I</w:t>
      </w:r>
      <w:r w:rsidRPr="00F512C2">
        <w:t xml:space="preserve">n </w:t>
      </w:r>
      <w:proofErr w:type="gramStart"/>
      <w:r w:rsidRPr="00F512C2">
        <w:rPr>
          <w:i/>
        </w:rPr>
        <w:t>The</w:t>
      </w:r>
      <w:proofErr w:type="gramEnd"/>
      <w:r w:rsidRPr="00F512C2">
        <w:rPr>
          <w:i/>
        </w:rPr>
        <w:t xml:space="preserve"> Politics of Advanced Capitalism</w:t>
      </w:r>
      <w:r w:rsidRPr="00F512C2">
        <w:t>,</w:t>
      </w:r>
      <w:r w:rsidR="008C1C50" w:rsidRPr="00F512C2">
        <w:t xml:space="preserve"> edited by</w:t>
      </w:r>
      <w:r w:rsidRPr="00F512C2">
        <w:t xml:space="preserve"> </w:t>
      </w:r>
      <w:r w:rsidR="0058221D" w:rsidRPr="00F512C2">
        <w:t>P</w:t>
      </w:r>
      <w:r w:rsidR="008C1C50" w:rsidRPr="00F512C2">
        <w:t>ablo</w:t>
      </w:r>
      <w:r w:rsidR="0058221D" w:rsidRPr="00F512C2">
        <w:t xml:space="preserve"> </w:t>
      </w:r>
      <w:proofErr w:type="spellStart"/>
      <w:r w:rsidR="0058221D" w:rsidRPr="00F512C2">
        <w:t>Beramendi</w:t>
      </w:r>
      <w:proofErr w:type="spellEnd"/>
      <w:r w:rsidR="0058221D" w:rsidRPr="00F512C2">
        <w:t xml:space="preserve">, </w:t>
      </w:r>
      <w:proofErr w:type="spellStart"/>
      <w:r w:rsidR="0058221D" w:rsidRPr="00F512C2">
        <w:t>S</w:t>
      </w:r>
      <w:r w:rsidR="008C1C50" w:rsidRPr="00F512C2">
        <w:t>ilja</w:t>
      </w:r>
      <w:proofErr w:type="spellEnd"/>
      <w:r w:rsidR="0058221D" w:rsidRPr="00F512C2">
        <w:t xml:space="preserve"> </w:t>
      </w:r>
      <w:proofErr w:type="spellStart"/>
      <w:r w:rsidR="0058221D" w:rsidRPr="00F512C2">
        <w:t>Häusermann</w:t>
      </w:r>
      <w:proofErr w:type="spellEnd"/>
      <w:r w:rsidR="0058221D" w:rsidRPr="00F512C2">
        <w:t xml:space="preserve">, Herbert </w:t>
      </w:r>
      <w:proofErr w:type="spellStart"/>
      <w:r w:rsidR="0058221D" w:rsidRPr="00F512C2">
        <w:t>Kitschelt</w:t>
      </w:r>
      <w:proofErr w:type="spellEnd"/>
      <w:r w:rsidR="0058221D" w:rsidRPr="00F512C2">
        <w:t xml:space="preserve">, and </w:t>
      </w:r>
      <w:proofErr w:type="spellStart"/>
      <w:r w:rsidR="0058221D" w:rsidRPr="00F512C2">
        <w:t>Hanspeter</w:t>
      </w:r>
      <w:proofErr w:type="spellEnd"/>
      <w:r w:rsidR="0058221D" w:rsidRPr="00F512C2">
        <w:t xml:space="preserve"> </w:t>
      </w:r>
      <w:proofErr w:type="spellStart"/>
      <w:r w:rsidR="0058221D" w:rsidRPr="00F512C2">
        <w:t>Kriesi</w:t>
      </w:r>
      <w:proofErr w:type="spellEnd"/>
      <w:r w:rsidR="008C1C50" w:rsidRPr="00F512C2">
        <w:t>,</w:t>
      </w:r>
      <w:r w:rsidR="0058221D" w:rsidRPr="00F512C2">
        <w:t xml:space="preserve"> </w:t>
      </w:r>
      <w:r w:rsidR="008C1C50" w:rsidRPr="00F512C2">
        <w:t xml:space="preserve">202-230. </w:t>
      </w:r>
      <w:r w:rsidRPr="00F512C2">
        <w:t>New York: Cambridge University Press</w:t>
      </w:r>
      <w:r w:rsidR="008C1C50" w:rsidRPr="00F512C2">
        <w:t>.</w:t>
      </w:r>
    </w:p>
    <w:p w14:paraId="71E2E12D" w14:textId="2E0DAE13" w:rsidR="008C1C50" w:rsidRPr="00F512C2" w:rsidRDefault="008C1C50" w:rsidP="008C1C50">
      <w:pPr>
        <w:widowControl w:val="0"/>
        <w:ind w:left="720" w:hanging="720"/>
      </w:pPr>
    </w:p>
    <w:p w14:paraId="341CBDC0" w14:textId="3D81A7E0" w:rsidR="00D915C7" w:rsidRPr="00F512C2" w:rsidRDefault="006A37BA" w:rsidP="00D915C7">
      <w:pPr>
        <w:widowControl w:val="0"/>
        <w:ind w:left="720" w:hanging="720"/>
      </w:pPr>
      <w:proofErr w:type="spellStart"/>
      <w:r w:rsidRPr="00F512C2">
        <w:t>Häusermann</w:t>
      </w:r>
      <w:proofErr w:type="spellEnd"/>
      <w:r w:rsidRPr="00F512C2">
        <w:t xml:space="preserve">, </w:t>
      </w:r>
      <w:proofErr w:type="spellStart"/>
      <w:r w:rsidRPr="00F512C2">
        <w:t>Silja</w:t>
      </w:r>
      <w:proofErr w:type="spellEnd"/>
      <w:r w:rsidRPr="00F512C2">
        <w:t xml:space="preserve"> and </w:t>
      </w:r>
      <w:r w:rsidR="00EB1D93" w:rsidRPr="00F512C2">
        <w:t xml:space="preserve">Hanna </w:t>
      </w:r>
      <w:proofErr w:type="spellStart"/>
      <w:r w:rsidR="00EB1D93" w:rsidRPr="00F512C2">
        <w:t>Schwander</w:t>
      </w:r>
      <w:proofErr w:type="spellEnd"/>
      <w:r w:rsidR="00EB1D93" w:rsidRPr="00F512C2">
        <w:t>. 2012. “Varieties of Dualization</w:t>
      </w:r>
      <w:r w:rsidR="006F20F9" w:rsidRPr="00F512C2">
        <w:t>? Labor Market Segmentation and Insider-Outsider Divides Across Regions. In</w:t>
      </w:r>
      <w:r w:rsidR="00D915C7" w:rsidRPr="00F512C2">
        <w:t xml:space="preserve">. </w:t>
      </w:r>
      <w:r w:rsidR="00D915C7" w:rsidRPr="00F512C2">
        <w:rPr>
          <w:i/>
        </w:rPr>
        <w:t>The Age of Dualization: The Changing Face of Inequality in Deindustrializing Societies</w:t>
      </w:r>
      <w:r w:rsidR="00D915C7" w:rsidRPr="00F512C2">
        <w:t xml:space="preserve">, edited by Patrick </w:t>
      </w:r>
      <w:proofErr w:type="spellStart"/>
      <w:r w:rsidR="00D915C7" w:rsidRPr="00F512C2">
        <w:t>Emmenegger</w:t>
      </w:r>
      <w:proofErr w:type="spellEnd"/>
      <w:r w:rsidR="00D915C7" w:rsidRPr="00F512C2">
        <w:t xml:space="preserve">, </w:t>
      </w:r>
      <w:proofErr w:type="spellStart"/>
      <w:r w:rsidR="00D915C7" w:rsidRPr="00F512C2">
        <w:t>Silja</w:t>
      </w:r>
      <w:proofErr w:type="spellEnd"/>
      <w:r w:rsidR="00D915C7" w:rsidRPr="00F512C2">
        <w:t xml:space="preserve"> </w:t>
      </w:r>
      <w:proofErr w:type="spellStart"/>
      <w:r w:rsidR="00D915C7" w:rsidRPr="00F512C2">
        <w:t>Häusermann</w:t>
      </w:r>
      <w:proofErr w:type="spellEnd"/>
      <w:r w:rsidR="00D915C7" w:rsidRPr="00F512C2">
        <w:t xml:space="preserve">, Bruno </w:t>
      </w:r>
      <w:proofErr w:type="spellStart"/>
      <w:r w:rsidR="00D915C7" w:rsidRPr="00F512C2">
        <w:t>Palier</w:t>
      </w:r>
      <w:proofErr w:type="spellEnd"/>
      <w:r w:rsidR="00D915C7" w:rsidRPr="00F512C2">
        <w:t xml:space="preserve">, and Martin </w:t>
      </w:r>
      <w:proofErr w:type="spellStart"/>
      <w:r w:rsidR="00D915C7" w:rsidRPr="00F512C2">
        <w:t>Seeleib</w:t>
      </w:r>
      <w:proofErr w:type="spellEnd"/>
      <w:r w:rsidR="00D915C7" w:rsidRPr="00F512C2">
        <w:t xml:space="preserve">-Kaiser, </w:t>
      </w:r>
      <w:r w:rsidR="00CF51D0" w:rsidRPr="00F512C2">
        <w:t>27-51.</w:t>
      </w:r>
      <w:r w:rsidR="00D915C7" w:rsidRPr="00F512C2">
        <w:t xml:space="preserve"> New York: Oxford University Press. </w:t>
      </w:r>
    </w:p>
    <w:p w14:paraId="321210AC" w14:textId="7A165738" w:rsidR="006666A1" w:rsidRPr="00F512C2" w:rsidRDefault="006666A1" w:rsidP="00D915C7">
      <w:pPr>
        <w:widowControl w:val="0"/>
        <w:ind w:left="720" w:hanging="720"/>
      </w:pPr>
    </w:p>
    <w:p w14:paraId="612873BE" w14:textId="77777777" w:rsidR="006666A1" w:rsidRPr="00F512C2" w:rsidRDefault="006666A1" w:rsidP="006666A1">
      <w:pPr>
        <w:widowControl w:val="0"/>
        <w:ind w:left="720" w:hanging="720"/>
      </w:pPr>
      <w:r w:rsidRPr="00F512C2">
        <w:t xml:space="preserve">Heston, Allen., Robert. Summers and Bettina Aten. 2012. </w:t>
      </w:r>
      <w:r w:rsidRPr="00F512C2">
        <w:rPr>
          <w:i/>
        </w:rPr>
        <w:t>Penn World Table Version 7.1.</w:t>
      </w:r>
      <w:r w:rsidRPr="00F512C2">
        <w:t xml:space="preserve"> Center for International Comparisons of Production, Income and Prices at the University of Pennsylvania, July. </w:t>
      </w:r>
    </w:p>
    <w:p w14:paraId="24A04C95" w14:textId="77777777" w:rsidR="006A37BA" w:rsidRPr="00F512C2" w:rsidRDefault="006A37BA" w:rsidP="008C1C50">
      <w:pPr>
        <w:widowControl w:val="0"/>
        <w:ind w:left="720" w:hanging="720"/>
      </w:pPr>
    </w:p>
    <w:p w14:paraId="0DC426EA" w14:textId="15A200EF" w:rsidR="00AC1AA3" w:rsidRPr="00F512C2" w:rsidRDefault="00AC1AA3" w:rsidP="00AC1AA3">
      <w:pPr>
        <w:ind w:left="720" w:hanging="720"/>
        <w:rPr>
          <w:szCs w:val="24"/>
        </w:rPr>
      </w:pPr>
      <w:r w:rsidRPr="00F512C2">
        <w:rPr>
          <w:szCs w:val="24"/>
        </w:rPr>
        <w:t>Hicks, A</w:t>
      </w:r>
      <w:r w:rsidR="00FE7651" w:rsidRPr="00F512C2">
        <w:rPr>
          <w:szCs w:val="24"/>
        </w:rPr>
        <w:t>lex</w:t>
      </w:r>
      <w:r w:rsidRPr="00F512C2">
        <w:rPr>
          <w:szCs w:val="24"/>
        </w:rPr>
        <w:t xml:space="preserve"> and D</w:t>
      </w:r>
      <w:r w:rsidR="00FE7651" w:rsidRPr="00F512C2">
        <w:rPr>
          <w:szCs w:val="24"/>
        </w:rPr>
        <w:t>uane</w:t>
      </w:r>
      <w:r w:rsidRPr="00F512C2">
        <w:rPr>
          <w:szCs w:val="24"/>
        </w:rPr>
        <w:t xml:space="preserve"> Swank</w:t>
      </w:r>
      <w:r w:rsidR="00FE7651" w:rsidRPr="00F512C2">
        <w:rPr>
          <w:szCs w:val="24"/>
        </w:rPr>
        <w:t>.</w:t>
      </w:r>
      <w:r w:rsidRPr="00F512C2">
        <w:rPr>
          <w:szCs w:val="24"/>
        </w:rPr>
        <w:t xml:space="preserve"> 1992</w:t>
      </w:r>
      <w:r w:rsidR="00FE7651" w:rsidRPr="00F512C2">
        <w:rPr>
          <w:szCs w:val="24"/>
        </w:rPr>
        <w:t>.</w:t>
      </w:r>
      <w:r w:rsidRPr="00F512C2">
        <w:rPr>
          <w:szCs w:val="24"/>
        </w:rPr>
        <w:t xml:space="preserve"> ‘Politics, </w:t>
      </w:r>
      <w:r w:rsidR="00FE7651" w:rsidRPr="00F512C2">
        <w:rPr>
          <w:szCs w:val="24"/>
        </w:rPr>
        <w:t>I</w:t>
      </w:r>
      <w:r w:rsidRPr="00F512C2">
        <w:rPr>
          <w:szCs w:val="24"/>
        </w:rPr>
        <w:t xml:space="preserve">nstitutions, and </w:t>
      </w:r>
      <w:r w:rsidR="00927DAC" w:rsidRPr="00F512C2">
        <w:rPr>
          <w:szCs w:val="24"/>
        </w:rPr>
        <w:t>Wel</w:t>
      </w:r>
      <w:r w:rsidRPr="00F512C2">
        <w:rPr>
          <w:szCs w:val="24"/>
        </w:rPr>
        <w:t xml:space="preserve">fare </w:t>
      </w:r>
      <w:r w:rsidR="00927DAC" w:rsidRPr="00F512C2">
        <w:rPr>
          <w:szCs w:val="24"/>
        </w:rPr>
        <w:t>S</w:t>
      </w:r>
      <w:r w:rsidRPr="00F512C2">
        <w:rPr>
          <w:szCs w:val="24"/>
        </w:rPr>
        <w:t xml:space="preserve">pending in </w:t>
      </w:r>
      <w:r w:rsidR="00927DAC" w:rsidRPr="00F512C2">
        <w:rPr>
          <w:szCs w:val="24"/>
        </w:rPr>
        <w:t>I</w:t>
      </w:r>
      <w:r w:rsidRPr="00F512C2">
        <w:rPr>
          <w:szCs w:val="24"/>
        </w:rPr>
        <w:t xml:space="preserve">ndustrialized </w:t>
      </w:r>
      <w:r w:rsidR="00927DAC" w:rsidRPr="00F512C2">
        <w:rPr>
          <w:szCs w:val="24"/>
        </w:rPr>
        <w:t>D</w:t>
      </w:r>
      <w:r w:rsidRPr="00F512C2">
        <w:rPr>
          <w:szCs w:val="24"/>
        </w:rPr>
        <w:t xml:space="preserve">emocracies, 1960-1992,’ </w:t>
      </w:r>
      <w:r w:rsidRPr="00F512C2">
        <w:rPr>
          <w:i/>
          <w:iCs/>
          <w:szCs w:val="24"/>
        </w:rPr>
        <w:t>American Political Science Review</w:t>
      </w:r>
      <w:r w:rsidRPr="00F512C2">
        <w:rPr>
          <w:szCs w:val="24"/>
        </w:rPr>
        <w:t xml:space="preserve"> 86</w:t>
      </w:r>
      <w:r w:rsidR="00CC46DA" w:rsidRPr="00F512C2">
        <w:rPr>
          <w:szCs w:val="24"/>
        </w:rPr>
        <w:t xml:space="preserve"> (3)</w:t>
      </w:r>
      <w:r w:rsidRPr="00F512C2">
        <w:rPr>
          <w:szCs w:val="24"/>
        </w:rPr>
        <w:t>: 659-74.</w:t>
      </w:r>
    </w:p>
    <w:p w14:paraId="31FDD80D" w14:textId="77777777" w:rsidR="005E5884" w:rsidRPr="00F512C2" w:rsidRDefault="005E5884" w:rsidP="005E5884">
      <w:pPr>
        <w:ind w:left="720" w:hanging="720"/>
        <w:rPr>
          <w:szCs w:val="24"/>
        </w:rPr>
      </w:pPr>
    </w:p>
    <w:p w14:paraId="69477D33" w14:textId="7DB87731" w:rsidR="005E5884" w:rsidRPr="00F512C2" w:rsidRDefault="005E5884" w:rsidP="005E5884">
      <w:pPr>
        <w:ind w:left="720" w:hanging="720"/>
        <w:rPr>
          <w:szCs w:val="24"/>
        </w:rPr>
      </w:pPr>
      <w:r w:rsidRPr="00F512C2">
        <w:rPr>
          <w:szCs w:val="24"/>
        </w:rPr>
        <w:t xml:space="preserve">Huber, Evelyne, Charles Ragin, and John D. Stephens. 1993. ‘Social Democracy, Christian Democracy, Constitutional Structure and the Welfare State,’ </w:t>
      </w:r>
      <w:r w:rsidRPr="00F512C2">
        <w:rPr>
          <w:i/>
          <w:iCs/>
          <w:szCs w:val="24"/>
        </w:rPr>
        <w:t>American Journal of Sociology</w:t>
      </w:r>
      <w:r w:rsidRPr="00F512C2">
        <w:rPr>
          <w:szCs w:val="24"/>
        </w:rPr>
        <w:t xml:space="preserve"> 99</w:t>
      </w:r>
      <w:r w:rsidR="00B331E1" w:rsidRPr="00F512C2">
        <w:rPr>
          <w:szCs w:val="24"/>
        </w:rPr>
        <w:t xml:space="preserve"> (3)</w:t>
      </w:r>
      <w:r w:rsidRPr="00F512C2">
        <w:rPr>
          <w:szCs w:val="24"/>
        </w:rPr>
        <w:t xml:space="preserve">: 711-49. </w:t>
      </w:r>
    </w:p>
    <w:p w14:paraId="09E876D9" w14:textId="77777777" w:rsidR="00405E86" w:rsidRPr="00F512C2" w:rsidRDefault="00405E86" w:rsidP="00AC1AA3">
      <w:pPr>
        <w:widowControl w:val="0"/>
      </w:pPr>
    </w:p>
    <w:p w14:paraId="5EC6B3E3" w14:textId="77777777" w:rsidR="008F332E" w:rsidRPr="00F512C2" w:rsidRDefault="00AC1AA3" w:rsidP="00AC1AA3">
      <w:pPr>
        <w:widowControl w:val="0"/>
        <w:ind w:left="720" w:hanging="720"/>
      </w:pPr>
      <w:proofErr w:type="spellStart"/>
      <w:r w:rsidRPr="00F512C2">
        <w:t>Huo</w:t>
      </w:r>
      <w:proofErr w:type="spellEnd"/>
      <w:r w:rsidRPr="00F512C2">
        <w:t xml:space="preserve">, </w:t>
      </w:r>
      <w:proofErr w:type="spellStart"/>
      <w:r w:rsidRPr="00F512C2">
        <w:t>J</w:t>
      </w:r>
      <w:r w:rsidR="00927DAC" w:rsidRPr="00F512C2">
        <w:t>in</w:t>
      </w:r>
      <w:r w:rsidR="005F0F82" w:rsidRPr="00F512C2">
        <w:t>gjing</w:t>
      </w:r>
      <w:proofErr w:type="spellEnd"/>
      <w:r w:rsidRPr="00F512C2">
        <w:t>. 2009</w:t>
      </w:r>
      <w:r w:rsidR="009B06C1" w:rsidRPr="00F512C2">
        <w:t>.</w:t>
      </w:r>
      <w:r w:rsidRPr="00F512C2">
        <w:t xml:space="preserve"> </w:t>
      </w:r>
      <w:r w:rsidRPr="00F512C2">
        <w:rPr>
          <w:i/>
        </w:rPr>
        <w:t>Third Way Reforms: Social Democracy after the Golden Age</w:t>
      </w:r>
      <w:r w:rsidRPr="00F512C2">
        <w:t>, New York: Cambridge University Press.</w:t>
      </w:r>
    </w:p>
    <w:p w14:paraId="1CBD8AA9" w14:textId="77777777" w:rsidR="008F332E" w:rsidRPr="00F512C2" w:rsidRDefault="008F332E" w:rsidP="00AC1AA3">
      <w:pPr>
        <w:widowControl w:val="0"/>
        <w:ind w:left="720" w:hanging="720"/>
      </w:pPr>
    </w:p>
    <w:p w14:paraId="2E7D3B01" w14:textId="54D048D1" w:rsidR="008F332E" w:rsidRPr="00F512C2" w:rsidRDefault="008F332E" w:rsidP="008F332E">
      <w:pPr>
        <w:widowControl w:val="0"/>
        <w:ind w:left="720" w:hanging="720"/>
      </w:pPr>
      <w:r w:rsidRPr="00F512C2">
        <w:t>IMF. selected years a</w:t>
      </w:r>
      <w:r w:rsidR="006A564A" w:rsidRPr="00F512C2">
        <w:t xml:space="preserve">. </w:t>
      </w:r>
      <w:r w:rsidRPr="00F512C2">
        <w:t xml:space="preserve"> </w:t>
      </w:r>
      <w:r w:rsidRPr="00F512C2">
        <w:rPr>
          <w:i/>
        </w:rPr>
        <w:t>Direction of Trade Statistics Yearbook</w:t>
      </w:r>
      <w:r w:rsidR="006A564A" w:rsidRPr="00F512C2">
        <w:t>.</w:t>
      </w:r>
      <w:r w:rsidRPr="00F512C2">
        <w:t xml:space="preserve"> Washington, DC: IMF. International Monetary Fund.</w:t>
      </w:r>
    </w:p>
    <w:p w14:paraId="154D6564" w14:textId="77777777" w:rsidR="008F332E" w:rsidRPr="00F512C2" w:rsidRDefault="008F332E" w:rsidP="008F332E">
      <w:pPr>
        <w:widowControl w:val="0"/>
        <w:ind w:left="720" w:hanging="720"/>
      </w:pPr>
    </w:p>
    <w:p w14:paraId="55376081" w14:textId="38580008" w:rsidR="008F332E" w:rsidRPr="00F512C2" w:rsidRDefault="008F332E" w:rsidP="008F332E">
      <w:pPr>
        <w:widowControl w:val="0"/>
        <w:ind w:left="720" w:hanging="720"/>
      </w:pPr>
      <w:r w:rsidRPr="00F512C2">
        <w:t>IMF</w:t>
      </w:r>
      <w:r w:rsidR="006A564A" w:rsidRPr="00F512C2">
        <w:t xml:space="preserve">. </w:t>
      </w:r>
      <w:r w:rsidRPr="00F512C2">
        <w:t>selected years b</w:t>
      </w:r>
      <w:r w:rsidR="006A564A" w:rsidRPr="00F512C2">
        <w:t>.</w:t>
      </w:r>
      <w:r w:rsidRPr="00F512C2">
        <w:t xml:space="preserve"> </w:t>
      </w:r>
      <w:r w:rsidRPr="00F512C2">
        <w:rPr>
          <w:i/>
        </w:rPr>
        <w:t>Balance of Payments Statistics</w:t>
      </w:r>
      <w:r w:rsidR="006A564A" w:rsidRPr="00F512C2">
        <w:t>.</w:t>
      </w:r>
      <w:r w:rsidRPr="00F512C2">
        <w:t xml:space="preserve"> Washington, DC: International Monetary Fund. </w:t>
      </w:r>
    </w:p>
    <w:p w14:paraId="35D3EA5B" w14:textId="77777777" w:rsidR="00AC1AA3" w:rsidRPr="00F512C2" w:rsidRDefault="00AC1AA3" w:rsidP="00AC1AA3">
      <w:pPr>
        <w:widowControl w:val="0"/>
      </w:pPr>
    </w:p>
    <w:p w14:paraId="1DD27888" w14:textId="77777777" w:rsidR="00AC1AA3" w:rsidRPr="00F512C2" w:rsidRDefault="00AC1AA3" w:rsidP="00AC1AA3">
      <w:pPr>
        <w:widowControl w:val="0"/>
        <w:ind w:left="720" w:hanging="720"/>
      </w:pPr>
      <w:r w:rsidRPr="00F512C2">
        <w:t xml:space="preserve">Iversen, T. and T. Cusack (2000), ‘The causes of welfare expansion: Deindustrialization or globalization?’ </w:t>
      </w:r>
      <w:r w:rsidRPr="00F512C2">
        <w:rPr>
          <w:i/>
        </w:rPr>
        <w:t>World Politics</w:t>
      </w:r>
      <w:r w:rsidRPr="00F512C2">
        <w:t>, 52 (3), 313-349.</w:t>
      </w:r>
    </w:p>
    <w:p w14:paraId="2E66BA38" w14:textId="77777777" w:rsidR="00AC1AA3" w:rsidRPr="00F512C2" w:rsidRDefault="00AC1AA3" w:rsidP="00AC1AA3">
      <w:pPr>
        <w:widowControl w:val="0"/>
        <w:ind w:left="720" w:hanging="720"/>
      </w:pPr>
    </w:p>
    <w:p w14:paraId="3602D4C1" w14:textId="77777777" w:rsidR="00AC1AA3" w:rsidRPr="00F512C2" w:rsidRDefault="00AC1AA3" w:rsidP="00AC1AA3">
      <w:pPr>
        <w:widowControl w:val="0"/>
        <w:ind w:left="720" w:hanging="720"/>
      </w:pPr>
      <w:r w:rsidRPr="00F512C2">
        <w:t xml:space="preserve">Iversen, T. and D. Soskice (2006), ‘Electoral institutions and the politics of coalitions: why some democracies redistribute more than others,’ </w:t>
      </w:r>
      <w:r w:rsidRPr="00F512C2">
        <w:rPr>
          <w:i/>
        </w:rPr>
        <w:t>American Political Science Review</w:t>
      </w:r>
      <w:r w:rsidRPr="00F512C2">
        <w:t>, 100 (2), 165-81.</w:t>
      </w:r>
    </w:p>
    <w:p w14:paraId="25A8C4DC" w14:textId="77777777" w:rsidR="00AC1AA3" w:rsidRPr="00F512C2" w:rsidRDefault="00AC1AA3" w:rsidP="00AC1AA3">
      <w:pPr>
        <w:widowControl w:val="0"/>
        <w:ind w:left="720" w:hanging="720"/>
      </w:pPr>
    </w:p>
    <w:p w14:paraId="74167F93" w14:textId="77777777" w:rsidR="00AC1AA3" w:rsidRPr="00F512C2" w:rsidRDefault="00AC1AA3" w:rsidP="00AC1AA3">
      <w:pPr>
        <w:widowControl w:val="0"/>
        <w:ind w:left="720" w:hanging="720"/>
      </w:pPr>
      <w:r w:rsidRPr="00F512C2">
        <w:t xml:space="preserve">Iversen, T. and D. Soskice (2015a), ‘Democratic limits to redistribution: inclusionary versus exclusionary coalitions in the knowledge economy’ </w:t>
      </w:r>
      <w:r w:rsidRPr="00F512C2">
        <w:rPr>
          <w:i/>
        </w:rPr>
        <w:t>World Politics</w:t>
      </w:r>
      <w:r w:rsidRPr="00F512C2">
        <w:t xml:space="preserve">, 67 (April), 185-225. </w:t>
      </w:r>
    </w:p>
    <w:p w14:paraId="1E2925D0" w14:textId="77777777" w:rsidR="00AC1AA3" w:rsidRPr="00F512C2" w:rsidRDefault="00AC1AA3" w:rsidP="00AC1AA3">
      <w:pPr>
        <w:widowControl w:val="0"/>
        <w:ind w:left="720" w:hanging="720"/>
      </w:pPr>
    </w:p>
    <w:p w14:paraId="2B9C5655" w14:textId="77777777" w:rsidR="00AC1AA3" w:rsidRPr="00F512C2" w:rsidRDefault="00AC1AA3" w:rsidP="00AC1AA3">
      <w:pPr>
        <w:widowControl w:val="0"/>
        <w:ind w:left="720" w:hanging="720"/>
      </w:pPr>
      <w:r w:rsidRPr="00F512C2">
        <w:t>Iversen, T. and D. Soskice (2015b), ‘Information, inequality and mass polarization: ideology in advanced democracies,</w:t>
      </w:r>
      <w:r w:rsidRPr="00F512C2">
        <w:rPr>
          <w:i/>
        </w:rPr>
        <w:t>’ Comparative Political Studies</w:t>
      </w:r>
      <w:r w:rsidRPr="00F512C2">
        <w:t xml:space="preserve"> 48 (13), 1781-1813.</w:t>
      </w:r>
    </w:p>
    <w:p w14:paraId="27A8D671" w14:textId="77777777" w:rsidR="00AC1AA3" w:rsidRPr="00F512C2" w:rsidRDefault="00AC1AA3" w:rsidP="00AC1AA3">
      <w:pPr>
        <w:widowControl w:val="0"/>
      </w:pPr>
    </w:p>
    <w:p w14:paraId="1337858B" w14:textId="77777777" w:rsidR="00AC1AA3" w:rsidRPr="00F512C2" w:rsidRDefault="00AC1AA3" w:rsidP="00AC1AA3">
      <w:pPr>
        <w:widowControl w:val="0"/>
        <w:ind w:left="720" w:hanging="720"/>
      </w:pPr>
      <w:r w:rsidRPr="00F512C2">
        <w:t xml:space="preserve">Kam, C. and R. Franzese (2009), </w:t>
      </w:r>
      <w:r w:rsidRPr="00F512C2">
        <w:rPr>
          <w:i/>
        </w:rPr>
        <w:t>Modeling and Interpreting Interactive Hypotheses in Regression Analysis</w:t>
      </w:r>
      <w:r w:rsidRPr="00F512C2">
        <w:t>, Ann Arbor: University of Michigan Press.</w:t>
      </w:r>
    </w:p>
    <w:p w14:paraId="540AECD4" w14:textId="77777777" w:rsidR="00AC1AA3" w:rsidRPr="00F512C2" w:rsidRDefault="00AC1AA3" w:rsidP="00AC1AA3">
      <w:pPr>
        <w:widowControl w:val="0"/>
        <w:ind w:left="720" w:hanging="720"/>
      </w:pPr>
    </w:p>
    <w:p w14:paraId="2882D175" w14:textId="6574AEF1" w:rsidR="00AC1AA3" w:rsidRPr="00F512C2" w:rsidRDefault="00AC1AA3" w:rsidP="00AC1AA3">
      <w:pPr>
        <w:widowControl w:val="0"/>
        <w:ind w:left="720" w:hanging="720"/>
      </w:pPr>
      <w:proofErr w:type="spellStart"/>
      <w:r w:rsidRPr="00F512C2">
        <w:t>Kitschelt</w:t>
      </w:r>
      <w:proofErr w:type="spellEnd"/>
      <w:r w:rsidRPr="00F512C2">
        <w:t xml:space="preserve">, H. and P. Rehm (2015), </w:t>
      </w:r>
      <w:r w:rsidR="009F537A" w:rsidRPr="00F512C2">
        <w:t>“</w:t>
      </w:r>
      <w:r w:rsidRPr="00F512C2">
        <w:t>Party alignments: Change and Continuity</w:t>
      </w:r>
      <w:r w:rsidR="00DD29A0" w:rsidRPr="00F512C2">
        <w:t>.” In t</w:t>
      </w:r>
      <w:r w:rsidR="00DD29A0" w:rsidRPr="00F512C2">
        <w:rPr>
          <w:i/>
        </w:rPr>
        <w:t>he Politics of Advanced Capitalism</w:t>
      </w:r>
      <w:r w:rsidR="00DD29A0" w:rsidRPr="00F512C2">
        <w:t xml:space="preserve">, edited by Pablo </w:t>
      </w:r>
      <w:proofErr w:type="spellStart"/>
      <w:r w:rsidR="00DD29A0" w:rsidRPr="00F512C2">
        <w:t>Beramendi</w:t>
      </w:r>
      <w:proofErr w:type="spellEnd"/>
      <w:r w:rsidR="00DD29A0" w:rsidRPr="00F512C2">
        <w:t xml:space="preserve">, </w:t>
      </w:r>
      <w:proofErr w:type="spellStart"/>
      <w:r w:rsidR="00DD29A0" w:rsidRPr="00F512C2">
        <w:t>Silja</w:t>
      </w:r>
      <w:proofErr w:type="spellEnd"/>
      <w:r w:rsidR="00DD29A0" w:rsidRPr="00F512C2">
        <w:t xml:space="preserve"> </w:t>
      </w:r>
      <w:proofErr w:type="spellStart"/>
      <w:r w:rsidR="00DD29A0" w:rsidRPr="00F512C2">
        <w:t>Häusermann</w:t>
      </w:r>
      <w:proofErr w:type="spellEnd"/>
      <w:r w:rsidR="00DD29A0" w:rsidRPr="00F512C2">
        <w:t xml:space="preserve">, Herbert </w:t>
      </w:r>
      <w:proofErr w:type="spellStart"/>
      <w:r w:rsidR="00DD29A0" w:rsidRPr="00F512C2">
        <w:t>Kitschelt</w:t>
      </w:r>
      <w:proofErr w:type="spellEnd"/>
      <w:r w:rsidR="00DD29A0" w:rsidRPr="00F512C2">
        <w:t xml:space="preserve">, and </w:t>
      </w:r>
      <w:proofErr w:type="spellStart"/>
      <w:r w:rsidR="00DD29A0" w:rsidRPr="00F512C2">
        <w:t>Hanspeter</w:t>
      </w:r>
      <w:proofErr w:type="spellEnd"/>
      <w:r w:rsidR="00DD29A0" w:rsidRPr="00F512C2">
        <w:t xml:space="preserve"> </w:t>
      </w:r>
      <w:proofErr w:type="spellStart"/>
      <w:r w:rsidR="00DD29A0" w:rsidRPr="00F512C2">
        <w:t>Kriesi</w:t>
      </w:r>
      <w:proofErr w:type="spellEnd"/>
      <w:r w:rsidR="009F537A" w:rsidRPr="00F512C2">
        <w:t>, 179-201</w:t>
      </w:r>
      <w:r w:rsidR="00DD29A0" w:rsidRPr="00F512C2">
        <w:t>. New York: Cambridge University Press</w:t>
      </w:r>
      <w:r w:rsidRPr="00F512C2">
        <w:t>.</w:t>
      </w:r>
    </w:p>
    <w:p w14:paraId="3DAA3172" w14:textId="77777777" w:rsidR="00AC1AA3" w:rsidRPr="00F512C2" w:rsidRDefault="00AC1AA3" w:rsidP="00AC1AA3">
      <w:pPr>
        <w:widowControl w:val="0"/>
        <w:rPr>
          <w:i/>
        </w:rPr>
      </w:pPr>
    </w:p>
    <w:p w14:paraId="4537C83E" w14:textId="59554D12" w:rsidR="00AC1AA3" w:rsidRPr="00F512C2" w:rsidRDefault="00AC1AA3" w:rsidP="00AC1AA3">
      <w:pPr>
        <w:widowControl w:val="0"/>
        <w:ind w:left="720" w:hanging="720"/>
      </w:pPr>
      <w:proofErr w:type="spellStart"/>
      <w:r w:rsidRPr="00F512C2">
        <w:t>Korpi</w:t>
      </w:r>
      <w:proofErr w:type="spellEnd"/>
      <w:r w:rsidRPr="00F512C2">
        <w:t>, W</w:t>
      </w:r>
      <w:r w:rsidR="00F97C6A" w:rsidRPr="00F512C2">
        <w:t>alter.</w:t>
      </w:r>
      <w:r w:rsidRPr="00F512C2">
        <w:t xml:space="preserve"> 1983</w:t>
      </w:r>
      <w:r w:rsidR="00F97C6A" w:rsidRPr="00F512C2">
        <w:t>.</w:t>
      </w:r>
      <w:r w:rsidRPr="00F512C2">
        <w:t xml:space="preserve"> </w:t>
      </w:r>
      <w:r w:rsidRPr="00F512C2">
        <w:rPr>
          <w:i/>
        </w:rPr>
        <w:t>The Democratic Class Struggle</w:t>
      </w:r>
      <w:r w:rsidRPr="00F512C2">
        <w:t>, London: Routledge.</w:t>
      </w:r>
    </w:p>
    <w:p w14:paraId="0809C699" w14:textId="77777777" w:rsidR="00AC1AA3" w:rsidRPr="00F512C2" w:rsidRDefault="00AC1AA3" w:rsidP="00AC1AA3">
      <w:pPr>
        <w:widowControl w:val="0"/>
      </w:pPr>
    </w:p>
    <w:p w14:paraId="7A148769" w14:textId="6D953A11" w:rsidR="00AC1AA3" w:rsidRPr="00F512C2" w:rsidRDefault="00AC1AA3" w:rsidP="00AC1AA3">
      <w:pPr>
        <w:widowControl w:val="0"/>
        <w:ind w:left="720" w:hanging="720"/>
      </w:pPr>
      <w:proofErr w:type="spellStart"/>
      <w:r w:rsidRPr="00F512C2">
        <w:t>Korpi</w:t>
      </w:r>
      <w:proofErr w:type="spellEnd"/>
      <w:r w:rsidRPr="00F512C2">
        <w:t>, W</w:t>
      </w:r>
      <w:r w:rsidR="00F97C6A" w:rsidRPr="00F512C2">
        <w:t>alter</w:t>
      </w:r>
      <w:r w:rsidRPr="00F512C2">
        <w:t xml:space="preserve"> and </w:t>
      </w:r>
      <w:proofErr w:type="spellStart"/>
      <w:r w:rsidRPr="00F512C2">
        <w:t>J</w:t>
      </w:r>
      <w:r w:rsidR="00F97C6A" w:rsidRPr="00F512C2">
        <w:t>oakim</w:t>
      </w:r>
      <w:proofErr w:type="spellEnd"/>
      <w:r w:rsidRPr="00F512C2">
        <w:t xml:space="preserve"> Palme</w:t>
      </w:r>
      <w:r w:rsidR="00F97C6A" w:rsidRPr="00F512C2">
        <w:t>.</w:t>
      </w:r>
      <w:r w:rsidRPr="00F512C2">
        <w:t xml:space="preserve"> 2003</w:t>
      </w:r>
      <w:r w:rsidR="00F97C6A" w:rsidRPr="00F512C2">
        <w:t>.</w:t>
      </w:r>
      <w:r w:rsidRPr="00F512C2">
        <w:t xml:space="preserve"> ‘New </w:t>
      </w:r>
      <w:r w:rsidR="00F97C6A" w:rsidRPr="00F512C2">
        <w:t>P</w:t>
      </w:r>
      <w:r w:rsidRPr="00F512C2">
        <w:t xml:space="preserve">olitics and </w:t>
      </w:r>
      <w:r w:rsidR="00F97C6A" w:rsidRPr="00F512C2">
        <w:t>C</w:t>
      </w:r>
      <w:r w:rsidRPr="00F512C2">
        <w:t xml:space="preserve">lass </w:t>
      </w:r>
      <w:r w:rsidR="00F97C6A" w:rsidRPr="00F512C2">
        <w:t>P</w:t>
      </w:r>
      <w:r w:rsidRPr="00F512C2">
        <w:t xml:space="preserve">olitics in the </w:t>
      </w:r>
      <w:r w:rsidR="00F97C6A" w:rsidRPr="00F512C2">
        <w:t>C</w:t>
      </w:r>
      <w:r w:rsidRPr="00F512C2">
        <w:t xml:space="preserve">ontext of </w:t>
      </w:r>
      <w:r w:rsidR="00F97C6A" w:rsidRPr="00F512C2">
        <w:t>A</w:t>
      </w:r>
      <w:r w:rsidRPr="00F512C2">
        <w:t xml:space="preserve">usterity and </w:t>
      </w:r>
      <w:r w:rsidR="00F97C6A" w:rsidRPr="00F512C2">
        <w:t>G</w:t>
      </w:r>
      <w:r w:rsidRPr="00F512C2">
        <w:t xml:space="preserve">lobalization,’ </w:t>
      </w:r>
      <w:r w:rsidRPr="00F512C2">
        <w:rPr>
          <w:i/>
        </w:rPr>
        <w:t xml:space="preserve">American Political Science Review, </w:t>
      </w:r>
      <w:r w:rsidRPr="00F512C2">
        <w:t>97 (3), 425-446.</w:t>
      </w:r>
    </w:p>
    <w:p w14:paraId="009BD151" w14:textId="77777777" w:rsidR="00AC1AA3" w:rsidRPr="00F512C2" w:rsidRDefault="00AC1AA3" w:rsidP="00AC1AA3">
      <w:pPr>
        <w:widowControl w:val="0"/>
      </w:pPr>
    </w:p>
    <w:p w14:paraId="3DF65ED9" w14:textId="18D494B2" w:rsidR="00AC1AA3" w:rsidRPr="00F512C2" w:rsidRDefault="00AC1AA3" w:rsidP="00AC1AA3">
      <w:pPr>
        <w:widowControl w:val="0"/>
        <w:ind w:left="720" w:hanging="720"/>
      </w:pPr>
      <w:proofErr w:type="spellStart"/>
      <w:r w:rsidRPr="00F512C2">
        <w:t>Lindvall</w:t>
      </w:r>
      <w:proofErr w:type="spellEnd"/>
      <w:r w:rsidRPr="00F512C2">
        <w:t xml:space="preserve">, J. and D. Rueda (2014), ‘The </w:t>
      </w:r>
      <w:r w:rsidR="00560030" w:rsidRPr="00F512C2">
        <w:t>I</w:t>
      </w:r>
      <w:r w:rsidRPr="00F512C2">
        <w:t>nsider-</w:t>
      </w:r>
      <w:r w:rsidR="00560030" w:rsidRPr="00F512C2">
        <w:t>O</w:t>
      </w:r>
      <w:r w:rsidRPr="00F512C2">
        <w:t xml:space="preserve">utsider </w:t>
      </w:r>
      <w:r w:rsidR="00560030" w:rsidRPr="00F512C2">
        <w:t>D</w:t>
      </w:r>
      <w:r w:rsidRPr="00F512C2">
        <w:t xml:space="preserve">ilemma,’ </w:t>
      </w:r>
      <w:r w:rsidRPr="00F512C2">
        <w:rPr>
          <w:i/>
        </w:rPr>
        <w:t>British Journal of Political Science</w:t>
      </w:r>
      <w:r w:rsidRPr="00F512C2">
        <w:t>, 44 (2)</w:t>
      </w:r>
      <w:r w:rsidR="00560030" w:rsidRPr="00F512C2">
        <w:t>:</w:t>
      </w:r>
      <w:r w:rsidRPr="00F512C2">
        <w:t xml:space="preserve"> 460-75.</w:t>
      </w:r>
    </w:p>
    <w:p w14:paraId="2FA16D85" w14:textId="77777777" w:rsidR="00AC1AA3" w:rsidRPr="00F512C2" w:rsidRDefault="00AC1AA3" w:rsidP="00AC1AA3">
      <w:pPr>
        <w:widowControl w:val="0"/>
        <w:ind w:left="720" w:hanging="720"/>
      </w:pPr>
    </w:p>
    <w:p w14:paraId="62A2644E" w14:textId="18210589" w:rsidR="00AC1AA3" w:rsidRPr="00F512C2" w:rsidRDefault="00AC1AA3" w:rsidP="00AC1AA3">
      <w:pPr>
        <w:widowControl w:val="0"/>
        <w:ind w:left="720" w:hanging="720"/>
      </w:pPr>
      <w:proofErr w:type="spellStart"/>
      <w:r w:rsidRPr="00F512C2">
        <w:t>Lupu</w:t>
      </w:r>
      <w:proofErr w:type="spellEnd"/>
      <w:r w:rsidRPr="00F512C2">
        <w:t>, N</w:t>
      </w:r>
      <w:r w:rsidR="00560030" w:rsidRPr="00F512C2">
        <w:t>oam</w:t>
      </w:r>
      <w:r w:rsidRPr="00F512C2">
        <w:t xml:space="preserve"> and J</w:t>
      </w:r>
      <w:r w:rsidR="00560030" w:rsidRPr="00F512C2">
        <w:t>onas</w:t>
      </w:r>
      <w:r w:rsidRPr="00F512C2">
        <w:t xml:space="preserve"> </w:t>
      </w:r>
      <w:proofErr w:type="spellStart"/>
      <w:r w:rsidRPr="00F512C2">
        <w:t>Pontusson</w:t>
      </w:r>
      <w:proofErr w:type="spellEnd"/>
      <w:r w:rsidR="00560030" w:rsidRPr="00F512C2">
        <w:t>.</w:t>
      </w:r>
      <w:r w:rsidRPr="00F512C2">
        <w:t xml:space="preserve"> 2011</w:t>
      </w:r>
      <w:r w:rsidR="00560030" w:rsidRPr="00F512C2">
        <w:t>.</w:t>
      </w:r>
      <w:r w:rsidRPr="00F512C2">
        <w:t xml:space="preserve"> “The Structure of Inequality and the Politics of Redistribution</w:t>
      </w:r>
      <w:r w:rsidR="00560030" w:rsidRPr="00F512C2">
        <w:t>.”</w:t>
      </w:r>
      <w:r w:rsidRPr="00F512C2">
        <w:t xml:space="preserve"> </w:t>
      </w:r>
      <w:r w:rsidRPr="00F512C2">
        <w:rPr>
          <w:i/>
        </w:rPr>
        <w:t>American Political Science Review</w:t>
      </w:r>
      <w:r w:rsidRPr="00F512C2">
        <w:t>, 105 (2)</w:t>
      </w:r>
      <w:r w:rsidR="00560030" w:rsidRPr="00F512C2">
        <w:t>:</w:t>
      </w:r>
      <w:r w:rsidRPr="00F512C2">
        <w:t xml:space="preserve"> 316-36.</w:t>
      </w:r>
    </w:p>
    <w:p w14:paraId="0AEEDE1B" w14:textId="77777777" w:rsidR="00AC1AA3" w:rsidRPr="00F512C2" w:rsidRDefault="00AC1AA3" w:rsidP="00AC1AA3">
      <w:pPr>
        <w:widowControl w:val="0"/>
        <w:ind w:left="720" w:hanging="720"/>
      </w:pPr>
    </w:p>
    <w:p w14:paraId="79D4ED60" w14:textId="70FEA0C2" w:rsidR="00AC1AA3" w:rsidRPr="00F512C2" w:rsidRDefault="00AC1AA3" w:rsidP="00AC1AA3">
      <w:pPr>
        <w:widowControl w:val="0"/>
        <w:ind w:left="720" w:hanging="720"/>
      </w:pPr>
      <w:r w:rsidRPr="00F512C2">
        <w:t>Martin, C</w:t>
      </w:r>
      <w:r w:rsidR="002B1B7E" w:rsidRPr="00F512C2">
        <w:t>athie</w:t>
      </w:r>
      <w:r w:rsidRPr="00F512C2">
        <w:t xml:space="preserve"> J</w:t>
      </w:r>
      <w:r w:rsidR="002B1B7E" w:rsidRPr="00F512C2">
        <w:t>o</w:t>
      </w:r>
      <w:r w:rsidRPr="00F512C2">
        <w:t xml:space="preserve"> and D</w:t>
      </w:r>
      <w:r w:rsidR="002B1B7E" w:rsidRPr="00F512C2">
        <w:t>uane</w:t>
      </w:r>
      <w:r w:rsidRPr="00F512C2">
        <w:t xml:space="preserve"> Swank</w:t>
      </w:r>
      <w:r w:rsidR="002B1B7E" w:rsidRPr="00F512C2">
        <w:t>.</w:t>
      </w:r>
      <w:r w:rsidRPr="00F512C2">
        <w:t xml:space="preserve"> 2012</w:t>
      </w:r>
      <w:r w:rsidR="002B1B7E" w:rsidRPr="00F512C2">
        <w:t>.</w:t>
      </w:r>
      <w:r w:rsidRPr="00F512C2">
        <w:t xml:space="preserve"> </w:t>
      </w:r>
      <w:r w:rsidRPr="00F512C2">
        <w:rPr>
          <w:i/>
        </w:rPr>
        <w:t>The Political Construction of Business Interests: Coordination, Growth, and Inequality</w:t>
      </w:r>
      <w:r w:rsidRPr="00F512C2">
        <w:t>, New York: Cambridge University Press.</w:t>
      </w:r>
    </w:p>
    <w:p w14:paraId="78A3684B" w14:textId="77777777" w:rsidR="00AC1AA3" w:rsidRPr="00F512C2" w:rsidRDefault="00AC1AA3" w:rsidP="00AC1AA3">
      <w:pPr>
        <w:widowControl w:val="0"/>
        <w:ind w:left="720" w:hanging="720"/>
      </w:pPr>
    </w:p>
    <w:p w14:paraId="5292968E" w14:textId="74A841E1" w:rsidR="00AC1AA3" w:rsidRPr="00F512C2" w:rsidRDefault="00AC1AA3" w:rsidP="00AC1AA3">
      <w:pPr>
        <w:widowControl w:val="0"/>
        <w:ind w:left="720" w:hanging="720"/>
      </w:pPr>
      <w:proofErr w:type="spellStart"/>
      <w:r w:rsidRPr="00F512C2">
        <w:t>Mosimann</w:t>
      </w:r>
      <w:proofErr w:type="spellEnd"/>
      <w:r w:rsidRPr="00F512C2">
        <w:t>, N</w:t>
      </w:r>
      <w:r w:rsidR="007C7F88" w:rsidRPr="00F512C2">
        <w:t>adja</w:t>
      </w:r>
      <w:r w:rsidRPr="00F512C2">
        <w:t xml:space="preserve"> and J</w:t>
      </w:r>
      <w:r w:rsidR="007C7F88" w:rsidRPr="00F512C2">
        <w:t>onas</w:t>
      </w:r>
      <w:r w:rsidRPr="00F512C2">
        <w:t xml:space="preserve"> </w:t>
      </w:r>
      <w:proofErr w:type="spellStart"/>
      <w:r w:rsidRPr="00F512C2">
        <w:t>Pontusson</w:t>
      </w:r>
      <w:proofErr w:type="spellEnd"/>
      <w:r w:rsidR="004F2C40" w:rsidRPr="00F512C2">
        <w:t xml:space="preserve">. </w:t>
      </w:r>
      <w:proofErr w:type="gramStart"/>
      <w:r w:rsidRPr="00F512C2">
        <w:t>2017</w:t>
      </w:r>
      <w:r w:rsidR="004F2C40" w:rsidRPr="00F512C2">
        <w:t xml:space="preserve">. </w:t>
      </w:r>
      <w:r w:rsidRPr="00F512C2">
        <w:t xml:space="preserve"> </w:t>
      </w:r>
      <w:r w:rsidR="00E9019C" w:rsidRPr="00F512C2">
        <w:t>“</w:t>
      </w:r>
      <w:proofErr w:type="spellStart"/>
      <w:proofErr w:type="gramEnd"/>
      <w:r w:rsidRPr="00F512C2">
        <w:t>Solidaristic</w:t>
      </w:r>
      <w:proofErr w:type="spellEnd"/>
      <w:r w:rsidRPr="00F512C2">
        <w:t xml:space="preserve"> </w:t>
      </w:r>
      <w:r w:rsidR="00A97A43" w:rsidRPr="00F512C2">
        <w:t>U</w:t>
      </w:r>
      <w:r w:rsidRPr="00F512C2">
        <w:t xml:space="preserve">nionism and </w:t>
      </w:r>
      <w:r w:rsidR="00A97A43" w:rsidRPr="00F512C2">
        <w:t>S</w:t>
      </w:r>
      <w:r w:rsidRPr="00F512C2">
        <w:t xml:space="preserve">upport for </w:t>
      </w:r>
      <w:r w:rsidR="00A97A43" w:rsidRPr="00F512C2">
        <w:t>R</w:t>
      </w:r>
      <w:r w:rsidRPr="00F512C2">
        <w:t xml:space="preserve">edistribution in </w:t>
      </w:r>
      <w:r w:rsidR="00A97A43" w:rsidRPr="00F512C2">
        <w:t>C</w:t>
      </w:r>
      <w:r w:rsidRPr="00F512C2">
        <w:t xml:space="preserve">ontemporary Europe,” </w:t>
      </w:r>
      <w:r w:rsidRPr="00F512C2">
        <w:rPr>
          <w:i/>
        </w:rPr>
        <w:t>World Politics</w:t>
      </w:r>
      <w:r w:rsidRPr="00F512C2">
        <w:t xml:space="preserve"> published online May 23. doi:10.1017/S0043887117000107. </w:t>
      </w:r>
    </w:p>
    <w:p w14:paraId="0AD07855" w14:textId="7146E28E" w:rsidR="003F6AD3" w:rsidRPr="00F512C2" w:rsidRDefault="003F6AD3" w:rsidP="00AC1AA3">
      <w:pPr>
        <w:widowControl w:val="0"/>
        <w:ind w:left="720" w:hanging="720"/>
      </w:pPr>
    </w:p>
    <w:p w14:paraId="6C57A5FE" w14:textId="3BB52523" w:rsidR="00D54840" w:rsidRPr="00F512C2" w:rsidRDefault="00D54840" w:rsidP="00D54840">
      <w:pPr>
        <w:widowControl w:val="0"/>
        <w:ind w:left="720" w:hanging="720"/>
      </w:pPr>
      <w:r w:rsidRPr="00F512C2">
        <w:t>Nelson, K</w:t>
      </w:r>
      <w:r w:rsidR="00ED1D5A" w:rsidRPr="00F512C2">
        <w:t>enneth</w:t>
      </w:r>
      <w:r w:rsidRPr="00F512C2">
        <w:t>. 2007</w:t>
      </w:r>
      <w:r w:rsidR="00ED1D5A" w:rsidRPr="00F512C2">
        <w:t>.</w:t>
      </w:r>
      <w:r w:rsidRPr="00F512C2">
        <w:t xml:space="preserve"> Introducing </w:t>
      </w:r>
      <w:proofErr w:type="spellStart"/>
      <w:r w:rsidRPr="00F512C2">
        <w:t>SaMip</w:t>
      </w:r>
      <w:proofErr w:type="spellEnd"/>
      <w:r w:rsidRPr="00F512C2">
        <w:t>: The Social Assistance and Minimum Income Protection Interim Dataset, S-</w:t>
      </w:r>
      <w:proofErr w:type="spellStart"/>
      <w:r w:rsidRPr="00F512C2">
        <w:t>WoPEc</w:t>
      </w:r>
      <w:proofErr w:type="spellEnd"/>
      <w:r w:rsidRPr="00F512C2">
        <w:t xml:space="preserve"> No. 11/2007, Swedish Institute for Social Research.</w:t>
      </w:r>
    </w:p>
    <w:p w14:paraId="07916E73" w14:textId="77777777" w:rsidR="00D54840" w:rsidRPr="00F512C2" w:rsidRDefault="00D54840" w:rsidP="00AC1AA3">
      <w:pPr>
        <w:widowControl w:val="0"/>
        <w:ind w:left="720" w:hanging="720"/>
      </w:pPr>
    </w:p>
    <w:p w14:paraId="1F230CF3" w14:textId="1DA415AC" w:rsidR="00AC1AA3" w:rsidRPr="00F512C2" w:rsidRDefault="00AC1AA3" w:rsidP="00AC1AA3">
      <w:pPr>
        <w:widowControl w:val="0"/>
        <w:ind w:left="720" w:hanging="720"/>
      </w:pPr>
      <w:r w:rsidRPr="00F512C2">
        <w:t>Pierson, P</w:t>
      </w:r>
      <w:r w:rsidR="00CF51D0" w:rsidRPr="00F512C2">
        <w:t xml:space="preserve">aul. </w:t>
      </w:r>
      <w:r w:rsidRPr="00F512C2">
        <w:t>1994</w:t>
      </w:r>
      <w:r w:rsidR="00CF51D0" w:rsidRPr="00F512C2">
        <w:t>.</w:t>
      </w:r>
      <w:r w:rsidRPr="00F512C2">
        <w:t xml:space="preserve"> </w:t>
      </w:r>
      <w:r w:rsidRPr="00F512C2">
        <w:rPr>
          <w:i/>
        </w:rPr>
        <w:t>Dismantling the Welfare State: Reagan, Thatcher and the Politics of Retrenchment in Britain and the United States</w:t>
      </w:r>
      <w:r w:rsidRPr="00F512C2">
        <w:t>, New York: Cambridge University Press.</w:t>
      </w:r>
    </w:p>
    <w:p w14:paraId="1EB4939B" w14:textId="77777777" w:rsidR="00AC1AA3" w:rsidRPr="00F512C2" w:rsidRDefault="00AC1AA3" w:rsidP="00AC1AA3">
      <w:pPr>
        <w:widowControl w:val="0"/>
      </w:pPr>
    </w:p>
    <w:p w14:paraId="108F662C" w14:textId="17978A4F" w:rsidR="00AC1AA3" w:rsidRPr="00F512C2" w:rsidRDefault="00AC1AA3" w:rsidP="00AC1AA3">
      <w:pPr>
        <w:widowControl w:val="0"/>
        <w:ind w:left="720" w:hanging="720"/>
      </w:pPr>
      <w:r w:rsidRPr="00F512C2">
        <w:t>Pierson, P</w:t>
      </w:r>
      <w:r w:rsidR="00CF51D0" w:rsidRPr="00F512C2">
        <w:t xml:space="preserve">aul. </w:t>
      </w:r>
      <w:r w:rsidRPr="00F512C2">
        <w:t>1996</w:t>
      </w:r>
      <w:r w:rsidR="00CF51D0" w:rsidRPr="00F512C2">
        <w:t>.</w:t>
      </w:r>
      <w:r w:rsidRPr="00F512C2">
        <w:t xml:space="preserve"> </w:t>
      </w:r>
      <w:r w:rsidR="00CF51D0" w:rsidRPr="00F512C2">
        <w:t>“</w:t>
      </w:r>
      <w:r w:rsidRPr="00F512C2">
        <w:t xml:space="preserve">The </w:t>
      </w:r>
      <w:r w:rsidR="00CF51D0" w:rsidRPr="00F512C2">
        <w:t>N</w:t>
      </w:r>
      <w:r w:rsidRPr="00F512C2">
        <w:t xml:space="preserve">ew </w:t>
      </w:r>
      <w:r w:rsidR="00CF51D0" w:rsidRPr="00F512C2">
        <w:t>P</w:t>
      </w:r>
      <w:r w:rsidRPr="00F512C2">
        <w:t xml:space="preserve">olitics of the </w:t>
      </w:r>
      <w:r w:rsidR="00CF51D0" w:rsidRPr="00F512C2">
        <w:t>W</w:t>
      </w:r>
      <w:r w:rsidRPr="00F512C2">
        <w:t xml:space="preserve">elfare </w:t>
      </w:r>
      <w:r w:rsidR="00CF51D0" w:rsidRPr="00F512C2">
        <w:t>S</w:t>
      </w:r>
      <w:r w:rsidRPr="00F512C2">
        <w:t>tate</w:t>
      </w:r>
      <w:r w:rsidR="00CF51D0" w:rsidRPr="00F512C2">
        <w:t>.”</w:t>
      </w:r>
      <w:r w:rsidRPr="00F512C2">
        <w:t xml:space="preserve"> </w:t>
      </w:r>
      <w:r w:rsidRPr="00F512C2">
        <w:rPr>
          <w:i/>
        </w:rPr>
        <w:t xml:space="preserve">World Politics </w:t>
      </w:r>
      <w:r w:rsidRPr="00F512C2">
        <w:t>48 (2), 143-79.</w:t>
      </w:r>
    </w:p>
    <w:p w14:paraId="684F56B0" w14:textId="77777777" w:rsidR="00AC1AA3" w:rsidRPr="00F512C2" w:rsidRDefault="00AC1AA3" w:rsidP="00AC1AA3">
      <w:pPr>
        <w:widowControl w:val="0"/>
        <w:ind w:left="720" w:hanging="720"/>
      </w:pPr>
    </w:p>
    <w:p w14:paraId="4303FAB4" w14:textId="277F024C" w:rsidR="00CF51D0" w:rsidRPr="00F512C2" w:rsidRDefault="00CF51D0" w:rsidP="00AC1AA3">
      <w:pPr>
        <w:widowControl w:val="0"/>
        <w:ind w:left="720" w:hanging="720"/>
      </w:pPr>
      <w:proofErr w:type="spellStart"/>
      <w:r w:rsidRPr="00F512C2">
        <w:t>Peirson</w:t>
      </w:r>
      <w:proofErr w:type="spellEnd"/>
      <w:r w:rsidRPr="00F512C2">
        <w:t xml:space="preserve">, Paul. 2016. </w:t>
      </w:r>
      <w:r w:rsidR="00C527EA" w:rsidRPr="00F512C2">
        <w:t>“Review Symposium,</w:t>
      </w:r>
      <w:r w:rsidR="000F15AC" w:rsidRPr="00F512C2">
        <w:t xml:space="preserve"> </w:t>
      </w:r>
      <w:r w:rsidR="000F15AC" w:rsidRPr="00F512C2">
        <w:rPr>
          <w:i/>
        </w:rPr>
        <w:t>The Politics of Advanced Capitalism</w:t>
      </w:r>
      <w:r w:rsidR="000F15AC" w:rsidRPr="00F512C2">
        <w:t xml:space="preserve">, edited by Pablo </w:t>
      </w:r>
      <w:proofErr w:type="spellStart"/>
      <w:r w:rsidR="000F15AC" w:rsidRPr="00F512C2">
        <w:t>Beramendi</w:t>
      </w:r>
      <w:proofErr w:type="spellEnd"/>
      <w:r w:rsidR="000F15AC" w:rsidRPr="00F512C2">
        <w:t xml:space="preserve">, </w:t>
      </w:r>
      <w:proofErr w:type="spellStart"/>
      <w:r w:rsidR="000F15AC" w:rsidRPr="00F512C2">
        <w:t>Silja</w:t>
      </w:r>
      <w:proofErr w:type="spellEnd"/>
      <w:r w:rsidR="000F15AC" w:rsidRPr="00F512C2">
        <w:t xml:space="preserve"> </w:t>
      </w:r>
      <w:proofErr w:type="spellStart"/>
      <w:r w:rsidR="000F15AC" w:rsidRPr="00F512C2">
        <w:t>Häusermann</w:t>
      </w:r>
      <w:proofErr w:type="spellEnd"/>
      <w:r w:rsidR="000F15AC" w:rsidRPr="00F512C2">
        <w:t xml:space="preserve">, Herbert </w:t>
      </w:r>
      <w:proofErr w:type="spellStart"/>
      <w:r w:rsidR="000F15AC" w:rsidRPr="00F512C2">
        <w:t>Kitschelt</w:t>
      </w:r>
      <w:proofErr w:type="spellEnd"/>
      <w:r w:rsidR="000F15AC" w:rsidRPr="00F512C2">
        <w:t xml:space="preserve">, and </w:t>
      </w:r>
      <w:proofErr w:type="spellStart"/>
      <w:r w:rsidR="000F15AC" w:rsidRPr="00F512C2">
        <w:t>Hanspeter</w:t>
      </w:r>
      <w:proofErr w:type="spellEnd"/>
      <w:r w:rsidR="000F15AC" w:rsidRPr="00F512C2">
        <w:t xml:space="preserve"> </w:t>
      </w:r>
      <w:proofErr w:type="spellStart"/>
      <w:r w:rsidR="000F15AC" w:rsidRPr="00F512C2">
        <w:t>Kriesi</w:t>
      </w:r>
      <w:proofErr w:type="spellEnd"/>
      <w:r w:rsidR="003B2C81" w:rsidRPr="00F512C2">
        <w:t xml:space="preserve">, </w:t>
      </w:r>
      <w:r w:rsidR="000F15AC" w:rsidRPr="00F512C2">
        <w:t>Cambridge University Press</w:t>
      </w:r>
      <w:r w:rsidR="003B2C81" w:rsidRPr="00F512C2">
        <w:t xml:space="preserve">” </w:t>
      </w:r>
      <w:r w:rsidR="00A3166E" w:rsidRPr="00F512C2">
        <w:t xml:space="preserve">(with </w:t>
      </w:r>
      <w:r w:rsidR="00B23B5A" w:rsidRPr="00F512C2">
        <w:t xml:space="preserve">Peter Hall, </w:t>
      </w:r>
      <w:proofErr w:type="spellStart"/>
      <w:r w:rsidR="00B23B5A" w:rsidRPr="00F512C2">
        <w:t>Christoffer</w:t>
      </w:r>
      <w:proofErr w:type="spellEnd"/>
      <w:r w:rsidR="00B23B5A" w:rsidRPr="00F512C2">
        <w:t xml:space="preserve"> Green-Pedersen, and Jonas Kraft</w:t>
      </w:r>
      <w:r w:rsidR="00B23B5A" w:rsidRPr="00F512C2">
        <w:rPr>
          <w:i/>
        </w:rPr>
        <w:t xml:space="preserve">). </w:t>
      </w:r>
      <w:r w:rsidR="003B2C81" w:rsidRPr="00F512C2">
        <w:rPr>
          <w:i/>
        </w:rPr>
        <w:t>Socio-Economic Review</w:t>
      </w:r>
      <w:r w:rsidR="003B2C81" w:rsidRPr="00F512C2">
        <w:t xml:space="preserve"> 14 (2)</w:t>
      </w:r>
      <w:r w:rsidR="00B70391" w:rsidRPr="00F512C2">
        <w:t>: 391-394</w:t>
      </w:r>
    </w:p>
    <w:p w14:paraId="73562093" w14:textId="3AE01EA2" w:rsidR="00CF51D0" w:rsidRPr="00F512C2" w:rsidRDefault="00CF51D0" w:rsidP="00AC1AA3">
      <w:pPr>
        <w:widowControl w:val="0"/>
        <w:ind w:left="720" w:hanging="720"/>
      </w:pPr>
      <w:r w:rsidRPr="00F512C2">
        <w:t xml:space="preserve"> </w:t>
      </w:r>
    </w:p>
    <w:p w14:paraId="30164023" w14:textId="79F1C1BC" w:rsidR="00AC1AA3" w:rsidRPr="00F512C2" w:rsidRDefault="00AC1AA3" w:rsidP="00AC1AA3">
      <w:pPr>
        <w:widowControl w:val="0"/>
        <w:ind w:left="720" w:hanging="720"/>
      </w:pPr>
      <w:r w:rsidRPr="00F512C2">
        <w:t>Radcliff, B</w:t>
      </w:r>
      <w:r w:rsidR="00F277AA" w:rsidRPr="00F512C2">
        <w:t>e</w:t>
      </w:r>
      <w:r w:rsidR="007E2B0B" w:rsidRPr="00F512C2">
        <w:t>njamin</w:t>
      </w:r>
      <w:r w:rsidRPr="00F512C2">
        <w:t xml:space="preserve"> and P</w:t>
      </w:r>
      <w:r w:rsidR="003808CA" w:rsidRPr="00F512C2">
        <w:t>atricia</w:t>
      </w:r>
      <w:r w:rsidRPr="00F512C2">
        <w:t xml:space="preserve"> Davis</w:t>
      </w:r>
      <w:r w:rsidR="003808CA" w:rsidRPr="00F512C2">
        <w:t>.</w:t>
      </w:r>
      <w:r w:rsidRPr="00F512C2">
        <w:t xml:space="preserve"> 2000</w:t>
      </w:r>
      <w:r w:rsidR="003808CA" w:rsidRPr="00F512C2">
        <w:t>.</w:t>
      </w:r>
      <w:r w:rsidRPr="00F512C2">
        <w:t xml:space="preserve"> “Labor </w:t>
      </w:r>
      <w:r w:rsidR="007E2B0B" w:rsidRPr="00F512C2">
        <w:t>O</w:t>
      </w:r>
      <w:r w:rsidRPr="00F512C2">
        <w:t xml:space="preserve">rganization and </w:t>
      </w:r>
      <w:r w:rsidR="007E2B0B" w:rsidRPr="00F512C2">
        <w:t>E</w:t>
      </w:r>
      <w:r w:rsidRPr="00F512C2">
        <w:t xml:space="preserve">lectoral </w:t>
      </w:r>
      <w:r w:rsidR="007E2B0B" w:rsidRPr="00F512C2">
        <w:t>P</w:t>
      </w:r>
      <w:r w:rsidRPr="00F512C2">
        <w:t xml:space="preserve">articipation in </w:t>
      </w:r>
      <w:r w:rsidR="007E2B0B" w:rsidRPr="00F512C2">
        <w:t>I</w:t>
      </w:r>
      <w:r w:rsidRPr="00F512C2">
        <w:t xml:space="preserve">ndustrial </w:t>
      </w:r>
      <w:r w:rsidR="007E2B0B" w:rsidRPr="00F512C2">
        <w:t>D</w:t>
      </w:r>
      <w:r w:rsidRPr="00F512C2">
        <w:t xml:space="preserve">emocracies,” </w:t>
      </w:r>
      <w:r w:rsidRPr="00F512C2">
        <w:rPr>
          <w:i/>
        </w:rPr>
        <w:t>American Journal of Political Science</w:t>
      </w:r>
      <w:r w:rsidRPr="00F512C2">
        <w:t xml:space="preserve"> 44 (1), 132-141.</w:t>
      </w:r>
    </w:p>
    <w:p w14:paraId="0F714A29" w14:textId="77777777" w:rsidR="00B210B7" w:rsidRPr="00F512C2" w:rsidRDefault="00B210B7" w:rsidP="00AC1AA3">
      <w:pPr>
        <w:widowControl w:val="0"/>
        <w:ind w:left="720" w:hanging="720"/>
      </w:pPr>
    </w:p>
    <w:p w14:paraId="7E9D0849" w14:textId="1BF93B26" w:rsidR="00DC6220" w:rsidRPr="00F512C2" w:rsidRDefault="00DC6220" w:rsidP="007D570F">
      <w:pPr>
        <w:widowControl w:val="0"/>
        <w:ind w:left="720" w:hanging="720"/>
      </w:pPr>
      <w:proofErr w:type="spellStart"/>
      <w:r w:rsidRPr="00F512C2">
        <w:t>Rennwald</w:t>
      </w:r>
      <w:proofErr w:type="spellEnd"/>
      <w:r w:rsidRPr="00F512C2">
        <w:t xml:space="preserve">, Line and Jonas </w:t>
      </w:r>
      <w:proofErr w:type="spellStart"/>
      <w:r w:rsidRPr="00F512C2">
        <w:t>Pontusson</w:t>
      </w:r>
      <w:proofErr w:type="spellEnd"/>
      <w:r w:rsidRPr="00F512C2">
        <w:t xml:space="preserve">. 2017. “Paper Stones Revisited: </w:t>
      </w:r>
      <w:r w:rsidR="00642F28" w:rsidRPr="00F512C2">
        <w:t xml:space="preserve">Class Voting, Unionization, and the Electoral Decline of Mainstream Left.” Paper </w:t>
      </w:r>
      <w:r w:rsidR="00440423" w:rsidRPr="00F512C2">
        <w:t xml:space="preserve">presented at the Annual </w:t>
      </w:r>
      <w:r w:rsidR="008201B1" w:rsidRPr="00F512C2">
        <w:t>Meetings of the American Political Science Association, San Francisco, August 31- September 3</w:t>
      </w:r>
      <w:r w:rsidR="007D570F" w:rsidRPr="00F512C2">
        <w:t>.</w:t>
      </w:r>
    </w:p>
    <w:p w14:paraId="4E18E0B3" w14:textId="77777777" w:rsidR="00DC6220" w:rsidRPr="00F512C2" w:rsidRDefault="00DC6220" w:rsidP="00AC1AA3">
      <w:pPr>
        <w:widowControl w:val="0"/>
      </w:pPr>
    </w:p>
    <w:p w14:paraId="6AEFC859" w14:textId="6369A5E2" w:rsidR="00AC1AA3" w:rsidRPr="00F512C2" w:rsidRDefault="00AC1AA3" w:rsidP="00AC1AA3">
      <w:pPr>
        <w:ind w:left="720" w:hanging="720"/>
        <w:rPr>
          <w:szCs w:val="24"/>
        </w:rPr>
      </w:pPr>
      <w:r w:rsidRPr="00F512C2">
        <w:rPr>
          <w:szCs w:val="24"/>
        </w:rPr>
        <w:t>Rueda, D</w:t>
      </w:r>
      <w:r w:rsidR="006F69DD" w:rsidRPr="00F512C2">
        <w:rPr>
          <w:szCs w:val="24"/>
        </w:rPr>
        <w:t xml:space="preserve">avid. </w:t>
      </w:r>
      <w:r w:rsidRPr="00F512C2">
        <w:rPr>
          <w:szCs w:val="24"/>
        </w:rPr>
        <w:t>2005</w:t>
      </w:r>
      <w:r w:rsidR="006F69DD" w:rsidRPr="00F512C2">
        <w:rPr>
          <w:szCs w:val="24"/>
        </w:rPr>
        <w:t>.</w:t>
      </w:r>
      <w:r w:rsidRPr="00F512C2">
        <w:rPr>
          <w:szCs w:val="24"/>
        </w:rPr>
        <w:t xml:space="preserve"> </w:t>
      </w:r>
      <w:r w:rsidR="006F69DD" w:rsidRPr="00F512C2">
        <w:rPr>
          <w:szCs w:val="24"/>
        </w:rPr>
        <w:t>“</w:t>
      </w:r>
      <w:r w:rsidRPr="00F512C2">
        <w:rPr>
          <w:szCs w:val="24"/>
        </w:rPr>
        <w:t>Insider-outsider politics in industrialized democracies</w:t>
      </w:r>
      <w:r w:rsidR="006F69DD" w:rsidRPr="00F512C2">
        <w:rPr>
          <w:szCs w:val="24"/>
        </w:rPr>
        <w:t>.”</w:t>
      </w:r>
      <w:r w:rsidRPr="00F512C2">
        <w:rPr>
          <w:i/>
          <w:iCs/>
          <w:szCs w:val="24"/>
        </w:rPr>
        <w:t xml:space="preserve">  American Political Science Review </w:t>
      </w:r>
      <w:r w:rsidRPr="00F512C2">
        <w:rPr>
          <w:szCs w:val="24"/>
        </w:rPr>
        <w:t>99</w:t>
      </w:r>
      <w:r w:rsidR="00B3127D" w:rsidRPr="00F512C2">
        <w:rPr>
          <w:szCs w:val="24"/>
        </w:rPr>
        <w:t xml:space="preserve"> (1):</w:t>
      </w:r>
      <w:r w:rsidRPr="00F512C2">
        <w:rPr>
          <w:szCs w:val="24"/>
        </w:rPr>
        <w:t xml:space="preserve"> 61-74.</w:t>
      </w:r>
    </w:p>
    <w:p w14:paraId="0BE5DBB2" w14:textId="77777777" w:rsidR="00AC1AA3" w:rsidRPr="00F512C2" w:rsidRDefault="00AC1AA3" w:rsidP="00AC1AA3">
      <w:pPr>
        <w:rPr>
          <w:szCs w:val="24"/>
        </w:rPr>
      </w:pPr>
    </w:p>
    <w:p w14:paraId="153AC142" w14:textId="77777777" w:rsidR="0004295F" w:rsidRPr="00F512C2" w:rsidRDefault="00AC1AA3" w:rsidP="0004295F">
      <w:pPr>
        <w:widowControl w:val="0"/>
        <w:ind w:left="720" w:hanging="720"/>
      </w:pPr>
      <w:r w:rsidRPr="00F512C2">
        <w:t>Rueda, D</w:t>
      </w:r>
      <w:r w:rsidR="00AA5F9E" w:rsidRPr="00F512C2">
        <w:t xml:space="preserve">avid. </w:t>
      </w:r>
      <w:r w:rsidRPr="00F512C2">
        <w:t>2007</w:t>
      </w:r>
      <w:r w:rsidR="00AA5F9E" w:rsidRPr="00F512C2">
        <w:t>.</w:t>
      </w:r>
      <w:r w:rsidRPr="00F512C2">
        <w:t xml:space="preserve"> </w:t>
      </w:r>
      <w:r w:rsidRPr="00F512C2">
        <w:rPr>
          <w:i/>
        </w:rPr>
        <w:t>Social Democracy Inside Out: Partisanship and Labor Market Policy in Industrialized Democracies</w:t>
      </w:r>
      <w:r w:rsidRPr="00F512C2">
        <w:t>, New York: Oxford University Press.</w:t>
      </w:r>
      <w:r w:rsidR="00176993" w:rsidRPr="00F512C2">
        <w:t xml:space="preserve"> </w:t>
      </w:r>
    </w:p>
    <w:p w14:paraId="58C8A763" w14:textId="77777777" w:rsidR="0004295F" w:rsidRPr="00F512C2" w:rsidRDefault="0004295F" w:rsidP="0004295F">
      <w:pPr>
        <w:widowControl w:val="0"/>
        <w:ind w:left="720" w:hanging="720"/>
        <w:rPr>
          <w:color w:val="000000"/>
          <w:szCs w:val="24"/>
        </w:rPr>
      </w:pPr>
    </w:p>
    <w:p w14:paraId="19D3A29B" w14:textId="0A14BDF9" w:rsidR="00176993" w:rsidRPr="00F512C2" w:rsidRDefault="00176993" w:rsidP="0004295F">
      <w:pPr>
        <w:widowControl w:val="0"/>
        <w:ind w:left="720" w:hanging="720"/>
        <w:rPr>
          <w:szCs w:val="24"/>
        </w:rPr>
      </w:pPr>
      <w:r w:rsidRPr="00F512C2">
        <w:rPr>
          <w:color w:val="000000"/>
          <w:szCs w:val="24"/>
        </w:rPr>
        <w:t xml:space="preserve">Scruggs, Lyle, Detlef Jahn, and Kati </w:t>
      </w:r>
      <w:proofErr w:type="spellStart"/>
      <w:r w:rsidRPr="00F512C2">
        <w:rPr>
          <w:color w:val="000000"/>
          <w:szCs w:val="24"/>
        </w:rPr>
        <w:t>Kuitto</w:t>
      </w:r>
      <w:proofErr w:type="spellEnd"/>
      <w:r w:rsidRPr="00F512C2">
        <w:rPr>
          <w:color w:val="000000"/>
          <w:szCs w:val="24"/>
        </w:rPr>
        <w:t>. 2017. “Comparative Welfare Entitlements Dataset 2.</w:t>
      </w:r>
      <w:r w:rsidR="0004295F" w:rsidRPr="00F512C2">
        <w:rPr>
          <w:color w:val="000000"/>
          <w:szCs w:val="24"/>
        </w:rPr>
        <w:t xml:space="preserve"> </w:t>
      </w:r>
      <w:r w:rsidRPr="00F512C2">
        <w:rPr>
          <w:color w:val="000000"/>
          <w:szCs w:val="24"/>
        </w:rPr>
        <w:t>Version 2017-09.” University of Connecticut &amp; University of Greifswald.</w:t>
      </w:r>
    </w:p>
    <w:p w14:paraId="15E1FDD5" w14:textId="77777777" w:rsidR="00176993" w:rsidRPr="00F512C2" w:rsidRDefault="00176993" w:rsidP="00AC1AA3">
      <w:pPr>
        <w:widowControl w:val="0"/>
        <w:ind w:left="720" w:hanging="720"/>
      </w:pPr>
    </w:p>
    <w:p w14:paraId="3D98AE26" w14:textId="09BC52AE" w:rsidR="00C0007C" w:rsidRPr="00F512C2" w:rsidRDefault="00C0007C" w:rsidP="00E47D39">
      <w:pPr>
        <w:widowControl w:val="0"/>
        <w:ind w:left="720" w:hanging="720"/>
      </w:pPr>
      <w:proofErr w:type="spellStart"/>
      <w:r w:rsidRPr="00F512C2">
        <w:t>Seeleib</w:t>
      </w:r>
      <w:proofErr w:type="spellEnd"/>
      <w:r w:rsidRPr="00F512C2">
        <w:t xml:space="preserve">-Kaiser, Martin, </w:t>
      </w:r>
      <w:r w:rsidR="005F30C2" w:rsidRPr="00F512C2">
        <w:t xml:space="preserve">Adam Saunders, and Marek </w:t>
      </w:r>
      <w:proofErr w:type="spellStart"/>
      <w:r w:rsidR="005F30C2" w:rsidRPr="00F512C2">
        <w:t>Naczyk</w:t>
      </w:r>
      <w:proofErr w:type="spellEnd"/>
      <w:r w:rsidR="005F30C2" w:rsidRPr="00F512C2">
        <w:t>. 2012. “Shifting the Public-</w:t>
      </w:r>
      <w:proofErr w:type="spellStart"/>
      <w:r w:rsidR="005F30C2" w:rsidRPr="00F512C2">
        <w:t>Provate</w:t>
      </w:r>
      <w:proofErr w:type="spellEnd"/>
      <w:r w:rsidR="005F30C2" w:rsidRPr="00F512C2">
        <w:t xml:space="preserve"> Mix: A New Dualization of Welfare</w:t>
      </w:r>
      <w:r w:rsidR="00E47D39" w:rsidRPr="00F512C2">
        <w:t xml:space="preserve">.” In. </w:t>
      </w:r>
      <w:r w:rsidR="00E47D39" w:rsidRPr="00F512C2">
        <w:rPr>
          <w:i/>
        </w:rPr>
        <w:t>The Age of Dualization: The Changing Face of Inequality in Deindustrializing Societies</w:t>
      </w:r>
      <w:r w:rsidR="00E47D39" w:rsidRPr="00F512C2">
        <w:t xml:space="preserve">, edited by Patrick </w:t>
      </w:r>
      <w:proofErr w:type="spellStart"/>
      <w:r w:rsidR="00E47D39" w:rsidRPr="00F512C2">
        <w:t>Emmenegger</w:t>
      </w:r>
      <w:proofErr w:type="spellEnd"/>
      <w:r w:rsidR="00E47D39" w:rsidRPr="00F512C2">
        <w:t xml:space="preserve">, </w:t>
      </w:r>
      <w:proofErr w:type="spellStart"/>
      <w:r w:rsidR="00E47D39" w:rsidRPr="00F512C2">
        <w:t>Silja</w:t>
      </w:r>
      <w:proofErr w:type="spellEnd"/>
      <w:r w:rsidR="00E47D39" w:rsidRPr="00F512C2">
        <w:t xml:space="preserve"> </w:t>
      </w:r>
      <w:proofErr w:type="spellStart"/>
      <w:r w:rsidR="00E47D39" w:rsidRPr="00F512C2">
        <w:t>Häusermann</w:t>
      </w:r>
      <w:proofErr w:type="spellEnd"/>
      <w:r w:rsidR="00E47D39" w:rsidRPr="00F512C2">
        <w:t xml:space="preserve">, Bruno </w:t>
      </w:r>
      <w:proofErr w:type="spellStart"/>
      <w:r w:rsidR="00E47D39" w:rsidRPr="00F512C2">
        <w:t>Palier</w:t>
      </w:r>
      <w:proofErr w:type="spellEnd"/>
      <w:r w:rsidR="00E47D39" w:rsidRPr="00F512C2">
        <w:t xml:space="preserve">, and Martin </w:t>
      </w:r>
      <w:proofErr w:type="spellStart"/>
      <w:r w:rsidR="00E47D39" w:rsidRPr="00F512C2">
        <w:t>Seeleib</w:t>
      </w:r>
      <w:proofErr w:type="spellEnd"/>
      <w:r w:rsidR="00E47D39" w:rsidRPr="00F512C2">
        <w:t xml:space="preserve">-Kaiser, </w:t>
      </w:r>
      <w:r w:rsidR="0065791B" w:rsidRPr="00F512C2">
        <w:t>1</w:t>
      </w:r>
      <w:r w:rsidR="00E47D39" w:rsidRPr="00F512C2">
        <w:t>51</w:t>
      </w:r>
      <w:r w:rsidR="0065791B" w:rsidRPr="00F512C2">
        <w:t>-175</w:t>
      </w:r>
      <w:r w:rsidR="00E47D39" w:rsidRPr="00F512C2">
        <w:t xml:space="preserve">. New York: Oxford University Press. </w:t>
      </w:r>
    </w:p>
    <w:p w14:paraId="1839AFDC" w14:textId="77777777" w:rsidR="00C0007C" w:rsidRPr="00F512C2" w:rsidRDefault="00C0007C" w:rsidP="00AC1AA3">
      <w:pPr>
        <w:widowControl w:val="0"/>
        <w:ind w:left="720" w:hanging="720"/>
      </w:pPr>
    </w:p>
    <w:p w14:paraId="00F28903" w14:textId="4C83AB1C" w:rsidR="00AC1AA3" w:rsidRPr="00F512C2" w:rsidRDefault="00AC1AA3" w:rsidP="00AC1AA3">
      <w:pPr>
        <w:widowControl w:val="0"/>
        <w:ind w:left="720" w:hanging="720"/>
      </w:pPr>
      <w:r w:rsidRPr="00F512C2">
        <w:t>Stephens, J</w:t>
      </w:r>
      <w:r w:rsidR="00B3127D" w:rsidRPr="00F512C2">
        <w:t>ohn</w:t>
      </w:r>
      <w:r w:rsidRPr="00F512C2">
        <w:t xml:space="preserve"> D. (1979), </w:t>
      </w:r>
      <w:r w:rsidRPr="00F512C2">
        <w:rPr>
          <w:i/>
        </w:rPr>
        <w:t>The Transition from Capitalism to Socialism</w:t>
      </w:r>
      <w:r w:rsidRPr="00F512C2">
        <w:t>, Atlantic Highlands, NJ: Humanities Press.</w:t>
      </w:r>
    </w:p>
    <w:p w14:paraId="737EE6FE" w14:textId="77777777" w:rsidR="00AC1AA3" w:rsidRPr="00F512C2" w:rsidRDefault="00AC1AA3" w:rsidP="00AC1AA3">
      <w:pPr>
        <w:widowControl w:val="0"/>
      </w:pPr>
    </w:p>
    <w:p w14:paraId="6CC28D04" w14:textId="50B9A587" w:rsidR="00AC1AA3" w:rsidRPr="00F512C2" w:rsidRDefault="00AC1AA3" w:rsidP="00AC1AA3">
      <w:pPr>
        <w:widowControl w:val="0"/>
        <w:ind w:left="720" w:hanging="720"/>
      </w:pPr>
      <w:r w:rsidRPr="00F512C2">
        <w:t>Swank, D</w:t>
      </w:r>
      <w:r w:rsidR="00B3127D" w:rsidRPr="00F512C2">
        <w:t xml:space="preserve">uane. </w:t>
      </w:r>
      <w:r w:rsidRPr="00F512C2">
        <w:t>2002</w:t>
      </w:r>
      <w:r w:rsidR="00B3127D" w:rsidRPr="00F512C2">
        <w:t>.</w:t>
      </w:r>
      <w:r w:rsidRPr="00F512C2">
        <w:t xml:space="preserve"> </w:t>
      </w:r>
      <w:r w:rsidRPr="00F512C2">
        <w:rPr>
          <w:i/>
        </w:rPr>
        <w:t>Global Capital, Political Institutions, and Policy Change in Developed Welfare States</w:t>
      </w:r>
      <w:r w:rsidRPr="00F512C2">
        <w:t>, New York: Cambridge University Press.</w:t>
      </w:r>
    </w:p>
    <w:p w14:paraId="7EA8C29E" w14:textId="6F6D869A" w:rsidR="00AC1AA3" w:rsidRPr="00F512C2" w:rsidRDefault="00AC1AA3" w:rsidP="00AC1AA3">
      <w:pPr>
        <w:widowControl w:val="0"/>
      </w:pPr>
    </w:p>
    <w:p w14:paraId="348FEC0B" w14:textId="22055810" w:rsidR="00D26A24" w:rsidRPr="00F512C2" w:rsidRDefault="00D26A24" w:rsidP="00D26A24">
      <w:pPr>
        <w:widowControl w:val="0"/>
        <w:ind w:left="720" w:hanging="720"/>
      </w:pPr>
      <w:r w:rsidRPr="00F512C2">
        <w:t xml:space="preserve">Swank, Duane. 2014. </w:t>
      </w:r>
      <w:r w:rsidR="0022564C" w:rsidRPr="00F512C2">
        <w:t>“</w:t>
      </w:r>
      <w:r w:rsidRPr="00F512C2">
        <w:t xml:space="preserve">The Political Sources of Labor Market Dualism in Post-industrial Democracies.” </w:t>
      </w:r>
      <w:r w:rsidRPr="00F512C2">
        <w:rPr>
          <w:i/>
        </w:rPr>
        <w:t>Review of Keynesian Economics</w:t>
      </w:r>
      <w:r w:rsidRPr="00F512C2">
        <w:t xml:space="preserve"> 2 (2): 234-57. </w:t>
      </w:r>
    </w:p>
    <w:p w14:paraId="3846042D" w14:textId="77777777" w:rsidR="00D26A24" w:rsidRPr="00F512C2" w:rsidRDefault="00D26A24" w:rsidP="00AC1AA3">
      <w:pPr>
        <w:widowControl w:val="0"/>
      </w:pPr>
    </w:p>
    <w:p w14:paraId="6102D740" w14:textId="3217F932" w:rsidR="00AC1AA3" w:rsidRPr="00F512C2" w:rsidRDefault="00AC1AA3" w:rsidP="00AC1AA3">
      <w:pPr>
        <w:widowControl w:val="0"/>
        <w:ind w:left="720" w:hanging="720"/>
      </w:pPr>
      <w:proofErr w:type="spellStart"/>
      <w:r w:rsidRPr="00F512C2">
        <w:t>Thelen</w:t>
      </w:r>
      <w:proofErr w:type="spellEnd"/>
      <w:r w:rsidRPr="00F512C2">
        <w:t>, K</w:t>
      </w:r>
      <w:r w:rsidR="00446D4A" w:rsidRPr="00F512C2">
        <w:t xml:space="preserve">athleen. </w:t>
      </w:r>
      <w:r w:rsidRPr="00F512C2">
        <w:t>2014</w:t>
      </w:r>
      <w:r w:rsidR="00446D4A" w:rsidRPr="00F512C2">
        <w:t>.</w:t>
      </w:r>
      <w:r w:rsidRPr="00F512C2">
        <w:t xml:space="preserve"> </w:t>
      </w:r>
      <w:r w:rsidRPr="00F512C2">
        <w:rPr>
          <w:i/>
        </w:rPr>
        <w:t>Varieties of Liberalization and the New Politics of Social Solidarity</w:t>
      </w:r>
      <w:r w:rsidRPr="00F512C2">
        <w:t>, New York: Cambridge University Press.</w:t>
      </w:r>
    </w:p>
    <w:p w14:paraId="5CBFCF06" w14:textId="45760D8B" w:rsidR="007C184B" w:rsidRPr="00F512C2" w:rsidRDefault="007C184B" w:rsidP="00AC1AA3">
      <w:pPr>
        <w:widowControl w:val="0"/>
        <w:ind w:left="720" w:hanging="720"/>
      </w:pPr>
    </w:p>
    <w:p w14:paraId="5AF47A18" w14:textId="3B9923C9" w:rsidR="007C184B" w:rsidRPr="00F512C2" w:rsidRDefault="007C184B" w:rsidP="007C184B">
      <w:pPr>
        <w:widowControl w:val="0"/>
        <w:ind w:left="720" w:hanging="720"/>
      </w:pPr>
      <w:r w:rsidRPr="00F512C2">
        <w:t>Traxler, Franz., S</w:t>
      </w:r>
      <w:r w:rsidR="00A86CA2" w:rsidRPr="00F512C2">
        <w:t>abine</w:t>
      </w:r>
      <w:r w:rsidRPr="00F512C2">
        <w:t xml:space="preserve"> </w:t>
      </w:r>
      <w:proofErr w:type="spellStart"/>
      <w:r w:rsidRPr="00F512C2">
        <w:t>Blaschke</w:t>
      </w:r>
      <w:proofErr w:type="spellEnd"/>
      <w:r w:rsidRPr="00F512C2">
        <w:t>, and Bernhard Kittel</w:t>
      </w:r>
      <w:r w:rsidR="00FE1192" w:rsidRPr="00F512C2">
        <w:t>.</w:t>
      </w:r>
      <w:r w:rsidRPr="00F512C2">
        <w:t xml:space="preserve"> 2001</w:t>
      </w:r>
      <w:r w:rsidR="00FE1192" w:rsidRPr="00F512C2">
        <w:t>.</w:t>
      </w:r>
      <w:r w:rsidRPr="00F512C2">
        <w:t xml:space="preserve"> </w:t>
      </w:r>
      <w:r w:rsidRPr="00F512C2">
        <w:rPr>
          <w:i/>
        </w:rPr>
        <w:t xml:space="preserve">National </w:t>
      </w:r>
      <w:proofErr w:type="spellStart"/>
      <w:r w:rsidRPr="00F512C2">
        <w:rPr>
          <w:i/>
        </w:rPr>
        <w:t>Labour</w:t>
      </w:r>
      <w:proofErr w:type="spellEnd"/>
      <w:r w:rsidRPr="00F512C2">
        <w:rPr>
          <w:i/>
        </w:rPr>
        <w:t xml:space="preserve"> Relations in International Markets</w:t>
      </w:r>
      <w:r w:rsidRPr="00F512C2">
        <w:t xml:space="preserve">, New York: Oxford University Press. </w:t>
      </w:r>
    </w:p>
    <w:p w14:paraId="6FFCCA79" w14:textId="77777777" w:rsidR="007C184B" w:rsidRPr="00F512C2" w:rsidRDefault="007C184B" w:rsidP="007C184B">
      <w:pPr>
        <w:widowControl w:val="0"/>
      </w:pPr>
    </w:p>
    <w:p w14:paraId="4FF08967" w14:textId="38105E90" w:rsidR="007C184B" w:rsidRPr="00F512C2" w:rsidRDefault="007C184B" w:rsidP="007C184B">
      <w:pPr>
        <w:widowControl w:val="0"/>
        <w:ind w:left="720" w:hanging="720"/>
      </w:pPr>
      <w:r w:rsidRPr="00F512C2">
        <w:t>Traxler, F</w:t>
      </w:r>
      <w:r w:rsidR="00A86CA2" w:rsidRPr="00F512C2">
        <w:t>ranz</w:t>
      </w:r>
      <w:r w:rsidRPr="00F512C2">
        <w:t xml:space="preserve"> and G</w:t>
      </w:r>
      <w:r w:rsidR="00FE1192" w:rsidRPr="00F512C2">
        <w:t>erhard</w:t>
      </w:r>
      <w:r w:rsidRPr="00F512C2">
        <w:t xml:space="preserve"> </w:t>
      </w:r>
      <w:proofErr w:type="spellStart"/>
      <w:r w:rsidRPr="00F512C2">
        <w:t>Hu</w:t>
      </w:r>
      <w:r w:rsidR="00B61079" w:rsidRPr="00F512C2">
        <w:t>e</w:t>
      </w:r>
      <w:r w:rsidRPr="00F512C2">
        <w:t>mer</w:t>
      </w:r>
      <w:proofErr w:type="spellEnd"/>
      <w:r w:rsidRPr="00F512C2">
        <w:t xml:space="preserve"> eds.</w:t>
      </w:r>
      <w:r w:rsidR="00FE1192" w:rsidRPr="00F512C2">
        <w:t xml:space="preserve"> </w:t>
      </w:r>
      <w:r w:rsidRPr="00F512C2">
        <w:t>2007</w:t>
      </w:r>
      <w:r w:rsidR="00FE1192" w:rsidRPr="00F512C2">
        <w:t>.</w:t>
      </w:r>
      <w:r w:rsidRPr="00F512C2">
        <w:t xml:space="preserve"> </w:t>
      </w:r>
      <w:r w:rsidRPr="00F512C2">
        <w:rPr>
          <w:i/>
        </w:rPr>
        <w:t>Handbook of Business Interest Associations, Firm Size and Governance</w:t>
      </w:r>
      <w:r w:rsidRPr="00F512C2">
        <w:t>, New York: Routledge.</w:t>
      </w:r>
    </w:p>
    <w:p w14:paraId="5C259640" w14:textId="77777777" w:rsidR="000E2D4A" w:rsidRPr="00F512C2" w:rsidRDefault="000E2D4A" w:rsidP="000B408D">
      <w:pPr>
        <w:widowControl w:val="0"/>
        <w:ind w:left="720" w:hanging="720"/>
      </w:pPr>
    </w:p>
    <w:p w14:paraId="5B13A7ED" w14:textId="151294C0" w:rsidR="000B408D" w:rsidRPr="00F512C2" w:rsidRDefault="000B408D" w:rsidP="000B408D">
      <w:pPr>
        <w:widowControl w:val="0"/>
        <w:ind w:left="720" w:hanging="720"/>
      </w:pPr>
      <w:r w:rsidRPr="00F512C2">
        <w:t xml:space="preserve">Van Vliet, Olaf and Koen </w:t>
      </w:r>
      <w:proofErr w:type="spellStart"/>
      <w:r w:rsidRPr="00F512C2">
        <w:t>Caminada</w:t>
      </w:r>
      <w:proofErr w:type="spellEnd"/>
      <w:r w:rsidRPr="00F512C2">
        <w:t xml:space="preserve">. 2012. </w:t>
      </w:r>
      <w:r w:rsidR="00215DD2" w:rsidRPr="00F512C2">
        <w:t>“</w:t>
      </w:r>
      <w:r w:rsidRPr="00F512C2">
        <w:t>Unemployment replacement rates dataset among 34 welfare states 1971-2009</w:t>
      </w:r>
      <w:r w:rsidR="00215DD2" w:rsidRPr="00F512C2">
        <w:t>.”</w:t>
      </w:r>
      <w:r w:rsidRPr="00F512C2">
        <w:t xml:space="preserve"> NEUJOBS Special Report No. 2, </w:t>
      </w:r>
      <w:hyperlink r:id="rId14" w:history="1">
        <w:r w:rsidR="000E2D4A" w:rsidRPr="00F512C2">
          <w:rPr>
            <w:rStyle w:val="Hyperlink"/>
          </w:rPr>
          <w:t>www.neujobs.eu</w:t>
        </w:r>
      </w:hyperlink>
      <w:r w:rsidRPr="00F512C2">
        <w:t>.</w:t>
      </w:r>
    </w:p>
    <w:p w14:paraId="4B6069F7" w14:textId="04E139EF" w:rsidR="000E2D4A" w:rsidRPr="00F512C2" w:rsidRDefault="000E2D4A" w:rsidP="000B408D">
      <w:pPr>
        <w:widowControl w:val="0"/>
        <w:ind w:left="720" w:hanging="720"/>
      </w:pPr>
    </w:p>
    <w:p w14:paraId="510D3E39" w14:textId="77777777" w:rsidR="000E2D4A" w:rsidRPr="00F512C2" w:rsidRDefault="000E2D4A" w:rsidP="000E2D4A">
      <w:pPr>
        <w:widowControl w:val="0"/>
        <w:ind w:left="720" w:hanging="720"/>
      </w:pPr>
      <w:r w:rsidRPr="00F512C2">
        <w:t xml:space="preserve">Visser, J. (2013), </w:t>
      </w:r>
      <w:r w:rsidRPr="00F512C2">
        <w:rPr>
          <w:i/>
        </w:rPr>
        <w:t xml:space="preserve">Data Base on Institutional Characteristics of Trade Unions, Wage Setting, State Intervention and Social Pacts, 1960-2011 </w:t>
      </w:r>
      <w:r w:rsidRPr="00F512C2">
        <w:t xml:space="preserve">(ICTWSS), Amsterdam Institute for Advanced </w:t>
      </w:r>
      <w:proofErr w:type="spellStart"/>
      <w:r w:rsidRPr="00F512C2">
        <w:t>Labour</w:t>
      </w:r>
      <w:proofErr w:type="spellEnd"/>
      <w:r w:rsidRPr="00F512C2">
        <w:t xml:space="preserve"> Studies AIAS, University of Amsterdam, Version 4.0, May.</w:t>
      </w:r>
    </w:p>
    <w:p w14:paraId="0418F4D1" w14:textId="77777777" w:rsidR="000E2D4A" w:rsidRPr="00F512C2" w:rsidRDefault="000E2D4A" w:rsidP="000E2D4A">
      <w:pPr>
        <w:widowControl w:val="0"/>
      </w:pPr>
    </w:p>
    <w:p w14:paraId="4C749CD0" w14:textId="77777777" w:rsidR="000E2D4A" w:rsidRPr="00F512C2" w:rsidRDefault="000E2D4A" w:rsidP="000E2D4A">
      <w:pPr>
        <w:widowControl w:val="0"/>
        <w:ind w:left="720" w:hanging="720"/>
      </w:pPr>
      <w:proofErr w:type="spellStart"/>
      <w:r w:rsidRPr="00F512C2">
        <w:t>Volkens</w:t>
      </w:r>
      <w:proofErr w:type="spellEnd"/>
      <w:r w:rsidRPr="00F512C2">
        <w:t>, A., P. Lehmann</w:t>
      </w:r>
      <w:proofErr w:type="gramStart"/>
      <w:r w:rsidRPr="00F512C2">
        <w:t>, ,</w:t>
      </w:r>
      <w:proofErr w:type="gramEnd"/>
      <w:r w:rsidRPr="00F512C2">
        <w:t xml:space="preserve"> N. Merz, S. Regel, and A. Werner 2013.</w:t>
      </w:r>
      <w:r w:rsidRPr="00F512C2">
        <w:rPr>
          <w:i/>
        </w:rPr>
        <w:t xml:space="preserve"> The Manifesto Data Collection. Manifesto Project</w:t>
      </w:r>
      <w:r w:rsidRPr="00F512C2">
        <w:t xml:space="preserve">, Berlin: </w:t>
      </w:r>
      <w:proofErr w:type="spellStart"/>
      <w:r w:rsidRPr="00F512C2">
        <w:t>Wissenschaftszentrum</w:t>
      </w:r>
      <w:proofErr w:type="spellEnd"/>
      <w:r w:rsidRPr="00F512C2">
        <w:t xml:space="preserve"> Berlin </w:t>
      </w:r>
      <w:proofErr w:type="spellStart"/>
      <w:r w:rsidRPr="00F512C2">
        <w:t>für</w:t>
      </w:r>
      <w:proofErr w:type="spellEnd"/>
      <w:r w:rsidRPr="00F512C2">
        <w:t xml:space="preserve"> </w:t>
      </w:r>
      <w:proofErr w:type="spellStart"/>
      <w:r w:rsidRPr="00F512C2">
        <w:t>Sozialforschung</w:t>
      </w:r>
      <w:proofErr w:type="spellEnd"/>
      <w:r w:rsidRPr="00F512C2">
        <w:t xml:space="preserve"> (WZB), </w:t>
      </w:r>
      <w:hyperlink r:id="rId15" w:history="1">
        <w:r w:rsidRPr="00F512C2">
          <w:rPr>
            <w:rStyle w:val="Hyperlink"/>
          </w:rPr>
          <w:t>https://manifesto-project.wzb.eu/</w:t>
        </w:r>
      </w:hyperlink>
      <w:r w:rsidRPr="00F512C2">
        <w:t>.</w:t>
      </w:r>
    </w:p>
    <w:p w14:paraId="26AD76CC" w14:textId="156CA62B" w:rsidR="000C5898" w:rsidRPr="00F512C2" w:rsidRDefault="000C5898">
      <w:pPr>
        <w:spacing w:after="200" w:line="276" w:lineRule="auto"/>
        <w:rPr>
          <w:szCs w:val="24"/>
        </w:rPr>
      </w:pPr>
      <w:r w:rsidRPr="00F512C2">
        <w:rPr>
          <w:szCs w:val="24"/>
        </w:rPr>
        <w:br w:type="page"/>
      </w:r>
    </w:p>
    <w:p w14:paraId="4421255A" w14:textId="73E239AA" w:rsidR="006627B3" w:rsidRPr="00F512C2" w:rsidRDefault="006627B3" w:rsidP="00D12D45">
      <w:pPr>
        <w:sectPr w:rsidR="006627B3" w:rsidRPr="00F512C2" w:rsidSect="00AC7CE5">
          <w:footerReference w:type="default" r:id="rId16"/>
          <w:pgSz w:w="12240" w:h="15840"/>
          <w:pgMar w:top="1440" w:right="1440" w:bottom="1440" w:left="1440" w:header="720" w:footer="720" w:gutter="0"/>
          <w:cols w:space="720"/>
          <w:docGrid w:linePitch="360"/>
        </w:sectPr>
      </w:pPr>
    </w:p>
    <w:p w14:paraId="46A2D52C" w14:textId="00C7524C" w:rsidR="00094DD9" w:rsidRPr="00F512C2" w:rsidRDefault="00094DD9" w:rsidP="00094DD9">
      <w:pPr>
        <w:widowControl w:val="0"/>
        <w:rPr>
          <w:sz w:val="20"/>
          <w:vertAlign w:val="superscript"/>
        </w:rPr>
      </w:pPr>
      <w:r w:rsidRPr="00F512C2">
        <w:rPr>
          <w:sz w:val="20"/>
        </w:rPr>
        <w:t>Table 1. Income Protection for</w:t>
      </w:r>
      <w:r w:rsidR="00832FD9" w:rsidRPr="00F512C2">
        <w:rPr>
          <w:sz w:val="20"/>
        </w:rPr>
        <w:t xml:space="preserve"> Outsiders</w:t>
      </w:r>
      <w:r w:rsidRPr="00F512C2">
        <w:rPr>
          <w:sz w:val="20"/>
        </w:rPr>
        <w:t>, Active Labor Market Spending, and Relative Poverty Rates in Postindustrial Democracies, 1980s – 2010s</w:t>
      </w:r>
      <w:r w:rsidRPr="00F512C2">
        <w:rPr>
          <w:sz w:val="20"/>
          <w:vertAlign w:val="superscript"/>
        </w:rPr>
        <w:t>a</w:t>
      </w:r>
    </w:p>
    <w:p w14:paraId="79ACEFFE" w14:textId="77777777" w:rsidR="001A1DDB" w:rsidRPr="00F512C2" w:rsidRDefault="001A1DDB" w:rsidP="00094DD9">
      <w:pPr>
        <w:widowControl w:val="0"/>
        <w:rPr>
          <w:b/>
          <w:sz w:val="20"/>
          <w:vertAlign w:val="superscript"/>
        </w:rPr>
      </w:pPr>
    </w:p>
    <w:tbl>
      <w:tblPr>
        <w:tblStyle w:val="TableGridLight"/>
        <w:tblW w:w="12600" w:type="dxa"/>
        <w:tblLayout w:type="fixed"/>
        <w:tblLook w:val="0020" w:firstRow="1" w:lastRow="0" w:firstColumn="0" w:lastColumn="0" w:noHBand="0" w:noVBand="0"/>
      </w:tblPr>
      <w:tblGrid>
        <w:gridCol w:w="2072"/>
        <w:gridCol w:w="1461"/>
        <w:gridCol w:w="1299"/>
        <w:gridCol w:w="1295"/>
        <w:gridCol w:w="1295"/>
        <w:gridCol w:w="1294"/>
        <w:gridCol w:w="1295"/>
        <w:gridCol w:w="1294"/>
        <w:gridCol w:w="1295"/>
      </w:tblGrid>
      <w:tr w:rsidR="004B2CA5" w:rsidRPr="00F512C2" w14:paraId="3E9E3129" w14:textId="77777777" w:rsidTr="00391A79">
        <w:trPr>
          <w:trHeight w:val="238"/>
        </w:trPr>
        <w:tc>
          <w:tcPr>
            <w:tcW w:w="2072" w:type="dxa"/>
          </w:tcPr>
          <w:p w14:paraId="49795311" w14:textId="77777777" w:rsidR="004B2CA5" w:rsidRPr="00F512C2" w:rsidRDefault="004B2CA5" w:rsidP="003A7959">
            <w:pPr>
              <w:widowControl w:val="0"/>
              <w:tabs>
                <w:tab w:val="right" w:pos="1855"/>
              </w:tabs>
              <w:jc w:val="right"/>
              <w:rPr>
                <w:sz w:val="20"/>
              </w:rPr>
            </w:pPr>
            <w:r w:rsidRPr="00F512C2">
              <w:rPr>
                <w:sz w:val="20"/>
              </w:rPr>
              <w:tab/>
            </w:r>
          </w:p>
        </w:tc>
        <w:tc>
          <w:tcPr>
            <w:tcW w:w="1461" w:type="dxa"/>
          </w:tcPr>
          <w:p w14:paraId="5318BDA7" w14:textId="0CA9826A" w:rsidR="004B2CA5" w:rsidRPr="00F512C2" w:rsidRDefault="004B2CA5" w:rsidP="006751A5">
            <w:pPr>
              <w:widowControl w:val="0"/>
              <w:jc w:val="center"/>
              <w:rPr>
                <w:sz w:val="20"/>
              </w:rPr>
            </w:pPr>
            <w:r w:rsidRPr="00F512C2">
              <w:rPr>
                <w:sz w:val="20"/>
              </w:rPr>
              <w:t>Unemployment Comp RR Low Wage Worker</w:t>
            </w:r>
          </w:p>
        </w:tc>
        <w:tc>
          <w:tcPr>
            <w:tcW w:w="1299" w:type="dxa"/>
          </w:tcPr>
          <w:p w14:paraId="47D29181" w14:textId="644121A8" w:rsidR="004B2CA5" w:rsidRPr="00F512C2" w:rsidRDefault="004B2CA5" w:rsidP="006751A5">
            <w:pPr>
              <w:widowControl w:val="0"/>
              <w:jc w:val="center"/>
              <w:rPr>
                <w:sz w:val="20"/>
              </w:rPr>
            </w:pPr>
          </w:p>
        </w:tc>
        <w:tc>
          <w:tcPr>
            <w:tcW w:w="1295" w:type="dxa"/>
          </w:tcPr>
          <w:p w14:paraId="27730A02" w14:textId="00A2C912" w:rsidR="004B2CA5" w:rsidRPr="00F512C2" w:rsidRDefault="004B2CA5" w:rsidP="006751A5">
            <w:pPr>
              <w:widowControl w:val="0"/>
              <w:jc w:val="center"/>
              <w:rPr>
                <w:sz w:val="20"/>
              </w:rPr>
            </w:pPr>
            <w:r w:rsidRPr="00F512C2">
              <w:rPr>
                <w:sz w:val="20"/>
              </w:rPr>
              <w:t>Minimum Income Protection Cash and In-kind Benefits</w:t>
            </w:r>
          </w:p>
        </w:tc>
        <w:tc>
          <w:tcPr>
            <w:tcW w:w="1295" w:type="dxa"/>
          </w:tcPr>
          <w:p w14:paraId="1A0EE6BE" w14:textId="2EB83EE8" w:rsidR="004B2CA5" w:rsidRPr="00F512C2" w:rsidRDefault="004B2CA5" w:rsidP="006751A5">
            <w:pPr>
              <w:widowControl w:val="0"/>
              <w:jc w:val="center"/>
              <w:rPr>
                <w:sz w:val="20"/>
              </w:rPr>
            </w:pPr>
          </w:p>
        </w:tc>
        <w:tc>
          <w:tcPr>
            <w:tcW w:w="1294" w:type="dxa"/>
          </w:tcPr>
          <w:p w14:paraId="14C24289" w14:textId="47C45061" w:rsidR="004B2CA5" w:rsidRPr="00F512C2" w:rsidRDefault="004B2CA5" w:rsidP="006751A5">
            <w:pPr>
              <w:widowControl w:val="0"/>
              <w:jc w:val="center"/>
              <w:rPr>
                <w:sz w:val="20"/>
              </w:rPr>
            </w:pPr>
            <w:r w:rsidRPr="00F512C2">
              <w:rPr>
                <w:sz w:val="20"/>
              </w:rPr>
              <w:t>ALMP Spending (Percent of GDP)</w:t>
            </w:r>
          </w:p>
        </w:tc>
        <w:tc>
          <w:tcPr>
            <w:tcW w:w="1295" w:type="dxa"/>
          </w:tcPr>
          <w:p w14:paraId="0D3B7C82" w14:textId="5B041C73" w:rsidR="004B2CA5" w:rsidRPr="00F512C2" w:rsidRDefault="004B2CA5" w:rsidP="006751A5">
            <w:pPr>
              <w:widowControl w:val="0"/>
              <w:jc w:val="center"/>
              <w:rPr>
                <w:sz w:val="20"/>
              </w:rPr>
            </w:pPr>
          </w:p>
        </w:tc>
        <w:tc>
          <w:tcPr>
            <w:tcW w:w="1294" w:type="dxa"/>
          </w:tcPr>
          <w:p w14:paraId="47A218FE" w14:textId="77777777" w:rsidR="004B2CA5" w:rsidRPr="00F512C2" w:rsidRDefault="004B2CA5" w:rsidP="006751A5">
            <w:pPr>
              <w:widowControl w:val="0"/>
              <w:jc w:val="center"/>
              <w:rPr>
                <w:sz w:val="20"/>
              </w:rPr>
            </w:pPr>
            <w:r w:rsidRPr="00F512C2">
              <w:rPr>
                <w:sz w:val="20"/>
              </w:rPr>
              <w:t>Relative Poverty Reduction (% Change, Pre- to Post-</w:t>
            </w:r>
            <w:proofErr w:type="spellStart"/>
            <w:r w:rsidRPr="00F512C2">
              <w:rPr>
                <w:sz w:val="20"/>
              </w:rPr>
              <w:t>Fisc</w:t>
            </w:r>
            <w:proofErr w:type="spellEnd"/>
            <w:r w:rsidRPr="00F512C2">
              <w:rPr>
                <w:sz w:val="20"/>
              </w:rPr>
              <w:t>)</w:t>
            </w:r>
          </w:p>
        </w:tc>
        <w:tc>
          <w:tcPr>
            <w:tcW w:w="1295" w:type="dxa"/>
          </w:tcPr>
          <w:p w14:paraId="6C73A092" w14:textId="5C5518B7" w:rsidR="004B2CA5" w:rsidRPr="00F512C2" w:rsidRDefault="004B2CA5" w:rsidP="006751A5">
            <w:pPr>
              <w:widowControl w:val="0"/>
              <w:jc w:val="center"/>
              <w:rPr>
                <w:sz w:val="20"/>
              </w:rPr>
            </w:pPr>
          </w:p>
        </w:tc>
      </w:tr>
      <w:tr w:rsidR="00242D06" w:rsidRPr="00F512C2" w14:paraId="32E0762E" w14:textId="77777777" w:rsidTr="004B2CA5">
        <w:trPr>
          <w:trHeight w:val="238"/>
        </w:trPr>
        <w:tc>
          <w:tcPr>
            <w:tcW w:w="2072" w:type="dxa"/>
          </w:tcPr>
          <w:p w14:paraId="48C600F2" w14:textId="77777777" w:rsidR="00242D06" w:rsidRPr="00F512C2" w:rsidRDefault="00242D06" w:rsidP="00242D06">
            <w:pPr>
              <w:widowControl w:val="0"/>
              <w:tabs>
                <w:tab w:val="right" w:pos="1855"/>
              </w:tabs>
              <w:jc w:val="right"/>
              <w:rPr>
                <w:sz w:val="20"/>
              </w:rPr>
            </w:pPr>
          </w:p>
        </w:tc>
        <w:tc>
          <w:tcPr>
            <w:tcW w:w="1461" w:type="dxa"/>
          </w:tcPr>
          <w:p w14:paraId="6F1F2671" w14:textId="732B067C" w:rsidR="00242D06" w:rsidRPr="00F512C2" w:rsidRDefault="00242D06" w:rsidP="00242D06">
            <w:pPr>
              <w:widowControl w:val="0"/>
              <w:jc w:val="center"/>
              <w:rPr>
                <w:sz w:val="20"/>
              </w:rPr>
            </w:pPr>
            <w:r w:rsidRPr="00F512C2">
              <w:rPr>
                <w:sz w:val="20"/>
              </w:rPr>
              <w:t>Mid-1980s</w:t>
            </w:r>
          </w:p>
        </w:tc>
        <w:tc>
          <w:tcPr>
            <w:tcW w:w="1299" w:type="dxa"/>
          </w:tcPr>
          <w:p w14:paraId="1912B7C9" w14:textId="4EC06BFA" w:rsidR="00242D06" w:rsidRPr="00F512C2" w:rsidRDefault="00242D06" w:rsidP="00242D06">
            <w:pPr>
              <w:widowControl w:val="0"/>
              <w:jc w:val="center"/>
              <w:rPr>
                <w:sz w:val="20"/>
              </w:rPr>
            </w:pPr>
            <w:r w:rsidRPr="00F512C2">
              <w:rPr>
                <w:sz w:val="20"/>
              </w:rPr>
              <w:t>Early 2010s</w:t>
            </w:r>
          </w:p>
        </w:tc>
        <w:tc>
          <w:tcPr>
            <w:tcW w:w="1295" w:type="dxa"/>
          </w:tcPr>
          <w:p w14:paraId="7E2161DF" w14:textId="0B1E7B02" w:rsidR="00242D06" w:rsidRPr="00F512C2" w:rsidRDefault="00242D06" w:rsidP="00242D06">
            <w:pPr>
              <w:widowControl w:val="0"/>
              <w:jc w:val="center"/>
              <w:rPr>
                <w:sz w:val="20"/>
              </w:rPr>
            </w:pPr>
            <w:r w:rsidRPr="00F512C2">
              <w:rPr>
                <w:sz w:val="20"/>
              </w:rPr>
              <w:t>Mid-1980s</w:t>
            </w:r>
          </w:p>
        </w:tc>
        <w:tc>
          <w:tcPr>
            <w:tcW w:w="1295" w:type="dxa"/>
          </w:tcPr>
          <w:p w14:paraId="61B4AFA1" w14:textId="33DDC650" w:rsidR="00242D06" w:rsidRPr="00F512C2" w:rsidRDefault="005348B5" w:rsidP="00242D06">
            <w:pPr>
              <w:widowControl w:val="0"/>
              <w:jc w:val="center"/>
              <w:rPr>
                <w:sz w:val="20"/>
              </w:rPr>
            </w:pPr>
            <w:r w:rsidRPr="00F512C2">
              <w:rPr>
                <w:sz w:val="20"/>
              </w:rPr>
              <w:t>Late 2000s</w:t>
            </w:r>
          </w:p>
        </w:tc>
        <w:tc>
          <w:tcPr>
            <w:tcW w:w="1294" w:type="dxa"/>
          </w:tcPr>
          <w:p w14:paraId="6BC2AAFF" w14:textId="69A78AAD" w:rsidR="00242D06" w:rsidRPr="00F512C2" w:rsidRDefault="00242D06" w:rsidP="00242D06">
            <w:pPr>
              <w:widowControl w:val="0"/>
              <w:jc w:val="center"/>
              <w:rPr>
                <w:sz w:val="20"/>
              </w:rPr>
            </w:pPr>
            <w:r w:rsidRPr="00F512C2">
              <w:rPr>
                <w:sz w:val="20"/>
              </w:rPr>
              <w:t>Mid-1980s</w:t>
            </w:r>
          </w:p>
        </w:tc>
        <w:tc>
          <w:tcPr>
            <w:tcW w:w="1295" w:type="dxa"/>
          </w:tcPr>
          <w:p w14:paraId="2626EDFA" w14:textId="5B800A1A" w:rsidR="00242D06" w:rsidRPr="00F512C2" w:rsidRDefault="00242D06" w:rsidP="00242D06">
            <w:pPr>
              <w:widowControl w:val="0"/>
              <w:jc w:val="center"/>
              <w:rPr>
                <w:sz w:val="20"/>
              </w:rPr>
            </w:pPr>
            <w:r w:rsidRPr="00F512C2">
              <w:rPr>
                <w:sz w:val="20"/>
              </w:rPr>
              <w:t>Early 2010s</w:t>
            </w:r>
          </w:p>
        </w:tc>
        <w:tc>
          <w:tcPr>
            <w:tcW w:w="1294" w:type="dxa"/>
          </w:tcPr>
          <w:p w14:paraId="3E8454AE" w14:textId="4EF8198C" w:rsidR="00242D06" w:rsidRPr="00F512C2" w:rsidRDefault="00242D06" w:rsidP="00242D06">
            <w:pPr>
              <w:widowControl w:val="0"/>
              <w:jc w:val="center"/>
              <w:rPr>
                <w:sz w:val="20"/>
              </w:rPr>
            </w:pPr>
            <w:r w:rsidRPr="00F512C2">
              <w:rPr>
                <w:sz w:val="20"/>
              </w:rPr>
              <w:t>Mid-1980s</w:t>
            </w:r>
          </w:p>
        </w:tc>
        <w:tc>
          <w:tcPr>
            <w:tcW w:w="1295" w:type="dxa"/>
          </w:tcPr>
          <w:p w14:paraId="75B16E46" w14:textId="1EF8FE3B" w:rsidR="00242D06" w:rsidRPr="00F512C2" w:rsidRDefault="00242D06" w:rsidP="00242D06">
            <w:pPr>
              <w:widowControl w:val="0"/>
              <w:jc w:val="center"/>
              <w:rPr>
                <w:sz w:val="20"/>
              </w:rPr>
            </w:pPr>
            <w:r w:rsidRPr="00F512C2">
              <w:rPr>
                <w:sz w:val="20"/>
              </w:rPr>
              <w:t>Early 2010s</w:t>
            </w:r>
          </w:p>
        </w:tc>
      </w:tr>
      <w:tr w:rsidR="00242D06" w:rsidRPr="00F512C2" w14:paraId="4DFB3DEA" w14:textId="77777777" w:rsidTr="004B2CA5">
        <w:trPr>
          <w:trHeight w:val="238"/>
        </w:trPr>
        <w:tc>
          <w:tcPr>
            <w:tcW w:w="2072" w:type="dxa"/>
          </w:tcPr>
          <w:p w14:paraId="55D0D792" w14:textId="77777777" w:rsidR="00242D06" w:rsidRPr="00F512C2" w:rsidRDefault="00242D06" w:rsidP="00242D06">
            <w:pPr>
              <w:widowControl w:val="0"/>
              <w:jc w:val="right"/>
              <w:rPr>
                <w:sz w:val="20"/>
              </w:rPr>
            </w:pPr>
            <w:r w:rsidRPr="00F512C2">
              <w:rPr>
                <w:i/>
                <w:sz w:val="20"/>
              </w:rPr>
              <w:t xml:space="preserve">Nordic </w:t>
            </w:r>
          </w:p>
        </w:tc>
        <w:tc>
          <w:tcPr>
            <w:tcW w:w="1461" w:type="dxa"/>
          </w:tcPr>
          <w:p w14:paraId="47EAE889" w14:textId="77777777" w:rsidR="00242D06" w:rsidRPr="00F512C2" w:rsidRDefault="00242D06" w:rsidP="00242D06">
            <w:pPr>
              <w:widowControl w:val="0"/>
              <w:jc w:val="center"/>
              <w:rPr>
                <w:sz w:val="20"/>
              </w:rPr>
            </w:pPr>
          </w:p>
        </w:tc>
        <w:tc>
          <w:tcPr>
            <w:tcW w:w="1299" w:type="dxa"/>
          </w:tcPr>
          <w:p w14:paraId="19E7AA36" w14:textId="77777777" w:rsidR="00242D06" w:rsidRPr="00F512C2" w:rsidRDefault="00242D06" w:rsidP="00242D06">
            <w:pPr>
              <w:widowControl w:val="0"/>
              <w:jc w:val="center"/>
              <w:rPr>
                <w:sz w:val="20"/>
              </w:rPr>
            </w:pPr>
          </w:p>
        </w:tc>
        <w:tc>
          <w:tcPr>
            <w:tcW w:w="1295" w:type="dxa"/>
          </w:tcPr>
          <w:p w14:paraId="6779964F" w14:textId="77777777" w:rsidR="00242D06" w:rsidRPr="00F512C2" w:rsidRDefault="00242D06" w:rsidP="00242D06">
            <w:pPr>
              <w:widowControl w:val="0"/>
              <w:jc w:val="center"/>
              <w:rPr>
                <w:sz w:val="20"/>
              </w:rPr>
            </w:pPr>
          </w:p>
        </w:tc>
        <w:tc>
          <w:tcPr>
            <w:tcW w:w="1295" w:type="dxa"/>
          </w:tcPr>
          <w:p w14:paraId="3E88337C" w14:textId="77777777" w:rsidR="00242D06" w:rsidRPr="00F512C2" w:rsidRDefault="00242D06" w:rsidP="00242D06">
            <w:pPr>
              <w:widowControl w:val="0"/>
              <w:jc w:val="center"/>
              <w:rPr>
                <w:sz w:val="20"/>
              </w:rPr>
            </w:pPr>
          </w:p>
        </w:tc>
        <w:tc>
          <w:tcPr>
            <w:tcW w:w="1294" w:type="dxa"/>
          </w:tcPr>
          <w:p w14:paraId="0A2BED46" w14:textId="77777777" w:rsidR="00242D06" w:rsidRPr="00F512C2" w:rsidRDefault="00242D06" w:rsidP="00242D06">
            <w:pPr>
              <w:widowControl w:val="0"/>
              <w:jc w:val="center"/>
              <w:rPr>
                <w:sz w:val="20"/>
              </w:rPr>
            </w:pPr>
          </w:p>
        </w:tc>
        <w:tc>
          <w:tcPr>
            <w:tcW w:w="1295" w:type="dxa"/>
          </w:tcPr>
          <w:p w14:paraId="523A4602" w14:textId="77777777" w:rsidR="00242D06" w:rsidRPr="00F512C2" w:rsidRDefault="00242D06" w:rsidP="00242D06">
            <w:pPr>
              <w:widowControl w:val="0"/>
              <w:jc w:val="center"/>
              <w:rPr>
                <w:sz w:val="20"/>
              </w:rPr>
            </w:pPr>
          </w:p>
        </w:tc>
        <w:tc>
          <w:tcPr>
            <w:tcW w:w="1294" w:type="dxa"/>
          </w:tcPr>
          <w:p w14:paraId="209CA1AE" w14:textId="77777777" w:rsidR="00242D06" w:rsidRPr="00F512C2" w:rsidRDefault="00242D06" w:rsidP="00242D06">
            <w:pPr>
              <w:widowControl w:val="0"/>
              <w:jc w:val="center"/>
              <w:rPr>
                <w:sz w:val="20"/>
              </w:rPr>
            </w:pPr>
          </w:p>
        </w:tc>
        <w:tc>
          <w:tcPr>
            <w:tcW w:w="1295" w:type="dxa"/>
          </w:tcPr>
          <w:p w14:paraId="33F359B7" w14:textId="77777777" w:rsidR="00242D06" w:rsidRPr="00F512C2" w:rsidRDefault="00242D06" w:rsidP="00242D06">
            <w:pPr>
              <w:widowControl w:val="0"/>
              <w:jc w:val="center"/>
              <w:rPr>
                <w:sz w:val="20"/>
              </w:rPr>
            </w:pPr>
          </w:p>
        </w:tc>
      </w:tr>
      <w:tr w:rsidR="00242D06" w:rsidRPr="00F512C2" w14:paraId="2456D94E" w14:textId="77777777" w:rsidTr="004B2CA5">
        <w:trPr>
          <w:trHeight w:val="238"/>
        </w:trPr>
        <w:tc>
          <w:tcPr>
            <w:tcW w:w="2072" w:type="dxa"/>
          </w:tcPr>
          <w:p w14:paraId="3A8329A7" w14:textId="77777777" w:rsidR="00242D06" w:rsidRPr="00F512C2" w:rsidRDefault="00242D06" w:rsidP="00242D06">
            <w:pPr>
              <w:widowControl w:val="0"/>
              <w:jc w:val="right"/>
              <w:rPr>
                <w:sz w:val="20"/>
              </w:rPr>
            </w:pPr>
            <w:r w:rsidRPr="00F512C2">
              <w:rPr>
                <w:sz w:val="20"/>
              </w:rPr>
              <w:t xml:space="preserve">  Denmark</w:t>
            </w:r>
          </w:p>
        </w:tc>
        <w:tc>
          <w:tcPr>
            <w:tcW w:w="1461" w:type="dxa"/>
          </w:tcPr>
          <w:p w14:paraId="54E1B7DE" w14:textId="29902BF2" w:rsidR="00242D06" w:rsidRPr="00F512C2" w:rsidRDefault="007C6F89" w:rsidP="00242D06">
            <w:pPr>
              <w:widowControl w:val="0"/>
              <w:jc w:val="center"/>
              <w:rPr>
                <w:sz w:val="20"/>
              </w:rPr>
            </w:pPr>
            <w:r w:rsidRPr="00F512C2">
              <w:rPr>
                <w:sz w:val="20"/>
              </w:rPr>
              <w:t>94</w:t>
            </w:r>
          </w:p>
        </w:tc>
        <w:tc>
          <w:tcPr>
            <w:tcW w:w="1299" w:type="dxa"/>
          </w:tcPr>
          <w:p w14:paraId="7257B56F" w14:textId="6CF82D04" w:rsidR="00242D06" w:rsidRPr="00F512C2" w:rsidRDefault="007C6F89" w:rsidP="00242D06">
            <w:pPr>
              <w:widowControl w:val="0"/>
              <w:jc w:val="center"/>
              <w:rPr>
                <w:sz w:val="20"/>
              </w:rPr>
            </w:pPr>
            <w:r w:rsidRPr="00F512C2">
              <w:rPr>
                <w:sz w:val="20"/>
              </w:rPr>
              <w:t>96</w:t>
            </w:r>
          </w:p>
        </w:tc>
        <w:tc>
          <w:tcPr>
            <w:tcW w:w="1295" w:type="dxa"/>
          </w:tcPr>
          <w:p w14:paraId="29D851D8" w14:textId="4D00DE4D" w:rsidR="00242D06" w:rsidRPr="00F512C2" w:rsidRDefault="007C6F89" w:rsidP="00242D06">
            <w:pPr>
              <w:widowControl w:val="0"/>
              <w:jc w:val="center"/>
              <w:rPr>
                <w:sz w:val="20"/>
              </w:rPr>
            </w:pPr>
            <w:r w:rsidRPr="00F512C2">
              <w:rPr>
                <w:sz w:val="20"/>
              </w:rPr>
              <w:t>56</w:t>
            </w:r>
          </w:p>
        </w:tc>
        <w:tc>
          <w:tcPr>
            <w:tcW w:w="1295" w:type="dxa"/>
          </w:tcPr>
          <w:p w14:paraId="6AC8A24F" w14:textId="4CE3E705" w:rsidR="00242D06" w:rsidRPr="00F512C2" w:rsidRDefault="007C6F89" w:rsidP="00242D06">
            <w:pPr>
              <w:widowControl w:val="0"/>
              <w:jc w:val="center"/>
              <w:rPr>
                <w:sz w:val="20"/>
              </w:rPr>
            </w:pPr>
            <w:r w:rsidRPr="00F512C2">
              <w:rPr>
                <w:sz w:val="20"/>
              </w:rPr>
              <w:t>48</w:t>
            </w:r>
          </w:p>
        </w:tc>
        <w:tc>
          <w:tcPr>
            <w:tcW w:w="1294" w:type="dxa"/>
          </w:tcPr>
          <w:p w14:paraId="2E079E8C" w14:textId="6D115528" w:rsidR="00242D06" w:rsidRPr="00F512C2" w:rsidRDefault="007C6F89" w:rsidP="00242D06">
            <w:pPr>
              <w:widowControl w:val="0"/>
              <w:jc w:val="center"/>
              <w:rPr>
                <w:sz w:val="20"/>
              </w:rPr>
            </w:pPr>
            <w:r w:rsidRPr="00F512C2">
              <w:rPr>
                <w:sz w:val="20"/>
              </w:rPr>
              <w:t>.8</w:t>
            </w:r>
          </w:p>
        </w:tc>
        <w:tc>
          <w:tcPr>
            <w:tcW w:w="1295" w:type="dxa"/>
          </w:tcPr>
          <w:p w14:paraId="755A1F6C" w14:textId="08F7F797" w:rsidR="00242D06" w:rsidRPr="00F512C2" w:rsidRDefault="007C6F89" w:rsidP="00242D06">
            <w:pPr>
              <w:widowControl w:val="0"/>
              <w:jc w:val="center"/>
              <w:rPr>
                <w:sz w:val="20"/>
              </w:rPr>
            </w:pPr>
            <w:r w:rsidRPr="00F512C2">
              <w:rPr>
                <w:sz w:val="20"/>
              </w:rPr>
              <w:t>2.0</w:t>
            </w:r>
          </w:p>
        </w:tc>
        <w:tc>
          <w:tcPr>
            <w:tcW w:w="1294" w:type="dxa"/>
          </w:tcPr>
          <w:p w14:paraId="1D7465C7" w14:textId="45CCAA4A" w:rsidR="00242D06" w:rsidRPr="00F512C2" w:rsidRDefault="007C6F89" w:rsidP="00242D06">
            <w:pPr>
              <w:widowControl w:val="0"/>
              <w:jc w:val="center"/>
              <w:rPr>
                <w:sz w:val="20"/>
              </w:rPr>
            </w:pPr>
            <w:r w:rsidRPr="00F512C2">
              <w:rPr>
                <w:sz w:val="20"/>
              </w:rPr>
              <w:t>50</w:t>
            </w:r>
          </w:p>
        </w:tc>
        <w:tc>
          <w:tcPr>
            <w:tcW w:w="1295" w:type="dxa"/>
          </w:tcPr>
          <w:p w14:paraId="15713A5E" w14:textId="3CF35D49" w:rsidR="00242D06" w:rsidRPr="00F512C2" w:rsidRDefault="007C6F89" w:rsidP="00242D06">
            <w:pPr>
              <w:widowControl w:val="0"/>
              <w:jc w:val="center"/>
              <w:rPr>
                <w:sz w:val="20"/>
              </w:rPr>
            </w:pPr>
            <w:r w:rsidRPr="00F512C2">
              <w:rPr>
                <w:sz w:val="20"/>
              </w:rPr>
              <w:t>57</w:t>
            </w:r>
          </w:p>
        </w:tc>
      </w:tr>
      <w:tr w:rsidR="00242D06" w:rsidRPr="00F512C2" w14:paraId="3F0795AC" w14:textId="77777777" w:rsidTr="004B2CA5">
        <w:trPr>
          <w:trHeight w:val="238"/>
        </w:trPr>
        <w:tc>
          <w:tcPr>
            <w:tcW w:w="2072" w:type="dxa"/>
          </w:tcPr>
          <w:p w14:paraId="32DB3F2F" w14:textId="77777777" w:rsidR="00242D06" w:rsidRPr="00F512C2" w:rsidRDefault="00242D06" w:rsidP="00242D06">
            <w:pPr>
              <w:widowControl w:val="0"/>
              <w:jc w:val="right"/>
              <w:rPr>
                <w:sz w:val="20"/>
              </w:rPr>
            </w:pPr>
            <w:r w:rsidRPr="00F512C2">
              <w:rPr>
                <w:sz w:val="20"/>
              </w:rPr>
              <w:t xml:space="preserve">  Finland</w:t>
            </w:r>
          </w:p>
        </w:tc>
        <w:tc>
          <w:tcPr>
            <w:tcW w:w="1461" w:type="dxa"/>
          </w:tcPr>
          <w:p w14:paraId="2013AA3E" w14:textId="3CED9336" w:rsidR="00242D06" w:rsidRPr="00F512C2" w:rsidRDefault="0079723C" w:rsidP="00242D06">
            <w:pPr>
              <w:widowControl w:val="0"/>
              <w:jc w:val="center"/>
              <w:rPr>
                <w:sz w:val="20"/>
              </w:rPr>
            </w:pPr>
            <w:r w:rsidRPr="00F512C2">
              <w:rPr>
                <w:sz w:val="20"/>
              </w:rPr>
              <w:t>84</w:t>
            </w:r>
          </w:p>
        </w:tc>
        <w:tc>
          <w:tcPr>
            <w:tcW w:w="1299" w:type="dxa"/>
          </w:tcPr>
          <w:p w14:paraId="2D76E0E5" w14:textId="76083840" w:rsidR="00242D06" w:rsidRPr="00F512C2" w:rsidRDefault="0079723C" w:rsidP="00242D06">
            <w:pPr>
              <w:widowControl w:val="0"/>
              <w:jc w:val="center"/>
              <w:rPr>
                <w:sz w:val="20"/>
              </w:rPr>
            </w:pPr>
            <w:r w:rsidRPr="00F512C2">
              <w:rPr>
                <w:sz w:val="20"/>
              </w:rPr>
              <w:t>78</w:t>
            </w:r>
          </w:p>
        </w:tc>
        <w:tc>
          <w:tcPr>
            <w:tcW w:w="1295" w:type="dxa"/>
          </w:tcPr>
          <w:p w14:paraId="449E78E6" w14:textId="52BFAFE5" w:rsidR="00242D06" w:rsidRPr="00F512C2" w:rsidRDefault="0079723C" w:rsidP="00242D06">
            <w:pPr>
              <w:widowControl w:val="0"/>
              <w:jc w:val="center"/>
              <w:rPr>
                <w:sz w:val="20"/>
              </w:rPr>
            </w:pPr>
            <w:r w:rsidRPr="00F512C2">
              <w:rPr>
                <w:sz w:val="20"/>
              </w:rPr>
              <w:t>69</w:t>
            </w:r>
          </w:p>
        </w:tc>
        <w:tc>
          <w:tcPr>
            <w:tcW w:w="1295" w:type="dxa"/>
          </w:tcPr>
          <w:p w14:paraId="0E90E2E1" w14:textId="08D02FE2" w:rsidR="00242D06" w:rsidRPr="00F512C2" w:rsidRDefault="0079723C" w:rsidP="00242D06">
            <w:pPr>
              <w:widowControl w:val="0"/>
              <w:jc w:val="center"/>
              <w:rPr>
                <w:sz w:val="20"/>
              </w:rPr>
            </w:pPr>
            <w:r w:rsidRPr="00F512C2">
              <w:rPr>
                <w:sz w:val="20"/>
              </w:rPr>
              <w:t>54</w:t>
            </w:r>
          </w:p>
        </w:tc>
        <w:tc>
          <w:tcPr>
            <w:tcW w:w="1294" w:type="dxa"/>
          </w:tcPr>
          <w:p w14:paraId="675C849D" w14:textId="15FD5972" w:rsidR="00242D06" w:rsidRPr="00F512C2" w:rsidRDefault="0079723C" w:rsidP="00242D06">
            <w:pPr>
              <w:widowControl w:val="0"/>
              <w:jc w:val="center"/>
              <w:rPr>
                <w:sz w:val="20"/>
              </w:rPr>
            </w:pPr>
            <w:r w:rsidRPr="00F512C2">
              <w:rPr>
                <w:sz w:val="20"/>
              </w:rPr>
              <w:t>.8</w:t>
            </w:r>
          </w:p>
        </w:tc>
        <w:tc>
          <w:tcPr>
            <w:tcW w:w="1295" w:type="dxa"/>
          </w:tcPr>
          <w:p w14:paraId="635861AF" w14:textId="1BF450B2" w:rsidR="00242D06" w:rsidRPr="00F512C2" w:rsidRDefault="0079723C" w:rsidP="00242D06">
            <w:pPr>
              <w:widowControl w:val="0"/>
              <w:jc w:val="center"/>
              <w:rPr>
                <w:sz w:val="20"/>
              </w:rPr>
            </w:pPr>
            <w:r w:rsidRPr="00F512C2">
              <w:rPr>
                <w:sz w:val="20"/>
              </w:rPr>
              <w:t>1.0</w:t>
            </w:r>
          </w:p>
        </w:tc>
        <w:tc>
          <w:tcPr>
            <w:tcW w:w="1294" w:type="dxa"/>
          </w:tcPr>
          <w:p w14:paraId="50A870EE" w14:textId="566B39BE" w:rsidR="00242D06" w:rsidRPr="00F512C2" w:rsidRDefault="0079723C" w:rsidP="00242D06">
            <w:pPr>
              <w:widowControl w:val="0"/>
              <w:jc w:val="center"/>
              <w:rPr>
                <w:sz w:val="20"/>
              </w:rPr>
            </w:pPr>
            <w:r w:rsidRPr="00F512C2">
              <w:rPr>
                <w:sz w:val="20"/>
              </w:rPr>
              <w:t>68</w:t>
            </w:r>
          </w:p>
        </w:tc>
        <w:tc>
          <w:tcPr>
            <w:tcW w:w="1295" w:type="dxa"/>
          </w:tcPr>
          <w:p w14:paraId="69014C0D" w14:textId="291C92DE" w:rsidR="00242D06" w:rsidRPr="00F512C2" w:rsidRDefault="0079723C" w:rsidP="00242D06">
            <w:pPr>
              <w:widowControl w:val="0"/>
              <w:jc w:val="center"/>
              <w:rPr>
                <w:sz w:val="20"/>
              </w:rPr>
            </w:pPr>
            <w:r w:rsidRPr="00F512C2">
              <w:rPr>
                <w:sz w:val="20"/>
              </w:rPr>
              <w:t>58</w:t>
            </w:r>
          </w:p>
        </w:tc>
      </w:tr>
      <w:tr w:rsidR="00242D06" w:rsidRPr="00F512C2" w14:paraId="5AFCE32A" w14:textId="77777777" w:rsidTr="004B2CA5">
        <w:trPr>
          <w:trHeight w:val="238"/>
        </w:trPr>
        <w:tc>
          <w:tcPr>
            <w:tcW w:w="2072" w:type="dxa"/>
          </w:tcPr>
          <w:p w14:paraId="2105B988" w14:textId="77777777" w:rsidR="00242D06" w:rsidRPr="00F512C2" w:rsidRDefault="00242D06" w:rsidP="00242D06">
            <w:pPr>
              <w:widowControl w:val="0"/>
              <w:jc w:val="right"/>
              <w:rPr>
                <w:sz w:val="20"/>
              </w:rPr>
            </w:pPr>
            <w:r w:rsidRPr="00F512C2">
              <w:rPr>
                <w:sz w:val="20"/>
              </w:rPr>
              <w:t xml:space="preserve">  Norway</w:t>
            </w:r>
          </w:p>
        </w:tc>
        <w:tc>
          <w:tcPr>
            <w:tcW w:w="1461" w:type="dxa"/>
          </w:tcPr>
          <w:p w14:paraId="73AB6C45" w14:textId="619D7035" w:rsidR="00242D06" w:rsidRPr="00F512C2" w:rsidRDefault="00D44C7B" w:rsidP="00242D06">
            <w:pPr>
              <w:widowControl w:val="0"/>
              <w:jc w:val="center"/>
              <w:rPr>
                <w:sz w:val="20"/>
              </w:rPr>
            </w:pPr>
            <w:r w:rsidRPr="00F512C2">
              <w:rPr>
                <w:sz w:val="20"/>
              </w:rPr>
              <w:t>80</w:t>
            </w:r>
          </w:p>
        </w:tc>
        <w:tc>
          <w:tcPr>
            <w:tcW w:w="1299" w:type="dxa"/>
          </w:tcPr>
          <w:p w14:paraId="1265996A" w14:textId="7BD5CDCE" w:rsidR="00242D06" w:rsidRPr="00F512C2" w:rsidRDefault="00D44C7B" w:rsidP="00242D06">
            <w:pPr>
              <w:widowControl w:val="0"/>
              <w:jc w:val="center"/>
              <w:rPr>
                <w:sz w:val="20"/>
              </w:rPr>
            </w:pPr>
            <w:r w:rsidRPr="00F512C2">
              <w:rPr>
                <w:sz w:val="20"/>
              </w:rPr>
              <w:t>80</w:t>
            </w:r>
          </w:p>
        </w:tc>
        <w:tc>
          <w:tcPr>
            <w:tcW w:w="1295" w:type="dxa"/>
          </w:tcPr>
          <w:p w14:paraId="5EBB4535" w14:textId="0218D75A" w:rsidR="00242D06" w:rsidRPr="00F512C2" w:rsidRDefault="00D44C7B" w:rsidP="00242D06">
            <w:pPr>
              <w:widowControl w:val="0"/>
              <w:jc w:val="center"/>
              <w:rPr>
                <w:sz w:val="20"/>
              </w:rPr>
            </w:pPr>
            <w:r w:rsidRPr="00F512C2">
              <w:rPr>
                <w:sz w:val="20"/>
              </w:rPr>
              <w:t>59</w:t>
            </w:r>
          </w:p>
        </w:tc>
        <w:tc>
          <w:tcPr>
            <w:tcW w:w="1295" w:type="dxa"/>
          </w:tcPr>
          <w:p w14:paraId="515AE9F4" w14:textId="3AA257CA" w:rsidR="00242D06" w:rsidRPr="00F512C2" w:rsidRDefault="00D44C7B" w:rsidP="00242D06">
            <w:pPr>
              <w:widowControl w:val="0"/>
              <w:jc w:val="center"/>
              <w:rPr>
                <w:sz w:val="20"/>
              </w:rPr>
            </w:pPr>
            <w:r w:rsidRPr="00F512C2">
              <w:rPr>
                <w:sz w:val="20"/>
              </w:rPr>
              <w:t>55</w:t>
            </w:r>
          </w:p>
        </w:tc>
        <w:tc>
          <w:tcPr>
            <w:tcW w:w="1294" w:type="dxa"/>
          </w:tcPr>
          <w:p w14:paraId="27CE1E78" w14:textId="2DF0E409" w:rsidR="00242D06" w:rsidRPr="00F512C2" w:rsidRDefault="00D44C7B" w:rsidP="00242D06">
            <w:pPr>
              <w:widowControl w:val="0"/>
              <w:jc w:val="center"/>
              <w:rPr>
                <w:sz w:val="20"/>
              </w:rPr>
            </w:pPr>
            <w:r w:rsidRPr="00F512C2">
              <w:rPr>
                <w:sz w:val="20"/>
              </w:rPr>
              <w:t>.5</w:t>
            </w:r>
          </w:p>
        </w:tc>
        <w:tc>
          <w:tcPr>
            <w:tcW w:w="1295" w:type="dxa"/>
          </w:tcPr>
          <w:p w14:paraId="2973997E" w14:textId="0DC78271" w:rsidR="00242D06" w:rsidRPr="00F512C2" w:rsidRDefault="00D44C7B" w:rsidP="00242D06">
            <w:pPr>
              <w:widowControl w:val="0"/>
              <w:jc w:val="center"/>
              <w:rPr>
                <w:sz w:val="20"/>
              </w:rPr>
            </w:pPr>
            <w:r w:rsidRPr="00F512C2">
              <w:rPr>
                <w:sz w:val="20"/>
              </w:rPr>
              <w:t>.6</w:t>
            </w:r>
          </w:p>
        </w:tc>
        <w:tc>
          <w:tcPr>
            <w:tcW w:w="1294" w:type="dxa"/>
          </w:tcPr>
          <w:p w14:paraId="52D43D94" w14:textId="73AB9E81" w:rsidR="00242D06" w:rsidRPr="00F512C2" w:rsidRDefault="00D44C7B" w:rsidP="00242D06">
            <w:pPr>
              <w:widowControl w:val="0"/>
              <w:jc w:val="center"/>
              <w:rPr>
                <w:sz w:val="20"/>
              </w:rPr>
            </w:pPr>
            <w:r w:rsidRPr="00F512C2">
              <w:rPr>
                <w:sz w:val="20"/>
              </w:rPr>
              <w:t>49</w:t>
            </w:r>
          </w:p>
        </w:tc>
        <w:tc>
          <w:tcPr>
            <w:tcW w:w="1295" w:type="dxa"/>
          </w:tcPr>
          <w:p w14:paraId="334B498F" w14:textId="2772C823" w:rsidR="00242D06" w:rsidRPr="00F512C2" w:rsidRDefault="00D44C7B" w:rsidP="00242D06">
            <w:pPr>
              <w:widowControl w:val="0"/>
              <w:jc w:val="center"/>
              <w:rPr>
                <w:sz w:val="20"/>
              </w:rPr>
            </w:pPr>
            <w:r w:rsidRPr="00F512C2">
              <w:rPr>
                <w:sz w:val="20"/>
              </w:rPr>
              <w:t>63</w:t>
            </w:r>
          </w:p>
        </w:tc>
      </w:tr>
      <w:tr w:rsidR="00242D06" w:rsidRPr="00F512C2" w14:paraId="04DD11E1" w14:textId="77777777" w:rsidTr="004B2CA5">
        <w:trPr>
          <w:trHeight w:val="238"/>
        </w:trPr>
        <w:tc>
          <w:tcPr>
            <w:tcW w:w="2072" w:type="dxa"/>
          </w:tcPr>
          <w:p w14:paraId="32A39A26" w14:textId="77777777" w:rsidR="00242D06" w:rsidRPr="00F512C2" w:rsidRDefault="00242D06" w:rsidP="00242D06">
            <w:pPr>
              <w:widowControl w:val="0"/>
              <w:jc w:val="right"/>
              <w:rPr>
                <w:sz w:val="20"/>
              </w:rPr>
            </w:pPr>
            <w:r w:rsidRPr="00F512C2">
              <w:rPr>
                <w:sz w:val="20"/>
              </w:rPr>
              <w:t xml:space="preserve">  Sweden</w:t>
            </w:r>
          </w:p>
        </w:tc>
        <w:tc>
          <w:tcPr>
            <w:tcW w:w="1461" w:type="dxa"/>
          </w:tcPr>
          <w:p w14:paraId="495D801E" w14:textId="0D0F1027" w:rsidR="00242D06" w:rsidRPr="00F512C2" w:rsidRDefault="00D44C7B" w:rsidP="00242D06">
            <w:pPr>
              <w:widowControl w:val="0"/>
              <w:jc w:val="center"/>
              <w:rPr>
                <w:sz w:val="20"/>
              </w:rPr>
            </w:pPr>
            <w:r w:rsidRPr="00F512C2">
              <w:rPr>
                <w:sz w:val="20"/>
              </w:rPr>
              <w:t>04</w:t>
            </w:r>
          </w:p>
        </w:tc>
        <w:tc>
          <w:tcPr>
            <w:tcW w:w="1299" w:type="dxa"/>
          </w:tcPr>
          <w:p w14:paraId="2308D059" w14:textId="012D5A5C" w:rsidR="00242D06" w:rsidRPr="00F512C2" w:rsidRDefault="00D44C7B" w:rsidP="00242D06">
            <w:pPr>
              <w:widowControl w:val="0"/>
              <w:jc w:val="center"/>
              <w:rPr>
                <w:sz w:val="20"/>
              </w:rPr>
            </w:pPr>
            <w:r w:rsidRPr="00F512C2">
              <w:rPr>
                <w:sz w:val="20"/>
              </w:rPr>
              <w:t>88</w:t>
            </w:r>
          </w:p>
        </w:tc>
        <w:tc>
          <w:tcPr>
            <w:tcW w:w="1295" w:type="dxa"/>
          </w:tcPr>
          <w:p w14:paraId="242DAAD2" w14:textId="6EF68E3A" w:rsidR="00242D06" w:rsidRPr="00F512C2" w:rsidRDefault="00D44C7B" w:rsidP="00242D06">
            <w:pPr>
              <w:widowControl w:val="0"/>
              <w:jc w:val="center"/>
              <w:rPr>
                <w:sz w:val="20"/>
              </w:rPr>
            </w:pPr>
            <w:r w:rsidRPr="00F512C2">
              <w:rPr>
                <w:sz w:val="20"/>
              </w:rPr>
              <w:t>69</w:t>
            </w:r>
          </w:p>
        </w:tc>
        <w:tc>
          <w:tcPr>
            <w:tcW w:w="1295" w:type="dxa"/>
          </w:tcPr>
          <w:p w14:paraId="06FEEE85" w14:textId="41374AEF" w:rsidR="00242D06" w:rsidRPr="00F512C2" w:rsidRDefault="00D44C7B" w:rsidP="00242D06">
            <w:pPr>
              <w:widowControl w:val="0"/>
              <w:jc w:val="center"/>
              <w:rPr>
                <w:sz w:val="20"/>
              </w:rPr>
            </w:pPr>
            <w:r w:rsidRPr="00F512C2">
              <w:rPr>
                <w:sz w:val="20"/>
              </w:rPr>
              <w:t>55</w:t>
            </w:r>
          </w:p>
        </w:tc>
        <w:tc>
          <w:tcPr>
            <w:tcW w:w="1294" w:type="dxa"/>
          </w:tcPr>
          <w:p w14:paraId="7D110894" w14:textId="5132C2A7" w:rsidR="00242D06" w:rsidRPr="00F512C2" w:rsidRDefault="00D44C7B" w:rsidP="00242D06">
            <w:pPr>
              <w:widowControl w:val="0"/>
              <w:jc w:val="center"/>
              <w:rPr>
                <w:sz w:val="20"/>
              </w:rPr>
            </w:pPr>
            <w:r w:rsidRPr="00F512C2">
              <w:rPr>
                <w:sz w:val="20"/>
              </w:rPr>
              <w:t>1.9</w:t>
            </w:r>
          </w:p>
        </w:tc>
        <w:tc>
          <w:tcPr>
            <w:tcW w:w="1295" w:type="dxa"/>
          </w:tcPr>
          <w:p w14:paraId="118312AD" w14:textId="45EAB08A" w:rsidR="00242D06" w:rsidRPr="00F512C2" w:rsidRDefault="00D44C7B" w:rsidP="00242D06">
            <w:pPr>
              <w:widowControl w:val="0"/>
              <w:jc w:val="center"/>
              <w:rPr>
                <w:sz w:val="20"/>
              </w:rPr>
            </w:pPr>
            <w:r w:rsidRPr="00F512C2">
              <w:rPr>
                <w:sz w:val="20"/>
              </w:rPr>
              <w:t>1.2</w:t>
            </w:r>
          </w:p>
        </w:tc>
        <w:tc>
          <w:tcPr>
            <w:tcW w:w="1294" w:type="dxa"/>
          </w:tcPr>
          <w:p w14:paraId="6C702287" w14:textId="691D02F2" w:rsidR="00242D06" w:rsidRPr="00F512C2" w:rsidRDefault="00D44C7B" w:rsidP="00242D06">
            <w:pPr>
              <w:widowControl w:val="0"/>
              <w:jc w:val="center"/>
              <w:rPr>
                <w:sz w:val="20"/>
              </w:rPr>
            </w:pPr>
            <w:r w:rsidRPr="00F512C2">
              <w:rPr>
                <w:sz w:val="20"/>
              </w:rPr>
              <w:t>55</w:t>
            </w:r>
          </w:p>
        </w:tc>
        <w:tc>
          <w:tcPr>
            <w:tcW w:w="1295" w:type="dxa"/>
          </w:tcPr>
          <w:p w14:paraId="24E99147" w14:textId="3B4A0257" w:rsidR="00242D06" w:rsidRPr="00F512C2" w:rsidRDefault="00D44C7B" w:rsidP="00242D06">
            <w:pPr>
              <w:widowControl w:val="0"/>
              <w:jc w:val="center"/>
              <w:rPr>
                <w:sz w:val="20"/>
              </w:rPr>
            </w:pPr>
            <w:r w:rsidRPr="00F512C2">
              <w:rPr>
                <w:sz w:val="20"/>
              </w:rPr>
              <w:t>68</w:t>
            </w:r>
          </w:p>
        </w:tc>
      </w:tr>
      <w:tr w:rsidR="00242D06" w:rsidRPr="00F512C2" w14:paraId="67A4AC48" w14:textId="77777777" w:rsidTr="004B2CA5">
        <w:trPr>
          <w:trHeight w:val="238"/>
        </w:trPr>
        <w:tc>
          <w:tcPr>
            <w:tcW w:w="2072" w:type="dxa"/>
          </w:tcPr>
          <w:p w14:paraId="300396DE" w14:textId="77777777" w:rsidR="00242D06" w:rsidRPr="00F512C2" w:rsidRDefault="00242D06" w:rsidP="00242D06">
            <w:pPr>
              <w:widowControl w:val="0"/>
              <w:jc w:val="right"/>
              <w:rPr>
                <w:sz w:val="20"/>
              </w:rPr>
            </w:pPr>
            <w:r w:rsidRPr="00F512C2">
              <w:rPr>
                <w:sz w:val="20"/>
              </w:rPr>
              <w:t>Mean</w:t>
            </w:r>
          </w:p>
        </w:tc>
        <w:tc>
          <w:tcPr>
            <w:tcW w:w="1461" w:type="dxa"/>
          </w:tcPr>
          <w:p w14:paraId="14BF89FC" w14:textId="760FEFD3" w:rsidR="00242D06" w:rsidRPr="00F512C2" w:rsidRDefault="00172068" w:rsidP="00242D06">
            <w:pPr>
              <w:widowControl w:val="0"/>
              <w:jc w:val="center"/>
              <w:rPr>
                <w:sz w:val="20"/>
              </w:rPr>
            </w:pPr>
            <w:r w:rsidRPr="00F512C2">
              <w:rPr>
                <w:sz w:val="20"/>
              </w:rPr>
              <w:t>88</w:t>
            </w:r>
          </w:p>
        </w:tc>
        <w:tc>
          <w:tcPr>
            <w:tcW w:w="1299" w:type="dxa"/>
          </w:tcPr>
          <w:p w14:paraId="131D3907" w14:textId="5D1AFAED" w:rsidR="00242D06" w:rsidRPr="00F512C2" w:rsidRDefault="00172068" w:rsidP="00242D06">
            <w:pPr>
              <w:widowControl w:val="0"/>
              <w:jc w:val="center"/>
              <w:rPr>
                <w:sz w:val="20"/>
              </w:rPr>
            </w:pPr>
            <w:r w:rsidRPr="00F512C2">
              <w:rPr>
                <w:sz w:val="20"/>
              </w:rPr>
              <w:t>86</w:t>
            </w:r>
          </w:p>
        </w:tc>
        <w:tc>
          <w:tcPr>
            <w:tcW w:w="1295" w:type="dxa"/>
          </w:tcPr>
          <w:p w14:paraId="63218906" w14:textId="384D4DF3" w:rsidR="00242D06" w:rsidRPr="00F512C2" w:rsidRDefault="00172068" w:rsidP="00242D06">
            <w:pPr>
              <w:widowControl w:val="0"/>
              <w:jc w:val="center"/>
              <w:rPr>
                <w:sz w:val="20"/>
              </w:rPr>
            </w:pPr>
            <w:r w:rsidRPr="00F512C2">
              <w:rPr>
                <w:sz w:val="20"/>
              </w:rPr>
              <w:t>63</w:t>
            </w:r>
          </w:p>
        </w:tc>
        <w:tc>
          <w:tcPr>
            <w:tcW w:w="1295" w:type="dxa"/>
          </w:tcPr>
          <w:p w14:paraId="18928FF6" w14:textId="04C4C325" w:rsidR="00242D06" w:rsidRPr="00F512C2" w:rsidRDefault="00172068" w:rsidP="00242D06">
            <w:pPr>
              <w:widowControl w:val="0"/>
              <w:jc w:val="center"/>
              <w:rPr>
                <w:sz w:val="20"/>
              </w:rPr>
            </w:pPr>
            <w:r w:rsidRPr="00F512C2">
              <w:rPr>
                <w:sz w:val="20"/>
              </w:rPr>
              <w:t>53</w:t>
            </w:r>
          </w:p>
        </w:tc>
        <w:tc>
          <w:tcPr>
            <w:tcW w:w="1294" w:type="dxa"/>
          </w:tcPr>
          <w:p w14:paraId="49A98F9B" w14:textId="585304E2" w:rsidR="00242D06" w:rsidRPr="00F512C2" w:rsidRDefault="00172068" w:rsidP="00242D06">
            <w:pPr>
              <w:widowControl w:val="0"/>
              <w:jc w:val="center"/>
              <w:rPr>
                <w:sz w:val="20"/>
              </w:rPr>
            </w:pPr>
            <w:r w:rsidRPr="00F512C2">
              <w:rPr>
                <w:sz w:val="20"/>
              </w:rPr>
              <w:t>1.0</w:t>
            </w:r>
          </w:p>
        </w:tc>
        <w:tc>
          <w:tcPr>
            <w:tcW w:w="1295" w:type="dxa"/>
          </w:tcPr>
          <w:p w14:paraId="08F712D7" w14:textId="5A0D768E" w:rsidR="00242D06" w:rsidRPr="00F512C2" w:rsidRDefault="00172068" w:rsidP="00242D06">
            <w:pPr>
              <w:widowControl w:val="0"/>
              <w:jc w:val="center"/>
              <w:rPr>
                <w:sz w:val="20"/>
              </w:rPr>
            </w:pPr>
            <w:r w:rsidRPr="00F512C2">
              <w:rPr>
                <w:sz w:val="20"/>
              </w:rPr>
              <w:t>1.2</w:t>
            </w:r>
          </w:p>
        </w:tc>
        <w:tc>
          <w:tcPr>
            <w:tcW w:w="1294" w:type="dxa"/>
          </w:tcPr>
          <w:p w14:paraId="099A7A4E" w14:textId="39AAE125" w:rsidR="00242D06" w:rsidRPr="00F512C2" w:rsidRDefault="00172068" w:rsidP="00242D06">
            <w:pPr>
              <w:widowControl w:val="0"/>
              <w:jc w:val="center"/>
              <w:rPr>
                <w:sz w:val="20"/>
              </w:rPr>
            </w:pPr>
            <w:r w:rsidRPr="00F512C2">
              <w:rPr>
                <w:sz w:val="20"/>
              </w:rPr>
              <w:t>56</w:t>
            </w:r>
          </w:p>
        </w:tc>
        <w:tc>
          <w:tcPr>
            <w:tcW w:w="1295" w:type="dxa"/>
          </w:tcPr>
          <w:p w14:paraId="0652BEA8" w14:textId="790F0135" w:rsidR="00242D06" w:rsidRPr="00F512C2" w:rsidRDefault="00172068" w:rsidP="00242D06">
            <w:pPr>
              <w:widowControl w:val="0"/>
              <w:jc w:val="center"/>
              <w:rPr>
                <w:sz w:val="20"/>
              </w:rPr>
            </w:pPr>
            <w:r w:rsidRPr="00F512C2">
              <w:rPr>
                <w:sz w:val="20"/>
              </w:rPr>
              <w:t>62</w:t>
            </w:r>
          </w:p>
        </w:tc>
      </w:tr>
      <w:tr w:rsidR="00242D06" w:rsidRPr="00F512C2" w14:paraId="40463AEA" w14:textId="77777777" w:rsidTr="004B2CA5">
        <w:trPr>
          <w:trHeight w:val="238"/>
        </w:trPr>
        <w:tc>
          <w:tcPr>
            <w:tcW w:w="2072" w:type="dxa"/>
          </w:tcPr>
          <w:p w14:paraId="33724097" w14:textId="77777777" w:rsidR="00242D06" w:rsidRPr="00F512C2" w:rsidRDefault="00242D06" w:rsidP="00242D06">
            <w:pPr>
              <w:widowControl w:val="0"/>
              <w:jc w:val="right"/>
              <w:rPr>
                <w:i/>
                <w:sz w:val="20"/>
              </w:rPr>
            </w:pPr>
            <w:r w:rsidRPr="00F512C2">
              <w:rPr>
                <w:i/>
                <w:sz w:val="20"/>
              </w:rPr>
              <w:t xml:space="preserve">Continental </w:t>
            </w:r>
          </w:p>
        </w:tc>
        <w:tc>
          <w:tcPr>
            <w:tcW w:w="1461" w:type="dxa"/>
          </w:tcPr>
          <w:p w14:paraId="4124B30D" w14:textId="77777777" w:rsidR="00242D06" w:rsidRPr="00F512C2" w:rsidRDefault="00242D06" w:rsidP="00242D06">
            <w:pPr>
              <w:widowControl w:val="0"/>
              <w:jc w:val="center"/>
              <w:rPr>
                <w:sz w:val="20"/>
              </w:rPr>
            </w:pPr>
          </w:p>
        </w:tc>
        <w:tc>
          <w:tcPr>
            <w:tcW w:w="1299" w:type="dxa"/>
          </w:tcPr>
          <w:p w14:paraId="37F5DD87" w14:textId="77777777" w:rsidR="00242D06" w:rsidRPr="00F512C2" w:rsidRDefault="00242D06" w:rsidP="00242D06">
            <w:pPr>
              <w:widowControl w:val="0"/>
              <w:jc w:val="center"/>
              <w:rPr>
                <w:sz w:val="20"/>
              </w:rPr>
            </w:pPr>
          </w:p>
        </w:tc>
        <w:tc>
          <w:tcPr>
            <w:tcW w:w="1295" w:type="dxa"/>
          </w:tcPr>
          <w:p w14:paraId="6E405BC8" w14:textId="77777777" w:rsidR="00242D06" w:rsidRPr="00F512C2" w:rsidRDefault="00242D06" w:rsidP="00242D06">
            <w:pPr>
              <w:widowControl w:val="0"/>
              <w:jc w:val="center"/>
              <w:rPr>
                <w:sz w:val="20"/>
              </w:rPr>
            </w:pPr>
          </w:p>
        </w:tc>
        <w:tc>
          <w:tcPr>
            <w:tcW w:w="1295" w:type="dxa"/>
          </w:tcPr>
          <w:p w14:paraId="360DFC65" w14:textId="77777777" w:rsidR="00242D06" w:rsidRPr="00F512C2" w:rsidRDefault="00242D06" w:rsidP="00242D06">
            <w:pPr>
              <w:widowControl w:val="0"/>
              <w:jc w:val="center"/>
              <w:rPr>
                <w:sz w:val="20"/>
              </w:rPr>
            </w:pPr>
          </w:p>
        </w:tc>
        <w:tc>
          <w:tcPr>
            <w:tcW w:w="1294" w:type="dxa"/>
          </w:tcPr>
          <w:p w14:paraId="51988888" w14:textId="77777777" w:rsidR="00242D06" w:rsidRPr="00F512C2" w:rsidRDefault="00242D06" w:rsidP="00242D06">
            <w:pPr>
              <w:widowControl w:val="0"/>
              <w:jc w:val="center"/>
              <w:rPr>
                <w:sz w:val="20"/>
              </w:rPr>
            </w:pPr>
          </w:p>
        </w:tc>
        <w:tc>
          <w:tcPr>
            <w:tcW w:w="1295" w:type="dxa"/>
          </w:tcPr>
          <w:p w14:paraId="63BA9B14" w14:textId="77777777" w:rsidR="00242D06" w:rsidRPr="00F512C2" w:rsidRDefault="00242D06" w:rsidP="00242D06">
            <w:pPr>
              <w:widowControl w:val="0"/>
              <w:jc w:val="center"/>
              <w:rPr>
                <w:sz w:val="20"/>
              </w:rPr>
            </w:pPr>
          </w:p>
        </w:tc>
        <w:tc>
          <w:tcPr>
            <w:tcW w:w="1294" w:type="dxa"/>
          </w:tcPr>
          <w:p w14:paraId="08DC27A9" w14:textId="77777777" w:rsidR="00242D06" w:rsidRPr="00F512C2" w:rsidRDefault="00242D06" w:rsidP="00242D06">
            <w:pPr>
              <w:widowControl w:val="0"/>
              <w:jc w:val="center"/>
              <w:rPr>
                <w:sz w:val="20"/>
              </w:rPr>
            </w:pPr>
          </w:p>
        </w:tc>
        <w:tc>
          <w:tcPr>
            <w:tcW w:w="1295" w:type="dxa"/>
          </w:tcPr>
          <w:p w14:paraId="00EA2643" w14:textId="77777777" w:rsidR="00242D06" w:rsidRPr="00F512C2" w:rsidRDefault="00242D06" w:rsidP="00242D06">
            <w:pPr>
              <w:widowControl w:val="0"/>
              <w:jc w:val="center"/>
              <w:rPr>
                <w:sz w:val="20"/>
              </w:rPr>
            </w:pPr>
          </w:p>
        </w:tc>
      </w:tr>
      <w:tr w:rsidR="00242D06" w:rsidRPr="00F512C2" w14:paraId="097DAF88" w14:textId="77777777" w:rsidTr="004B2CA5">
        <w:trPr>
          <w:trHeight w:val="238"/>
        </w:trPr>
        <w:tc>
          <w:tcPr>
            <w:tcW w:w="2072" w:type="dxa"/>
          </w:tcPr>
          <w:p w14:paraId="2BB45B4D" w14:textId="748B4F29" w:rsidR="00242D06" w:rsidRPr="00F512C2" w:rsidRDefault="00242D06" w:rsidP="00242D06">
            <w:pPr>
              <w:widowControl w:val="0"/>
              <w:jc w:val="right"/>
              <w:rPr>
                <w:sz w:val="20"/>
              </w:rPr>
            </w:pPr>
            <w:r w:rsidRPr="00F512C2">
              <w:rPr>
                <w:sz w:val="20"/>
              </w:rPr>
              <w:t>Austria</w:t>
            </w:r>
          </w:p>
        </w:tc>
        <w:tc>
          <w:tcPr>
            <w:tcW w:w="1461" w:type="dxa"/>
          </w:tcPr>
          <w:p w14:paraId="411F6147" w14:textId="11305578" w:rsidR="00242D06" w:rsidRPr="00F512C2" w:rsidRDefault="00505ACC" w:rsidP="00242D06">
            <w:pPr>
              <w:widowControl w:val="0"/>
              <w:jc w:val="center"/>
              <w:rPr>
                <w:sz w:val="20"/>
              </w:rPr>
            </w:pPr>
            <w:r w:rsidRPr="00F512C2">
              <w:rPr>
                <w:sz w:val="20"/>
              </w:rPr>
              <w:t>73</w:t>
            </w:r>
          </w:p>
        </w:tc>
        <w:tc>
          <w:tcPr>
            <w:tcW w:w="1299" w:type="dxa"/>
          </w:tcPr>
          <w:p w14:paraId="6BE3C57F" w14:textId="1C335098" w:rsidR="00242D06" w:rsidRPr="00F512C2" w:rsidRDefault="00505ACC" w:rsidP="00242D06">
            <w:pPr>
              <w:widowControl w:val="0"/>
              <w:jc w:val="center"/>
              <w:rPr>
                <w:sz w:val="20"/>
              </w:rPr>
            </w:pPr>
            <w:r w:rsidRPr="00F512C2">
              <w:rPr>
                <w:sz w:val="20"/>
              </w:rPr>
              <w:t>68</w:t>
            </w:r>
          </w:p>
        </w:tc>
        <w:tc>
          <w:tcPr>
            <w:tcW w:w="1295" w:type="dxa"/>
          </w:tcPr>
          <w:p w14:paraId="1C1C77C6" w14:textId="7163E1A0" w:rsidR="00242D06" w:rsidRPr="00F512C2" w:rsidRDefault="00505ACC" w:rsidP="00242D06">
            <w:pPr>
              <w:widowControl w:val="0"/>
              <w:jc w:val="center"/>
              <w:rPr>
                <w:sz w:val="20"/>
              </w:rPr>
            </w:pPr>
            <w:r w:rsidRPr="00F512C2">
              <w:rPr>
                <w:sz w:val="20"/>
              </w:rPr>
              <w:t>51</w:t>
            </w:r>
          </w:p>
        </w:tc>
        <w:tc>
          <w:tcPr>
            <w:tcW w:w="1295" w:type="dxa"/>
          </w:tcPr>
          <w:p w14:paraId="0B2BAA4B" w14:textId="1888DF20" w:rsidR="00242D06" w:rsidRPr="00F512C2" w:rsidRDefault="00505ACC" w:rsidP="00242D06">
            <w:pPr>
              <w:widowControl w:val="0"/>
              <w:jc w:val="center"/>
              <w:rPr>
                <w:sz w:val="20"/>
              </w:rPr>
            </w:pPr>
            <w:r w:rsidRPr="00F512C2">
              <w:rPr>
                <w:sz w:val="20"/>
              </w:rPr>
              <w:t>49</w:t>
            </w:r>
          </w:p>
        </w:tc>
        <w:tc>
          <w:tcPr>
            <w:tcW w:w="1294" w:type="dxa"/>
          </w:tcPr>
          <w:p w14:paraId="2530BE0A" w14:textId="3E95E09F" w:rsidR="00242D06" w:rsidRPr="00F512C2" w:rsidRDefault="00505ACC" w:rsidP="00242D06">
            <w:pPr>
              <w:widowControl w:val="0"/>
              <w:jc w:val="center"/>
              <w:rPr>
                <w:sz w:val="20"/>
              </w:rPr>
            </w:pPr>
            <w:r w:rsidRPr="00F512C2">
              <w:rPr>
                <w:sz w:val="20"/>
              </w:rPr>
              <w:t>.3</w:t>
            </w:r>
          </w:p>
        </w:tc>
        <w:tc>
          <w:tcPr>
            <w:tcW w:w="1295" w:type="dxa"/>
          </w:tcPr>
          <w:p w14:paraId="59F74159" w14:textId="517F9225" w:rsidR="00242D06" w:rsidRPr="00F512C2" w:rsidRDefault="00505ACC" w:rsidP="00242D06">
            <w:pPr>
              <w:widowControl w:val="0"/>
              <w:jc w:val="center"/>
              <w:rPr>
                <w:sz w:val="20"/>
              </w:rPr>
            </w:pPr>
            <w:r w:rsidRPr="00F512C2">
              <w:rPr>
                <w:sz w:val="20"/>
              </w:rPr>
              <w:t>.8</w:t>
            </w:r>
          </w:p>
        </w:tc>
        <w:tc>
          <w:tcPr>
            <w:tcW w:w="1294" w:type="dxa"/>
          </w:tcPr>
          <w:p w14:paraId="7D92EA9D" w14:textId="013F517D" w:rsidR="00242D06" w:rsidRPr="00F512C2" w:rsidRDefault="00505ACC" w:rsidP="00242D06">
            <w:pPr>
              <w:widowControl w:val="0"/>
              <w:jc w:val="center"/>
              <w:rPr>
                <w:sz w:val="20"/>
              </w:rPr>
            </w:pPr>
            <w:r w:rsidRPr="00F512C2">
              <w:rPr>
                <w:sz w:val="20"/>
              </w:rPr>
              <w:t>NA</w:t>
            </w:r>
          </w:p>
        </w:tc>
        <w:tc>
          <w:tcPr>
            <w:tcW w:w="1295" w:type="dxa"/>
          </w:tcPr>
          <w:p w14:paraId="083F8FD6" w14:textId="5C1BE1D9" w:rsidR="00242D06" w:rsidRPr="00F512C2" w:rsidRDefault="00505ACC" w:rsidP="00242D06">
            <w:pPr>
              <w:widowControl w:val="0"/>
              <w:jc w:val="center"/>
              <w:rPr>
                <w:sz w:val="20"/>
              </w:rPr>
            </w:pPr>
            <w:r w:rsidRPr="00F512C2">
              <w:rPr>
                <w:sz w:val="20"/>
              </w:rPr>
              <w:t>NA</w:t>
            </w:r>
          </w:p>
        </w:tc>
      </w:tr>
      <w:tr w:rsidR="00242D06" w:rsidRPr="00F512C2" w14:paraId="3A98D8E6" w14:textId="77777777" w:rsidTr="004B2CA5">
        <w:trPr>
          <w:trHeight w:val="238"/>
        </w:trPr>
        <w:tc>
          <w:tcPr>
            <w:tcW w:w="2072" w:type="dxa"/>
          </w:tcPr>
          <w:p w14:paraId="614EE907" w14:textId="77777777" w:rsidR="00242D06" w:rsidRPr="00F512C2" w:rsidRDefault="00242D06" w:rsidP="00242D06">
            <w:pPr>
              <w:widowControl w:val="0"/>
              <w:jc w:val="right"/>
              <w:rPr>
                <w:sz w:val="20"/>
              </w:rPr>
            </w:pPr>
            <w:r w:rsidRPr="00F512C2">
              <w:rPr>
                <w:sz w:val="20"/>
              </w:rPr>
              <w:t xml:space="preserve">  Belgium</w:t>
            </w:r>
          </w:p>
        </w:tc>
        <w:tc>
          <w:tcPr>
            <w:tcW w:w="1461" w:type="dxa"/>
          </w:tcPr>
          <w:p w14:paraId="2B4E94C0" w14:textId="6E88D008" w:rsidR="00242D06" w:rsidRPr="00F512C2" w:rsidRDefault="004D0539" w:rsidP="00242D06">
            <w:pPr>
              <w:widowControl w:val="0"/>
              <w:jc w:val="center"/>
              <w:rPr>
                <w:sz w:val="20"/>
              </w:rPr>
            </w:pPr>
            <w:r w:rsidRPr="00F512C2">
              <w:rPr>
                <w:sz w:val="20"/>
              </w:rPr>
              <w:t>92</w:t>
            </w:r>
          </w:p>
        </w:tc>
        <w:tc>
          <w:tcPr>
            <w:tcW w:w="1299" w:type="dxa"/>
          </w:tcPr>
          <w:p w14:paraId="00AD501D" w14:textId="02AD7E9E" w:rsidR="00242D06" w:rsidRPr="00F512C2" w:rsidRDefault="004D0539" w:rsidP="00242D06">
            <w:pPr>
              <w:widowControl w:val="0"/>
              <w:jc w:val="center"/>
              <w:rPr>
                <w:sz w:val="20"/>
              </w:rPr>
            </w:pPr>
            <w:r w:rsidRPr="00F512C2">
              <w:rPr>
                <w:sz w:val="20"/>
              </w:rPr>
              <w:t>92</w:t>
            </w:r>
          </w:p>
        </w:tc>
        <w:tc>
          <w:tcPr>
            <w:tcW w:w="1295" w:type="dxa"/>
          </w:tcPr>
          <w:p w14:paraId="13E70B28" w14:textId="0ED7DD14" w:rsidR="00242D06" w:rsidRPr="00F512C2" w:rsidRDefault="004D0539" w:rsidP="00242D06">
            <w:pPr>
              <w:widowControl w:val="0"/>
              <w:jc w:val="center"/>
              <w:rPr>
                <w:sz w:val="20"/>
              </w:rPr>
            </w:pPr>
            <w:r w:rsidRPr="00F512C2">
              <w:rPr>
                <w:sz w:val="20"/>
              </w:rPr>
              <w:t>38</w:t>
            </w:r>
          </w:p>
        </w:tc>
        <w:tc>
          <w:tcPr>
            <w:tcW w:w="1295" w:type="dxa"/>
          </w:tcPr>
          <w:p w14:paraId="21A3ADDD" w14:textId="3041536B" w:rsidR="00242D06" w:rsidRPr="00F512C2" w:rsidRDefault="004D0539" w:rsidP="00242D06">
            <w:pPr>
              <w:widowControl w:val="0"/>
              <w:jc w:val="center"/>
              <w:rPr>
                <w:sz w:val="20"/>
              </w:rPr>
            </w:pPr>
            <w:r w:rsidRPr="00F512C2">
              <w:rPr>
                <w:sz w:val="20"/>
              </w:rPr>
              <w:t>34</w:t>
            </w:r>
          </w:p>
        </w:tc>
        <w:tc>
          <w:tcPr>
            <w:tcW w:w="1294" w:type="dxa"/>
          </w:tcPr>
          <w:p w14:paraId="1F51BC55" w14:textId="33EC4C0A" w:rsidR="00242D06" w:rsidRPr="00F512C2" w:rsidRDefault="004D0539" w:rsidP="00242D06">
            <w:pPr>
              <w:widowControl w:val="0"/>
              <w:jc w:val="center"/>
              <w:rPr>
                <w:sz w:val="20"/>
              </w:rPr>
            </w:pPr>
            <w:r w:rsidRPr="00F512C2">
              <w:rPr>
                <w:sz w:val="20"/>
              </w:rPr>
              <w:t>1.2</w:t>
            </w:r>
          </w:p>
        </w:tc>
        <w:tc>
          <w:tcPr>
            <w:tcW w:w="1295" w:type="dxa"/>
          </w:tcPr>
          <w:p w14:paraId="1DB2DE30" w14:textId="4EBC673B" w:rsidR="00242D06" w:rsidRPr="00F512C2" w:rsidRDefault="004D0539" w:rsidP="00242D06">
            <w:pPr>
              <w:widowControl w:val="0"/>
              <w:jc w:val="center"/>
              <w:rPr>
                <w:sz w:val="20"/>
              </w:rPr>
            </w:pPr>
            <w:r w:rsidRPr="00F512C2">
              <w:rPr>
                <w:sz w:val="20"/>
              </w:rPr>
              <w:t>1.1</w:t>
            </w:r>
          </w:p>
        </w:tc>
        <w:tc>
          <w:tcPr>
            <w:tcW w:w="1294" w:type="dxa"/>
          </w:tcPr>
          <w:p w14:paraId="72029656" w14:textId="6D087D2B" w:rsidR="00242D06" w:rsidRPr="00F512C2" w:rsidRDefault="004D0539" w:rsidP="00242D06">
            <w:pPr>
              <w:widowControl w:val="0"/>
              <w:jc w:val="center"/>
              <w:rPr>
                <w:sz w:val="20"/>
              </w:rPr>
            </w:pPr>
            <w:r w:rsidRPr="00F512C2">
              <w:rPr>
                <w:sz w:val="20"/>
              </w:rPr>
              <w:t>NA</w:t>
            </w:r>
          </w:p>
        </w:tc>
        <w:tc>
          <w:tcPr>
            <w:tcW w:w="1295" w:type="dxa"/>
          </w:tcPr>
          <w:p w14:paraId="684E60F5" w14:textId="754675CC" w:rsidR="00242D06" w:rsidRPr="00F512C2" w:rsidRDefault="004D0539" w:rsidP="00242D06">
            <w:pPr>
              <w:widowControl w:val="0"/>
              <w:jc w:val="center"/>
              <w:rPr>
                <w:sz w:val="20"/>
              </w:rPr>
            </w:pPr>
            <w:r w:rsidRPr="00F512C2">
              <w:rPr>
                <w:sz w:val="20"/>
              </w:rPr>
              <w:t>NA</w:t>
            </w:r>
          </w:p>
        </w:tc>
      </w:tr>
      <w:tr w:rsidR="00242D06" w:rsidRPr="00F512C2" w14:paraId="6291F600" w14:textId="77777777" w:rsidTr="004B2CA5">
        <w:trPr>
          <w:trHeight w:val="238"/>
        </w:trPr>
        <w:tc>
          <w:tcPr>
            <w:tcW w:w="2072" w:type="dxa"/>
          </w:tcPr>
          <w:p w14:paraId="14C5C859" w14:textId="77777777" w:rsidR="00242D06" w:rsidRPr="00F512C2" w:rsidRDefault="00242D06" w:rsidP="00242D06">
            <w:pPr>
              <w:widowControl w:val="0"/>
              <w:jc w:val="right"/>
              <w:rPr>
                <w:sz w:val="20"/>
              </w:rPr>
            </w:pPr>
            <w:r w:rsidRPr="00F512C2">
              <w:rPr>
                <w:sz w:val="20"/>
              </w:rPr>
              <w:t xml:space="preserve">  France</w:t>
            </w:r>
          </w:p>
        </w:tc>
        <w:tc>
          <w:tcPr>
            <w:tcW w:w="1461" w:type="dxa"/>
          </w:tcPr>
          <w:p w14:paraId="02A3BB2E" w14:textId="512FA524" w:rsidR="00242D06" w:rsidRPr="00F512C2" w:rsidRDefault="004D0539" w:rsidP="00242D06">
            <w:pPr>
              <w:widowControl w:val="0"/>
              <w:jc w:val="center"/>
              <w:rPr>
                <w:sz w:val="20"/>
              </w:rPr>
            </w:pPr>
            <w:r w:rsidRPr="00F512C2">
              <w:rPr>
                <w:sz w:val="20"/>
              </w:rPr>
              <w:t>74</w:t>
            </w:r>
          </w:p>
        </w:tc>
        <w:tc>
          <w:tcPr>
            <w:tcW w:w="1299" w:type="dxa"/>
          </w:tcPr>
          <w:p w14:paraId="5E5073B4" w14:textId="2F09DBD8" w:rsidR="00242D06" w:rsidRPr="00F512C2" w:rsidRDefault="004D0539" w:rsidP="00242D06">
            <w:pPr>
              <w:widowControl w:val="0"/>
              <w:jc w:val="center"/>
              <w:rPr>
                <w:sz w:val="20"/>
              </w:rPr>
            </w:pPr>
            <w:r w:rsidRPr="00F512C2">
              <w:rPr>
                <w:sz w:val="20"/>
              </w:rPr>
              <w:t>75</w:t>
            </w:r>
          </w:p>
        </w:tc>
        <w:tc>
          <w:tcPr>
            <w:tcW w:w="1295" w:type="dxa"/>
          </w:tcPr>
          <w:p w14:paraId="4F73AFBC" w14:textId="46E3C5AE" w:rsidR="00242D06" w:rsidRPr="00F512C2" w:rsidRDefault="004D0539" w:rsidP="00242D06">
            <w:pPr>
              <w:widowControl w:val="0"/>
              <w:jc w:val="center"/>
              <w:rPr>
                <w:sz w:val="20"/>
              </w:rPr>
            </w:pPr>
            <w:r w:rsidRPr="00F512C2">
              <w:rPr>
                <w:sz w:val="20"/>
              </w:rPr>
              <w:t>44</w:t>
            </w:r>
          </w:p>
        </w:tc>
        <w:tc>
          <w:tcPr>
            <w:tcW w:w="1295" w:type="dxa"/>
          </w:tcPr>
          <w:p w14:paraId="2429ACFE" w14:textId="0A5CF945" w:rsidR="00242D06" w:rsidRPr="00F512C2" w:rsidRDefault="004D0539" w:rsidP="00242D06">
            <w:pPr>
              <w:widowControl w:val="0"/>
              <w:jc w:val="center"/>
              <w:rPr>
                <w:sz w:val="20"/>
              </w:rPr>
            </w:pPr>
            <w:r w:rsidRPr="00F512C2">
              <w:rPr>
                <w:sz w:val="20"/>
              </w:rPr>
              <w:t>40</w:t>
            </w:r>
          </w:p>
        </w:tc>
        <w:tc>
          <w:tcPr>
            <w:tcW w:w="1294" w:type="dxa"/>
          </w:tcPr>
          <w:p w14:paraId="6DDE631D" w14:textId="6DC7D289" w:rsidR="00242D06" w:rsidRPr="00F512C2" w:rsidRDefault="004D0539" w:rsidP="00242D06">
            <w:pPr>
              <w:widowControl w:val="0"/>
              <w:jc w:val="center"/>
              <w:rPr>
                <w:sz w:val="20"/>
              </w:rPr>
            </w:pPr>
            <w:r w:rsidRPr="00F512C2">
              <w:rPr>
                <w:sz w:val="20"/>
              </w:rPr>
              <w:t>.7</w:t>
            </w:r>
          </w:p>
        </w:tc>
        <w:tc>
          <w:tcPr>
            <w:tcW w:w="1295" w:type="dxa"/>
          </w:tcPr>
          <w:p w14:paraId="078D3D62" w14:textId="472395C1" w:rsidR="00242D06" w:rsidRPr="00F512C2" w:rsidRDefault="004D0539" w:rsidP="00242D06">
            <w:pPr>
              <w:widowControl w:val="0"/>
              <w:jc w:val="center"/>
              <w:rPr>
                <w:sz w:val="20"/>
              </w:rPr>
            </w:pPr>
            <w:r w:rsidRPr="00F512C2">
              <w:rPr>
                <w:sz w:val="20"/>
              </w:rPr>
              <w:t>1.0</w:t>
            </w:r>
          </w:p>
        </w:tc>
        <w:tc>
          <w:tcPr>
            <w:tcW w:w="1294" w:type="dxa"/>
          </w:tcPr>
          <w:p w14:paraId="5078972A" w14:textId="7581C7D9" w:rsidR="00242D06" w:rsidRPr="00F512C2" w:rsidRDefault="004D0539" w:rsidP="00242D06">
            <w:pPr>
              <w:widowControl w:val="0"/>
              <w:jc w:val="center"/>
              <w:rPr>
                <w:sz w:val="20"/>
              </w:rPr>
            </w:pPr>
            <w:r w:rsidRPr="00F512C2">
              <w:rPr>
                <w:sz w:val="20"/>
              </w:rPr>
              <w:t>55</w:t>
            </w:r>
          </w:p>
        </w:tc>
        <w:tc>
          <w:tcPr>
            <w:tcW w:w="1295" w:type="dxa"/>
          </w:tcPr>
          <w:p w14:paraId="3D4C19CC" w14:textId="457F598A" w:rsidR="00242D06" w:rsidRPr="00F512C2" w:rsidRDefault="004D0539" w:rsidP="00242D06">
            <w:pPr>
              <w:widowControl w:val="0"/>
              <w:jc w:val="center"/>
              <w:rPr>
                <w:sz w:val="20"/>
              </w:rPr>
            </w:pPr>
            <w:r w:rsidRPr="00F512C2">
              <w:rPr>
                <w:sz w:val="20"/>
              </w:rPr>
              <w:t>61</w:t>
            </w:r>
          </w:p>
        </w:tc>
      </w:tr>
      <w:tr w:rsidR="00242D06" w:rsidRPr="00F512C2" w14:paraId="47F121B0" w14:textId="77777777" w:rsidTr="004B2CA5">
        <w:trPr>
          <w:trHeight w:val="238"/>
        </w:trPr>
        <w:tc>
          <w:tcPr>
            <w:tcW w:w="2072" w:type="dxa"/>
          </w:tcPr>
          <w:p w14:paraId="149739A4" w14:textId="77777777" w:rsidR="00242D06" w:rsidRPr="00F512C2" w:rsidRDefault="00242D06" w:rsidP="00242D06">
            <w:pPr>
              <w:widowControl w:val="0"/>
              <w:jc w:val="right"/>
              <w:rPr>
                <w:sz w:val="20"/>
              </w:rPr>
            </w:pPr>
            <w:r w:rsidRPr="00F512C2">
              <w:rPr>
                <w:sz w:val="20"/>
              </w:rPr>
              <w:t xml:space="preserve">  Germany</w:t>
            </w:r>
          </w:p>
        </w:tc>
        <w:tc>
          <w:tcPr>
            <w:tcW w:w="1461" w:type="dxa"/>
          </w:tcPr>
          <w:p w14:paraId="088B01AD" w14:textId="551320C3" w:rsidR="00242D06" w:rsidRPr="00F512C2" w:rsidRDefault="0059592D" w:rsidP="00242D06">
            <w:pPr>
              <w:widowControl w:val="0"/>
              <w:jc w:val="center"/>
              <w:rPr>
                <w:sz w:val="20"/>
              </w:rPr>
            </w:pPr>
            <w:r w:rsidRPr="00F512C2">
              <w:rPr>
                <w:sz w:val="20"/>
              </w:rPr>
              <w:t>74</w:t>
            </w:r>
          </w:p>
        </w:tc>
        <w:tc>
          <w:tcPr>
            <w:tcW w:w="1299" w:type="dxa"/>
          </w:tcPr>
          <w:p w14:paraId="57CC0D0F" w14:textId="06D8BFAF" w:rsidR="00242D06" w:rsidRPr="00F512C2" w:rsidRDefault="0059592D" w:rsidP="00242D06">
            <w:pPr>
              <w:widowControl w:val="0"/>
              <w:jc w:val="center"/>
              <w:rPr>
                <w:sz w:val="20"/>
              </w:rPr>
            </w:pPr>
            <w:r w:rsidRPr="00F512C2">
              <w:rPr>
                <w:sz w:val="20"/>
              </w:rPr>
              <w:t>72</w:t>
            </w:r>
          </w:p>
        </w:tc>
        <w:tc>
          <w:tcPr>
            <w:tcW w:w="1295" w:type="dxa"/>
          </w:tcPr>
          <w:p w14:paraId="4A1DCFAA" w14:textId="244D0303" w:rsidR="00242D06" w:rsidRPr="00F512C2" w:rsidRDefault="0059592D" w:rsidP="00242D06">
            <w:pPr>
              <w:widowControl w:val="0"/>
              <w:jc w:val="center"/>
              <w:rPr>
                <w:sz w:val="20"/>
              </w:rPr>
            </w:pPr>
            <w:r w:rsidRPr="00F512C2">
              <w:rPr>
                <w:sz w:val="20"/>
              </w:rPr>
              <w:t>45</w:t>
            </w:r>
          </w:p>
        </w:tc>
        <w:tc>
          <w:tcPr>
            <w:tcW w:w="1295" w:type="dxa"/>
          </w:tcPr>
          <w:p w14:paraId="74B49714" w14:textId="7BF68CF0" w:rsidR="00242D06" w:rsidRPr="00F512C2" w:rsidRDefault="0059592D" w:rsidP="00242D06">
            <w:pPr>
              <w:widowControl w:val="0"/>
              <w:jc w:val="center"/>
              <w:rPr>
                <w:sz w:val="20"/>
              </w:rPr>
            </w:pPr>
            <w:r w:rsidRPr="00F512C2">
              <w:rPr>
                <w:sz w:val="20"/>
              </w:rPr>
              <w:t>49</w:t>
            </w:r>
          </w:p>
        </w:tc>
        <w:tc>
          <w:tcPr>
            <w:tcW w:w="1294" w:type="dxa"/>
          </w:tcPr>
          <w:p w14:paraId="4F14D0CD" w14:textId="0E8814C4" w:rsidR="00242D06" w:rsidRPr="00F512C2" w:rsidRDefault="0059592D" w:rsidP="00242D06">
            <w:pPr>
              <w:widowControl w:val="0"/>
              <w:jc w:val="center"/>
              <w:rPr>
                <w:sz w:val="20"/>
              </w:rPr>
            </w:pPr>
            <w:r w:rsidRPr="00F512C2">
              <w:rPr>
                <w:sz w:val="20"/>
              </w:rPr>
              <w:t>.7</w:t>
            </w:r>
          </w:p>
        </w:tc>
        <w:tc>
          <w:tcPr>
            <w:tcW w:w="1295" w:type="dxa"/>
          </w:tcPr>
          <w:p w14:paraId="6C9B3019" w14:textId="03E240F2" w:rsidR="00242D06" w:rsidRPr="00F512C2" w:rsidRDefault="0059592D" w:rsidP="00242D06">
            <w:pPr>
              <w:widowControl w:val="0"/>
              <w:jc w:val="center"/>
              <w:rPr>
                <w:sz w:val="20"/>
              </w:rPr>
            </w:pPr>
            <w:r w:rsidRPr="00F512C2">
              <w:rPr>
                <w:sz w:val="20"/>
              </w:rPr>
              <w:t>.8</w:t>
            </w:r>
          </w:p>
        </w:tc>
        <w:tc>
          <w:tcPr>
            <w:tcW w:w="1294" w:type="dxa"/>
          </w:tcPr>
          <w:p w14:paraId="189110F1" w14:textId="189E900B" w:rsidR="00242D06" w:rsidRPr="00F512C2" w:rsidRDefault="0059592D" w:rsidP="00242D06">
            <w:pPr>
              <w:widowControl w:val="0"/>
              <w:jc w:val="center"/>
              <w:rPr>
                <w:sz w:val="20"/>
              </w:rPr>
            </w:pPr>
            <w:r w:rsidRPr="00F512C2">
              <w:rPr>
                <w:sz w:val="20"/>
              </w:rPr>
              <w:t>35</w:t>
            </w:r>
          </w:p>
        </w:tc>
        <w:tc>
          <w:tcPr>
            <w:tcW w:w="1295" w:type="dxa"/>
          </w:tcPr>
          <w:p w14:paraId="1043A9B9" w14:textId="66D2E7AF" w:rsidR="00242D06" w:rsidRPr="00F512C2" w:rsidRDefault="0059592D" w:rsidP="00242D06">
            <w:pPr>
              <w:widowControl w:val="0"/>
              <w:jc w:val="center"/>
              <w:rPr>
                <w:sz w:val="20"/>
              </w:rPr>
            </w:pPr>
            <w:r w:rsidRPr="00F512C2">
              <w:rPr>
                <w:sz w:val="20"/>
              </w:rPr>
              <w:t>46</w:t>
            </w:r>
          </w:p>
        </w:tc>
      </w:tr>
      <w:tr w:rsidR="00242D06" w:rsidRPr="00F512C2" w14:paraId="46BD88DD" w14:textId="77777777" w:rsidTr="004B2CA5">
        <w:trPr>
          <w:trHeight w:val="238"/>
        </w:trPr>
        <w:tc>
          <w:tcPr>
            <w:tcW w:w="2072" w:type="dxa"/>
          </w:tcPr>
          <w:p w14:paraId="2B196CF8" w14:textId="77364346" w:rsidR="00242D06" w:rsidRPr="00F512C2" w:rsidRDefault="00242D06" w:rsidP="00242D06">
            <w:pPr>
              <w:widowControl w:val="0"/>
              <w:jc w:val="right"/>
              <w:rPr>
                <w:sz w:val="20"/>
              </w:rPr>
            </w:pPr>
            <w:r w:rsidRPr="00F512C2">
              <w:rPr>
                <w:sz w:val="20"/>
              </w:rPr>
              <w:t>Italy</w:t>
            </w:r>
          </w:p>
        </w:tc>
        <w:tc>
          <w:tcPr>
            <w:tcW w:w="1461" w:type="dxa"/>
          </w:tcPr>
          <w:p w14:paraId="097624BD" w14:textId="75D159FB" w:rsidR="00242D06" w:rsidRPr="00F512C2" w:rsidRDefault="000F11F9" w:rsidP="00242D06">
            <w:pPr>
              <w:widowControl w:val="0"/>
              <w:jc w:val="center"/>
              <w:rPr>
                <w:sz w:val="20"/>
              </w:rPr>
            </w:pPr>
            <w:r w:rsidRPr="00F512C2">
              <w:rPr>
                <w:sz w:val="20"/>
              </w:rPr>
              <w:t>30</w:t>
            </w:r>
          </w:p>
        </w:tc>
        <w:tc>
          <w:tcPr>
            <w:tcW w:w="1299" w:type="dxa"/>
          </w:tcPr>
          <w:p w14:paraId="146C1472" w14:textId="72C1A119" w:rsidR="00242D06" w:rsidRPr="00F512C2" w:rsidRDefault="000F11F9" w:rsidP="00242D06">
            <w:pPr>
              <w:widowControl w:val="0"/>
              <w:jc w:val="center"/>
              <w:rPr>
                <w:sz w:val="20"/>
              </w:rPr>
            </w:pPr>
            <w:r w:rsidRPr="00F512C2">
              <w:rPr>
                <w:sz w:val="20"/>
              </w:rPr>
              <w:t>80</w:t>
            </w:r>
          </w:p>
        </w:tc>
        <w:tc>
          <w:tcPr>
            <w:tcW w:w="1295" w:type="dxa"/>
          </w:tcPr>
          <w:p w14:paraId="11590C38" w14:textId="47FADD1D" w:rsidR="00242D06" w:rsidRPr="00F512C2" w:rsidRDefault="00717A62" w:rsidP="00242D06">
            <w:pPr>
              <w:widowControl w:val="0"/>
              <w:jc w:val="center"/>
              <w:rPr>
                <w:sz w:val="20"/>
              </w:rPr>
            </w:pPr>
            <w:r w:rsidRPr="00F512C2">
              <w:rPr>
                <w:sz w:val="20"/>
              </w:rPr>
              <w:t>48</w:t>
            </w:r>
          </w:p>
        </w:tc>
        <w:tc>
          <w:tcPr>
            <w:tcW w:w="1295" w:type="dxa"/>
          </w:tcPr>
          <w:p w14:paraId="203679AB" w14:textId="1ABE79DA" w:rsidR="00242D06" w:rsidRPr="00F512C2" w:rsidRDefault="00717A62" w:rsidP="00242D06">
            <w:pPr>
              <w:widowControl w:val="0"/>
              <w:jc w:val="center"/>
              <w:rPr>
                <w:sz w:val="20"/>
              </w:rPr>
            </w:pPr>
            <w:r w:rsidRPr="00F512C2">
              <w:rPr>
                <w:sz w:val="20"/>
              </w:rPr>
              <w:t>53</w:t>
            </w:r>
          </w:p>
        </w:tc>
        <w:tc>
          <w:tcPr>
            <w:tcW w:w="1294" w:type="dxa"/>
          </w:tcPr>
          <w:p w14:paraId="64E646DF" w14:textId="1C16038E" w:rsidR="00242D06" w:rsidRPr="00F512C2" w:rsidRDefault="00717A62" w:rsidP="00242D06">
            <w:pPr>
              <w:widowControl w:val="0"/>
              <w:jc w:val="center"/>
              <w:rPr>
                <w:sz w:val="20"/>
              </w:rPr>
            </w:pPr>
            <w:r w:rsidRPr="00F512C2">
              <w:rPr>
                <w:sz w:val="20"/>
              </w:rPr>
              <w:t>.3</w:t>
            </w:r>
          </w:p>
        </w:tc>
        <w:tc>
          <w:tcPr>
            <w:tcW w:w="1295" w:type="dxa"/>
          </w:tcPr>
          <w:p w14:paraId="7139CA3A" w14:textId="0FD79712" w:rsidR="00242D06" w:rsidRPr="00F512C2" w:rsidRDefault="00717A62" w:rsidP="00242D06">
            <w:pPr>
              <w:widowControl w:val="0"/>
              <w:jc w:val="center"/>
              <w:rPr>
                <w:sz w:val="20"/>
              </w:rPr>
            </w:pPr>
            <w:r w:rsidRPr="00F512C2">
              <w:rPr>
                <w:sz w:val="20"/>
              </w:rPr>
              <w:t>.4</w:t>
            </w:r>
          </w:p>
        </w:tc>
        <w:tc>
          <w:tcPr>
            <w:tcW w:w="1294" w:type="dxa"/>
          </w:tcPr>
          <w:p w14:paraId="510FFE84" w14:textId="7B1FD86B" w:rsidR="00242D06" w:rsidRPr="00F512C2" w:rsidRDefault="00717A62" w:rsidP="00242D06">
            <w:pPr>
              <w:widowControl w:val="0"/>
              <w:jc w:val="center"/>
              <w:rPr>
                <w:sz w:val="20"/>
              </w:rPr>
            </w:pPr>
            <w:r w:rsidRPr="00F512C2">
              <w:rPr>
                <w:sz w:val="20"/>
              </w:rPr>
              <w:t>NA</w:t>
            </w:r>
          </w:p>
        </w:tc>
        <w:tc>
          <w:tcPr>
            <w:tcW w:w="1295" w:type="dxa"/>
          </w:tcPr>
          <w:p w14:paraId="6DA3FA12" w14:textId="17AD2735" w:rsidR="00242D06" w:rsidRPr="00F512C2" w:rsidRDefault="00717A62" w:rsidP="00242D06">
            <w:pPr>
              <w:widowControl w:val="0"/>
              <w:jc w:val="center"/>
              <w:rPr>
                <w:sz w:val="20"/>
              </w:rPr>
            </w:pPr>
            <w:r w:rsidRPr="00F512C2">
              <w:rPr>
                <w:sz w:val="20"/>
              </w:rPr>
              <w:t>NA</w:t>
            </w:r>
          </w:p>
        </w:tc>
      </w:tr>
      <w:tr w:rsidR="00242D06" w:rsidRPr="00F512C2" w14:paraId="23836800" w14:textId="77777777" w:rsidTr="004B2CA5">
        <w:trPr>
          <w:trHeight w:val="238"/>
        </w:trPr>
        <w:tc>
          <w:tcPr>
            <w:tcW w:w="2072" w:type="dxa"/>
          </w:tcPr>
          <w:p w14:paraId="08A63043" w14:textId="77777777" w:rsidR="00242D06" w:rsidRPr="00F512C2" w:rsidRDefault="00242D06" w:rsidP="00242D06">
            <w:pPr>
              <w:widowControl w:val="0"/>
              <w:jc w:val="right"/>
              <w:rPr>
                <w:sz w:val="20"/>
              </w:rPr>
            </w:pPr>
            <w:r w:rsidRPr="00F512C2">
              <w:rPr>
                <w:sz w:val="20"/>
              </w:rPr>
              <w:t xml:space="preserve">  Netherlands</w:t>
            </w:r>
          </w:p>
        </w:tc>
        <w:tc>
          <w:tcPr>
            <w:tcW w:w="1461" w:type="dxa"/>
          </w:tcPr>
          <w:p w14:paraId="6A962D37" w14:textId="09EF9164" w:rsidR="00242D06" w:rsidRPr="00F512C2" w:rsidRDefault="00717A62" w:rsidP="00242D06">
            <w:pPr>
              <w:widowControl w:val="0"/>
              <w:jc w:val="center"/>
              <w:rPr>
                <w:sz w:val="20"/>
              </w:rPr>
            </w:pPr>
            <w:r w:rsidRPr="00F512C2">
              <w:rPr>
                <w:sz w:val="20"/>
              </w:rPr>
              <w:t>81</w:t>
            </w:r>
          </w:p>
        </w:tc>
        <w:tc>
          <w:tcPr>
            <w:tcW w:w="1299" w:type="dxa"/>
          </w:tcPr>
          <w:p w14:paraId="1E517DA2" w14:textId="6A9679CA" w:rsidR="00242D06" w:rsidRPr="00F512C2" w:rsidRDefault="00717A62" w:rsidP="00242D06">
            <w:pPr>
              <w:widowControl w:val="0"/>
              <w:jc w:val="center"/>
              <w:rPr>
                <w:sz w:val="20"/>
              </w:rPr>
            </w:pPr>
            <w:r w:rsidRPr="00F512C2">
              <w:rPr>
                <w:sz w:val="20"/>
              </w:rPr>
              <w:t>84</w:t>
            </w:r>
          </w:p>
        </w:tc>
        <w:tc>
          <w:tcPr>
            <w:tcW w:w="1295" w:type="dxa"/>
          </w:tcPr>
          <w:p w14:paraId="374D83D9" w14:textId="73098FE1" w:rsidR="00242D06" w:rsidRPr="00F512C2" w:rsidRDefault="00717A62" w:rsidP="00242D06">
            <w:pPr>
              <w:widowControl w:val="0"/>
              <w:jc w:val="center"/>
              <w:rPr>
                <w:sz w:val="20"/>
              </w:rPr>
            </w:pPr>
            <w:r w:rsidRPr="00F512C2">
              <w:rPr>
                <w:sz w:val="20"/>
              </w:rPr>
              <w:t>43</w:t>
            </w:r>
          </w:p>
        </w:tc>
        <w:tc>
          <w:tcPr>
            <w:tcW w:w="1295" w:type="dxa"/>
          </w:tcPr>
          <w:p w14:paraId="33C7E710" w14:textId="7AB5A4BF" w:rsidR="00242D06" w:rsidRPr="00F512C2" w:rsidRDefault="00717A62" w:rsidP="00242D06">
            <w:pPr>
              <w:widowControl w:val="0"/>
              <w:jc w:val="center"/>
              <w:rPr>
                <w:sz w:val="20"/>
              </w:rPr>
            </w:pPr>
            <w:r w:rsidRPr="00F512C2">
              <w:rPr>
                <w:sz w:val="20"/>
              </w:rPr>
              <w:t>44</w:t>
            </w:r>
          </w:p>
        </w:tc>
        <w:tc>
          <w:tcPr>
            <w:tcW w:w="1294" w:type="dxa"/>
          </w:tcPr>
          <w:p w14:paraId="16F81261" w14:textId="7A1E8B79" w:rsidR="00242D06" w:rsidRPr="00F512C2" w:rsidRDefault="00717A62" w:rsidP="00242D06">
            <w:pPr>
              <w:widowControl w:val="0"/>
              <w:jc w:val="center"/>
              <w:rPr>
                <w:sz w:val="20"/>
              </w:rPr>
            </w:pPr>
            <w:r w:rsidRPr="00F512C2">
              <w:rPr>
                <w:sz w:val="20"/>
              </w:rPr>
              <w:t>1.3</w:t>
            </w:r>
          </w:p>
        </w:tc>
        <w:tc>
          <w:tcPr>
            <w:tcW w:w="1295" w:type="dxa"/>
          </w:tcPr>
          <w:p w14:paraId="45E5C43E" w14:textId="5545F52D" w:rsidR="00242D06" w:rsidRPr="00F512C2" w:rsidRDefault="00717A62" w:rsidP="00242D06">
            <w:pPr>
              <w:widowControl w:val="0"/>
              <w:jc w:val="center"/>
              <w:rPr>
                <w:sz w:val="20"/>
              </w:rPr>
            </w:pPr>
            <w:r w:rsidRPr="00F512C2">
              <w:rPr>
                <w:sz w:val="20"/>
              </w:rPr>
              <w:t>1.1</w:t>
            </w:r>
          </w:p>
        </w:tc>
        <w:tc>
          <w:tcPr>
            <w:tcW w:w="1294" w:type="dxa"/>
          </w:tcPr>
          <w:p w14:paraId="1AA6506C" w14:textId="41B40400" w:rsidR="00242D06" w:rsidRPr="00F512C2" w:rsidRDefault="00717A62" w:rsidP="00242D06">
            <w:pPr>
              <w:widowControl w:val="0"/>
              <w:jc w:val="center"/>
              <w:rPr>
                <w:sz w:val="20"/>
              </w:rPr>
            </w:pPr>
            <w:r w:rsidRPr="00F512C2">
              <w:rPr>
                <w:sz w:val="20"/>
              </w:rPr>
              <w:t>57</w:t>
            </w:r>
          </w:p>
        </w:tc>
        <w:tc>
          <w:tcPr>
            <w:tcW w:w="1295" w:type="dxa"/>
          </w:tcPr>
          <w:p w14:paraId="7968072A" w14:textId="50A97F28" w:rsidR="00242D06" w:rsidRPr="00F512C2" w:rsidRDefault="00717A62" w:rsidP="00242D06">
            <w:pPr>
              <w:widowControl w:val="0"/>
              <w:jc w:val="center"/>
              <w:rPr>
                <w:sz w:val="20"/>
              </w:rPr>
            </w:pPr>
            <w:r w:rsidRPr="00F512C2">
              <w:rPr>
                <w:sz w:val="20"/>
              </w:rPr>
              <w:t>44</w:t>
            </w:r>
          </w:p>
        </w:tc>
      </w:tr>
      <w:tr w:rsidR="00242D06" w:rsidRPr="00F512C2" w14:paraId="78C79E4A" w14:textId="77777777" w:rsidTr="004B2CA5">
        <w:trPr>
          <w:trHeight w:val="238"/>
        </w:trPr>
        <w:tc>
          <w:tcPr>
            <w:tcW w:w="2072" w:type="dxa"/>
          </w:tcPr>
          <w:p w14:paraId="03399063" w14:textId="77777777" w:rsidR="00242D06" w:rsidRPr="00F512C2" w:rsidRDefault="00242D06" w:rsidP="00242D06">
            <w:pPr>
              <w:widowControl w:val="0"/>
              <w:jc w:val="right"/>
              <w:rPr>
                <w:sz w:val="20"/>
              </w:rPr>
            </w:pPr>
            <w:r w:rsidRPr="00F512C2">
              <w:rPr>
                <w:sz w:val="20"/>
              </w:rPr>
              <w:t xml:space="preserve">  Switzerland</w:t>
            </w:r>
          </w:p>
        </w:tc>
        <w:tc>
          <w:tcPr>
            <w:tcW w:w="1461" w:type="dxa"/>
          </w:tcPr>
          <w:p w14:paraId="5264C4E9" w14:textId="2B53C4B5" w:rsidR="00242D06" w:rsidRPr="00F512C2" w:rsidRDefault="00911F2D" w:rsidP="00242D06">
            <w:pPr>
              <w:widowControl w:val="0"/>
              <w:jc w:val="center"/>
              <w:rPr>
                <w:sz w:val="20"/>
              </w:rPr>
            </w:pPr>
            <w:r w:rsidRPr="00F512C2">
              <w:rPr>
                <w:sz w:val="20"/>
              </w:rPr>
              <w:t>76</w:t>
            </w:r>
          </w:p>
        </w:tc>
        <w:tc>
          <w:tcPr>
            <w:tcW w:w="1299" w:type="dxa"/>
          </w:tcPr>
          <w:p w14:paraId="7EE2F928" w14:textId="7D325341" w:rsidR="00242D06" w:rsidRPr="00F512C2" w:rsidRDefault="00911F2D" w:rsidP="00242D06">
            <w:pPr>
              <w:widowControl w:val="0"/>
              <w:jc w:val="center"/>
              <w:rPr>
                <w:sz w:val="20"/>
              </w:rPr>
            </w:pPr>
            <w:r w:rsidRPr="00F512C2">
              <w:rPr>
                <w:sz w:val="20"/>
              </w:rPr>
              <w:t>88</w:t>
            </w:r>
          </w:p>
        </w:tc>
        <w:tc>
          <w:tcPr>
            <w:tcW w:w="1295" w:type="dxa"/>
          </w:tcPr>
          <w:p w14:paraId="647D748E" w14:textId="31920B55" w:rsidR="00242D06" w:rsidRPr="00F512C2" w:rsidRDefault="00911F2D" w:rsidP="00242D06">
            <w:pPr>
              <w:widowControl w:val="0"/>
              <w:jc w:val="center"/>
              <w:rPr>
                <w:sz w:val="20"/>
              </w:rPr>
            </w:pPr>
            <w:r w:rsidRPr="00F512C2">
              <w:rPr>
                <w:sz w:val="20"/>
              </w:rPr>
              <w:t>59</w:t>
            </w:r>
          </w:p>
        </w:tc>
        <w:tc>
          <w:tcPr>
            <w:tcW w:w="1295" w:type="dxa"/>
          </w:tcPr>
          <w:p w14:paraId="3BED63B2" w14:textId="2F9EC6C1" w:rsidR="00242D06" w:rsidRPr="00F512C2" w:rsidRDefault="00911F2D" w:rsidP="00242D06">
            <w:pPr>
              <w:widowControl w:val="0"/>
              <w:jc w:val="center"/>
              <w:rPr>
                <w:sz w:val="20"/>
              </w:rPr>
            </w:pPr>
            <w:r w:rsidRPr="00F512C2">
              <w:rPr>
                <w:sz w:val="20"/>
              </w:rPr>
              <w:t>55</w:t>
            </w:r>
          </w:p>
        </w:tc>
        <w:tc>
          <w:tcPr>
            <w:tcW w:w="1294" w:type="dxa"/>
          </w:tcPr>
          <w:p w14:paraId="1D168406" w14:textId="00206416" w:rsidR="00242D06" w:rsidRPr="00F512C2" w:rsidRDefault="00911F2D" w:rsidP="00242D06">
            <w:pPr>
              <w:widowControl w:val="0"/>
              <w:jc w:val="center"/>
              <w:rPr>
                <w:sz w:val="20"/>
              </w:rPr>
            </w:pPr>
            <w:r w:rsidRPr="00F512C2">
              <w:rPr>
                <w:sz w:val="20"/>
              </w:rPr>
              <w:t>.2</w:t>
            </w:r>
          </w:p>
        </w:tc>
        <w:tc>
          <w:tcPr>
            <w:tcW w:w="1295" w:type="dxa"/>
          </w:tcPr>
          <w:p w14:paraId="03D3A44A" w14:textId="70586543" w:rsidR="00242D06" w:rsidRPr="00F512C2" w:rsidRDefault="00911F2D" w:rsidP="00242D06">
            <w:pPr>
              <w:widowControl w:val="0"/>
              <w:jc w:val="center"/>
              <w:rPr>
                <w:sz w:val="20"/>
              </w:rPr>
            </w:pPr>
            <w:r w:rsidRPr="00F512C2">
              <w:rPr>
                <w:sz w:val="20"/>
              </w:rPr>
              <w:t>.6</w:t>
            </w:r>
          </w:p>
        </w:tc>
        <w:tc>
          <w:tcPr>
            <w:tcW w:w="1294" w:type="dxa"/>
          </w:tcPr>
          <w:p w14:paraId="695250A5" w14:textId="3064DBB6" w:rsidR="00242D06" w:rsidRPr="00F512C2" w:rsidRDefault="00911F2D" w:rsidP="00242D06">
            <w:pPr>
              <w:widowControl w:val="0"/>
              <w:jc w:val="center"/>
              <w:rPr>
                <w:sz w:val="20"/>
              </w:rPr>
            </w:pPr>
            <w:r w:rsidRPr="00F512C2">
              <w:rPr>
                <w:sz w:val="20"/>
              </w:rPr>
              <w:t>11</w:t>
            </w:r>
          </w:p>
        </w:tc>
        <w:tc>
          <w:tcPr>
            <w:tcW w:w="1295" w:type="dxa"/>
          </w:tcPr>
          <w:p w14:paraId="15ECB8C3" w14:textId="284D9D5A" w:rsidR="00242D06" w:rsidRPr="00F512C2" w:rsidRDefault="00911F2D" w:rsidP="00242D06">
            <w:pPr>
              <w:widowControl w:val="0"/>
              <w:jc w:val="center"/>
              <w:rPr>
                <w:sz w:val="20"/>
              </w:rPr>
            </w:pPr>
            <w:r w:rsidRPr="00F512C2">
              <w:rPr>
                <w:sz w:val="20"/>
              </w:rPr>
              <w:t>7</w:t>
            </w:r>
          </w:p>
        </w:tc>
      </w:tr>
      <w:tr w:rsidR="00242D06" w:rsidRPr="00F512C2" w14:paraId="5ED44E12" w14:textId="77777777" w:rsidTr="004B2CA5">
        <w:trPr>
          <w:trHeight w:val="238"/>
        </w:trPr>
        <w:tc>
          <w:tcPr>
            <w:tcW w:w="2072" w:type="dxa"/>
          </w:tcPr>
          <w:p w14:paraId="1D106749" w14:textId="77777777" w:rsidR="00242D06" w:rsidRPr="00F512C2" w:rsidRDefault="00242D06" w:rsidP="00242D06">
            <w:pPr>
              <w:widowControl w:val="0"/>
              <w:jc w:val="right"/>
              <w:rPr>
                <w:sz w:val="20"/>
              </w:rPr>
            </w:pPr>
            <w:r w:rsidRPr="00F512C2">
              <w:rPr>
                <w:sz w:val="20"/>
              </w:rPr>
              <w:t>Mean</w:t>
            </w:r>
          </w:p>
        </w:tc>
        <w:tc>
          <w:tcPr>
            <w:tcW w:w="1461" w:type="dxa"/>
          </w:tcPr>
          <w:p w14:paraId="19570C4D" w14:textId="4E638E68" w:rsidR="00242D06" w:rsidRPr="00F512C2" w:rsidRDefault="001777ED" w:rsidP="00242D06">
            <w:pPr>
              <w:widowControl w:val="0"/>
              <w:jc w:val="center"/>
              <w:rPr>
                <w:sz w:val="20"/>
              </w:rPr>
            </w:pPr>
            <w:r w:rsidRPr="00F512C2">
              <w:rPr>
                <w:sz w:val="20"/>
              </w:rPr>
              <w:t>71</w:t>
            </w:r>
          </w:p>
        </w:tc>
        <w:tc>
          <w:tcPr>
            <w:tcW w:w="1299" w:type="dxa"/>
          </w:tcPr>
          <w:p w14:paraId="3B7FA2F7" w14:textId="2AFC160C" w:rsidR="00242D06" w:rsidRPr="00F512C2" w:rsidRDefault="001777ED" w:rsidP="00242D06">
            <w:pPr>
              <w:widowControl w:val="0"/>
              <w:jc w:val="center"/>
              <w:rPr>
                <w:sz w:val="20"/>
              </w:rPr>
            </w:pPr>
            <w:r w:rsidRPr="00F512C2">
              <w:rPr>
                <w:sz w:val="20"/>
              </w:rPr>
              <w:t>79</w:t>
            </w:r>
          </w:p>
        </w:tc>
        <w:tc>
          <w:tcPr>
            <w:tcW w:w="1295" w:type="dxa"/>
          </w:tcPr>
          <w:p w14:paraId="2A9BB207" w14:textId="604A8050" w:rsidR="00242D06" w:rsidRPr="00F512C2" w:rsidRDefault="001777ED" w:rsidP="00242D06">
            <w:pPr>
              <w:widowControl w:val="0"/>
              <w:jc w:val="center"/>
              <w:rPr>
                <w:sz w:val="20"/>
              </w:rPr>
            </w:pPr>
            <w:r w:rsidRPr="00F512C2">
              <w:rPr>
                <w:sz w:val="20"/>
              </w:rPr>
              <w:t>47</w:t>
            </w:r>
          </w:p>
        </w:tc>
        <w:tc>
          <w:tcPr>
            <w:tcW w:w="1295" w:type="dxa"/>
          </w:tcPr>
          <w:p w14:paraId="32097748" w14:textId="4005B5EC" w:rsidR="00242D06" w:rsidRPr="00F512C2" w:rsidRDefault="001777ED" w:rsidP="00242D06">
            <w:pPr>
              <w:widowControl w:val="0"/>
              <w:jc w:val="center"/>
              <w:rPr>
                <w:sz w:val="20"/>
              </w:rPr>
            </w:pPr>
            <w:r w:rsidRPr="00F512C2">
              <w:rPr>
                <w:sz w:val="20"/>
              </w:rPr>
              <w:t>46</w:t>
            </w:r>
          </w:p>
        </w:tc>
        <w:tc>
          <w:tcPr>
            <w:tcW w:w="1294" w:type="dxa"/>
          </w:tcPr>
          <w:p w14:paraId="3031DC99" w14:textId="2BD2BB38" w:rsidR="00242D06" w:rsidRPr="00F512C2" w:rsidRDefault="001777ED" w:rsidP="00242D06">
            <w:pPr>
              <w:widowControl w:val="0"/>
              <w:jc w:val="center"/>
              <w:rPr>
                <w:sz w:val="20"/>
              </w:rPr>
            </w:pPr>
            <w:r w:rsidRPr="00F512C2">
              <w:rPr>
                <w:sz w:val="20"/>
              </w:rPr>
              <w:t>.7</w:t>
            </w:r>
          </w:p>
        </w:tc>
        <w:tc>
          <w:tcPr>
            <w:tcW w:w="1295" w:type="dxa"/>
          </w:tcPr>
          <w:p w14:paraId="03E8B273" w14:textId="198EE0BE" w:rsidR="00242D06" w:rsidRPr="00F512C2" w:rsidRDefault="001777ED" w:rsidP="00242D06">
            <w:pPr>
              <w:widowControl w:val="0"/>
              <w:jc w:val="center"/>
              <w:rPr>
                <w:sz w:val="20"/>
              </w:rPr>
            </w:pPr>
            <w:r w:rsidRPr="00F512C2">
              <w:rPr>
                <w:sz w:val="20"/>
              </w:rPr>
              <w:t>.7</w:t>
            </w:r>
          </w:p>
        </w:tc>
        <w:tc>
          <w:tcPr>
            <w:tcW w:w="1294" w:type="dxa"/>
          </w:tcPr>
          <w:p w14:paraId="1112A997" w14:textId="42DA3448" w:rsidR="00242D06" w:rsidRPr="00F512C2" w:rsidRDefault="001777ED" w:rsidP="00242D06">
            <w:pPr>
              <w:widowControl w:val="0"/>
              <w:jc w:val="center"/>
              <w:rPr>
                <w:sz w:val="20"/>
              </w:rPr>
            </w:pPr>
            <w:r w:rsidRPr="00F512C2">
              <w:rPr>
                <w:sz w:val="20"/>
              </w:rPr>
              <w:t>40</w:t>
            </w:r>
          </w:p>
        </w:tc>
        <w:tc>
          <w:tcPr>
            <w:tcW w:w="1295" w:type="dxa"/>
          </w:tcPr>
          <w:p w14:paraId="1400C818" w14:textId="59331678" w:rsidR="00242D06" w:rsidRPr="00F512C2" w:rsidRDefault="001777ED" w:rsidP="00242D06">
            <w:pPr>
              <w:widowControl w:val="0"/>
              <w:jc w:val="center"/>
              <w:rPr>
                <w:sz w:val="20"/>
              </w:rPr>
            </w:pPr>
            <w:r w:rsidRPr="00F512C2">
              <w:rPr>
                <w:sz w:val="20"/>
              </w:rPr>
              <w:t>40</w:t>
            </w:r>
          </w:p>
        </w:tc>
      </w:tr>
      <w:tr w:rsidR="00242D06" w:rsidRPr="00F512C2" w14:paraId="1F0ABC7F" w14:textId="77777777" w:rsidTr="004B2CA5">
        <w:trPr>
          <w:trHeight w:val="238"/>
        </w:trPr>
        <w:tc>
          <w:tcPr>
            <w:tcW w:w="2072" w:type="dxa"/>
          </w:tcPr>
          <w:p w14:paraId="11C3FA5C" w14:textId="77777777" w:rsidR="00242D06" w:rsidRPr="00F512C2" w:rsidRDefault="00242D06" w:rsidP="00242D06">
            <w:pPr>
              <w:widowControl w:val="0"/>
              <w:jc w:val="right"/>
              <w:rPr>
                <w:sz w:val="20"/>
              </w:rPr>
            </w:pPr>
            <w:r w:rsidRPr="00F512C2">
              <w:rPr>
                <w:i/>
                <w:sz w:val="20"/>
              </w:rPr>
              <w:t>Anglo-Liberal</w:t>
            </w:r>
          </w:p>
        </w:tc>
        <w:tc>
          <w:tcPr>
            <w:tcW w:w="1461" w:type="dxa"/>
          </w:tcPr>
          <w:p w14:paraId="26684B87" w14:textId="77777777" w:rsidR="00242D06" w:rsidRPr="00F512C2" w:rsidRDefault="00242D06" w:rsidP="00242D06">
            <w:pPr>
              <w:widowControl w:val="0"/>
              <w:jc w:val="center"/>
              <w:rPr>
                <w:sz w:val="20"/>
              </w:rPr>
            </w:pPr>
          </w:p>
        </w:tc>
        <w:tc>
          <w:tcPr>
            <w:tcW w:w="1299" w:type="dxa"/>
          </w:tcPr>
          <w:p w14:paraId="0A26450D" w14:textId="77777777" w:rsidR="00242D06" w:rsidRPr="00F512C2" w:rsidRDefault="00242D06" w:rsidP="00242D06">
            <w:pPr>
              <w:widowControl w:val="0"/>
              <w:jc w:val="center"/>
              <w:rPr>
                <w:sz w:val="20"/>
              </w:rPr>
            </w:pPr>
          </w:p>
        </w:tc>
        <w:tc>
          <w:tcPr>
            <w:tcW w:w="1295" w:type="dxa"/>
          </w:tcPr>
          <w:p w14:paraId="7933B060" w14:textId="77777777" w:rsidR="00242D06" w:rsidRPr="00F512C2" w:rsidRDefault="00242D06" w:rsidP="00242D06">
            <w:pPr>
              <w:widowControl w:val="0"/>
              <w:jc w:val="center"/>
              <w:rPr>
                <w:sz w:val="20"/>
              </w:rPr>
            </w:pPr>
          </w:p>
        </w:tc>
        <w:tc>
          <w:tcPr>
            <w:tcW w:w="1295" w:type="dxa"/>
          </w:tcPr>
          <w:p w14:paraId="4F025CF8" w14:textId="77777777" w:rsidR="00242D06" w:rsidRPr="00F512C2" w:rsidRDefault="00242D06" w:rsidP="00242D06">
            <w:pPr>
              <w:widowControl w:val="0"/>
              <w:jc w:val="center"/>
              <w:rPr>
                <w:sz w:val="20"/>
              </w:rPr>
            </w:pPr>
          </w:p>
        </w:tc>
        <w:tc>
          <w:tcPr>
            <w:tcW w:w="1294" w:type="dxa"/>
          </w:tcPr>
          <w:p w14:paraId="28B566F1" w14:textId="77777777" w:rsidR="00242D06" w:rsidRPr="00F512C2" w:rsidRDefault="00242D06" w:rsidP="00242D06">
            <w:pPr>
              <w:widowControl w:val="0"/>
              <w:jc w:val="center"/>
              <w:rPr>
                <w:sz w:val="20"/>
              </w:rPr>
            </w:pPr>
          </w:p>
        </w:tc>
        <w:tc>
          <w:tcPr>
            <w:tcW w:w="1295" w:type="dxa"/>
          </w:tcPr>
          <w:p w14:paraId="523B0504" w14:textId="77777777" w:rsidR="00242D06" w:rsidRPr="00F512C2" w:rsidRDefault="00242D06" w:rsidP="00242D06">
            <w:pPr>
              <w:widowControl w:val="0"/>
              <w:jc w:val="center"/>
              <w:rPr>
                <w:sz w:val="20"/>
              </w:rPr>
            </w:pPr>
          </w:p>
        </w:tc>
        <w:tc>
          <w:tcPr>
            <w:tcW w:w="1294" w:type="dxa"/>
          </w:tcPr>
          <w:p w14:paraId="3D3C3FA6" w14:textId="77777777" w:rsidR="00242D06" w:rsidRPr="00F512C2" w:rsidRDefault="00242D06" w:rsidP="00242D06">
            <w:pPr>
              <w:widowControl w:val="0"/>
              <w:jc w:val="center"/>
              <w:rPr>
                <w:sz w:val="20"/>
              </w:rPr>
            </w:pPr>
          </w:p>
        </w:tc>
        <w:tc>
          <w:tcPr>
            <w:tcW w:w="1295" w:type="dxa"/>
          </w:tcPr>
          <w:p w14:paraId="4B628AF0" w14:textId="77777777" w:rsidR="00242D06" w:rsidRPr="00F512C2" w:rsidRDefault="00242D06" w:rsidP="00242D06">
            <w:pPr>
              <w:widowControl w:val="0"/>
              <w:jc w:val="center"/>
              <w:rPr>
                <w:sz w:val="20"/>
              </w:rPr>
            </w:pPr>
          </w:p>
        </w:tc>
      </w:tr>
      <w:tr w:rsidR="00242D06" w:rsidRPr="00F512C2" w14:paraId="44686B3B" w14:textId="77777777" w:rsidTr="004B2CA5">
        <w:trPr>
          <w:trHeight w:val="238"/>
        </w:trPr>
        <w:tc>
          <w:tcPr>
            <w:tcW w:w="2072" w:type="dxa"/>
          </w:tcPr>
          <w:p w14:paraId="79EE140C" w14:textId="77777777" w:rsidR="00242D06" w:rsidRPr="00F512C2" w:rsidRDefault="00242D06" w:rsidP="00242D06">
            <w:pPr>
              <w:widowControl w:val="0"/>
              <w:jc w:val="right"/>
              <w:rPr>
                <w:sz w:val="20"/>
              </w:rPr>
            </w:pPr>
            <w:r w:rsidRPr="00F512C2">
              <w:rPr>
                <w:sz w:val="20"/>
              </w:rPr>
              <w:t xml:space="preserve">  Australia</w:t>
            </w:r>
          </w:p>
        </w:tc>
        <w:tc>
          <w:tcPr>
            <w:tcW w:w="1461" w:type="dxa"/>
          </w:tcPr>
          <w:p w14:paraId="3D840E3D" w14:textId="58F19393" w:rsidR="00242D06" w:rsidRPr="00F512C2" w:rsidRDefault="00C440D9" w:rsidP="00242D06">
            <w:pPr>
              <w:widowControl w:val="0"/>
              <w:jc w:val="center"/>
              <w:rPr>
                <w:sz w:val="20"/>
              </w:rPr>
            </w:pPr>
            <w:r w:rsidRPr="00F512C2">
              <w:rPr>
                <w:sz w:val="20"/>
              </w:rPr>
              <w:t>45</w:t>
            </w:r>
          </w:p>
        </w:tc>
        <w:tc>
          <w:tcPr>
            <w:tcW w:w="1299" w:type="dxa"/>
          </w:tcPr>
          <w:p w14:paraId="0E2319FF" w14:textId="017AB744" w:rsidR="00242D06" w:rsidRPr="00F512C2" w:rsidRDefault="00C440D9" w:rsidP="00242D06">
            <w:pPr>
              <w:widowControl w:val="0"/>
              <w:jc w:val="center"/>
              <w:rPr>
                <w:sz w:val="20"/>
              </w:rPr>
            </w:pPr>
            <w:r w:rsidRPr="00F512C2">
              <w:rPr>
                <w:sz w:val="20"/>
              </w:rPr>
              <w:t>38</w:t>
            </w:r>
          </w:p>
        </w:tc>
        <w:tc>
          <w:tcPr>
            <w:tcW w:w="1295" w:type="dxa"/>
          </w:tcPr>
          <w:p w14:paraId="73A90B53" w14:textId="251B6917" w:rsidR="00242D06" w:rsidRPr="00F512C2" w:rsidRDefault="00C440D9" w:rsidP="00242D06">
            <w:pPr>
              <w:widowControl w:val="0"/>
              <w:jc w:val="center"/>
              <w:rPr>
                <w:sz w:val="20"/>
              </w:rPr>
            </w:pPr>
            <w:r w:rsidRPr="00F512C2">
              <w:rPr>
                <w:sz w:val="20"/>
              </w:rPr>
              <w:t>38</w:t>
            </w:r>
          </w:p>
        </w:tc>
        <w:tc>
          <w:tcPr>
            <w:tcW w:w="1295" w:type="dxa"/>
          </w:tcPr>
          <w:p w14:paraId="37245821" w14:textId="0FE54D43" w:rsidR="00242D06" w:rsidRPr="00F512C2" w:rsidRDefault="00C440D9" w:rsidP="00242D06">
            <w:pPr>
              <w:widowControl w:val="0"/>
              <w:jc w:val="center"/>
              <w:rPr>
                <w:sz w:val="20"/>
              </w:rPr>
            </w:pPr>
            <w:r w:rsidRPr="00F512C2">
              <w:rPr>
                <w:sz w:val="20"/>
              </w:rPr>
              <w:t>41</w:t>
            </w:r>
          </w:p>
        </w:tc>
        <w:tc>
          <w:tcPr>
            <w:tcW w:w="1294" w:type="dxa"/>
          </w:tcPr>
          <w:p w14:paraId="0855AFE6" w14:textId="364CF5F2" w:rsidR="00242D06" w:rsidRPr="00F512C2" w:rsidRDefault="00AB3DE0" w:rsidP="00242D06">
            <w:pPr>
              <w:widowControl w:val="0"/>
              <w:jc w:val="center"/>
              <w:rPr>
                <w:sz w:val="20"/>
              </w:rPr>
            </w:pPr>
            <w:r w:rsidRPr="00F512C2">
              <w:rPr>
                <w:sz w:val="20"/>
              </w:rPr>
              <w:t>.3</w:t>
            </w:r>
          </w:p>
        </w:tc>
        <w:tc>
          <w:tcPr>
            <w:tcW w:w="1295" w:type="dxa"/>
          </w:tcPr>
          <w:p w14:paraId="5A49D016" w14:textId="036631C2" w:rsidR="00242D06" w:rsidRPr="00F512C2" w:rsidRDefault="00AB3DE0" w:rsidP="00242D06">
            <w:pPr>
              <w:widowControl w:val="0"/>
              <w:jc w:val="center"/>
              <w:rPr>
                <w:sz w:val="20"/>
              </w:rPr>
            </w:pPr>
            <w:r w:rsidRPr="00F512C2">
              <w:rPr>
                <w:sz w:val="20"/>
              </w:rPr>
              <w:t>.3</w:t>
            </w:r>
          </w:p>
        </w:tc>
        <w:tc>
          <w:tcPr>
            <w:tcW w:w="1294" w:type="dxa"/>
          </w:tcPr>
          <w:p w14:paraId="5CC0CB69" w14:textId="56A9C778" w:rsidR="00242D06" w:rsidRPr="00F512C2" w:rsidRDefault="00AB3DE0" w:rsidP="00242D06">
            <w:pPr>
              <w:widowControl w:val="0"/>
              <w:jc w:val="center"/>
              <w:rPr>
                <w:sz w:val="20"/>
              </w:rPr>
            </w:pPr>
            <w:r w:rsidRPr="00F512C2">
              <w:rPr>
                <w:sz w:val="20"/>
              </w:rPr>
              <w:t>30</w:t>
            </w:r>
          </w:p>
        </w:tc>
        <w:tc>
          <w:tcPr>
            <w:tcW w:w="1295" w:type="dxa"/>
          </w:tcPr>
          <w:p w14:paraId="6B4858CD" w14:textId="684C06C9" w:rsidR="00242D06" w:rsidRPr="00F512C2" w:rsidRDefault="00AB3DE0" w:rsidP="00242D06">
            <w:pPr>
              <w:widowControl w:val="0"/>
              <w:jc w:val="center"/>
              <w:rPr>
                <w:sz w:val="20"/>
              </w:rPr>
            </w:pPr>
            <w:r w:rsidRPr="00F512C2">
              <w:rPr>
                <w:sz w:val="20"/>
              </w:rPr>
              <w:t>38</w:t>
            </w:r>
          </w:p>
        </w:tc>
      </w:tr>
      <w:tr w:rsidR="00242D06" w:rsidRPr="00F512C2" w14:paraId="48FA841D" w14:textId="77777777" w:rsidTr="004B2CA5">
        <w:trPr>
          <w:trHeight w:val="238"/>
        </w:trPr>
        <w:tc>
          <w:tcPr>
            <w:tcW w:w="2072" w:type="dxa"/>
          </w:tcPr>
          <w:p w14:paraId="74E69EBB" w14:textId="77777777" w:rsidR="00242D06" w:rsidRPr="00F512C2" w:rsidRDefault="00242D06" w:rsidP="00242D06">
            <w:pPr>
              <w:widowControl w:val="0"/>
              <w:jc w:val="right"/>
              <w:rPr>
                <w:sz w:val="20"/>
              </w:rPr>
            </w:pPr>
            <w:r w:rsidRPr="00F512C2">
              <w:rPr>
                <w:sz w:val="20"/>
              </w:rPr>
              <w:t xml:space="preserve">  Canada</w:t>
            </w:r>
          </w:p>
        </w:tc>
        <w:tc>
          <w:tcPr>
            <w:tcW w:w="1461" w:type="dxa"/>
          </w:tcPr>
          <w:p w14:paraId="4E646624" w14:textId="5C984AFA" w:rsidR="00242D06" w:rsidRPr="00F512C2" w:rsidRDefault="00AB3DE0" w:rsidP="00242D06">
            <w:pPr>
              <w:widowControl w:val="0"/>
              <w:jc w:val="center"/>
              <w:rPr>
                <w:sz w:val="20"/>
              </w:rPr>
            </w:pPr>
            <w:r w:rsidRPr="00F512C2">
              <w:rPr>
                <w:sz w:val="20"/>
              </w:rPr>
              <w:t>72</w:t>
            </w:r>
          </w:p>
        </w:tc>
        <w:tc>
          <w:tcPr>
            <w:tcW w:w="1299" w:type="dxa"/>
          </w:tcPr>
          <w:p w14:paraId="7CAF56CE" w14:textId="4C16F3DA" w:rsidR="00242D06" w:rsidRPr="00F512C2" w:rsidRDefault="00AB3DE0" w:rsidP="00242D06">
            <w:pPr>
              <w:widowControl w:val="0"/>
              <w:jc w:val="center"/>
              <w:rPr>
                <w:sz w:val="20"/>
              </w:rPr>
            </w:pPr>
            <w:r w:rsidRPr="00F512C2">
              <w:rPr>
                <w:sz w:val="20"/>
              </w:rPr>
              <w:t>72</w:t>
            </w:r>
          </w:p>
        </w:tc>
        <w:tc>
          <w:tcPr>
            <w:tcW w:w="1295" w:type="dxa"/>
          </w:tcPr>
          <w:p w14:paraId="6DA213F8" w14:textId="388AA966" w:rsidR="00242D06" w:rsidRPr="00F512C2" w:rsidRDefault="00AB3DE0" w:rsidP="00242D06">
            <w:pPr>
              <w:widowControl w:val="0"/>
              <w:jc w:val="center"/>
              <w:rPr>
                <w:sz w:val="20"/>
              </w:rPr>
            </w:pPr>
            <w:r w:rsidRPr="00F512C2">
              <w:rPr>
                <w:sz w:val="20"/>
              </w:rPr>
              <w:t>51</w:t>
            </w:r>
          </w:p>
        </w:tc>
        <w:tc>
          <w:tcPr>
            <w:tcW w:w="1295" w:type="dxa"/>
          </w:tcPr>
          <w:p w14:paraId="7DE50A19" w14:textId="7C424BEC" w:rsidR="00242D06" w:rsidRPr="00F512C2" w:rsidRDefault="00AB3DE0" w:rsidP="00242D06">
            <w:pPr>
              <w:widowControl w:val="0"/>
              <w:jc w:val="center"/>
              <w:rPr>
                <w:sz w:val="20"/>
              </w:rPr>
            </w:pPr>
            <w:r w:rsidRPr="00F512C2">
              <w:rPr>
                <w:sz w:val="20"/>
              </w:rPr>
              <w:t>41</w:t>
            </w:r>
          </w:p>
        </w:tc>
        <w:tc>
          <w:tcPr>
            <w:tcW w:w="1294" w:type="dxa"/>
          </w:tcPr>
          <w:p w14:paraId="56C16EC5" w14:textId="1C677E1E" w:rsidR="00242D06" w:rsidRPr="00F512C2" w:rsidRDefault="00AB3DE0" w:rsidP="00242D06">
            <w:pPr>
              <w:widowControl w:val="0"/>
              <w:jc w:val="center"/>
              <w:rPr>
                <w:sz w:val="20"/>
              </w:rPr>
            </w:pPr>
            <w:r w:rsidRPr="00F512C2">
              <w:rPr>
                <w:sz w:val="20"/>
              </w:rPr>
              <w:t>.5</w:t>
            </w:r>
          </w:p>
        </w:tc>
        <w:tc>
          <w:tcPr>
            <w:tcW w:w="1295" w:type="dxa"/>
          </w:tcPr>
          <w:p w14:paraId="55C367FD" w14:textId="3686DB9B" w:rsidR="00242D06" w:rsidRPr="00F512C2" w:rsidRDefault="00AB3DE0" w:rsidP="00242D06">
            <w:pPr>
              <w:widowControl w:val="0"/>
              <w:jc w:val="center"/>
              <w:rPr>
                <w:sz w:val="20"/>
              </w:rPr>
            </w:pPr>
            <w:r w:rsidRPr="00F512C2">
              <w:rPr>
                <w:sz w:val="20"/>
              </w:rPr>
              <w:t>.3</w:t>
            </w:r>
          </w:p>
        </w:tc>
        <w:tc>
          <w:tcPr>
            <w:tcW w:w="1294" w:type="dxa"/>
          </w:tcPr>
          <w:p w14:paraId="44792861" w14:textId="163B200A" w:rsidR="00242D06" w:rsidRPr="00F512C2" w:rsidRDefault="00AB3DE0" w:rsidP="00242D06">
            <w:pPr>
              <w:widowControl w:val="0"/>
              <w:jc w:val="center"/>
              <w:rPr>
                <w:sz w:val="20"/>
              </w:rPr>
            </w:pPr>
            <w:r w:rsidRPr="00F512C2">
              <w:rPr>
                <w:sz w:val="20"/>
              </w:rPr>
              <w:t>38</w:t>
            </w:r>
          </w:p>
        </w:tc>
        <w:tc>
          <w:tcPr>
            <w:tcW w:w="1295" w:type="dxa"/>
          </w:tcPr>
          <w:p w14:paraId="770EF869" w14:textId="0958827F" w:rsidR="00242D06" w:rsidRPr="00F512C2" w:rsidRDefault="00AB3DE0" w:rsidP="00242D06">
            <w:pPr>
              <w:widowControl w:val="0"/>
              <w:jc w:val="center"/>
              <w:rPr>
                <w:sz w:val="20"/>
              </w:rPr>
            </w:pPr>
            <w:r w:rsidRPr="00F512C2">
              <w:rPr>
                <w:sz w:val="20"/>
              </w:rPr>
              <w:t>38</w:t>
            </w:r>
          </w:p>
        </w:tc>
      </w:tr>
      <w:tr w:rsidR="00242D06" w:rsidRPr="00F512C2" w14:paraId="1EA57054" w14:textId="77777777" w:rsidTr="004B2CA5">
        <w:trPr>
          <w:trHeight w:val="238"/>
        </w:trPr>
        <w:tc>
          <w:tcPr>
            <w:tcW w:w="2072" w:type="dxa"/>
          </w:tcPr>
          <w:p w14:paraId="3E417379" w14:textId="49A3026A" w:rsidR="00242D06" w:rsidRPr="00F512C2" w:rsidRDefault="00242D06" w:rsidP="00242D06">
            <w:pPr>
              <w:widowControl w:val="0"/>
              <w:jc w:val="right"/>
              <w:rPr>
                <w:sz w:val="20"/>
              </w:rPr>
            </w:pPr>
            <w:r w:rsidRPr="00F512C2">
              <w:rPr>
                <w:sz w:val="20"/>
              </w:rPr>
              <w:t>Ireland</w:t>
            </w:r>
          </w:p>
        </w:tc>
        <w:tc>
          <w:tcPr>
            <w:tcW w:w="1461" w:type="dxa"/>
          </w:tcPr>
          <w:p w14:paraId="6FF7B4DB" w14:textId="1F7C7F49" w:rsidR="00242D06" w:rsidRPr="00F512C2" w:rsidRDefault="00B435CB" w:rsidP="00242D06">
            <w:pPr>
              <w:widowControl w:val="0"/>
              <w:jc w:val="center"/>
              <w:rPr>
                <w:sz w:val="20"/>
              </w:rPr>
            </w:pPr>
            <w:r w:rsidRPr="00F512C2">
              <w:rPr>
                <w:sz w:val="20"/>
              </w:rPr>
              <w:t>76</w:t>
            </w:r>
          </w:p>
        </w:tc>
        <w:tc>
          <w:tcPr>
            <w:tcW w:w="1299" w:type="dxa"/>
          </w:tcPr>
          <w:p w14:paraId="0CE235D7" w14:textId="5B01D957" w:rsidR="00242D06" w:rsidRPr="00F512C2" w:rsidRDefault="00B435CB" w:rsidP="00242D06">
            <w:pPr>
              <w:widowControl w:val="0"/>
              <w:jc w:val="center"/>
              <w:rPr>
                <w:sz w:val="20"/>
              </w:rPr>
            </w:pPr>
            <w:r w:rsidRPr="00F512C2">
              <w:rPr>
                <w:sz w:val="20"/>
              </w:rPr>
              <w:t>82</w:t>
            </w:r>
          </w:p>
        </w:tc>
        <w:tc>
          <w:tcPr>
            <w:tcW w:w="1295" w:type="dxa"/>
          </w:tcPr>
          <w:p w14:paraId="5D382B62" w14:textId="03728401" w:rsidR="00242D06" w:rsidRPr="00F512C2" w:rsidRDefault="00B435CB" w:rsidP="00242D06">
            <w:pPr>
              <w:widowControl w:val="0"/>
              <w:jc w:val="center"/>
              <w:rPr>
                <w:sz w:val="20"/>
              </w:rPr>
            </w:pPr>
            <w:r w:rsidRPr="00F512C2">
              <w:rPr>
                <w:sz w:val="20"/>
              </w:rPr>
              <w:t>54</w:t>
            </w:r>
          </w:p>
        </w:tc>
        <w:tc>
          <w:tcPr>
            <w:tcW w:w="1295" w:type="dxa"/>
          </w:tcPr>
          <w:p w14:paraId="4EE523DF" w14:textId="13D2FE20" w:rsidR="00242D06" w:rsidRPr="00F512C2" w:rsidRDefault="00B435CB" w:rsidP="00242D06">
            <w:pPr>
              <w:widowControl w:val="0"/>
              <w:jc w:val="center"/>
              <w:rPr>
                <w:sz w:val="20"/>
              </w:rPr>
            </w:pPr>
            <w:r w:rsidRPr="00F512C2">
              <w:rPr>
                <w:sz w:val="20"/>
              </w:rPr>
              <w:t>66</w:t>
            </w:r>
          </w:p>
        </w:tc>
        <w:tc>
          <w:tcPr>
            <w:tcW w:w="1294" w:type="dxa"/>
          </w:tcPr>
          <w:p w14:paraId="479DF09D" w14:textId="206A2583" w:rsidR="00242D06" w:rsidRPr="00F512C2" w:rsidRDefault="00B435CB" w:rsidP="00242D06">
            <w:pPr>
              <w:widowControl w:val="0"/>
              <w:jc w:val="center"/>
              <w:rPr>
                <w:sz w:val="20"/>
              </w:rPr>
            </w:pPr>
            <w:r w:rsidRPr="00F512C2">
              <w:rPr>
                <w:sz w:val="20"/>
              </w:rPr>
              <w:t>1.1</w:t>
            </w:r>
          </w:p>
        </w:tc>
        <w:tc>
          <w:tcPr>
            <w:tcW w:w="1295" w:type="dxa"/>
          </w:tcPr>
          <w:p w14:paraId="11247F45" w14:textId="2FD1D7CE" w:rsidR="00242D06" w:rsidRPr="00F512C2" w:rsidRDefault="00B435CB" w:rsidP="00242D06">
            <w:pPr>
              <w:widowControl w:val="0"/>
              <w:jc w:val="center"/>
              <w:rPr>
                <w:sz w:val="20"/>
              </w:rPr>
            </w:pPr>
            <w:r w:rsidRPr="00F512C2">
              <w:rPr>
                <w:sz w:val="20"/>
              </w:rPr>
              <w:t>.9</w:t>
            </w:r>
          </w:p>
        </w:tc>
        <w:tc>
          <w:tcPr>
            <w:tcW w:w="1294" w:type="dxa"/>
          </w:tcPr>
          <w:p w14:paraId="40333170" w14:textId="5406F15C" w:rsidR="00242D06" w:rsidRPr="00F512C2" w:rsidRDefault="00B435CB" w:rsidP="00242D06">
            <w:pPr>
              <w:widowControl w:val="0"/>
              <w:jc w:val="center"/>
              <w:rPr>
                <w:sz w:val="20"/>
              </w:rPr>
            </w:pPr>
            <w:r w:rsidRPr="00F512C2">
              <w:rPr>
                <w:sz w:val="20"/>
              </w:rPr>
              <w:t>56</w:t>
            </w:r>
          </w:p>
        </w:tc>
        <w:tc>
          <w:tcPr>
            <w:tcW w:w="1295" w:type="dxa"/>
          </w:tcPr>
          <w:p w14:paraId="06FC7872" w14:textId="52A9513E" w:rsidR="00242D06" w:rsidRPr="00F512C2" w:rsidRDefault="00B435CB" w:rsidP="00242D06">
            <w:pPr>
              <w:widowControl w:val="0"/>
              <w:jc w:val="center"/>
              <w:rPr>
                <w:sz w:val="20"/>
              </w:rPr>
            </w:pPr>
            <w:r w:rsidRPr="00F512C2">
              <w:rPr>
                <w:sz w:val="20"/>
              </w:rPr>
              <w:t>74</w:t>
            </w:r>
          </w:p>
        </w:tc>
      </w:tr>
      <w:tr w:rsidR="00242D06" w:rsidRPr="00F512C2" w14:paraId="5CC9F3A3" w14:textId="77777777" w:rsidTr="004B2CA5">
        <w:trPr>
          <w:trHeight w:val="238"/>
        </w:trPr>
        <w:tc>
          <w:tcPr>
            <w:tcW w:w="2072" w:type="dxa"/>
          </w:tcPr>
          <w:p w14:paraId="5DC92CCE" w14:textId="779BD430" w:rsidR="00242D06" w:rsidRPr="00F512C2" w:rsidRDefault="00242D06" w:rsidP="00242D06">
            <w:pPr>
              <w:widowControl w:val="0"/>
              <w:jc w:val="right"/>
              <w:rPr>
                <w:sz w:val="20"/>
              </w:rPr>
            </w:pPr>
            <w:r w:rsidRPr="00F512C2">
              <w:rPr>
                <w:sz w:val="20"/>
              </w:rPr>
              <w:t>New Zealand</w:t>
            </w:r>
          </w:p>
        </w:tc>
        <w:tc>
          <w:tcPr>
            <w:tcW w:w="1461" w:type="dxa"/>
          </w:tcPr>
          <w:p w14:paraId="09C8C28A" w14:textId="552E21CE" w:rsidR="00242D06" w:rsidRPr="00F512C2" w:rsidRDefault="00A74AB1" w:rsidP="00242D06">
            <w:pPr>
              <w:widowControl w:val="0"/>
              <w:jc w:val="center"/>
              <w:rPr>
                <w:sz w:val="20"/>
              </w:rPr>
            </w:pPr>
            <w:r w:rsidRPr="00F512C2">
              <w:rPr>
                <w:sz w:val="20"/>
              </w:rPr>
              <w:t>74</w:t>
            </w:r>
          </w:p>
        </w:tc>
        <w:tc>
          <w:tcPr>
            <w:tcW w:w="1299" w:type="dxa"/>
          </w:tcPr>
          <w:p w14:paraId="75DBEA97" w14:textId="04B42D9F" w:rsidR="00242D06" w:rsidRPr="00F512C2" w:rsidRDefault="00A74AB1" w:rsidP="00242D06">
            <w:pPr>
              <w:widowControl w:val="0"/>
              <w:jc w:val="center"/>
              <w:rPr>
                <w:sz w:val="20"/>
              </w:rPr>
            </w:pPr>
            <w:r w:rsidRPr="00F512C2">
              <w:rPr>
                <w:sz w:val="20"/>
              </w:rPr>
              <w:t>62</w:t>
            </w:r>
          </w:p>
        </w:tc>
        <w:tc>
          <w:tcPr>
            <w:tcW w:w="1295" w:type="dxa"/>
          </w:tcPr>
          <w:p w14:paraId="10C3A77B" w14:textId="2B57C9E1" w:rsidR="00242D06" w:rsidRPr="00F512C2" w:rsidRDefault="00A74AB1" w:rsidP="00242D06">
            <w:pPr>
              <w:widowControl w:val="0"/>
              <w:jc w:val="center"/>
              <w:rPr>
                <w:sz w:val="20"/>
              </w:rPr>
            </w:pPr>
            <w:r w:rsidRPr="00F512C2">
              <w:rPr>
                <w:sz w:val="20"/>
              </w:rPr>
              <w:t>48</w:t>
            </w:r>
          </w:p>
        </w:tc>
        <w:tc>
          <w:tcPr>
            <w:tcW w:w="1295" w:type="dxa"/>
          </w:tcPr>
          <w:p w14:paraId="3CFCE0A4" w14:textId="30D1B55D" w:rsidR="00242D06" w:rsidRPr="00F512C2" w:rsidRDefault="00A74AB1" w:rsidP="00242D06">
            <w:pPr>
              <w:widowControl w:val="0"/>
              <w:jc w:val="center"/>
              <w:rPr>
                <w:sz w:val="20"/>
              </w:rPr>
            </w:pPr>
            <w:r w:rsidRPr="00F512C2">
              <w:rPr>
                <w:sz w:val="20"/>
              </w:rPr>
              <w:t>47</w:t>
            </w:r>
          </w:p>
        </w:tc>
        <w:tc>
          <w:tcPr>
            <w:tcW w:w="1294" w:type="dxa"/>
          </w:tcPr>
          <w:p w14:paraId="4C42CDF1" w14:textId="1F31D6FB" w:rsidR="00242D06" w:rsidRPr="00F512C2" w:rsidRDefault="00A74AB1" w:rsidP="00242D06">
            <w:pPr>
              <w:widowControl w:val="0"/>
              <w:jc w:val="center"/>
              <w:rPr>
                <w:sz w:val="20"/>
              </w:rPr>
            </w:pPr>
            <w:r w:rsidRPr="00F512C2">
              <w:rPr>
                <w:sz w:val="20"/>
              </w:rPr>
              <w:t>.8</w:t>
            </w:r>
          </w:p>
        </w:tc>
        <w:tc>
          <w:tcPr>
            <w:tcW w:w="1295" w:type="dxa"/>
          </w:tcPr>
          <w:p w14:paraId="39E372A3" w14:textId="6AF89232" w:rsidR="00242D06" w:rsidRPr="00F512C2" w:rsidRDefault="00A74AB1" w:rsidP="00242D06">
            <w:pPr>
              <w:widowControl w:val="0"/>
              <w:jc w:val="center"/>
              <w:rPr>
                <w:sz w:val="20"/>
              </w:rPr>
            </w:pPr>
            <w:r w:rsidRPr="00F512C2">
              <w:rPr>
                <w:sz w:val="20"/>
              </w:rPr>
              <w:t>.3</w:t>
            </w:r>
          </w:p>
        </w:tc>
        <w:tc>
          <w:tcPr>
            <w:tcW w:w="1294" w:type="dxa"/>
          </w:tcPr>
          <w:p w14:paraId="65B1BA1E" w14:textId="6B748D0C" w:rsidR="00242D06" w:rsidRPr="00F512C2" w:rsidRDefault="00A74AB1" w:rsidP="00242D06">
            <w:pPr>
              <w:widowControl w:val="0"/>
              <w:jc w:val="center"/>
              <w:rPr>
                <w:sz w:val="20"/>
              </w:rPr>
            </w:pPr>
            <w:r w:rsidRPr="00F512C2">
              <w:rPr>
                <w:sz w:val="20"/>
              </w:rPr>
              <w:t>NA</w:t>
            </w:r>
          </w:p>
        </w:tc>
        <w:tc>
          <w:tcPr>
            <w:tcW w:w="1295" w:type="dxa"/>
          </w:tcPr>
          <w:p w14:paraId="6E3E081B" w14:textId="4059B336" w:rsidR="00242D06" w:rsidRPr="00F512C2" w:rsidRDefault="00A74AB1" w:rsidP="00242D06">
            <w:pPr>
              <w:widowControl w:val="0"/>
              <w:jc w:val="center"/>
              <w:rPr>
                <w:sz w:val="20"/>
              </w:rPr>
            </w:pPr>
            <w:r w:rsidRPr="00F512C2">
              <w:rPr>
                <w:sz w:val="20"/>
              </w:rPr>
              <w:t>NA</w:t>
            </w:r>
          </w:p>
        </w:tc>
      </w:tr>
      <w:tr w:rsidR="00242D06" w:rsidRPr="00F512C2" w14:paraId="2A46FA58" w14:textId="77777777" w:rsidTr="004B2CA5">
        <w:trPr>
          <w:trHeight w:val="238"/>
        </w:trPr>
        <w:tc>
          <w:tcPr>
            <w:tcW w:w="2072" w:type="dxa"/>
          </w:tcPr>
          <w:p w14:paraId="4DAB3715" w14:textId="77777777" w:rsidR="00242D06" w:rsidRPr="00F512C2" w:rsidRDefault="00242D06" w:rsidP="00242D06">
            <w:pPr>
              <w:widowControl w:val="0"/>
              <w:jc w:val="right"/>
              <w:rPr>
                <w:sz w:val="20"/>
              </w:rPr>
            </w:pPr>
            <w:r w:rsidRPr="00F512C2">
              <w:rPr>
                <w:sz w:val="20"/>
              </w:rPr>
              <w:t xml:space="preserve">  United Kingdom</w:t>
            </w:r>
          </w:p>
        </w:tc>
        <w:tc>
          <w:tcPr>
            <w:tcW w:w="1461" w:type="dxa"/>
          </w:tcPr>
          <w:p w14:paraId="3C6D05B5" w14:textId="57DB4BC8" w:rsidR="00242D06" w:rsidRPr="00F512C2" w:rsidRDefault="00A74AB1" w:rsidP="00242D06">
            <w:pPr>
              <w:widowControl w:val="0"/>
              <w:jc w:val="center"/>
              <w:rPr>
                <w:sz w:val="20"/>
              </w:rPr>
            </w:pPr>
            <w:r w:rsidRPr="00F512C2">
              <w:rPr>
                <w:sz w:val="20"/>
              </w:rPr>
              <w:t>60</w:t>
            </w:r>
          </w:p>
        </w:tc>
        <w:tc>
          <w:tcPr>
            <w:tcW w:w="1299" w:type="dxa"/>
          </w:tcPr>
          <w:p w14:paraId="3D80CBDE" w14:textId="2CE275BD" w:rsidR="00242D06" w:rsidRPr="00F512C2" w:rsidRDefault="00A74AB1" w:rsidP="00242D06">
            <w:pPr>
              <w:widowControl w:val="0"/>
              <w:jc w:val="center"/>
              <w:rPr>
                <w:sz w:val="20"/>
              </w:rPr>
            </w:pPr>
            <w:r w:rsidRPr="00F512C2">
              <w:rPr>
                <w:sz w:val="20"/>
              </w:rPr>
              <w:t>52</w:t>
            </w:r>
          </w:p>
        </w:tc>
        <w:tc>
          <w:tcPr>
            <w:tcW w:w="1295" w:type="dxa"/>
          </w:tcPr>
          <w:p w14:paraId="1119D8B2" w14:textId="2EA5B3E7" w:rsidR="00242D06" w:rsidRPr="00F512C2" w:rsidRDefault="005B19FD" w:rsidP="00242D06">
            <w:pPr>
              <w:widowControl w:val="0"/>
              <w:jc w:val="center"/>
              <w:rPr>
                <w:sz w:val="20"/>
              </w:rPr>
            </w:pPr>
            <w:r w:rsidRPr="00F512C2">
              <w:rPr>
                <w:sz w:val="20"/>
              </w:rPr>
              <w:t>39</w:t>
            </w:r>
          </w:p>
        </w:tc>
        <w:tc>
          <w:tcPr>
            <w:tcW w:w="1295" w:type="dxa"/>
          </w:tcPr>
          <w:p w14:paraId="279ADE5C" w14:textId="0755E10B" w:rsidR="00242D06" w:rsidRPr="00F512C2" w:rsidRDefault="005B19FD" w:rsidP="00242D06">
            <w:pPr>
              <w:widowControl w:val="0"/>
              <w:jc w:val="center"/>
              <w:rPr>
                <w:sz w:val="20"/>
              </w:rPr>
            </w:pPr>
            <w:r w:rsidRPr="00F512C2">
              <w:rPr>
                <w:sz w:val="20"/>
              </w:rPr>
              <w:t>48</w:t>
            </w:r>
          </w:p>
        </w:tc>
        <w:tc>
          <w:tcPr>
            <w:tcW w:w="1294" w:type="dxa"/>
          </w:tcPr>
          <w:p w14:paraId="7B514403" w14:textId="1918D181" w:rsidR="00242D06" w:rsidRPr="00F512C2" w:rsidRDefault="005B19FD" w:rsidP="00242D06">
            <w:pPr>
              <w:widowControl w:val="0"/>
              <w:jc w:val="center"/>
              <w:rPr>
                <w:sz w:val="20"/>
              </w:rPr>
            </w:pPr>
            <w:r w:rsidRPr="00F512C2">
              <w:rPr>
                <w:sz w:val="20"/>
              </w:rPr>
              <w:t>.8</w:t>
            </w:r>
          </w:p>
        </w:tc>
        <w:tc>
          <w:tcPr>
            <w:tcW w:w="1295" w:type="dxa"/>
          </w:tcPr>
          <w:p w14:paraId="77AB2A10" w14:textId="2C06842B" w:rsidR="00242D06" w:rsidRPr="00F512C2" w:rsidRDefault="005B19FD" w:rsidP="00242D06">
            <w:pPr>
              <w:widowControl w:val="0"/>
              <w:jc w:val="center"/>
              <w:rPr>
                <w:sz w:val="20"/>
              </w:rPr>
            </w:pPr>
            <w:r w:rsidRPr="00F512C2">
              <w:rPr>
                <w:sz w:val="20"/>
              </w:rPr>
              <w:t>.4</w:t>
            </w:r>
          </w:p>
        </w:tc>
        <w:tc>
          <w:tcPr>
            <w:tcW w:w="1294" w:type="dxa"/>
          </w:tcPr>
          <w:p w14:paraId="7C799521" w14:textId="2830E1EF" w:rsidR="00242D06" w:rsidRPr="00F512C2" w:rsidRDefault="005B19FD" w:rsidP="00242D06">
            <w:pPr>
              <w:widowControl w:val="0"/>
              <w:jc w:val="center"/>
              <w:rPr>
                <w:sz w:val="20"/>
              </w:rPr>
            </w:pPr>
            <w:r w:rsidRPr="00F512C2">
              <w:rPr>
                <w:sz w:val="20"/>
              </w:rPr>
              <w:t>41</w:t>
            </w:r>
          </w:p>
        </w:tc>
        <w:tc>
          <w:tcPr>
            <w:tcW w:w="1295" w:type="dxa"/>
          </w:tcPr>
          <w:p w14:paraId="5F5B13CA" w14:textId="34240941" w:rsidR="00242D06" w:rsidRPr="00F512C2" w:rsidRDefault="005B19FD" w:rsidP="00242D06">
            <w:pPr>
              <w:widowControl w:val="0"/>
              <w:jc w:val="center"/>
              <w:rPr>
                <w:sz w:val="20"/>
              </w:rPr>
            </w:pPr>
            <w:r w:rsidRPr="00F512C2">
              <w:rPr>
                <w:sz w:val="20"/>
              </w:rPr>
              <w:t>51</w:t>
            </w:r>
          </w:p>
        </w:tc>
      </w:tr>
      <w:tr w:rsidR="00242D06" w:rsidRPr="00F512C2" w14:paraId="05AF819F" w14:textId="77777777" w:rsidTr="004B2CA5">
        <w:trPr>
          <w:trHeight w:val="238"/>
        </w:trPr>
        <w:tc>
          <w:tcPr>
            <w:tcW w:w="2072" w:type="dxa"/>
          </w:tcPr>
          <w:p w14:paraId="7FFECF11" w14:textId="77777777" w:rsidR="00242D06" w:rsidRPr="00F512C2" w:rsidRDefault="00242D06" w:rsidP="00242D06">
            <w:pPr>
              <w:widowControl w:val="0"/>
              <w:jc w:val="right"/>
              <w:rPr>
                <w:sz w:val="20"/>
              </w:rPr>
            </w:pPr>
            <w:r w:rsidRPr="00F512C2">
              <w:rPr>
                <w:sz w:val="20"/>
              </w:rPr>
              <w:t xml:space="preserve">  United States</w:t>
            </w:r>
          </w:p>
        </w:tc>
        <w:tc>
          <w:tcPr>
            <w:tcW w:w="1461" w:type="dxa"/>
          </w:tcPr>
          <w:p w14:paraId="6D5ABBDB" w14:textId="0FDDD21B" w:rsidR="00242D06" w:rsidRPr="00F512C2" w:rsidRDefault="005B19FD" w:rsidP="00242D06">
            <w:pPr>
              <w:widowControl w:val="0"/>
              <w:jc w:val="center"/>
              <w:rPr>
                <w:sz w:val="20"/>
              </w:rPr>
            </w:pPr>
            <w:r w:rsidRPr="00F512C2">
              <w:rPr>
                <w:sz w:val="20"/>
              </w:rPr>
              <w:t>77</w:t>
            </w:r>
          </w:p>
        </w:tc>
        <w:tc>
          <w:tcPr>
            <w:tcW w:w="1299" w:type="dxa"/>
          </w:tcPr>
          <w:p w14:paraId="4CE5A3FD" w14:textId="57305F5C" w:rsidR="00242D06" w:rsidRPr="00F512C2" w:rsidRDefault="005B19FD" w:rsidP="00242D06">
            <w:pPr>
              <w:widowControl w:val="0"/>
              <w:jc w:val="center"/>
              <w:rPr>
                <w:sz w:val="20"/>
              </w:rPr>
            </w:pPr>
            <w:r w:rsidRPr="00F512C2">
              <w:rPr>
                <w:sz w:val="20"/>
              </w:rPr>
              <w:t>74</w:t>
            </w:r>
          </w:p>
        </w:tc>
        <w:tc>
          <w:tcPr>
            <w:tcW w:w="1295" w:type="dxa"/>
          </w:tcPr>
          <w:p w14:paraId="20D0FC40" w14:textId="7383F07A" w:rsidR="00242D06" w:rsidRPr="00F512C2" w:rsidRDefault="005B19FD" w:rsidP="00242D06">
            <w:pPr>
              <w:widowControl w:val="0"/>
              <w:jc w:val="center"/>
              <w:rPr>
                <w:sz w:val="20"/>
              </w:rPr>
            </w:pPr>
            <w:r w:rsidRPr="00F512C2">
              <w:rPr>
                <w:sz w:val="20"/>
              </w:rPr>
              <w:t>28</w:t>
            </w:r>
          </w:p>
        </w:tc>
        <w:tc>
          <w:tcPr>
            <w:tcW w:w="1295" w:type="dxa"/>
          </w:tcPr>
          <w:p w14:paraId="0C69E6D7" w14:textId="4146A8D8" w:rsidR="00242D06" w:rsidRPr="00F512C2" w:rsidRDefault="005B19FD" w:rsidP="00242D06">
            <w:pPr>
              <w:widowControl w:val="0"/>
              <w:jc w:val="center"/>
              <w:rPr>
                <w:sz w:val="20"/>
              </w:rPr>
            </w:pPr>
            <w:r w:rsidRPr="00F512C2">
              <w:rPr>
                <w:sz w:val="20"/>
              </w:rPr>
              <w:t>20</w:t>
            </w:r>
          </w:p>
        </w:tc>
        <w:tc>
          <w:tcPr>
            <w:tcW w:w="1294" w:type="dxa"/>
          </w:tcPr>
          <w:p w14:paraId="55C97370" w14:textId="75AAED99" w:rsidR="00242D06" w:rsidRPr="00F512C2" w:rsidRDefault="005B19FD" w:rsidP="00242D06">
            <w:pPr>
              <w:widowControl w:val="0"/>
              <w:jc w:val="center"/>
              <w:rPr>
                <w:sz w:val="20"/>
              </w:rPr>
            </w:pPr>
            <w:r w:rsidRPr="00F512C2">
              <w:rPr>
                <w:sz w:val="20"/>
              </w:rPr>
              <w:t>.3</w:t>
            </w:r>
          </w:p>
        </w:tc>
        <w:tc>
          <w:tcPr>
            <w:tcW w:w="1295" w:type="dxa"/>
          </w:tcPr>
          <w:p w14:paraId="2C5E6568" w14:textId="32260F1E" w:rsidR="00242D06" w:rsidRPr="00F512C2" w:rsidRDefault="005B19FD" w:rsidP="00242D06">
            <w:pPr>
              <w:widowControl w:val="0"/>
              <w:jc w:val="center"/>
              <w:rPr>
                <w:sz w:val="20"/>
              </w:rPr>
            </w:pPr>
            <w:r w:rsidRPr="00F512C2">
              <w:rPr>
                <w:sz w:val="20"/>
              </w:rPr>
              <w:t>.2</w:t>
            </w:r>
          </w:p>
        </w:tc>
        <w:tc>
          <w:tcPr>
            <w:tcW w:w="1294" w:type="dxa"/>
          </w:tcPr>
          <w:p w14:paraId="3C6518D4" w14:textId="791EBD93" w:rsidR="00242D06" w:rsidRPr="00F512C2" w:rsidRDefault="005B19FD" w:rsidP="00242D06">
            <w:pPr>
              <w:widowControl w:val="0"/>
              <w:jc w:val="center"/>
              <w:rPr>
                <w:sz w:val="20"/>
              </w:rPr>
            </w:pPr>
            <w:r w:rsidRPr="00F512C2">
              <w:rPr>
                <w:sz w:val="20"/>
              </w:rPr>
              <w:t>6</w:t>
            </w:r>
          </w:p>
        </w:tc>
        <w:tc>
          <w:tcPr>
            <w:tcW w:w="1295" w:type="dxa"/>
          </w:tcPr>
          <w:p w14:paraId="0D7652E3" w14:textId="7473E001" w:rsidR="00242D06" w:rsidRPr="00F512C2" w:rsidRDefault="005B19FD" w:rsidP="00242D06">
            <w:pPr>
              <w:widowControl w:val="0"/>
              <w:jc w:val="center"/>
              <w:rPr>
                <w:sz w:val="20"/>
              </w:rPr>
            </w:pPr>
            <w:r w:rsidRPr="00F512C2">
              <w:rPr>
                <w:sz w:val="20"/>
              </w:rPr>
              <w:t>28</w:t>
            </w:r>
          </w:p>
        </w:tc>
      </w:tr>
      <w:tr w:rsidR="00242D06" w:rsidRPr="00F512C2" w14:paraId="48CBFA29" w14:textId="77777777" w:rsidTr="004B2CA5">
        <w:trPr>
          <w:trHeight w:val="238"/>
        </w:trPr>
        <w:tc>
          <w:tcPr>
            <w:tcW w:w="2072" w:type="dxa"/>
          </w:tcPr>
          <w:p w14:paraId="390C6B22" w14:textId="77777777" w:rsidR="00242D06" w:rsidRPr="00F512C2" w:rsidRDefault="00242D06" w:rsidP="00242D06">
            <w:pPr>
              <w:widowControl w:val="0"/>
              <w:jc w:val="right"/>
              <w:rPr>
                <w:sz w:val="20"/>
              </w:rPr>
            </w:pPr>
            <w:r w:rsidRPr="00F512C2">
              <w:rPr>
                <w:sz w:val="20"/>
              </w:rPr>
              <w:t>Mean</w:t>
            </w:r>
          </w:p>
        </w:tc>
        <w:tc>
          <w:tcPr>
            <w:tcW w:w="1461" w:type="dxa"/>
          </w:tcPr>
          <w:p w14:paraId="2C76BDEF" w14:textId="3643181C" w:rsidR="00242D06" w:rsidRPr="00F512C2" w:rsidRDefault="00220625" w:rsidP="00242D06">
            <w:pPr>
              <w:widowControl w:val="0"/>
              <w:jc w:val="center"/>
              <w:rPr>
                <w:sz w:val="20"/>
              </w:rPr>
            </w:pPr>
            <w:r w:rsidRPr="00F512C2">
              <w:rPr>
                <w:sz w:val="20"/>
              </w:rPr>
              <w:t>67</w:t>
            </w:r>
          </w:p>
        </w:tc>
        <w:tc>
          <w:tcPr>
            <w:tcW w:w="1299" w:type="dxa"/>
          </w:tcPr>
          <w:p w14:paraId="626157B5" w14:textId="7F6A46ED" w:rsidR="00242D06" w:rsidRPr="00F512C2" w:rsidRDefault="00220625" w:rsidP="00242D06">
            <w:pPr>
              <w:widowControl w:val="0"/>
              <w:jc w:val="center"/>
              <w:rPr>
                <w:sz w:val="20"/>
              </w:rPr>
            </w:pPr>
            <w:r w:rsidRPr="00F512C2">
              <w:rPr>
                <w:sz w:val="20"/>
              </w:rPr>
              <w:t>63</w:t>
            </w:r>
          </w:p>
        </w:tc>
        <w:tc>
          <w:tcPr>
            <w:tcW w:w="1295" w:type="dxa"/>
          </w:tcPr>
          <w:p w14:paraId="4B6EAB72" w14:textId="6B608F45" w:rsidR="00242D06" w:rsidRPr="00F512C2" w:rsidRDefault="00220625" w:rsidP="00242D06">
            <w:pPr>
              <w:widowControl w:val="0"/>
              <w:jc w:val="center"/>
              <w:rPr>
                <w:sz w:val="20"/>
              </w:rPr>
            </w:pPr>
            <w:r w:rsidRPr="00F512C2">
              <w:rPr>
                <w:sz w:val="20"/>
              </w:rPr>
              <w:t>43</w:t>
            </w:r>
          </w:p>
        </w:tc>
        <w:tc>
          <w:tcPr>
            <w:tcW w:w="1295" w:type="dxa"/>
          </w:tcPr>
          <w:p w14:paraId="6FB41572" w14:textId="2F725255" w:rsidR="00242D06" w:rsidRPr="00F512C2" w:rsidRDefault="00220625" w:rsidP="00242D06">
            <w:pPr>
              <w:widowControl w:val="0"/>
              <w:jc w:val="center"/>
              <w:rPr>
                <w:sz w:val="20"/>
              </w:rPr>
            </w:pPr>
            <w:r w:rsidRPr="00F512C2">
              <w:rPr>
                <w:sz w:val="20"/>
              </w:rPr>
              <w:t>44</w:t>
            </w:r>
          </w:p>
        </w:tc>
        <w:tc>
          <w:tcPr>
            <w:tcW w:w="1294" w:type="dxa"/>
          </w:tcPr>
          <w:p w14:paraId="6AA798DE" w14:textId="15B0BCC2" w:rsidR="00242D06" w:rsidRPr="00F512C2" w:rsidRDefault="00220625" w:rsidP="00242D06">
            <w:pPr>
              <w:widowControl w:val="0"/>
              <w:jc w:val="center"/>
              <w:rPr>
                <w:sz w:val="20"/>
              </w:rPr>
            </w:pPr>
            <w:r w:rsidRPr="00F512C2">
              <w:rPr>
                <w:sz w:val="20"/>
              </w:rPr>
              <w:t>.6</w:t>
            </w:r>
          </w:p>
        </w:tc>
        <w:tc>
          <w:tcPr>
            <w:tcW w:w="1295" w:type="dxa"/>
          </w:tcPr>
          <w:p w14:paraId="3AA07090" w14:textId="764AAB5B" w:rsidR="00242D06" w:rsidRPr="00F512C2" w:rsidRDefault="00220625" w:rsidP="00242D06">
            <w:pPr>
              <w:widowControl w:val="0"/>
              <w:jc w:val="center"/>
              <w:rPr>
                <w:sz w:val="20"/>
              </w:rPr>
            </w:pPr>
            <w:r w:rsidRPr="00F512C2">
              <w:rPr>
                <w:sz w:val="20"/>
              </w:rPr>
              <w:t>.4</w:t>
            </w:r>
          </w:p>
        </w:tc>
        <w:tc>
          <w:tcPr>
            <w:tcW w:w="1294" w:type="dxa"/>
          </w:tcPr>
          <w:p w14:paraId="380B1E14" w14:textId="7E8D4DCE" w:rsidR="00242D06" w:rsidRPr="00F512C2" w:rsidRDefault="00220625" w:rsidP="00242D06">
            <w:pPr>
              <w:widowControl w:val="0"/>
              <w:jc w:val="center"/>
              <w:rPr>
                <w:sz w:val="20"/>
              </w:rPr>
            </w:pPr>
            <w:r w:rsidRPr="00F512C2">
              <w:rPr>
                <w:sz w:val="20"/>
              </w:rPr>
              <w:t>34</w:t>
            </w:r>
          </w:p>
        </w:tc>
        <w:tc>
          <w:tcPr>
            <w:tcW w:w="1295" w:type="dxa"/>
          </w:tcPr>
          <w:p w14:paraId="1D8DAFF9" w14:textId="2094D5EE" w:rsidR="00242D06" w:rsidRPr="00F512C2" w:rsidRDefault="00220625" w:rsidP="00242D06">
            <w:pPr>
              <w:widowControl w:val="0"/>
              <w:jc w:val="center"/>
              <w:rPr>
                <w:sz w:val="20"/>
              </w:rPr>
            </w:pPr>
            <w:r w:rsidRPr="00F512C2">
              <w:rPr>
                <w:sz w:val="20"/>
              </w:rPr>
              <w:t>38</w:t>
            </w:r>
          </w:p>
        </w:tc>
      </w:tr>
      <w:tr w:rsidR="00242D06" w:rsidRPr="00F512C2" w14:paraId="494F231D" w14:textId="77777777" w:rsidTr="004B2CA5">
        <w:trPr>
          <w:trHeight w:val="238"/>
        </w:trPr>
        <w:tc>
          <w:tcPr>
            <w:tcW w:w="2072" w:type="dxa"/>
          </w:tcPr>
          <w:p w14:paraId="437F7986" w14:textId="3F55B6CC" w:rsidR="00242D06" w:rsidRPr="00F512C2" w:rsidRDefault="00242D06" w:rsidP="00242D06">
            <w:pPr>
              <w:widowControl w:val="0"/>
              <w:jc w:val="right"/>
              <w:rPr>
                <w:sz w:val="20"/>
              </w:rPr>
            </w:pPr>
            <w:r w:rsidRPr="00F512C2">
              <w:rPr>
                <w:sz w:val="20"/>
              </w:rPr>
              <w:t>Japan (mixed)</w:t>
            </w:r>
          </w:p>
        </w:tc>
        <w:tc>
          <w:tcPr>
            <w:tcW w:w="1461" w:type="dxa"/>
          </w:tcPr>
          <w:p w14:paraId="0C65DD87" w14:textId="464486FF" w:rsidR="00242D06" w:rsidRPr="00F512C2" w:rsidRDefault="00D84334" w:rsidP="00242D06">
            <w:pPr>
              <w:widowControl w:val="0"/>
              <w:jc w:val="center"/>
              <w:rPr>
                <w:sz w:val="20"/>
              </w:rPr>
            </w:pPr>
            <w:r w:rsidRPr="00F512C2">
              <w:rPr>
                <w:sz w:val="20"/>
              </w:rPr>
              <w:t>78</w:t>
            </w:r>
          </w:p>
        </w:tc>
        <w:tc>
          <w:tcPr>
            <w:tcW w:w="1299" w:type="dxa"/>
          </w:tcPr>
          <w:p w14:paraId="3AF04156" w14:textId="4EEC52CD" w:rsidR="00242D06" w:rsidRPr="00F512C2" w:rsidRDefault="00D84334" w:rsidP="00242D06">
            <w:pPr>
              <w:widowControl w:val="0"/>
              <w:jc w:val="center"/>
              <w:rPr>
                <w:sz w:val="20"/>
              </w:rPr>
            </w:pPr>
            <w:r w:rsidRPr="00F512C2">
              <w:rPr>
                <w:sz w:val="20"/>
              </w:rPr>
              <w:t>82</w:t>
            </w:r>
          </w:p>
        </w:tc>
        <w:tc>
          <w:tcPr>
            <w:tcW w:w="1295" w:type="dxa"/>
          </w:tcPr>
          <w:p w14:paraId="2E074A0C" w14:textId="0FDD38AB" w:rsidR="00242D06" w:rsidRPr="00F512C2" w:rsidRDefault="00D84334" w:rsidP="00242D06">
            <w:pPr>
              <w:widowControl w:val="0"/>
              <w:jc w:val="center"/>
              <w:rPr>
                <w:sz w:val="20"/>
              </w:rPr>
            </w:pPr>
            <w:r w:rsidRPr="00F512C2">
              <w:rPr>
                <w:sz w:val="20"/>
              </w:rPr>
              <w:t>51</w:t>
            </w:r>
          </w:p>
        </w:tc>
        <w:tc>
          <w:tcPr>
            <w:tcW w:w="1295" w:type="dxa"/>
          </w:tcPr>
          <w:p w14:paraId="68B084F9" w14:textId="38F78C68" w:rsidR="00242D06" w:rsidRPr="00F512C2" w:rsidRDefault="00D84334" w:rsidP="00242D06">
            <w:pPr>
              <w:widowControl w:val="0"/>
              <w:jc w:val="center"/>
              <w:rPr>
                <w:sz w:val="20"/>
              </w:rPr>
            </w:pPr>
            <w:r w:rsidRPr="00F512C2">
              <w:rPr>
                <w:sz w:val="20"/>
              </w:rPr>
              <w:t>72</w:t>
            </w:r>
          </w:p>
        </w:tc>
        <w:tc>
          <w:tcPr>
            <w:tcW w:w="1294" w:type="dxa"/>
          </w:tcPr>
          <w:p w14:paraId="56EA43C2" w14:textId="1E9D5993" w:rsidR="00242D06" w:rsidRPr="00F512C2" w:rsidRDefault="00D84334" w:rsidP="00242D06">
            <w:pPr>
              <w:widowControl w:val="0"/>
              <w:jc w:val="center"/>
              <w:rPr>
                <w:sz w:val="20"/>
              </w:rPr>
            </w:pPr>
            <w:r w:rsidRPr="00F512C2">
              <w:rPr>
                <w:sz w:val="20"/>
              </w:rPr>
              <w:t>.3</w:t>
            </w:r>
          </w:p>
        </w:tc>
        <w:tc>
          <w:tcPr>
            <w:tcW w:w="1295" w:type="dxa"/>
          </w:tcPr>
          <w:p w14:paraId="74365A9E" w14:textId="39743EBD" w:rsidR="00242D06" w:rsidRPr="00F512C2" w:rsidRDefault="00D84334" w:rsidP="00242D06">
            <w:pPr>
              <w:widowControl w:val="0"/>
              <w:jc w:val="center"/>
              <w:rPr>
                <w:sz w:val="20"/>
              </w:rPr>
            </w:pPr>
            <w:r w:rsidRPr="00F512C2">
              <w:rPr>
                <w:sz w:val="20"/>
              </w:rPr>
              <w:t>.2</w:t>
            </w:r>
          </w:p>
        </w:tc>
        <w:tc>
          <w:tcPr>
            <w:tcW w:w="1294" w:type="dxa"/>
          </w:tcPr>
          <w:p w14:paraId="643F43E0" w14:textId="4534AF58" w:rsidR="00242D06" w:rsidRPr="00F512C2" w:rsidRDefault="00D84334" w:rsidP="00242D06">
            <w:pPr>
              <w:widowControl w:val="0"/>
              <w:jc w:val="center"/>
              <w:rPr>
                <w:sz w:val="20"/>
              </w:rPr>
            </w:pPr>
            <w:r w:rsidRPr="00F512C2">
              <w:rPr>
                <w:sz w:val="20"/>
              </w:rPr>
              <w:t>NA</w:t>
            </w:r>
          </w:p>
        </w:tc>
        <w:tc>
          <w:tcPr>
            <w:tcW w:w="1295" w:type="dxa"/>
          </w:tcPr>
          <w:p w14:paraId="6A1BD88A" w14:textId="72E7C13F" w:rsidR="00242D06" w:rsidRPr="00F512C2" w:rsidRDefault="00D84334" w:rsidP="00242D06">
            <w:pPr>
              <w:widowControl w:val="0"/>
              <w:jc w:val="center"/>
              <w:rPr>
                <w:sz w:val="20"/>
              </w:rPr>
            </w:pPr>
            <w:r w:rsidRPr="00F512C2">
              <w:rPr>
                <w:sz w:val="20"/>
              </w:rPr>
              <w:t>NA</w:t>
            </w:r>
          </w:p>
        </w:tc>
      </w:tr>
      <w:tr w:rsidR="00242D06" w:rsidRPr="00F512C2" w14:paraId="4410163C" w14:textId="77777777" w:rsidTr="004B2CA5">
        <w:trPr>
          <w:trHeight w:val="238"/>
        </w:trPr>
        <w:tc>
          <w:tcPr>
            <w:tcW w:w="2072" w:type="dxa"/>
          </w:tcPr>
          <w:p w14:paraId="5448C62B" w14:textId="77777777" w:rsidR="00242D06" w:rsidRPr="00F512C2" w:rsidRDefault="00242D06" w:rsidP="00242D06">
            <w:pPr>
              <w:widowControl w:val="0"/>
              <w:jc w:val="right"/>
              <w:rPr>
                <w:sz w:val="20"/>
              </w:rPr>
            </w:pPr>
            <w:r w:rsidRPr="00F512C2">
              <w:rPr>
                <w:sz w:val="20"/>
              </w:rPr>
              <w:t>Overall Mean</w:t>
            </w:r>
          </w:p>
        </w:tc>
        <w:tc>
          <w:tcPr>
            <w:tcW w:w="1461" w:type="dxa"/>
          </w:tcPr>
          <w:p w14:paraId="06E74035" w14:textId="13044D0F" w:rsidR="00242D06" w:rsidRPr="00F512C2" w:rsidRDefault="00D84334" w:rsidP="00242D06">
            <w:pPr>
              <w:widowControl w:val="0"/>
              <w:jc w:val="center"/>
              <w:rPr>
                <w:sz w:val="20"/>
              </w:rPr>
            </w:pPr>
            <w:r w:rsidRPr="00F512C2">
              <w:rPr>
                <w:sz w:val="20"/>
              </w:rPr>
              <w:t>74</w:t>
            </w:r>
          </w:p>
        </w:tc>
        <w:tc>
          <w:tcPr>
            <w:tcW w:w="1299" w:type="dxa"/>
          </w:tcPr>
          <w:p w14:paraId="7096E9E6" w14:textId="389AF40D" w:rsidR="00242D06" w:rsidRPr="00F512C2" w:rsidRDefault="00D84334" w:rsidP="00242D06">
            <w:pPr>
              <w:widowControl w:val="0"/>
              <w:jc w:val="center"/>
              <w:rPr>
                <w:sz w:val="20"/>
              </w:rPr>
            </w:pPr>
            <w:r w:rsidRPr="00F512C2">
              <w:rPr>
                <w:sz w:val="20"/>
              </w:rPr>
              <w:t>75</w:t>
            </w:r>
          </w:p>
        </w:tc>
        <w:tc>
          <w:tcPr>
            <w:tcW w:w="1295" w:type="dxa"/>
          </w:tcPr>
          <w:p w14:paraId="689802AE" w14:textId="04814288" w:rsidR="00242D06" w:rsidRPr="00F512C2" w:rsidRDefault="00D84334" w:rsidP="00242D06">
            <w:pPr>
              <w:widowControl w:val="0"/>
              <w:jc w:val="center"/>
              <w:rPr>
                <w:sz w:val="20"/>
              </w:rPr>
            </w:pPr>
            <w:r w:rsidRPr="00F512C2">
              <w:rPr>
                <w:sz w:val="20"/>
              </w:rPr>
              <w:t>47</w:t>
            </w:r>
          </w:p>
        </w:tc>
        <w:tc>
          <w:tcPr>
            <w:tcW w:w="1295" w:type="dxa"/>
          </w:tcPr>
          <w:p w14:paraId="2AABBD3B" w14:textId="16BA8ABF" w:rsidR="00242D06" w:rsidRPr="00F512C2" w:rsidRDefault="00D84334" w:rsidP="00242D06">
            <w:pPr>
              <w:widowControl w:val="0"/>
              <w:jc w:val="center"/>
              <w:rPr>
                <w:sz w:val="20"/>
              </w:rPr>
            </w:pPr>
            <w:r w:rsidRPr="00F512C2">
              <w:rPr>
                <w:sz w:val="20"/>
              </w:rPr>
              <w:t>48</w:t>
            </w:r>
          </w:p>
        </w:tc>
        <w:tc>
          <w:tcPr>
            <w:tcW w:w="1294" w:type="dxa"/>
          </w:tcPr>
          <w:p w14:paraId="1987491E" w14:textId="29B33459" w:rsidR="00242D06" w:rsidRPr="00F512C2" w:rsidRDefault="00193C30" w:rsidP="00242D06">
            <w:pPr>
              <w:widowControl w:val="0"/>
              <w:jc w:val="center"/>
              <w:rPr>
                <w:sz w:val="20"/>
              </w:rPr>
            </w:pPr>
            <w:r w:rsidRPr="00F512C2">
              <w:rPr>
                <w:sz w:val="20"/>
              </w:rPr>
              <w:t>.7</w:t>
            </w:r>
          </w:p>
        </w:tc>
        <w:tc>
          <w:tcPr>
            <w:tcW w:w="1295" w:type="dxa"/>
          </w:tcPr>
          <w:p w14:paraId="760CBEB7" w14:textId="2DCEADA8" w:rsidR="00242D06" w:rsidRPr="00F512C2" w:rsidRDefault="00193C30" w:rsidP="00242D06">
            <w:pPr>
              <w:widowControl w:val="0"/>
              <w:jc w:val="center"/>
              <w:rPr>
                <w:sz w:val="20"/>
              </w:rPr>
            </w:pPr>
            <w:r w:rsidRPr="00F512C2">
              <w:rPr>
                <w:sz w:val="20"/>
              </w:rPr>
              <w:t>.7</w:t>
            </w:r>
          </w:p>
        </w:tc>
        <w:tc>
          <w:tcPr>
            <w:tcW w:w="1294" w:type="dxa"/>
          </w:tcPr>
          <w:p w14:paraId="61FD62DF" w14:textId="3CD00076" w:rsidR="00242D06" w:rsidRPr="00F512C2" w:rsidRDefault="00193C30" w:rsidP="00242D06">
            <w:pPr>
              <w:widowControl w:val="0"/>
              <w:jc w:val="center"/>
              <w:rPr>
                <w:sz w:val="20"/>
              </w:rPr>
            </w:pPr>
            <w:r w:rsidRPr="00F512C2">
              <w:rPr>
                <w:sz w:val="20"/>
              </w:rPr>
              <w:t>42</w:t>
            </w:r>
          </w:p>
        </w:tc>
        <w:tc>
          <w:tcPr>
            <w:tcW w:w="1295" w:type="dxa"/>
          </w:tcPr>
          <w:p w14:paraId="50C6F088" w14:textId="4AA2F1BD" w:rsidR="00242D06" w:rsidRPr="00F512C2" w:rsidRDefault="00193C30" w:rsidP="00242D06">
            <w:pPr>
              <w:widowControl w:val="0"/>
              <w:jc w:val="center"/>
              <w:rPr>
                <w:sz w:val="20"/>
              </w:rPr>
            </w:pPr>
            <w:r w:rsidRPr="00F512C2">
              <w:rPr>
                <w:sz w:val="20"/>
              </w:rPr>
              <w:t>46</w:t>
            </w:r>
          </w:p>
        </w:tc>
      </w:tr>
    </w:tbl>
    <w:p w14:paraId="0AC6C1F9" w14:textId="77777777" w:rsidR="004F5EE4" w:rsidRPr="00F512C2" w:rsidRDefault="004F5EE4" w:rsidP="00832FD9">
      <w:pPr>
        <w:widowControl w:val="0"/>
        <w:rPr>
          <w:sz w:val="20"/>
          <w:vertAlign w:val="superscript"/>
        </w:rPr>
      </w:pPr>
    </w:p>
    <w:p w14:paraId="1DFF6044" w14:textId="6B5A76FC" w:rsidR="00094DD9" w:rsidRPr="00F512C2" w:rsidRDefault="00094DD9" w:rsidP="00832FD9">
      <w:pPr>
        <w:widowControl w:val="0"/>
        <w:rPr>
          <w:rFonts w:eastAsia="Calibri"/>
          <w:sz w:val="20"/>
        </w:rPr>
      </w:pPr>
      <w:r w:rsidRPr="00F512C2">
        <w:rPr>
          <w:sz w:val="20"/>
          <w:vertAlign w:val="superscript"/>
        </w:rPr>
        <w:t>a</w:t>
      </w:r>
      <w:r w:rsidRPr="00F512C2">
        <w:rPr>
          <w:sz w:val="20"/>
        </w:rPr>
        <w:t xml:space="preserve"> Table 1</w:t>
      </w:r>
      <w:r w:rsidR="009D34E6" w:rsidRPr="00F512C2">
        <w:rPr>
          <w:sz w:val="20"/>
        </w:rPr>
        <w:t xml:space="preserve"> reports u</w:t>
      </w:r>
      <w:r w:rsidR="00095B46" w:rsidRPr="00F512C2">
        <w:rPr>
          <w:sz w:val="20"/>
        </w:rPr>
        <w:t>nemployment</w:t>
      </w:r>
      <w:r w:rsidR="000171AF" w:rsidRPr="00F512C2">
        <w:rPr>
          <w:sz w:val="20"/>
        </w:rPr>
        <w:t xml:space="preserve"> </w:t>
      </w:r>
      <w:r w:rsidR="00E22004" w:rsidRPr="00F512C2">
        <w:rPr>
          <w:sz w:val="20"/>
        </w:rPr>
        <w:t>compensation i</w:t>
      </w:r>
      <w:r w:rsidR="00095B46" w:rsidRPr="00F512C2">
        <w:rPr>
          <w:sz w:val="20"/>
        </w:rPr>
        <w:t xml:space="preserve">ncome replacement rate </w:t>
      </w:r>
      <w:r w:rsidR="00E22004" w:rsidRPr="00F512C2">
        <w:rPr>
          <w:sz w:val="20"/>
        </w:rPr>
        <w:t xml:space="preserve">for </w:t>
      </w:r>
      <w:r w:rsidR="00EB6303" w:rsidRPr="00F512C2">
        <w:rPr>
          <w:sz w:val="20"/>
        </w:rPr>
        <w:t>198</w:t>
      </w:r>
      <w:r w:rsidR="009D34E6" w:rsidRPr="00F512C2">
        <w:rPr>
          <w:sz w:val="20"/>
        </w:rPr>
        <w:t>5</w:t>
      </w:r>
      <w:r w:rsidR="00EB6303" w:rsidRPr="00F512C2">
        <w:rPr>
          <w:sz w:val="20"/>
        </w:rPr>
        <w:t xml:space="preserve"> and 2010 while minimum income protections is for 1990 and 2009</w:t>
      </w:r>
      <w:r w:rsidR="009D34E6" w:rsidRPr="00F512C2">
        <w:rPr>
          <w:sz w:val="20"/>
        </w:rPr>
        <w:t xml:space="preserve">. </w:t>
      </w:r>
      <w:r w:rsidR="0025307A" w:rsidRPr="00F512C2">
        <w:rPr>
          <w:sz w:val="20"/>
        </w:rPr>
        <w:t xml:space="preserve">The table reports </w:t>
      </w:r>
      <w:r w:rsidR="009D34E6" w:rsidRPr="00F512C2">
        <w:rPr>
          <w:sz w:val="20"/>
        </w:rPr>
        <w:t>1985-87 and 2010-2</w:t>
      </w:r>
      <w:r w:rsidR="003C2B9B" w:rsidRPr="00F512C2">
        <w:rPr>
          <w:sz w:val="20"/>
        </w:rPr>
        <w:t>0</w:t>
      </w:r>
      <w:r w:rsidR="009D34E6" w:rsidRPr="00F512C2">
        <w:rPr>
          <w:sz w:val="20"/>
        </w:rPr>
        <w:t>12 means for ALMP spending variable</w:t>
      </w:r>
      <w:r w:rsidR="005353F7" w:rsidRPr="00F512C2">
        <w:rPr>
          <w:sz w:val="20"/>
        </w:rPr>
        <w:t>, and a mid-198</w:t>
      </w:r>
      <w:r w:rsidR="0019362C" w:rsidRPr="00F512C2">
        <w:rPr>
          <w:sz w:val="20"/>
        </w:rPr>
        <w:t>0</w:t>
      </w:r>
      <w:r w:rsidR="005353F7" w:rsidRPr="00F512C2">
        <w:rPr>
          <w:sz w:val="20"/>
        </w:rPr>
        <w:t>s</w:t>
      </w:r>
      <w:r w:rsidR="0025307A" w:rsidRPr="00F512C2">
        <w:rPr>
          <w:sz w:val="20"/>
        </w:rPr>
        <w:t xml:space="preserve"> </w:t>
      </w:r>
      <w:r w:rsidR="00B96F52" w:rsidRPr="00F512C2">
        <w:rPr>
          <w:sz w:val="20"/>
        </w:rPr>
        <w:t xml:space="preserve">and 2010 </w:t>
      </w:r>
      <w:r w:rsidR="005353F7" w:rsidRPr="00F512C2">
        <w:rPr>
          <w:sz w:val="20"/>
        </w:rPr>
        <w:t>data point</w:t>
      </w:r>
      <w:r w:rsidR="00B96F52" w:rsidRPr="00F512C2">
        <w:rPr>
          <w:sz w:val="20"/>
        </w:rPr>
        <w:t xml:space="preserve">s for </w:t>
      </w:r>
      <w:r w:rsidR="00BC0C3A" w:rsidRPr="00F512C2">
        <w:rPr>
          <w:sz w:val="20"/>
        </w:rPr>
        <w:t xml:space="preserve">reduction in </w:t>
      </w:r>
      <w:r w:rsidR="00B96F52" w:rsidRPr="00F512C2">
        <w:rPr>
          <w:sz w:val="20"/>
        </w:rPr>
        <w:t xml:space="preserve">relative </w:t>
      </w:r>
      <w:r w:rsidR="00BC0C3A" w:rsidRPr="00F512C2">
        <w:rPr>
          <w:sz w:val="20"/>
        </w:rPr>
        <w:t xml:space="preserve">poverty. </w:t>
      </w:r>
    </w:p>
    <w:p w14:paraId="3AD17671" w14:textId="77777777" w:rsidR="003A0A90" w:rsidRPr="00F512C2" w:rsidRDefault="003A0A90" w:rsidP="00D12D45"/>
    <w:p w14:paraId="6234111C" w14:textId="77777777" w:rsidR="007035F8" w:rsidRPr="00F512C2" w:rsidRDefault="007035F8" w:rsidP="007035F8">
      <w:pPr>
        <w:widowControl w:val="0"/>
        <w:rPr>
          <w:sz w:val="20"/>
        </w:rPr>
      </w:pPr>
      <w:r w:rsidRPr="00F512C2">
        <w:rPr>
          <w:sz w:val="20"/>
        </w:rPr>
        <w:t>Table 2.  Partisan Politics, Labor Organization and Income Protection for Labor Market Outsiders.</w:t>
      </w:r>
    </w:p>
    <w:p w14:paraId="4477DE7B" w14:textId="29ABB1D1" w:rsidR="007035F8" w:rsidRPr="00F512C2" w:rsidRDefault="007035F8" w:rsidP="00D12D45">
      <w:pPr>
        <w:sectPr w:rsidR="007035F8" w:rsidRPr="00F512C2" w:rsidSect="00094DD9">
          <w:pgSz w:w="15840" w:h="12240" w:orient="landscape"/>
          <w:pgMar w:top="1440" w:right="1440" w:bottom="1440" w:left="1440" w:header="720" w:footer="720" w:gutter="0"/>
          <w:cols w:space="720"/>
          <w:docGrid w:linePitch="360"/>
        </w:sectPr>
      </w:pPr>
    </w:p>
    <w:tbl>
      <w:tblPr>
        <w:tblStyle w:val="TableGridLight"/>
        <w:tblW w:w="5000" w:type="pct"/>
        <w:tblLook w:val="0020" w:firstRow="1" w:lastRow="0" w:firstColumn="0" w:lastColumn="0" w:noHBand="0" w:noVBand="0"/>
      </w:tblPr>
      <w:tblGrid>
        <w:gridCol w:w="3702"/>
        <w:gridCol w:w="1666"/>
        <w:gridCol w:w="1575"/>
        <w:gridCol w:w="1111"/>
        <w:gridCol w:w="1296"/>
      </w:tblGrid>
      <w:tr w:rsidR="00901C2A" w:rsidRPr="00F512C2" w14:paraId="7BCECD63" w14:textId="77777777" w:rsidTr="009E73CA">
        <w:tc>
          <w:tcPr>
            <w:tcW w:w="1980" w:type="pct"/>
          </w:tcPr>
          <w:p w14:paraId="445D12E8" w14:textId="77777777" w:rsidR="00901C2A" w:rsidRPr="00F512C2" w:rsidRDefault="00901C2A" w:rsidP="00901C2A">
            <w:pPr>
              <w:widowControl w:val="0"/>
              <w:tabs>
                <w:tab w:val="right" w:pos="2820"/>
              </w:tabs>
              <w:rPr>
                <w:sz w:val="20"/>
              </w:rPr>
            </w:pPr>
          </w:p>
        </w:tc>
        <w:tc>
          <w:tcPr>
            <w:tcW w:w="891" w:type="pct"/>
          </w:tcPr>
          <w:p w14:paraId="41AB195C" w14:textId="3690D633" w:rsidR="00901C2A" w:rsidRPr="00F512C2" w:rsidRDefault="00901C2A" w:rsidP="00901C2A">
            <w:pPr>
              <w:widowControl w:val="0"/>
              <w:jc w:val="center"/>
              <w:rPr>
                <w:sz w:val="20"/>
              </w:rPr>
            </w:pPr>
            <w:r w:rsidRPr="00F512C2">
              <w:rPr>
                <w:sz w:val="20"/>
              </w:rPr>
              <w:t>Unemployment Comp RR</w:t>
            </w:r>
          </w:p>
        </w:tc>
        <w:tc>
          <w:tcPr>
            <w:tcW w:w="842" w:type="pct"/>
          </w:tcPr>
          <w:p w14:paraId="5BF8B869" w14:textId="52DC8B5D" w:rsidR="00901C2A" w:rsidRPr="00F512C2" w:rsidRDefault="00C23C99" w:rsidP="00901C2A">
            <w:pPr>
              <w:widowControl w:val="0"/>
              <w:jc w:val="center"/>
              <w:rPr>
                <w:sz w:val="20"/>
              </w:rPr>
            </w:pPr>
            <w:r w:rsidRPr="00F512C2">
              <w:rPr>
                <w:sz w:val="20"/>
              </w:rPr>
              <w:t>Unemployment Comp RR</w:t>
            </w:r>
          </w:p>
        </w:tc>
        <w:tc>
          <w:tcPr>
            <w:tcW w:w="594" w:type="pct"/>
          </w:tcPr>
          <w:p w14:paraId="71DB3DAF" w14:textId="77777777" w:rsidR="00C23C99" w:rsidRPr="00F512C2" w:rsidRDefault="00C23C99" w:rsidP="00C23C99">
            <w:pPr>
              <w:widowControl w:val="0"/>
              <w:jc w:val="center"/>
              <w:rPr>
                <w:sz w:val="20"/>
              </w:rPr>
            </w:pPr>
            <w:r w:rsidRPr="00F512C2">
              <w:rPr>
                <w:sz w:val="20"/>
              </w:rPr>
              <w:t>Minimum</w:t>
            </w:r>
          </w:p>
          <w:p w14:paraId="6FC773C0" w14:textId="02DA46AF" w:rsidR="00901C2A" w:rsidRPr="00F512C2" w:rsidRDefault="00C23C99" w:rsidP="00C23C99">
            <w:pPr>
              <w:widowControl w:val="0"/>
              <w:jc w:val="center"/>
              <w:rPr>
                <w:sz w:val="20"/>
              </w:rPr>
            </w:pPr>
            <w:r w:rsidRPr="00F512C2">
              <w:rPr>
                <w:sz w:val="20"/>
              </w:rPr>
              <w:t>Benefits</w:t>
            </w:r>
          </w:p>
        </w:tc>
        <w:tc>
          <w:tcPr>
            <w:tcW w:w="693" w:type="pct"/>
          </w:tcPr>
          <w:p w14:paraId="765A801B" w14:textId="77777777" w:rsidR="00901C2A" w:rsidRPr="00F512C2" w:rsidRDefault="00901C2A" w:rsidP="00901C2A">
            <w:pPr>
              <w:widowControl w:val="0"/>
              <w:jc w:val="center"/>
              <w:rPr>
                <w:sz w:val="20"/>
              </w:rPr>
            </w:pPr>
            <w:r w:rsidRPr="00F512C2">
              <w:rPr>
                <w:sz w:val="20"/>
              </w:rPr>
              <w:t>Minimum</w:t>
            </w:r>
          </w:p>
          <w:p w14:paraId="51B08443" w14:textId="08F18EF0" w:rsidR="00901C2A" w:rsidRPr="00F512C2" w:rsidRDefault="00901C2A" w:rsidP="00901C2A">
            <w:pPr>
              <w:widowControl w:val="0"/>
              <w:jc w:val="center"/>
              <w:rPr>
                <w:sz w:val="20"/>
              </w:rPr>
            </w:pPr>
            <w:r w:rsidRPr="00F512C2">
              <w:rPr>
                <w:sz w:val="20"/>
              </w:rPr>
              <w:t>Benefits</w:t>
            </w:r>
          </w:p>
        </w:tc>
      </w:tr>
      <w:tr w:rsidR="00901C2A" w:rsidRPr="00F512C2" w14:paraId="23995C11" w14:textId="77777777" w:rsidTr="009E73CA">
        <w:tc>
          <w:tcPr>
            <w:tcW w:w="1980" w:type="pct"/>
          </w:tcPr>
          <w:p w14:paraId="3F6305A7" w14:textId="09F67C54" w:rsidR="00901C2A" w:rsidRPr="00F512C2" w:rsidRDefault="00901C2A" w:rsidP="00901C2A">
            <w:pPr>
              <w:widowControl w:val="0"/>
              <w:rPr>
                <w:sz w:val="20"/>
                <w:vertAlign w:val="subscript"/>
              </w:rPr>
            </w:pPr>
            <w:r w:rsidRPr="00F512C2">
              <w:rPr>
                <w:sz w:val="20"/>
              </w:rPr>
              <w:t xml:space="preserve">Left Government </w:t>
            </w:r>
          </w:p>
          <w:p w14:paraId="698CAEE2" w14:textId="7F7253F7" w:rsidR="00901C2A" w:rsidRPr="00F512C2" w:rsidRDefault="00901C2A" w:rsidP="00901C2A">
            <w:pPr>
              <w:widowControl w:val="0"/>
              <w:rPr>
                <w:sz w:val="20"/>
                <w:vertAlign w:val="subscript"/>
              </w:rPr>
            </w:pPr>
          </w:p>
        </w:tc>
        <w:tc>
          <w:tcPr>
            <w:tcW w:w="891" w:type="pct"/>
          </w:tcPr>
          <w:p w14:paraId="1F7B3E3A" w14:textId="77777777" w:rsidR="00901C2A" w:rsidRPr="00F512C2" w:rsidRDefault="00001848" w:rsidP="00901C2A">
            <w:pPr>
              <w:widowControl w:val="0"/>
              <w:jc w:val="center"/>
              <w:rPr>
                <w:sz w:val="20"/>
              </w:rPr>
            </w:pPr>
            <w:r w:rsidRPr="00F512C2">
              <w:rPr>
                <w:sz w:val="20"/>
              </w:rPr>
              <w:t>.1111**</w:t>
            </w:r>
          </w:p>
          <w:p w14:paraId="551E070A" w14:textId="35DFB23C" w:rsidR="00001848" w:rsidRPr="00F512C2" w:rsidRDefault="00001848" w:rsidP="00901C2A">
            <w:pPr>
              <w:widowControl w:val="0"/>
              <w:jc w:val="center"/>
              <w:rPr>
                <w:sz w:val="20"/>
              </w:rPr>
            </w:pPr>
            <w:r w:rsidRPr="00F512C2">
              <w:rPr>
                <w:sz w:val="20"/>
              </w:rPr>
              <w:t>(</w:t>
            </w:r>
            <w:r w:rsidR="00AD5EE1" w:rsidRPr="00F512C2">
              <w:rPr>
                <w:sz w:val="20"/>
              </w:rPr>
              <w:t>.0444)</w:t>
            </w:r>
          </w:p>
        </w:tc>
        <w:tc>
          <w:tcPr>
            <w:tcW w:w="842" w:type="pct"/>
          </w:tcPr>
          <w:p w14:paraId="6DA2C74C" w14:textId="77777777" w:rsidR="00901C2A" w:rsidRPr="00F512C2" w:rsidRDefault="00AD5EE1" w:rsidP="00901C2A">
            <w:pPr>
              <w:widowControl w:val="0"/>
              <w:jc w:val="center"/>
              <w:rPr>
                <w:sz w:val="20"/>
              </w:rPr>
            </w:pPr>
            <w:r w:rsidRPr="00F512C2">
              <w:rPr>
                <w:sz w:val="20"/>
              </w:rPr>
              <w:t>.1083**</w:t>
            </w:r>
          </w:p>
          <w:p w14:paraId="7C00FCE5" w14:textId="6DEFACEF" w:rsidR="00AD5EE1" w:rsidRPr="00F512C2" w:rsidRDefault="00AD5EE1" w:rsidP="00901C2A">
            <w:pPr>
              <w:widowControl w:val="0"/>
              <w:jc w:val="center"/>
              <w:rPr>
                <w:sz w:val="20"/>
              </w:rPr>
            </w:pPr>
            <w:r w:rsidRPr="00F512C2">
              <w:rPr>
                <w:sz w:val="20"/>
              </w:rPr>
              <w:t>(.0446)</w:t>
            </w:r>
          </w:p>
        </w:tc>
        <w:tc>
          <w:tcPr>
            <w:tcW w:w="594" w:type="pct"/>
          </w:tcPr>
          <w:p w14:paraId="3956DBC7" w14:textId="77777777" w:rsidR="00901C2A" w:rsidRPr="00F512C2" w:rsidRDefault="00AD5EE1" w:rsidP="00901C2A">
            <w:pPr>
              <w:widowControl w:val="0"/>
              <w:jc w:val="center"/>
              <w:rPr>
                <w:sz w:val="20"/>
              </w:rPr>
            </w:pPr>
            <w:r w:rsidRPr="00F512C2">
              <w:rPr>
                <w:sz w:val="20"/>
              </w:rPr>
              <w:t>.1809**</w:t>
            </w:r>
          </w:p>
          <w:p w14:paraId="4CF2DD78" w14:textId="4DD8C2F7" w:rsidR="00AD5EE1" w:rsidRPr="00F512C2" w:rsidRDefault="00AD5EE1" w:rsidP="00901C2A">
            <w:pPr>
              <w:widowControl w:val="0"/>
              <w:jc w:val="center"/>
              <w:rPr>
                <w:sz w:val="20"/>
              </w:rPr>
            </w:pPr>
            <w:r w:rsidRPr="00F512C2">
              <w:rPr>
                <w:sz w:val="20"/>
              </w:rPr>
              <w:t>(.392)</w:t>
            </w:r>
          </w:p>
        </w:tc>
        <w:tc>
          <w:tcPr>
            <w:tcW w:w="693" w:type="pct"/>
          </w:tcPr>
          <w:p w14:paraId="23448369" w14:textId="77777777" w:rsidR="00901C2A" w:rsidRPr="00F512C2" w:rsidRDefault="00FB516B" w:rsidP="00901C2A">
            <w:pPr>
              <w:widowControl w:val="0"/>
              <w:jc w:val="center"/>
              <w:rPr>
                <w:sz w:val="20"/>
              </w:rPr>
            </w:pPr>
            <w:r w:rsidRPr="00F512C2">
              <w:rPr>
                <w:sz w:val="20"/>
              </w:rPr>
              <w:t>.1772**</w:t>
            </w:r>
          </w:p>
          <w:p w14:paraId="1C271D3D" w14:textId="324C758F" w:rsidR="00FB516B" w:rsidRPr="00F512C2" w:rsidRDefault="00FB516B" w:rsidP="00901C2A">
            <w:pPr>
              <w:widowControl w:val="0"/>
              <w:jc w:val="center"/>
              <w:rPr>
                <w:sz w:val="20"/>
              </w:rPr>
            </w:pPr>
            <w:r w:rsidRPr="00F512C2">
              <w:rPr>
                <w:sz w:val="20"/>
              </w:rPr>
              <w:t>(.0376)</w:t>
            </w:r>
          </w:p>
        </w:tc>
      </w:tr>
      <w:tr w:rsidR="00901C2A" w:rsidRPr="00F512C2" w14:paraId="241E1357" w14:textId="77777777" w:rsidTr="009E73CA">
        <w:tc>
          <w:tcPr>
            <w:tcW w:w="1980" w:type="pct"/>
          </w:tcPr>
          <w:p w14:paraId="5104528B" w14:textId="66DC439F" w:rsidR="00901C2A" w:rsidRPr="00F512C2" w:rsidRDefault="00901C2A" w:rsidP="00901C2A">
            <w:pPr>
              <w:widowControl w:val="0"/>
              <w:rPr>
                <w:sz w:val="20"/>
                <w:vertAlign w:val="subscript"/>
              </w:rPr>
            </w:pPr>
            <w:r w:rsidRPr="00F512C2">
              <w:rPr>
                <w:sz w:val="20"/>
              </w:rPr>
              <w:t xml:space="preserve">Labor Organization </w:t>
            </w:r>
          </w:p>
          <w:p w14:paraId="076F8887" w14:textId="77777777" w:rsidR="00901C2A" w:rsidRPr="00F512C2" w:rsidRDefault="00901C2A" w:rsidP="00901C2A">
            <w:pPr>
              <w:widowControl w:val="0"/>
              <w:rPr>
                <w:sz w:val="20"/>
              </w:rPr>
            </w:pPr>
          </w:p>
        </w:tc>
        <w:tc>
          <w:tcPr>
            <w:tcW w:w="891" w:type="pct"/>
          </w:tcPr>
          <w:p w14:paraId="48ED5E53" w14:textId="77777777" w:rsidR="00901C2A" w:rsidRPr="00F512C2" w:rsidRDefault="00FB516B" w:rsidP="00901C2A">
            <w:pPr>
              <w:widowControl w:val="0"/>
              <w:jc w:val="center"/>
              <w:rPr>
                <w:sz w:val="20"/>
              </w:rPr>
            </w:pPr>
            <w:r w:rsidRPr="00F512C2">
              <w:rPr>
                <w:sz w:val="20"/>
              </w:rPr>
              <w:t>3.5084**</w:t>
            </w:r>
          </w:p>
          <w:p w14:paraId="5CD55A6A" w14:textId="12F16A7E" w:rsidR="00FB516B" w:rsidRPr="00F512C2" w:rsidRDefault="00FB516B" w:rsidP="00901C2A">
            <w:pPr>
              <w:widowControl w:val="0"/>
              <w:jc w:val="center"/>
              <w:rPr>
                <w:sz w:val="20"/>
              </w:rPr>
            </w:pPr>
            <w:r w:rsidRPr="00F512C2">
              <w:rPr>
                <w:sz w:val="20"/>
              </w:rPr>
              <w:t>(</w:t>
            </w:r>
            <w:r w:rsidR="00577930" w:rsidRPr="00F512C2">
              <w:rPr>
                <w:sz w:val="20"/>
              </w:rPr>
              <w:t>1.1079)</w:t>
            </w:r>
          </w:p>
        </w:tc>
        <w:tc>
          <w:tcPr>
            <w:tcW w:w="842" w:type="pct"/>
          </w:tcPr>
          <w:p w14:paraId="3D35789A" w14:textId="77777777" w:rsidR="00901C2A" w:rsidRPr="00F512C2" w:rsidRDefault="00577930" w:rsidP="00901C2A">
            <w:pPr>
              <w:widowControl w:val="0"/>
              <w:jc w:val="center"/>
              <w:rPr>
                <w:sz w:val="20"/>
              </w:rPr>
            </w:pPr>
            <w:r w:rsidRPr="00F512C2">
              <w:rPr>
                <w:sz w:val="20"/>
              </w:rPr>
              <w:t>2.5115</w:t>
            </w:r>
          </w:p>
          <w:p w14:paraId="7FFA7742" w14:textId="156C20C5" w:rsidR="00577930" w:rsidRPr="00F512C2" w:rsidRDefault="00577930" w:rsidP="00901C2A">
            <w:pPr>
              <w:widowControl w:val="0"/>
              <w:jc w:val="center"/>
              <w:rPr>
                <w:sz w:val="20"/>
              </w:rPr>
            </w:pPr>
            <w:r w:rsidRPr="00F512C2">
              <w:rPr>
                <w:sz w:val="20"/>
              </w:rPr>
              <w:t>(2.0960)</w:t>
            </w:r>
          </w:p>
        </w:tc>
        <w:tc>
          <w:tcPr>
            <w:tcW w:w="594" w:type="pct"/>
          </w:tcPr>
          <w:p w14:paraId="2E132055" w14:textId="77777777" w:rsidR="00901C2A" w:rsidRPr="00F512C2" w:rsidRDefault="00577930" w:rsidP="00901C2A">
            <w:pPr>
              <w:widowControl w:val="0"/>
              <w:jc w:val="center"/>
              <w:rPr>
                <w:sz w:val="20"/>
              </w:rPr>
            </w:pPr>
            <w:r w:rsidRPr="00F512C2">
              <w:rPr>
                <w:sz w:val="20"/>
              </w:rPr>
              <w:t>.9648</w:t>
            </w:r>
          </w:p>
          <w:p w14:paraId="46BE2E9D" w14:textId="0C17C988" w:rsidR="00577930" w:rsidRPr="00F512C2" w:rsidRDefault="00577930" w:rsidP="00901C2A">
            <w:pPr>
              <w:widowControl w:val="0"/>
              <w:jc w:val="center"/>
              <w:rPr>
                <w:sz w:val="20"/>
              </w:rPr>
            </w:pPr>
            <w:r w:rsidRPr="00F512C2">
              <w:rPr>
                <w:sz w:val="20"/>
              </w:rPr>
              <w:t>(1.</w:t>
            </w:r>
            <w:r w:rsidR="0010374D" w:rsidRPr="00F512C2">
              <w:rPr>
                <w:sz w:val="20"/>
              </w:rPr>
              <w:t>1038)</w:t>
            </w:r>
          </w:p>
        </w:tc>
        <w:tc>
          <w:tcPr>
            <w:tcW w:w="693" w:type="pct"/>
          </w:tcPr>
          <w:p w14:paraId="4104B180" w14:textId="77777777" w:rsidR="00901C2A" w:rsidRPr="00F512C2" w:rsidRDefault="0010374D" w:rsidP="00901C2A">
            <w:pPr>
              <w:widowControl w:val="0"/>
              <w:jc w:val="center"/>
              <w:rPr>
                <w:sz w:val="20"/>
              </w:rPr>
            </w:pPr>
            <w:r w:rsidRPr="00F512C2">
              <w:rPr>
                <w:sz w:val="20"/>
              </w:rPr>
              <w:t>-3.4167</w:t>
            </w:r>
          </w:p>
          <w:p w14:paraId="090F1ED2" w14:textId="4017247F" w:rsidR="0010374D" w:rsidRPr="00F512C2" w:rsidRDefault="0010374D" w:rsidP="00901C2A">
            <w:pPr>
              <w:widowControl w:val="0"/>
              <w:jc w:val="center"/>
              <w:rPr>
                <w:sz w:val="20"/>
              </w:rPr>
            </w:pPr>
            <w:r w:rsidRPr="00F512C2">
              <w:rPr>
                <w:sz w:val="20"/>
              </w:rPr>
              <w:t>(2.3140)</w:t>
            </w:r>
          </w:p>
        </w:tc>
      </w:tr>
      <w:tr w:rsidR="00901C2A" w:rsidRPr="00F512C2" w14:paraId="062C4DDF" w14:textId="77777777" w:rsidTr="009E73CA">
        <w:tc>
          <w:tcPr>
            <w:tcW w:w="1980" w:type="pct"/>
          </w:tcPr>
          <w:p w14:paraId="296AE762" w14:textId="625543DE" w:rsidR="00901C2A" w:rsidRPr="00F512C2" w:rsidRDefault="00901C2A" w:rsidP="00901C2A">
            <w:pPr>
              <w:widowControl w:val="0"/>
              <w:rPr>
                <w:sz w:val="20"/>
              </w:rPr>
            </w:pPr>
            <w:r w:rsidRPr="00F512C2">
              <w:rPr>
                <w:sz w:val="20"/>
              </w:rPr>
              <w:t>Left Government × Union Organization</w:t>
            </w:r>
          </w:p>
          <w:p w14:paraId="0590E379" w14:textId="77777777" w:rsidR="00901C2A" w:rsidRPr="00F512C2" w:rsidRDefault="00901C2A" w:rsidP="00901C2A">
            <w:pPr>
              <w:widowControl w:val="0"/>
              <w:rPr>
                <w:sz w:val="20"/>
              </w:rPr>
            </w:pPr>
          </w:p>
        </w:tc>
        <w:tc>
          <w:tcPr>
            <w:tcW w:w="891" w:type="pct"/>
          </w:tcPr>
          <w:p w14:paraId="227348B0" w14:textId="3902B04F" w:rsidR="00901C2A" w:rsidRPr="00F512C2" w:rsidRDefault="00C74014" w:rsidP="00901C2A">
            <w:pPr>
              <w:widowControl w:val="0"/>
              <w:jc w:val="center"/>
              <w:rPr>
                <w:sz w:val="20"/>
              </w:rPr>
            </w:pPr>
            <w:r w:rsidRPr="00F512C2">
              <w:rPr>
                <w:sz w:val="20"/>
              </w:rPr>
              <w:t>---</w:t>
            </w:r>
          </w:p>
        </w:tc>
        <w:tc>
          <w:tcPr>
            <w:tcW w:w="842" w:type="pct"/>
          </w:tcPr>
          <w:p w14:paraId="64FC7F04" w14:textId="77777777" w:rsidR="00901C2A" w:rsidRPr="00F512C2" w:rsidRDefault="00C74014" w:rsidP="00901C2A">
            <w:pPr>
              <w:widowControl w:val="0"/>
              <w:jc w:val="center"/>
              <w:rPr>
                <w:sz w:val="20"/>
              </w:rPr>
            </w:pPr>
            <w:r w:rsidRPr="00F512C2">
              <w:rPr>
                <w:sz w:val="20"/>
              </w:rPr>
              <w:t>.0209</w:t>
            </w:r>
          </w:p>
          <w:p w14:paraId="3BB85677" w14:textId="57763FD4" w:rsidR="00C74014" w:rsidRPr="00F512C2" w:rsidRDefault="00C74014" w:rsidP="00901C2A">
            <w:pPr>
              <w:widowControl w:val="0"/>
              <w:jc w:val="center"/>
              <w:rPr>
                <w:sz w:val="20"/>
              </w:rPr>
            </w:pPr>
            <w:r w:rsidRPr="00F512C2">
              <w:rPr>
                <w:sz w:val="20"/>
              </w:rPr>
              <w:t>(.0356)</w:t>
            </w:r>
          </w:p>
        </w:tc>
        <w:tc>
          <w:tcPr>
            <w:tcW w:w="594" w:type="pct"/>
          </w:tcPr>
          <w:p w14:paraId="29D9D47F" w14:textId="4FB00831" w:rsidR="00901C2A" w:rsidRPr="00F512C2" w:rsidRDefault="00C74014" w:rsidP="00901C2A">
            <w:pPr>
              <w:widowControl w:val="0"/>
              <w:jc w:val="center"/>
              <w:rPr>
                <w:sz w:val="20"/>
              </w:rPr>
            </w:pPr>
            <w:r w:rsidRPr="00F512C2">
              <w:rPr>
                <w:sz w:val="20"/>
              </w:rPr>
              <w:t>---</w:t>
            </w:r>
          </w:p>
        </w:tc>
        <w:tc>
          <w:tcPr>
            <w:tcW w:w="693" w:type="pct"/>
          </w:tcPr>
          <w:p w14:paraId="5BCFDBBA" w14:textId="77777777" w:rsidR="00901C2A" w:rsidRPr="00F512C2" w:rsidRDefault="00C74014" w:rsidP="00901C2A">
            <w:pPr>
              <w:widowControl w:val="0"/>
              <w:jc w:val="center"/>
              <w:rPr>
                <w:sz w:val="20"/>
              </w:rPr>
            </w:pPr>
            <w:r w:rsidRPr="00F512C2">
              <w:rPr>
                <w:sz w:val="20"/>
              </w:rPr>
              <w:t>.0900**</w:t>
            </w:r>
          </w:p>
          <w:p w14:paraId="24B9C7A2" w14:textId="5F30ECBF" w:rsidR="00C74014" w:rsidRPr="00F512C2" w:rsidRDefault="00C74014" w:rsidP="00901C2A">
            <w:pPr>
              <w:widowControl w:val="0"/>
              <w:jc w:val="center"/>
              <w:rPr>
                <w:sz w:val="20"/>
              </w:rPr>
            </w:pPr>
            <w:r w:rsidRPr="00F512C2">
              <w:rPr>
                <w:sz w:val="20"/>
              </w:rPr>
              <w:t>(.0410)</w:t>
            </w:r>
          </w:p>
        </w:tc>
      </w:tr>
      <w:tr w:rsidR="00901C2A" w:rsidRPr="00F512C2" w14:paraId="1692A1E7" w14:textId="77777777" w:rsidTr="009E73CA">
        <w:tc>
          <w:tcPr>
            <w:tcW w:w="1980" w:type="pct"/>
          </w:tcPr>
          <w:p w14:paraId="452EBAC9" w14:textId="47DC0143" w:rsidR="00901C2A" w:rsidRPr="00F512C2" w:rsidRDefault="00901C2A" w:rsidP="00901C2A">
            <w:pPr>
              <w:widowControl w:val="0"/>
              <w:rPr>
                <w:sz w:val="20"/>
                <w:vertAlign w:val="subscript"/>
              </w:rPr>
            </w:pPr>
            <w:r w:rsidRPr="00F512C2">
              <w:rPr>
                <w:sz w:val="20"/>
              </w:rPr>
              <w:t>Economic Position of the Median Citizen</w:t>
            </w:r>
          </w:p>
          <w:p w14:paraId="56CD275D" w14:textId="77777777" w:rsidR="00901C2A" w:rsidRPr="00F512C2" w:rsidRDefault="00901C2A" w:rsidP="00901C2A">
            <w:pPr>
              <w:widowControl w:val="0"/>
              <w:rPr>
                <w:sz w:val="20"/>
              </w:rPr>
            </w:pPr>
          </w:p>
        </w:tc>
        <w:tc>
          <w:tcPr>
            <w:tcW w:w="891" w:type="pct"/>
          </w:tcPr>
          <w:p w14:paraId="78C6C730" w14:textId="77777777" w:rsidR="00901C2A" w:rsidRPr="00F512C2" w:rsidRDefault="00E718DB" w:rsidP="005734F1">
            <w:pPr>
              <w:widowControl w:val="0"/>
              <w:jc w:val="center"/>
              <w:rPr>
                <w:sz w:val="20"/>
              </w:rPr>
            </w:pPr>
            <w:r w:rsidRPr="00F512C2">
              <w:rPr>
                <w:sz w:val="20"/>
              </w:rPr>
              <w:t>.3950</w:t>
            </w:r>
          </w:p>
          <w:p w14:paraId="176BED6F" w14:textId="4D4A4F93" w:rsidR="00E718DB" w:rsidRPr="00F512C2" w:rsidRDefault="00E718DB" w:rsidP="005734F1">
            <w:pPr>
              <w:widowControl w:val="0"/>
              <w:jc w:val="center"/>
              <w:rPr>
                <w:sz w:val="20"/>
              </w:rPr>
            </w:pPr>
            <w:r w:rsidRPr="00F512C2">
              <w:rPr>
                <w:sz w:val="20"/>
              </w:rPr>
              <w:t>(4.770)</w:t>
            </w:r>
          </w:p>
        </w:tc>
        <w:tc>
          <w:tcPr>
            <w:tcW w:w="842" w:type="pct"/>
          </w:tcPr>
          <w:p w14:paraId="0D38E4C6" w14:textId="77777777" w:rsidR="00901C2A" w:rsidRPr="00F512C2" w:rsidRDefault="00E718DB" w:rsidP="005734F1">
            <w:pPr>
              <w:widowControl w:val="0"/>
              <w:jc w:val="center"/>
              <w:rPr>
                <w:sz w:val="20"/>
              </w:rPr>
            </w:pPr>
            <w:r w:rsidRPr="00F512C2">
              <w:rPr>
                <w:sz w:val="20"/>
              </w:rPr>
              <w:t>.5896</w:t>
            </w:r>
          </w:p>
          <w:p w14:paraId="22807C37" w14:textId="26ED7BC4" w:rsidR="00E718DB" w:rsidRPr="00F512C2" w:rsidRDefault="00E718DB" w:rsidP="005734F1">
            <w:pPr>
              <w:widowControl w:val="0"/>
              <w:jc w:val="center"/>
              <w:rPr>
                <w:sz w:val="20"/>
              </w:rPr>
            </w:pPr>
            <w:r w:rsidRPr="00F512C2">
              <w:rPr>
                <w:sz w:val="20"/>
              </w:rPr>
              <w:t>(4.78</w:t>
            </w:r>
            <w:r w:rsidR="00BA6934" w:rsidRPr="00F512C2">
              <w:rPr>
                <w:sz w:val="20"/>
              </w:rPr>
              <w:t>99)</w:t>
            </w:r>
          </w:p>
        </w:tc>
        <w:tc>
          <w:tcPr>
            <w:tcW w:w="594" w:type="pct"/>
          </w:tcPr>
          <w:p w14:paraId="70C71FBF" w14:textId="77777777" w:rsidR="00901C2A" w:rsidRPr="00F512C2" w:rsidRDefault="00BA6934" w:rsidP="005734F1">
            <w:pPr>
              <w:widowControl w:val="0"/>
              <w:jc w:val="center"/>
              <w:rPr>
                <w:sz w:val="20"/>
              </w:rPr>
            </w:pPr>
            <w:r w:rsidRPr="00F512C2">
              <w:rPr>
                <w:sz w:val="20"/>
              </w:rPr>
              <w:t>-7.7668</w:t>
            </w:r>
          </w:p>
          <w:p w14:paraId="362A08FF" w14:textId="578DCE36" w:rsidR="00BA6934" w:rsidRPr="00F512C2" w:rsidRDefault="00BA6934" w:rsidP="005734F1">
            <w:pPr>
              <w:widowControl w:val="0"/>
              <w:jc w:val="center"/>
              <w:rPr>
                <w:sz w:val="20"/>
              </w:rPr>
            </w:pPr>
            <w:r w:rsidRPr="00F512C2">
              <w:rPr>
                <w:sz w:val="20"/>
              </w:rPr>
              <w:t>(4.4055)</w:t>
            </w:r>
          </w:p>
        </w:tc>
        <w:tc>
          <w:tcPr>
            <w:tcW w:w="693" w:type="pct"/>
          </w:tcPr>
          <w:p w14:paraId="5C34A9E7" w14:textId="77777777" w:rsidR="00901C2A" w:rsidRPr="00F512C2" w:rsidRDefault="00BA6934" w:rsidP="005734F1">
            <w:pPr>
              <w:widowControl w:val="0"/>
              <w:jc w:val="center"/>
              <w:rPr>
                <w:sz w:val="20"/>
              </w:rPr>
            </w:pPr>
            <w:r w:rsidRPr="00F512C2">
              <w:rPr>
                <w:sz w:val="20"/>
              </w:rPr>
              <w:t>-6.4350</w:t>
            </w:r>
          </w:p>
          <w:p w14:paraId="05A7EF43" w14:textId="0EC2F994" w:rsidR="00BA6934" w:rsidRPr="00F512C2" w:rsidRDefault="00BA6934" w:rsidP="005734F1">
            <w:pPr>
              <w:widowControl w:val="0"/>
              <w:jc w:val="center"/>
              <w:rPr>
                <w:sz w:val="20"/>
              </w:rPr>
            </w:pPr>
            <w:r w:rsidRPr="00F512C2">
              <w:rPr>
                <w:sz w:val="20"/>
              </w:rPr>
              <w:t>(4.3478)</w:t>
            </w:r>
          </w:p>
        </w:tc>
      </w:tr>
      <w:tr w:rsidR="00901C2A" w:rsidRPr="00F512C2" w14:paraId="2A1C9005" w14:textId="77777777" w:rsidTr="009E73CA">
        <w:tc>
          <w:tcPr>
            <w:tcW w:w="1980" w:type="pct"/>
          </w:tcPr>
          <w:p w14:paraId="37993117" w14:textId="77777777" w:rsidR="00901C2A" w:rsidRPr="00F512C2" w:rsidRDefault="00901C2A" w:rsidP="00901C2A">
            <w:pPr>
              <w:widowControl w:val="0"/>
              <w:rPr>
                <w:sz w:val="20"/>
              </w:rPr>
            </w:pPr>
            <w:r w:rsidRPr="00F512C2">
              <w:rPr>
                <w:sz w:val="20"/>
              </w:rPr>
              <w:t>Employers Organization</w:t>
            </w:r>
          </w:p>
          <w:p w14:paraId="1B77DD0C" w14:textId="3D7E769D" w:rsidR="00901C2A" w:rsidRPr="00F512C2" w:rsidRDefault="00901C2A" w:rsidP="00901C2A">
            <w:pPr>
              <w:widowControl w:val="0"/>
              <w:rPr>
                <w:sz w:val="20"/>
              </w:rPr>
            </w:pPr>
          </w:p>
        </w:tc>
        <w:tc>
          <w:tcPr>
            <w:tcW w:w="891" w:type="pct"/>
          </w:tcPr>
          <w:p w14:paraId="26C9979C" w14:textId="77777777" w:rsidR="00901C2A" w:rsidRPr="00F512C2" w:rsidRDefault="000D6FA2" w:rsidP="005734F1">
            <w:pPr>
              <w:widowControl w:val="0"/>
              <w:jc w:val="center"/>
              <w:rPr>
                <w:sz w:val="20"/>
              </w:rPr>
            </w:pPr>
            <w:r w:rsidRPr="00F512C2">
              <w:rPr>
                <w:sz w:val="20"/>
              </w:rPr>
              <w:t>.6798</w:t>
            </w:r>
          </w:p>
          <w:p w14:paraId="6067C5E9" w14:textId="428AB6D6" w:rsidR="000D6FA2" w:rsidRPr="00F512C2" w:rsidRDefault="000D6FA2" w:rsidP="005734F1">
            <w:pPr>
              <w:widowControl w:val="0"/>
              <w:jc w:val="center"/>
              <w:rPr>
                <w:sz w:val="20"/>
              </w:rPr>
            </w:pPr>
            <w:r w:rsidRPr="00F512C2">
              <w:rPr>
                <w:sz w:val="20"/>
              </w:rPr>
              <w:t>(1.1</w:t>
            </w:r>
            <w:r w:rsidR="00F3388F" w:rsidRPr="00F512C2">
              <w:rPr>
                <w:sz w:val="20"/>
              </w:rPr>
              <w:t>820)</w:t>
            </w:r>
          </w:p>
        </w:tc>
        <w:tc>
          <w:tcPr>
            <w:tcW w:w="842" w:type="pct"/>
          </w:tcPr>
          <w:p w14:paraId="61C51E3F" w14:textId="77777777" w:rsidR="00901C2A" w:rsidRPr="00F512C2" w:rsidRDefault="00F3388F" w:rsidP="005734F1">
            <w:pPr>
              <w:widowControl w:val="0"/>
              <w:jc w:val="center"/>
              <w:rPr>
                <w:sz w:val="20"/>
              </w:rPr>
            </w:pPr>
            <w:r w:rsidRPr="00F512C2">
              <w:rPr>
                <w:sz w:val="20"/>
              </w:rPr>
              <w:t>.6348</w:t>
            </w:r>
          </w:p>
          <w:p w14:paraId="08207076" w14:textId="23523552" w:rsidR="00F3388F" w:rsidRPr="00F512C2" w:rsidRDefault="00F3388F" w:rsidP="005734F1">
            <w:pPr>
              <w:widowControl w:val="0"/>
              <w:jc w:val="center"/>
              <w:rPr>
                <w:sz w:val="20"/>
              </w:rPr>
            </w:pPr>
            <w:r w:rsidRPr="00F512C2">
              <w:rPr>
                <w:sz w:val="20"/>
              </w:rPr>
              <w:t>(1.1888)</w:t>
            </w:r>
          </w:p>
        </w:tc>
        <w:tc>
          <w:tcPr>
            <w:tcW w:w="594" w:type="pct"/>
          </w:tcPr>
          <w:p w14:paraId="2DC4B11E" w14:textId="77777777" w:rsidR="00901C2A" w:rsidRPr="00F512C2" w:rsidRDefault="00F3388F" w:rsidP="005734F1">
            <w:pPr>
              <w:widowControl w:val="0"/>
              <w:jc w:val="center"/>
              <w:rPr>
                <w:sz w:val="20"/>
              </w:rPr>
            </w:pPr>
            <w:r w:rsidRPr="00F512C2">
              <w:rPr>
                <w:sz w:val="20"/>
              </w:rPr>
              <w:t>3.9214**</w:t>
            </w:r>
          </w:p>
          <w:p w14:paraId="5F871929" w14:textId="2B90E8BD" w:rsidR="00F3388F" w:rsidRPr="00F512C2" w:rsidRDefault="00F3388F" w:rsidP="005734F1">
            <w:pPr>
              <w:widowControl w:val="0"/>
              <w:jc w:val="center"/>
              <w:rPr>
                <w:sz w:val="20"/>
              </w:rPr>
            </w:pPr>
            <w:r w:rsidRPr="00F512C2">
              <w:rPr>
                <w:sz w:val="20"/>
              </w:rPr>
              <w:t>(1.2332)</w:t>
            </w:r>
          </w:p>
        </w:tc>
        <w:tc>
          <w:tcPr>
            <w:tcW w:w="693" w:type="pct"/>
          </w:tcPr>
          <w:p w14:paraId="55D40131" w14:textId="77777777" w:rsidR="00901C2A" w:rsidRPr="00F512C2" w:rsidRDefault="00845C6E" w:rsidP="005734F1">
            <w:pPr>
              <w:widowControl w:val="0"/>
              <w:jc w:val="center"/>
              <w:rPr>
                <w:sz w:val="20"/>
              </w:rPr>
            </w:pPr>
            <w:r w:rsidRPr="00F512C2">
              <w:rPr>
                <w:sz w:val="20"/>
              </w:rPr>
              <w:t>3.9896**</w:t>
            </w:r>
          </w:p>
          <w:p w14:paraId="5CDD1FDF" w14:textId="315031C9" w:rsidR="00845C6E" w:rsidRPr="00F512C2" w:rsidRDefault="00845C6E" w:rsidP="005734F1">
            <w:pPr>
              <w:widowControl w:val="0"/>
              <w:jc w:val="center"/>
              <w:rPr>
                <w:sz w:val="20"/>
              </w:rPr>
            </w:pPr>
            <w:r w:rsidRPr="00F512C2">
              <w:rPr>
                <w:sz w:val="20"/>
              </w:rPr>
              <w:t>(1.1650)</w:t>
            </w:r>
          </w:p>
        </w:tc>
      </w:tr>
      <w:tr w:rsidR="00901C2A" w:rsidRPr="00F512C2" w14:paraId="54F34F1F" w14:textId="77777777" w:rsidTr="009E73CA">
        <w:tc>
          <w:tcPr>
            <w:tcW w:w="1980" w:type="pct"/>
          </w:tcPr>
          <w:p w14:paraId="44D37678" w14:textId="0466E537" w:rsidR="00901C2A" w:rsidRPr="00F512C2" w:rsidRDefault="00901C2A" w:rsidP="00901C2A">
            <w:pPr>
              <w:widowControl w:val="0"/>
              <w:rPr>
                <w:sz w:val="20"/>
                <w:vertAlign w:val="subscript"/>
              </w:rPr>
            </w:pPr>
            <w:r w:rsidRPr="00F512C2">
              <w:rPr>
                <w:sz w:val="20"/>
              </w:rPr>
              <w:t>Trade Openness</w:t>
            </w:r>
            <w:r w:rsidRPr="00F512C2">
              <w:rPr>
                <w:sz w:val="20"/>
                <w:vertAlign w:val="subscript"/>
              </w:rPr>
              <w:t xml:space="preserve">  </w:t>
            </w:r>
          </w:p>
          <w:p w14:paraId="7F74A03F" w14:textId="77777777" w:rsidR="00901C2A" w:rsidRPr="00F512C2" w:rsidRDefault="00901C2A" w:rsidP="00901C2A">
            <w:pPr>
              <w:widowControl w:val="0"/>
              <w:rPr>
                <w:sz w:val="20"/>
                <w:vertAlign w:val="subscript"/>
              </w:rPr>
            </w:pPr>
          </w:p>
        </w:tc>
        <w:tc>
          <w:tcPr>
            <w:tcW w:w="891" w:type="pct"/>
          </w:tcPr>
          <w:p w14:paraId="61A7E1DE" w14:textId="77777777" w:rsidR="00901C2A" w:rsidRPr="00F512C2" w:rsidRDefault="00D97796" w:rsidP="005734F1">
            <w:pPr>
              <w:widowControl w:val="0"/>
              <w:jc w:val="center"/>
              <w:rPr>
                <w:sz w:val="20"/>
              </w:rPr>
            </w:pPr>
            <w:r w:rsidRPr="00F512C2">
              <w:rPr>
                <w:sz w:val="20"/>
              </w:rPr>
              <w:t>.05</w:t>
            </w:r>
            <w:r w:rsidR="00C97E80" w:rsidRPr="00F512C2">
              <w:rPr>
                <w:sz w:val="20"/>
              </w:rPr>
              <w:t>41**</w:t>
            </w:r>
          </w:p>
          <w:p w14:paraId="38349C1B" w14:textId="30F5915A" w:rsidR="00C97E80" w:rsidRPr="00F512C2" w:rsidRDefault="00C97E80" w:rsidP="005734F1">
            <w:pPr>
              <w:widowControl w:val="0"/>
              <w:jc w:val="center"/>
              <w:rPr>
                <w:sz w:val="20"/>
              </w:rPr>
            </w:pPr>
            <w:r w:rsidRPr="00F512C2">
              <w:rPr>
                <w:sz w:val="20"/>
              </w:rPr>
              <w:t>(.0184)</w:t>
            </w:r>
          </w:p>
        </w:tc>
        <w:tc>
          <w:tcPr>
            <w:tcW w:w="842" w:type="pct"/>
          </w:tcPr>
          <w:p w14:paraId="478A0A70" w14:textId="77777777" w:rsidR="00901C2A" w:rsidRPr="00F512C2" w:rsidRDefault="00C97E80" w:rsidP="005734F1">
            <w:pPr>
              <w:widowControl w:val="0"/>
              <w:jc w:val="center"/>
              <w:rPr>
                <w:sz w:val="20"/>
              </w:rPr>
            </w:pPr>
            <w:r w:rsidRPr="00F512C2">
              <w:rPr>
                <w:sz w:val="20"/>
              </w:rPr>
              <w:t>.0547**</w:t>
            </w:r>
          </w:p>
          <w:p w14:paraId="55557E2A" w14:textId="7694DEAD" w:rsidR="00C97E80" w:rsidRPr="00F512C2" w:rsidRDefault="00C97E80" w:rsidP="005734F1">
            <w:pPr>
              <w:widowControl w:val="0"/>
              <w:jc w:val="center"/>
              <w:rPr>
                <w:sz w:val="20"/>
              </w:rPr>
            </w:pPr>
            <w:r w:rsidRPr="00F512C2">
              <w:rPr>
                <w:sz w:val="20"/>
              </w:rPr>
              <w:t>(.0185</w:t>
            </w:r>
          </w:p>
        </w:tc>
        <w:tc>
          <w:tcPr>
            <w:tcW w:w="594" w:type="pct"/>
          </w:tcPr>
          <w:p w14:paraId="09B47C1B" w14:textId="77777777" w:rsidR="00901C2A" w:rsidRPr="00F512C2" w:rsidRDefault="00824BAE" w:rsidP="005734F1">
            <w:pPr>
              <w:widowControl w:val="0"/>
              <w:jc w:val="center"/>
              <w:rPr>
                <w:sz w:val="20"/>
              </w:rPr>
            </w:pPr>
            <w:r w:rsidRPr="00F512C2">
              <w:rPr>
                <w:sz w:val="20"/>
              </w:rPr>
              <w:t>.0017</w:t>
            </w:r>
          </w:p>
          <w:p w14:paraId="4BD6009A" w14:textId="53D5C726" w:rsidR="00824BAE" w:rsidRPr="00F512C2" w:rsidRDefault="00824BAE" w:rsidP="005734F1">
            <w:pPr>
              <w:widowControl w:val="0"/>
              <w:jc w:val="center"/>
              <w:rPr>
                <w:sz w:val="20"/>
              </w:rPr>
            </w:pPr>
            <w:r w:rsidRPr="00F512C2">
              <w:rPr>
                <w:sz w:val="20"/>
              </w:rPr>
              <w:t>(.</w:t>
            </w:r>
            <w:r w:rsidR="00D55290" w:rsidRPr="00F512C2">
              <w:rPr>
                <w:sz w:val="20"/>
              </w:rPr>
              <w:t>0017)</w:t>
            </w:r>
          </w:p>
        </w:tc>
        <w:tc>
          <w:tcPr>
            <w:tcW w:w="693" w:type="pct"/>
          </w:tcPr>
          <w:p w14:paraId="36680308" w14:textId="77777777" w:rsidR="00901C2A" w:rsidRPr="00F512C2" w:rsidRDefault="00D55290" w:rsidP="005734F1">
            <w:pPr>
              <w:widowControl w:val="0"/>
              <w:jc w:val="center"/>
              <w:rPr>
                <w:sz w:val="20"/>
              </w:rPr>
            </w:pPr>
            <w:r w:rsidRPr="00F512C2">
              <w:rPr>
                <w:sz w:val="20"/>
              </w:rPr>
              <w:t>.0054</w:t>
            </w:r>
          </w:p>
          <w:p w14:paraId="6BE1EAA3" w14:textId="082B0250" w:rsidR="00D55290" w:rsidRPr="00F512C2" w:rsidRDefault="00D55290" w:rsidP="005734F1">
            <w:pPr>
              <w:widowControl w:val="0"/>
              <w:jc w:val="center"/>
              <w:rPr>
                <w:sz w:val="20"/>
              </w:rPr>
            </w:pPr>
            <w:r w:rsidRPr="00F512C2">
              <w:rPr>
                <w:sz w:val="20"/>
              </w:rPr>
              <w:t>(.0168)</w:t>
            </w:r>
          </w:p>
        </w:tc>
      </w:tr>
      <w:tr w:rsidR="00901C2A" w:rsidRPr="00F512C2" w14:paraId="6A691432" w14:textId="77777777" w:rsidTr="009E73CA">
        <w:tc>
          <w:tcPr>
            <w:tcW w:w="1980" w:type="pct"/>
          </w:tcPr>
          <w:p w14:paraId="152F4549" w14:textId="064F8F64" w:rsidR="00901C2A" w:rsidRPr="00F512C2" w:rsidRDefault="00901C2A" w:rsidP="00901C2A">
            <w:pPr>
              <w:widowControl w:val="0"/>
              <w:rPr>
                <w:sz w:val="20"/>
              </w:rPr>
            </w:pPr>
            <w:r w:rsidRPr="00F512C2">
              <w:rPr>
                <w:sz w:val="20"/>
              </w:rPr>
              <w:t>Capital Market Openness</w:t>
            </w:r>
            <w:r w:rsidRPr="00F512C2">
              <w:rPr>
                <w:sz w:val="20"/>
                <w:vertAlign w:val="subscript"/>
              </w:rPr>
              <w:t xml:space="preserve"> </w:t>
            </w:r>
          </w:p>
          <w:p w14:paraId="5181C002" w14:textId="77777777" w:rsidR="00901C2A" w:rsidRPr="00F512C2" w:rsidRDefault="00901C2A" w:rsidP="00901C2A">
            <w:pPr>
              <w:widowControl w:val="0"/>
              <w:rPr>
                <w:sz w:val="20"/>
              </w:rPr>
            </w:pPr>
          </w:p>
        </w:tc>
        <w:tc>
          <w:tcPr>
            <w:tcW w:w="891" w:type="pct"/>
          </w:tcPr>
          <w:p w14:paraId="642FC6DD" w14:textId="77777777" w:rsidR="00901C2A" w:rsidRPr="00F512C2" w:rsidRDefault="00D55290" w:rsidP="005734F1">
            <w:pPr>
              <w:widowControl w:val="0"/>
              <w:jc w:val="center"/>
              <w:rPr>
                <w:sz w:val="20"/>
              </w:rPr>
            </w:pPr>
            <w:r w:rsidRPr="00F512C2">
              <w:rPr>
                <w:sz w:val="20"/>
              </w:rPr>
              <w:t>.0501**</w:t>
            </w:r>
          </w:p>
          <w:p w14:paraId="79AFF94B" w14:textId="0E500A18" w:rsidR="00D55290" w:rsidRPr="00F512C2" w:rsidRDefault="00D55290" w:rsidP="005734F1">
            <w:pPr>
              <w:widowControl w:val="0"/>
              <w:jc w:val="center"/>
              <w:rPr>
                <w:sz w:val="20"/>
              </w:rPr>
            </w:pPr>
            <w:r w:rsidRPr="00F512C2">
              <w:rPr>
                <w:sz w:val="20"/>
              </w:rPr>
              <w:t>(.0302)</w:t>
            </w:r>
          </w:p>
        </w:tc>
        <w:tc>
          <w:tcPr>
            <w:tcW w:w="842" w:type="pct"/>
          </w:tcPr>
          <w:p w14:paraId="45C94722" w14:textId="77777777" w:rsidR="00901C2A" w:rsidRPr="00F512C2" w:rsidRDefault="00321178" w:rsidP="005734F1">
            <w:pPr>
              <w:widowControl w:val="0"/>
              <w:jc w:val="center"/>
              <w:rPr>
                <w:sz w:val="20"/>
              </w:rPr>
            </w:pPr>
            <w:r w:rsidRPr="00F512C2">
              <w:rPr>
                <w:sz w:val="20"/>
              </w:rPr>
              <w:t>.0508**</w:t>
            </w:r>
          </w:p>
          <w:p w14:paraId="6EFBBA03" w14:textId="645DC436" w:rsidR="00321178" w:rsidRPr="00F512C2" w:rsidRDefault="00321178" w:rsidP="005734F1">
            <w:pPr>
              <w:widowControl w:val="0"/>
              <w:jc w:val="center"/>
              <w:rPr>
                <w:sz w:val="20"/>
              </w:rPr>
            </w:pPr>
            <w:r w:rsidRPr="00F512C2">
              <w:rPr>
                <w:sz w:val="20"/>
              </w:rPr>
              <w:t>(.0302)</w:t>
            </w:r>
          </w:p>
        </w:tc>
        <w:tc>
          <w:tcPr>
            <w:tcW w:w="594" w:type="pct"/>
          </w:tcPr>
          <w:p w14:paraId="60EC7F61" w14:textId="77777777" w:rsidR="00901C2A" w:rsidRPr="00F512C2" w:rsidRDefault="00321178" w:rsidP="005734F1">
            <w:pPr>
              <w:widowControl w:val="0"/>
              <w:jc w:val="center"/>
              <w:rPr>
                <w:sz w:val="20"/>
              </w:rPr>
            </w:pPr>
            <w:r w:rsidRPr="00F512C2">
              <w:rPr>
                <w:sz w:val="20"/>
              </w:rPr>
              <w:t>.0470</w:t>
            </w:r>
          </w:p>
          <w:p w14:paraId="4A1C0A63" w14:textId="01F11A57" w:rsidR="00321178" w:rsidRPr="00F512C2" w:rsidRDefault="00321178" w:rsidP="005734F1">
            <w:pPr>
              <w:widowControl w:val="0"/>
              <w:jc w:val="center"/>
              <w:rPr>
                <w:sz w:val="20"/>
              </w:rPr>
            </w:pPr>
            <w:r w:rsidRPr="00F512C2">
              <w:rPr>
                <w:sz w:val="20"/>
              </w:rPr>
              <w:t>(.</w:t>
            </w:r>
            <w:r w:rsidR="00BA5393" w:rsidRPr="00F512C2">
              <w:rPr>
                <w:sz w:val="20"/>
              </w:rPr>
              <w:t>0378)</w:t>
            </w:r>
          </w:p>
        </w:tc>
        <w:tc>
          <w:tcPr>
            <w:tcW w:w="693" w:type="pct"/>
          </w:tcPr>
          <w:p w14:paraId="22C33950" w14:textId="77777777" w:rsidR="00901C2A" w:rsidRPr="00F512C2" w:rsidRDefault="00BA5393" w:rsidP="005734F1">
            <w:pPr>
              <w:widowControl w:val="0"/>
              <w:jc w:val="center"/>
              <w:rPr>
                <w:sz w:val="20"/>
              </w:rPr>
            </w:pPr>
            <w:r w:rsidRPr="00F512C2">
              <w:rPr>
                <w:sz w:val="20"/>
              </w:rPr>
              <w:t>.0438</w:t>
            </w:r>
          </w:p>
          <w:p w14:paraId="30C75733" w14:textId="1105EB98" w:rsidR="00BA5393" w:rsidRPr="00F512C2" w:rsidRDefault="00BA5393" w:rsidP="005734F1">
            <w:pPr>
              <w:widowControl w:val="0"/>
              <w:jc w:val="center"/>
              <w:rPr>
                <w:sz w:val="20"/>
              </w:rPr>
            </w:pPr>
            <w:r w:rsidRPr="00F512C2">
              <w:rPr>
                <w:sz w:val="20"/>
              </w:rPr>
              <w:t>(.0373)</w:t>
            </w:r>
          </w:p>
        </w:tc>
      </w:tr>
      <w:tr w:rsidR="00901C2A" w:rsidRPr="00F512C2" w14:paraId="61B67C34" w14:textId="77777777" w:rsidTr="009E73CA">
        <w:tc>
          <w:tcPr>
            <w:tcW w:w="1980" w:type="pct"/>
          </w:tcPr>
          <w:p w14:paraId="5C38A5BE" w14:textId="31E513FC" w:rsidR="00901C2A" w:rsidRPr="00F512C2" w:rsidRDefault="00901C2A" w:rsidP="00901C2A">
            <w:pPr>
              <w:widowControl w:val="0"/>
              <w:rPr>
                <w:sz w:val="20"/>
                <w:vertAlign w:val="subscript"/>
              </w:rPr>
            </w:pPr>
            <w:r w:rsidRPr="00F512C2">
              <w:rPr>
                <w:sz w:val="20"/>
              </w:rPr>
              <w:t xml:space="preserve">Deindustrialization </w:t>
            </w:r>
          </w:p>
          <w:p w14:paraId="043B533A" w14:textId="77777777" w:rsidR="00901C2A" w:rsidRPr="00F512C2" w:rsidRDefault="00901C2A" w:rsidP="00901C2A">
            <w:pPr>
              <w:widowControl w:val="0"/>
              <w:rPr>
                <w:sz w:val="20"/>
              </w:rPr>
            </w:pPr>
          </w:p>
        </w:tc>
        <w:tc>
          <w:tcPr>
            <w:tcW w:w="891" w:type="pct"/>
          </w:tcPr>
          <w:p w14:paraId="50750F15" w14:textId="77777777" w:rsidR="00901C2A" w:rsidRPr="00F512C2" w:rsidRDefault="008B27D6" w:rsidP="005734F1">
            <w:pPr>
              <w:widowControl w:val="0"/>
              <w:jc w:val="center"/>
              <w:rPr>
                <w:sz w:val="20"/>
              </w:rPr>
            </w:pPr>
            <w:r w:rsidRPr="00F512C2">
              <w:rPr>
                <w:sz w:val="20"/>
              </w:rPr>
              <w:t>.0249</w:t>
            </w:r>
          </w:p>
          <w:p w14:paraId="72F48C71" w14:textId="7F499972" w:rsidR="008B27D6" w:rsidRPr="00F512C2" w:rsidRDefault="008B27D6" w:rsidP="005734F1">
            <w:pPr>
              <w:widowControl w:val="0"/>
              <w:jc w:val="center"/>
              <w:rPr>
                <w:sz w:val="20"/>
              </w:rPr>
            </w:pPr>
            <w:r w:rsidRPr="00F512C2">
              <w:rPr>
                <w:sz w:val="20"/>
              </w:rPr>
              <w:t>(.1369</w:t>
            </w:r>
          </w:p>
        </w:tc>
        <w:tc>
          <w:tcPr>
            <w:tcW w:w="842" w:type="pct"/>
          </w:tcPr>
          <w:p w14:paraId="3F14169D" w14:textId="77777777" w:rsidR="00901C2A" w:rsidRPr="00F512C2" w:rsidRDefault="00B90E56" w:rsidP="005734F1">
            <w:pPr>
              <w:widowControl w:val="0"/>
              <w:jc w:val="center"/>
              <w:rPr>
                <w:sz w:val="20"/>
              </w:rPr>
            </w:pPr>
            <w:r w:rsidRPr="00F512C2">
              <w:rPr>
                <w:sz w:val="20"/>
              </w:rPr>
              <w:t>.0</w:t>
            </w:r>
            <w:r w:rsidR="0041167B" w:rsidRPr="00F512C2">
              <w:rPr>
                <w:sz w:val="20"/>
              </w:rPr>
              <w:t>168</w:t>
            </w:r>
          </w:p>
          <w:p w14:paraId="2ABCC9FB" w14:textId="63A5D13D" w:rsidR="0041167B" w:rsidRPr="00F512C2" w:rsidRDefault="0041167B" w:rsidP="005734F1">
            <w:pPr>
              <w:widowControl w:val="0"/>
              <w:jc w:val="center"/>
              <w:rPr>
                <w:sz w:val="20"/>
              </w:rPr>
            </w:pPr>
            <w:r w:rsidRPr="00F512C2">
              <w:rPr>
                <w:sz w:val="20"/>
              </w:rPr>
              <w:t>(.1384)</w:t>
            </w:r>
          </w:p>
        </w:tc>
        <w:tc>
          <w:tcPr>
            <w:tcW w:w="594" w:type="pct"/>
          </w:tcPr>
          <w:p w14:paraId="0CB07FDC" w14:textId="77777777" w:rsidR="00901C2A" w:rsidRPr="00F512C2" w:rsidRDefault="0041167B" w:rsidP="005734F1">
            <w:pPr>
              <w:widowControl w:val="0"/>
              <w:jc w:val="center"/>
              <w:rPr>
                <w:sz w:val="20"/>
              </w:rPr>
            </w:pPr>
            <w:r w:rsidRPr="00F512C2">
              <w:rPr>
                <w:sz w:val="20"/>
              </w:rPr>
              <w:t>-1.0318**</w:t>
            </w:r>
          </w:p>
          <w:p w14:paraId="279D70A3" w14:textId="7DD4C770" w:rsidR="005734F1" w:rsidRPr="00F512C2" w:rsidRDefault="005734F1" w:rsidP="005734F1">
            <w:pPr>
              <w:widowControl w:val="0"/>
              <w:jc w:val="center"/>
              <w:rPr>
                <w:sz w:val="20"/>
              </w:rPr>
            </w:pPr>
            <w:r w:rsidRPr="00F512C2">
              <w:rPr>
                <w:sz w:val="20"/>
              </w:rPr>
              <w:t>(</w:t>
            </w:r>
            <w:r w:rsidR="007C46A5" w:rsidRPr="00F512C2">
              <w:rPr>
                <w:sz w:val="20"/>
              </w:rPr>
              <w:t>.1838)</w:t>
            </w:r>
          </w:p>
        </w:tc>
        <w:tc>
          <w:tcPr>
            <w:tcW w:w="693" w:type="pct"/>
          </w:tcPr>
          <w:p w14:paraId="75ECDD42" w14:textId="1AF1240A" w:rsidR="00901C2A" w:rsidRPr="00F512C2" w:rsidRDefault="0041167B" w:rsidP="005734F1">
            <w:pPr>
              <w:widowControl w:val="0"/>
              <w:jc w:val="center"/>
              <w:rPr>
                <w:sz w:val="20"/>
              </w:rPr>
            </w:pPr>
            <w:r w:rsidRPr="00F512C2">
              <w:rPr>
                <w:sz w:val="20"/>
              </w:rPr>
              <w:t>-1.0876**</w:t>
            </w:r>
          </w:p>
          <w:p w14:paraId="5DF6D782" w14:textId="7444EA10" w:rsidR="0041167B" w:rsidRPr="00F512C2" w:rsidRDefault="005734F1" w:rsidP="005734F1">
            <w:pPr>
              <w:widowControl w:val="0"/>
              <w:jc w:val="center"/>
              <w:rPr>
                <w:sz w:val="20"/>
              </w:rPr>
            </w:pPr>
            <w:r w:rsidRPr="00F512C2">
              <w:rPr>
                <w:sz w:val="20"/>
              </w:rPr>
              <w:t>(.1828)</w:t>
            </w:r>
          </w:p>
        </w:tc>
      </w:tr>
      <w:tr w:rsidR="00901C2A" w:rsidRPr="00F512C2" w14:paraId="763536B5" w14:textId="77777777" w:rsidTr="009E73CA">
        <w:tc>
          <w:tcPr>
            <w:tcW w:w="1980" w:type="pct"/>
          </w:tcPr>
          <w:p w14:paraId="55229E32" w14:textId="77777777" w:rsidR="00901C2A" w:rsidRPr="00F512C2" w:rsidRDefault="00901C2A" w:rsidP="00901C2A">
            <w:pPr>
              <w:widowControl w:val="0"/>
              <w:rPr>
                <w:sz w:val="20"/>
              </w:rPr>
            </w:pPr>
            <w:r w:rsidRPr="00F512C2">
              <w:rPr>
                <w:sz w:val="20"/>
              </w:rPr>
              <w:t>Economic Growth Rate</w:t>
            </w:r>
          </w:p>
          <w:p w14:paraId="30C7B8E6" w14:textId="2B78D225" w:rsidR="00892AB6" w:rsidRPr="00F512C2" w:rsidRDefault="00892AB6" w:rsidP="00901C2A">
            <w:pPr>
              <w:widowControl w:val="0"/>
              <w:rPr>
                <w:sz w:val="20"/>
              </w:rPr>
            </w:pPr>
          </w:p>
        </w:tc>
        <w:tc>
          <w:tcPr>
            <w:tcW w:w="891" w:type="pct"/>
          </w:tcPr>
          <w:p w14:paraId="22477C7D" w14:textId="7D0ECC9E" w:rsidR="00901C2A" w:rsidRPr="00F512C2" w:rsidRDefault="007C46A5" w:rsidP="005734F1">
            <w:pPr>
              <w:widowControl w:val="0"/>
              <w:jc w:val="center"/>
              <w:rPr>
                <w:sz w:val="20"/>
              </w:rPr>
            </w:pPr>
            <w:r w:rsidRPr="00F512C2">
              <w:rPr>
                <w:sz w:val="20"/>
              </w:rPr>
              <w:t>-.1379</w:t>
            </w:r>
            <w:r w:rsidR="00F562CD" w:rsidRPr="00F512C2">
              <w:rPr>
                <w:sz w:val="20"/>
              </w:rPr>
              <w:t>**</w:t>
            </w:r>
          </w:p>
          <w:p w14:paraId="790D1981" w14:textId="5701B4FD" w:rsidR="007C46A5" w:rsidRPr="00F512C2" w:rsidRDefault="007C46A5" w:rsidP="005734F1">
            <w:pPr>
              <w:widowControl w:val="0"/>
              <w:jc w:val="center"/>
              <w:rPr>
                <w:sz w:val="20"/>
              </w:rPr>
            </w:pPr>
            <w:r w:rsidRPr="00F512C2">
              <w:rPr>
                <w:sz w:val="20"/>
              </w:rPr>
              <w:t>(.0588)</w:t>
            </w:r>
          </w:p>
        </w:tc>
        <w:tc>
          <w:tcPr>
            <w:tcW w:w="842" w:type="pct"/>
          </w:tcPr>
          <w:p w14:paraId="26B5C5DE" w14:textId="77777777" w:rsidR="00901C2A" w:rsidRPr="00F512C2" w:rsidRDefault="007355D5" w:rsidP="005734F1">
            <w:pPr>
              <w:widowControl w:val="0"/>
              <w:jc w:val="center"/>
              <w:rPr>
                <w:sz w:val="20"/>
              </w:rPr>
            </w:pPr>
            <w:r w:rsidRPr="00F512C2">
              <w:rPr>
                <w:sz w:val="20"/>
              </w:rPr>
              <w:t>-.1394**</w:t>
            </w:r>
          </w:p>
          <w:p w14:paraId="069874C9" w14:textId="3D600565" w:rsidR="007355D5" w:rsidRPr="00F512C2" w:rsidRDefault="007355D5" w:rsidP="005734F1">
            <w:pPr>
              <w:widowControl w:val="0"/>
              <w:jc w:val="center"/>
              <w:rPr>
                <w:sz w:val="20"/>
              </w:rPr>
            </w:pPr>
            <w:r w:rsidRPr="00F512C2">
              <w:rPr>
                <w:sz w:val="20"/>
              </w:rPr>
              <w:t>(.0589)</w:t>
            </w:r>
          </w:p>
        </w:tc>
        <w:tc>
          <w:tcPr>
            <w:tcW w:w="594" w:type="pct"/>
          </w:tcPr>
          <w:p w14:paraId="6E471C04" w14:textId="77777777" w:rsidR="00901C2A" w:rsidRPr="00F512C2" w:rsidRDefault="007355D5" w:rsidP="005734F1">
            <w:pPr>
              <w:widowControl w:val="0"/>
              <w:jc w:val="center"/>
              <w:rPr>
                <w:sz w:val="20"/>
              </w:rPr>
            </w:pPr>
            <w:r w:rsidRPr="00F512C2">
              <w:rPr>
                <w:sz w:val="20"/>
              </w:rPr>
              <w:t>-.0746</w:t>
            </w:r>
          </w:p>
          <w:p w14:paraId="21C4ED82" w14:textId="1B2FD0B1" w:rsidR="007355D5" w:rsidRPr="00F512C2" w:rsidRDefault="007355D5" w:rsidP="005734F1">
            <w:pPr>
              <w:widowControl w:val="0"/>
              <w:jc w:val="center"/>
              <w:rPr>
                <w:sz w:val="20"/>
              </w:rPr>
            </w:pPr>
            <w:r w:rsidRPr="00F512C2">
              <w:rPr>
                <w:sz w:val="20"/>
              </w:rPr>
              <w:t>(.0702)</w:t>
            </w:r>
          </w:p>
        </w:tc>
        <w:tc>
          <w:tcPr>
            <w:tcW w:w="693" w:type="pct"/>
          </w:tcPr>
          <w:p w14:paraId="70E6EC63" w14:textId="77777777" w:rsidR="00901C2A" w:rsidRPr="00F512C2" w:rsidRDefault="007355D5" w:rsidP="005734F1">
            <w:pPr>
              <w:widowControl w:val="0"/>
              <w:jc w:val="center"/>
              <w:rPr>
                <w:sz w:val="20"/>
              </w:rPr>
            </w:pPr>
            <w:r w:rsidRPr="00F512C2">
              <w:rPr>
                <w:sz w:val="20"/>
              </w:rPr>
              <w:t>-.0810</w:t>
            </w:r>
          </w:p>
          <w:p w14:paraId="1AD84755" w14:textId="329A8A01" w:rsidR="007355D5" w:rsidRPr="00F512C2" w:rsidRDefault="007355D5" w:rsidP="005734F1">
            <w:pPr>
              <w:widowControl w:val="0"/>
              <w:jc w:val="center"/>
              <w:rPr>
                <w:sz w:val="20"/>
              </w:rPr>
            </w:pPr>
            <w:r w:rsidRPr="00F512C2">
              <w:rPr>
                <w:sz w:val="20"/>
              </w:rPr>
              <w:t>(.0704)</w:t>
            </w:r>
          </w:p>
        </w:tc>
      </w:tr>
      <w:tr w:rsidR="00901C2A" w:rsidRPr="00F512C2" w14:paraId="39237C19" w14:textId="77777777" w:rsidTr="009E73CA">
        <w:tc>
          <w:tcPr>
            <w:tcW w:w="1980" w:type="pct"/>
          </w:tcPr>
          <w:p w14:paraId="4D49B11A" w14:textId="5307F446" w:rsidR="00901C2A" w:rsidRPr="00F512C2" w:rsidRDefault="00901C2A" w:rsidP="00901C2A">
            <w:pPr>
              <w:widowControl w:val="0"/>
              <w:rPr>
                <w:sz w:val="20"/>
                <w:vertAlign w:val="subscript"/>
              </w:rPr>
            </w:pPr>
            <w:r w:rsidRPr="00F512C2">
              <w:rPr>
                <w:sz w:val="20"/>
              </w:rPr>
              <w:t xml:space="preserve">Unemployment </w:t>
            </w:r>
          </w:p>
          <w:p w14:paraId="1F1C0FE2" w14:textId="77777777" w:rsidR="00901C2A" w:rsidRPr="00F512C2" w:rsidRDefault="00901C2A" w:rsidP="00901C2A">
            <w:pPr>
              <w:widowControl w:val="0"/>
              <w:rPr>
                <w:sz w:val="20"/>
                <w:vertAlign w:val="subscript"/>
              </w:rPr>
            </w:pPr>
          </w:p>
        </w:tc>
        <w:tc>
          <w:tcPr>
            <w:tcW w:w="891" w:type="pct"/>
          </w:tcPr>
          <w:p w14:paraId="30D5BDD4" w14:textId="77777777" w:rsidR="00901C2A" w:rsidRPr="00F512C2" w:rsidRDefault="004C4B71" w:rsidP="005734F1">
            <w:pPr>
              <w:widowControl w:val="0"/>
              <w:jc w:val="center"/>
              <w:rPr>
                <w:sz w:val="20"/>
              </w:rPr>
            </w:pPr>
            <w:r w:rsidRPr="00F512C2">
              <w:rPr>
                <w:sz w:val="20"/>
              </w:rPr>
              <w:t>-.1331</w:t>
            </w:r>
          </w:p>
          <w:p w14:paraId="129A17FD" w14:textId="509FCA96" w:rsidR="004C4B71" w:rsidRPr="00F512C2" w:rsidRDefault="004C4B71" w:rsidP="005734F1">
            <w:pPr>
              <w:widowControl w:val="0"/>
              <w:jc w:val="center"/>
              <w:rPr>
                <w:sz w:val="20"/>
              </w:rPr>
            </w:pPr>
            <w:r w:rsidRPr="00F512C2">
              <w:rPr>
                <w:sz w:val="20"/>
              </w:rPr>
              <w:t>(.1496)</w:t>
            </w:r>
          </w:p>
        </w:tc>
        <w:tc>
          <w:tcPr>
            <w:tcW w:w="842" w:type="pct"/>
          </w:tcPr>
          <w:p w14:paraId="634A241B" w14:textId="77777777" w:rsidR="00901C2A" w:rsidRPr="00F512C2" w:rsidRDefault="00F562CD" w:rsidP="005734F1">
            <w:pPr>
              <w:widowControl w:val="0"/>
              <w:jc w:val="center"/>
              <w:rPr>
                <w:sz w:val="20"/>
              </w:rPr>
            </w:pPr>
            <w:r w:rsidRPr="00F512C2">
              <w:rPr>
                <w:sz w:val="20"/>
              </w:rPr>
              <w:t>-.1288</w:t>
            </w:r>
          </w:p>
          <w:p w14:paraId="3C96F1F1" w14:textId="1EC5EE8D" w:rsidR="00F562CD" w:rsidRPr="00F512C2" w:rsidRDefault="00F562CD" w:rsidP="005734F1">
            <w:pPr>
              <w:widowControl w:val="0"/>
              <w:jc w:val="center"/>
              <w:rPr>
                <w:sz w:val="20"/>
              </w:rPr>
            </w:pPr>
            <w:r w:rsidRPr="00F512C2">
              <w:rPr>
                <w:sz w:val="20"/>
              </w:rPr>
              <w:t>(.1499)</w:t>
            </w:r>
          </w:p>
        </w:tc>
        <w:tc>
          <w:tcPr>
            <w:tcW w:w="594" w:type="pct"/>
          </w:tcPr>
          <w:p w14:paraId="42CBDD80" w14:textId="77777777" w:rsidR="00901C2A" w:rsidRPr="00F512C2" w:rsidRDefault="00F562CD" w:rsidP="005734F1">
            <w:pPr>
              <w:widowControl w:val="0"/>
              <w:jc w:val="center"/>
              <w:rPr>
                <w:sz w:val="20"/>
              </w:rPr>
            </w:pPr>
            <w:r w:rsidRPr="00F512C2">
              <w:rPr>
                <w:sz w:val="20"/>
              </w:rPr>
              <w:t>.2818**</w:t>
            </w:r>
          </w:p>
          <w:p w14:paraId="05CC8AC3" w14:textId="08D6B3D2" w:rsidR="00F562CD" w:rsidRPr="00F512C2" w:rsidRDefault="00F562CD" w:rsidP="005734F1">
            <w:pPr>
              <w:widowControl w:val="0"/>
              <w:jc w:val="center"/>
              <w:rPr>
                <w:sz w:val="20"/>
              </w:rPr>
            </w:pPr>
            <w:r w:rsidRPr="00F512C2">
              <w:rPr>
                <w:sz w:val="20"/>
              </w:rPr>
              <w:t>(.1331</w:t>
            </w:r>
            <w:r w:rsidR="00D541A5" w:rsidRPr="00F512C2">
              <w:rPr>
                <w:sz w:val="20"/>
              </w:rPr>
              <w:t>)</w:t>
            </w:r>
          </w:p>
        </w:tc>
        <w:tc>
          <w:tcPr>
            <w:tcW w:w="693" w:type="pct"/>
          </w:tcPr>
          <w:p w14:paraId="063F834A" w14:textId="77777777" w:rsidR="00901C2A" w:rsidRPr="00F512C2" w:rsidRDefault="00D541A5" w:rsidP="005734F1">
            <w:pPr>
              <w:widowControl w:val="0"/>
              <w:jc w:val="center"/>
              <w:rPr>
                <w:sz w:val="20"/>
              </w:rPr>
            </w:pPr>
            <w:r w:rsidRPr="00F512C2">
              <w:rPr>
                <w:sz w:val="20"/>
              </w:rPr>
              <w:t>.3134**</w:t>
            </w:r>
          </w:p>
          <w:p w14:paraId="12F41703" w14:textId="1940B15A" w:rsidR="00D541A5" w:rsidRPr="00F512C2" w:rsidRDefault="00D541A5" w:rsidP="005734F1">
            <w:pPr>
              <w:widowControl w:val="0"/>
              <w:jc w:val="center"/>
              <w:rPr>
                <w:sz w:val="20"/>
              </w:rPr>
            </w:pPr>
            <w:r w:rsidRPr="00F512C2">
              <w:rPr>
                <w:sz w:val="20"/>
              </w:rPr>
              <w:t>(.1318)</w:t>
            </w:r>
          </w:p>
        </w:tc>
      </w:tr>
      <w:tr w:rsidR="00901C2A" w:rsidRPr="00F512C2" w14:paraId="089B26BD" w14:textId="77777777" w:rsidTr="009E73CA">
        <w:tc>
          <w:tcPr>
            <w:tcW w:w="1980" w:type="pct"/>
          </w:tcPr>
          <w:p w14:paraId="013DE8BF" w14:textId="77777777" w:rsidR="00901C2A" w:rsidRPr="00F512C2" w:rsidRDefault="00901C2A" w:rsidP="00901C2A">
            <w:pPr>
              <w:widowControl w:val="0"/>
              <w:rPr>
                <w:sz w:val="20"/>
              </w:rPr>
            </w:pPr>
            <w:r w:rsidRPr="00F512C2">
              <w:rPr>
                <w:sz w:val="20"/>
              </w:rPr>
              <w:t>Constant</w:t>
            </w:r>
          </w:p>
        </w:tc>
        <w:tc>
          <w:tcPr>
            <w:tcW w:w="891" w:type="pct"/>
          </w:tcPr>
          <w:p w14:paraId="3F16A4AE" w14:textId="5FC4A6B8" w:rsidR="00901C2A" w:rsidRPr="00F512C2" w:rsidRDefault="00D57E37" w:rsidP="005734F1">
            <w:pPr>
              <w:widowControl w:val="0"/>
              <w:jc w:val="center"/>
              <w:rPr>
                <w:sz w:val="20"/>
              </w:rPr>
            </w:pPr>
            <w:r w:rsidRPr="00F512C2">
              <w:rPr>
                <w:sz w:val="20"/>
              </w:rPr>
              <w:t>59.8044</w:t>
            </w:r>
          </w:p>
        </w:tc>
        <w:tc>
          <w:tcPr>
            <w:tcW w:w="842" w:type="pct"/>
          </w:tcPr>
          <w:p w14:paraId="62B87104" w14:textId="25A6FA17" w:rsidR="00901C2A" w:rsidRPr="00F512C2" w:rsidRDefault="00D57E37" w:rsidP="005734F1">
            <w:pPr>
              <w:widowControl w:val="0"/>
              <w:jc w:val="center"/>
              <w:rPr>
                <w:sz w:val="20"/>
              </w:rPr>
            </w:pPr>
            <w:r w:rsidRPr="00F512C2">
              <w:rPr>
                <w:sz w:val="20"/>
              </w:rPr>
              <w:t>60.1783</w:t>
            </w:r>
          </w:p>
        </w:tc>
        <w:tc>
          <w:tcPr>
            <w:tcW w:w="594" w:type="pct"/>
          </w:tcPr>
          <w:p w14:paraId="58D48888" w14:textId="046E1D81" w:rsidR="00901C2A" w:rsidRPr="00F512C2" w:rsidRDefault="00D57E37" w:rsidP="005734F1">
            <w:pPr>
              <w:widowControl w:val="0"/>
              <w:jc w:val="center"/>
              <w:rPr>
                <w:sz w:val="20"/>
              </w:rPr>
            </w:pPr>
            <w:r w:rsidRPr="00F512C2">
              <w:rPr>
                <w:sz w:val="20"/>
              </w:rPr>
              <w:t>123.3917</w:t>
            </w:r>
          </w:p>
        </w:tc>
        <w:tc>
          <w:tcPr>
            <w:tcW w:w="693" w:type="pct"/>
          </w:tcPr>
          <w:p w14:paraId="6C86C0B1" w14:textId="48F4E09A" w:rsidR="00901C2A" w:rsidRPr="00F512C2" w:rsidRDefault="00AC5D48" w:rsidP="005734F1">
            <w:pPr>
              <w:widowControl w:val="0"/>
              <w:jc w:val="center"/>
              <w:rPr>
                <w:sz w:val="20"/>
              </w:rPr>
            </w:pPr>
            <w:r w:rsidRPr="00F512C2">
              <w:rPr>
                <w:sz w:val="20"/>
              </w:rPr>
              <w:t>126.5812</w:t>
            </w:r>
          </w:p>
        </w:tc>
      </w:tr>
      <w:tr w:rsidR="00901C2A" w:rsidRPr="00F512C2" w14:paraId="0752BC43" w14:textId="77777777" w:rsidTr="009E73CA">
        <w:tc>
          <w:tcPr>
            <w:tcW w:w="1980" w:type="pct"/>
          </w:tcPr>
          <w:p w14:paraId="4329CB72" w14:textId="77777777" w:rsidR="00901C2A" w:rsidRPr="00F512C2" w:rsidRDefault="00901C2A" w:rsidP="00901C2A">
            <w:pPr>
              <w:widowControl w:val="0"/>
              <w:rPr>
                <w:sz w:val="20"/>
              </w:rPr>
            </w:pPr>
            <w:r w:rsidRPr="00F512C2">
              <w:rPr>
                <w:sz w:val="20"/>
              </w:rPr>
              <w:t>R</w:t>
            </w:r>
            <w:r w:rsidRPr="00F512C2">
              <w:rPr>
                <w:sz w:val="20"/>
                <w:vertAlign w:val="superscript"/>
              </w:rPr>
              <w:t>2</w:t>
            </w:r>
          </w:p>
        </w:tc>
        <w:tc>
          <w:tcPr>
            <w:tcW w:w="891" w:type="pct"/>
          </w:tcPr>
          <w:p w14:paraId="356EA364" w14:textId="1A9B680D" w:rsidR="00901C2A" w:rsidRPr="00F512C2" w:rsidRDefault="0059599B" w:rsidP="005734F1">
            <w:pPr>
              <w:widowControl w:val="0"/>
              <w:jc w:val="center"/>
              <w:rPr>
                <w:sz w:val="20"/>
              </w:rPr>
            </w:pPr>
            <w:r w:rsidRPr="00F512C2">
              <w:rPr>
                <w:sz w:val="20"/>
              </w:rPr>
              <w:t>.7976</w:t>
            </w:r>
          </w:p>
        </w:tc>
        <w:tc>
          <w:tcPr>
            <w:tcW w:w="842" w:type="pct"/>
          </w:tcPr>
          <w:p w14:paraId="707EF809" w14:textId="5D9C0C25" w:rsidR="00901C2A" w:rsidRPr="00F512C2" w:rsidRDefault="0059599B" w:rsidP="005734F1">
            <w:pPr>
              <w:widowControl w:val="0"/>
              <w:jc w:val="center"/>
              <w:rPr>
                <w:sz w:val="20"/>
              </w:rPr>
            </w:pPr>
            <w:r w:rsidRPr="00F512C2">
              <w:rPr>
                <w:sz w:val="20"/>
              </w:rPr>
              <w:t>.7979</w:t>
            </w:r>
          </w:p>
        </w:tc>
        <w:tc>
          <w:tcPr>
            <w:tcW w:w="594" w:type="pct"/>
          </w:tcPr>
          <w:p w14:paraId="51FE60C3" w14:textId="2134E2DC" w:rsidR="00901C2A" w:rsidRPr="00F512C2" w:rsidRDefault="0059599B" w:rsidP="005734F1">
            <w:pPr>
              <w:widowControl w:val="0"/>
              <w:jc w:val="center"/>
              <w:rPr>
                <w:sz w:val="20"/>
              </w:rPr>
            </w:pPr>
            <w:r w:rsidRPr="00F512C2">
              <w:rPr>
                <w:sz w:val="20"/>
              </w:rPr>
              <w:t>.7873</w:t>
            </w:r>
          </w:p>
        </w:tc>
        <w:tc>
          <w:tcPr>
            <w:tcW w:w="693" w:type="pct"/>
          </w:tcPr>
          <w:p w14:paraId="26D2FD78" w14:textId="1195C320" w:rsidR="00901C2A" w:rsidRPr="00F512C2" w:rsidRDefault="0059599B" w:rsidP="005734F1">
            <w:pPr>
              <w:widowControl w:val="0"/>
              <w:jc w:val="center"/>
              <w:rPr>
                <w:sz w:val="20"/>
              </w:rPr>
            </w:pPr>
            <w:r w:rsidRPr="00F512C2">
              <w:rPr>
                <w:sz w:val="20"/>
              </w:rPr>
              <w:t>.7903</w:t>
            </w:r>
          </w:p>
        </w:tc>
      </w:tr>
      <w:tr w:rsidR="00901C2A" w:rsidRPr="00F512C2" w14:paraId="7E39767E" w14:textId="77777777" w:rsidTr="009E73CA">
        <w:tc>
          <w:tcPr>
            <w:tcW w:w="1980" w:type="pct"/>
          </w:tcPr>
          <w:p w14:paraId="0C0D1DC0" w14:textId="77777777" w:rsidR="00901C2A" w:rsidRPr="00F512C2" w:rsidRDefault="00901C2A" w:rsidP="00901C2A">
            <w:pPr>
              <w:widowControl w:val="0"/>
              <w:rPr>
                <w:sz w:val="20"/>
              </w:rPr>
            </w:pPr>
            <w:r w:rsidRPr="00F512C2">
              <w:rPr>
                <w:sz w:val="20"/>
              </w:rPr>
              <w:t>Observations</w:t>
            </w:r>
          </w:p>
        </w:tc>
        <w:tc>
          <w:tcPr>
            <w:tcW w:w="891" w:type="pct"/>
          </w:tcPr>
          <w:p w14:paraId="6E3B0632" w14:textId="7E707636" w:rsidR="00901C2A" w:rsidRPr="00F512C2" w:rsidRDefault="00F75F50" w:rsidP="005734F1">
            <w:pPr>
              <w:widowControl w:val="0"/>
              <w:jc w:val="center"/>
              <w:rPr>
                <w:sz w:val="20"/>
              </w:rPr>
            </w:pPr>
            <w:r w:rsidRPr="00F512C2">
              <w:rPr>
                <w:sz w:val="20"/>
              </w:rPr>
              <w:t>434</w:t>
            </w:r>
          </w:p>
        </w:tc>
        <w:tc>
          <w:tcPr>
            <w:tcW w:w="842" w:type="pct"/>
          </w:tcPr>
          <w:p w14:paraId="696995E3" w14:textId="674B2736" w:rsidR="00901C2A" w:rsidRPr="00F512C2" w:rsidRDefault="00F75F50" w:rsidP="005734F1">
            <w:pPr>
              <w:widowControl w:val="0"/>
              <w:jc w:val="center"/>
              <w:rPr>
                <w:sz w:val="20"/>
              </w:rPr>
            </w:pPr>
            <w:r w:rsidRPr="00F512C2">
              <w:rPr>
                <w:sz w:val="20"/>
              </w:rPr>
              <w:t>434</w:t>
            </w:r>
          </w:p>
        </w:tc>
        <w:tc>
          <w:tcPr>
            <w:tcW w:w="594" w:type="pct"/>
          </w:tcPr>
          <w:p w14:paraId="12A80AB2" w14:textId="69B129B1" w:rsidR="00901C2A" w:rsidRPr="00F512C2" w:rsidRDefault="00F75F50" w:rsidP="005734F1">
            <w:pPr>
              <w:widowControl w:val="0"/>
              <w:jc w:val="center"/>
              <w:rPr>
                <w:sz w:val="20"/>
              </w:rPr>
            </w:pPr>
            <w:r w:rsidRPr="00F512C2">
              <w:rPr>
                <w:sz w:val="20"/>
              </w:rPr>
              <w:t>340</w:t>
            </w:r>
          </w:p>
        </w:tc>
        <w:tc>
          <w:tcPr>
            <w:tcW w:w="693" w:type="pct"/>
          </w:tcPr>
          <w:p w14:paraId="53AF1159" w14:textId="2AC2A0CA" w:rsidR="00901C2A" w:rsidRPr="00F512C2" w:rsidRDefault="00F75F50" w:rsidP="005734F1">
            <w:pPr>
              <w:widowControl w:val="0"/>
              <w:jc w:val="center"/>
              <w:rPr>
                <w:sz w:val="20"/>
              </w:rPr>
            </w:pPr>
            <w:r w:rsidRPr="00F512C2">
              <w:rPr>
                <w:sz w:val="20"/>
              </w:rPr>
              <w:t>340</w:t>
            </w:r>
          </w:p>
        </w:tc>
      </w:tr>
    </w:tbl>
    <w:p w14:paraId="04161C84" w14:textId="77777777" w:rsidR="00974657" w:rsidRPr="00F512C2" w:rsidRDefault="00974657" w:rsidP="006D58CA">
      <w:pPr>
        <w:widowControl w:val="0"/>
        <w:ind w:left="720" w:hanging="720"/>
        <w:rPr>
          <w:sz w:val="20"/>
        </w:rPr>
      </w:pPr>
    </w:p>
    <w:p w14:paraId="0661E468" w14:textId="2D3FCFDD" w:rsidR="006D58CA" w:rsidRPr="00F512C2" w:rsidRDefault="00302295" w:rsidP="0014052F">
      <w:pPr>
        <w:widowControl w:val="0"/>
        <w:jc w:val="both"/>
        <w:rPr>
          <w:sz w:val="20"/>
        </w:rPr>
      </w:pPr>
      <w:r w:rsidRPr="00F512C2">
        <w:rPr>
          <w:sz w:val="20"/>
        </w:rPr>
        <w:t xml:space="preserve">Models </w:t>
      </w:r>
      <w:r w:rsidR="00821D0A" w:rsidRPr="00F512C2">
        <w:rPr>
          <w:sz w:val="20"/>
        </w:rPr>
        <w:t xml:space="preserve">of the unemployment compensation replacement rate for low income workers </w:t>
      </w:r>
      <w:r w:rsidRPr="00F512C2">
        <w:rPr>
          <w:sz w:val="20"/>
        </w:rPr>
        <w:t>are estimated with 1978-201</w:t>
      </w:r>
      <w:r w:rsidR="00924ECC" w:rsidRPr="00F512C2">
        <w:rPr>
          <w:sz w:val="20"/>
        </w:rPr>
        <w:t>0</w:t>
      </w:r>
      <w:r w:rsidR="006D58CA" w:rsidRPr="00F512C2">
        <w:rPr>
          <w:sz w:val="20"/>
        </w:rPr>
        <w:t xml:space="preserve"> </w:t>
      </w:r>
    </w:p>
    <w:p w14:paraId="4373FF77" w14:textId="6482EFA7" w:rsidR="00302295" w:rsidRPr="00F512C2" w:rsidRDefault="00302295" w:rsidP="0014052F">
      <w:pPr>
        <w:widowControl w:val="0"/>
        <w:jc w:val="both"/>
        <w:rPr>
          <w:sz w:val="20"/>
        </w:rPr>
      </w:pPr>
      <w:r w:rsidRPr="00F512C2">
        <w:rPr>
          <w:sz w:val="20"/>
        </w:rPr>
        <w:t>data for 1</w:t>
      </w:r>
      <w:r w:rsidR="00921375" w:rsidRPr="00F512C2">
        <w:rPr>
          <w:sz w:val="20"/>
        </w:rPr>
        <w:t>8</w:t>
      </w:r>
      <w:r w:rsidRPr="00F512C2">
        <w:rPr>
          <w:sz w:val="20"/>
        </w:rPr>
        <w:t xml:space="preserve"> advanced democracies </w:t>
      </w:r>
      <w:r w:rsidR="00D93002" w:rsidRPr="00F512C2">
        <w:rPr>
          <w:sz w:val="20"/>
        </w:rPr>
        <w:t xml:space="preserve">(see Table 1) </w:t>
      </w:r>
      <w:r w:rsidRPr="00F512C2">
        <w:rPr>
          <w:sz w:val="20"/>
        </w:rPr>
        <w:t>by OLS regression</w:t>
      </w:r>
      <w:r w:rsidR="00921375" w:rsidRPr="00F512C2">
        <w:rPr>
          <w:sz w:val="20"/>
        </w:rPr>
        <w:t xml:space="preserve">; models of minimum </w:t>
      </w:r>
      <w:r w:rsidR="006C3CAE" w:rsidRPr="00F512C2">
        <w:rPr>
          <w:sz w:val="20"/>
        </w:rPr>
        <w:t>income supports are estimated with 1990 to 2009</w:t>
      </w:r>
      <w:r w:rsidR="00D93002" w:rsidRPr="00F512C2">
        <w:rPr>
          <w:sz w:val="20"/>
        </w:rPr>
        <w:t xml:space="preserve"> data.</w:t>
      </w:r>
      <w:r w:rsidR="006C3CAE" w:rsidRPr="00F512C2">
        <w:rPr>
          <w:sz w:val="20"/>
        </w:rPr>
        <w:t xml:space="preserve"> </w:t>
      </w:r>
      <w:r w:rsidRPr="00F512C2">
        <w:rPr>
          <w:sz w:val="20"/>
        </w:rPr>
        <w:t>The table reports unstandardized regression coefficient</w:t>
      </w:r>
      <w:r w:rsidR="00D36509" w:rsidRPr="00F512C2">
        <w:rPr>
          <w:sz w:val="20"/>
        </w:rPr>
        <w:t xml:space="preserve">s and </w:t>
      </w:r>
      <w:r w:rsidRPr="00F512C2">
        <w:rPr>
          <w:sz w:val="20"/>
        </w:rPr>
        <w:t>panel-correct standard errors.</w:t>
      </w:r>
    </w:p>
    <w:p w14:paraId="51DA994E" w14:textId="77777777" w:rsidR="00D36509" w:rsidRPr="00F512C2" w:rsidRDefault="00D36509" w:rsidP="0014052F">
      <w:pPr>
        <w:widowControl w:val="0"/>
        <w:jc w:val="both"/>
        <w:rPr>
          <w:sz w:val="20"/>
        </w:rPr>
      </w:pPr>
    </w:p>
    <w:p w14:paraId="541C5212" w14:textId="0893A02E" w:rsidR="00302295" w:rsidRPr="00F512C2" w:rsidRDefault="00302295" w:rsidP="0014052F">
      <w:pPr>
        <w:widowControl w:val="0"/>
        <w:jc w:val="both"/>
        <w:rPr>
          <w:sz w:val="20"/>
        </w:rPr>
      </w:pPr>
      <w:r w:rsidRPr="00F512C2">
        <w:rPr>
          <w:sz w:val="20"/>
        </w:rPr>
        <w:t>* significant at the .10 level; ** significant at the .05 level.</w:t>
      </w:r>
    </w:p>
    <w:p w14:paraId="2DA6BCDF" w14:textId="079F2932" w:rsidR="00290A51" w:rsidRPr="00F512C2" w:rsidRDefault="00290A51" w:rsidP="0014052F">
      <w:pPr>
        <w:jc w:val="both"/>
      </w:pPr>
    </w:p>
    <w:p w14:paraId="7FFC2566" w14:textId="77777777" w:rsidR="00F75F50" w:rsidRPr="00F512C2" w:rsidRDefault="00F75F50" w:rsidP="0014052F">
      <w:pPr>
        <w:jc w:val="both"/>
      </w:pPr>
    </w:p>
    <w:p w14:paraId="48E8C353" w14:textId="39D80F36" w:rsidR="00275149" w:rsidRPr="00F512C2" w:rsidRDefault="00852108" w:rsidP="00852108">
      <w:pPr>
        <w:widowControl w:val="0"/>
      </w:pPr>
      <w:r w:rsidRPr="00F512C2">
        <w:rPr>
          <w:sz w:val="20"/>
        </w:rPr>
        <w:t>Table 3.  Partisan Politics, Labor Organization, ALMP and the Reduction of Relative Poverty for Labor Market Outsiders.</w:t>
      </w:r>
    </w:p>
    <w:tbl>
      <w:tblPr>
        <w:tblStyle w:val="TableGridLight"/>
        <w:tblW w:w="5000" w:type="pct"/>
        <w:tblLook w:val="0020" w:firstRow="1" w:lastRow="0" w:firstColumn="0" w:lastColumn="0" w:noHBand="0" w:noVBand="0"/>
      </w:tblPr>
      <w:tblGrid>
        <w:gridCol w:w="3703"/>
        <w:gridCol w:w="1666"/>
        <w:gridCol w:w="1666"/>
        <w:gridCol w:w="1111"/>
        <w:gridCol w:w="1204"/>
      </w:tblGrid>
      <w:tr w:rsidR="00275149" w:rsidRPr="00F512C2" w14:paraId="7027117D" w14:textId="77777777" w:rsidTr="009E73CA">
        <w:tc>
          <w:tcPr>
            <w:tcW w:w="1980" w:type="pct"/>
          </w:tcPr>
          <w:p w14:paraId="3FC123DB" w14:textId="77777777" w:rsidR="00275149" w:rsidRPr="00F512C2" w:rsidRDefault="00275149" w:rsidP="003A7959">
            <w:pPr>
              <w:widowControl w:val="0"/>
              <w:tabs>
                <w:tab w:val="right" w:pos="2820"/>
              </w:tabs>
              <w:rPr>
                <w:sz w:val="20"/>
              </w:rPr>
            </w:pPr>
          </w:p>
        </w:tc>
        <w:tc>
          <w:tcPr>
            <w:tcW w:w="891" w:type="pct"/>
          </w:tcPr>
          <w:p w14:paraId="14BB46B2" w14:textId="77777777" w:rsidR="00275149" w:rsidRPr="00F512C2" w:rsidRDefault="00164A82" w:rsidP="003A7959">
            <w:pPr>
              <w:widowControl w:val="0"/>
              <w:jc w:val="center"/>
              <w:rPr>
                <w:sz w:val="20"/>
              </w:rPr>
            </w:pPr>
            <w:r w:rsidRPr="00F512C2">
              <w:rPr>
                <w:sz w:val="20"/>
              </w:rPr>
              <w:t>ALMP Sp</w:t>
            </w:r>
            <w:r w:rsidR="003C3434" w:rsidRPr="00F512C2">
              <w:rPr>
                <w:sz w:val="20"/>
              </w:rPr>
              <w:t>e</w:t>
            </w:r>
            <w:r w:rsidRPr="00F512C2">
              <w:rPr>
                <w:sz w:val="20"/>
              </w:rPr>
              <w:t>nding</w:t>
            </w:r>
          </w:p>
          <w:p w14:paraId="6F8968D7" w14:textId="7D1B04FD" w:rsidR="003C3434" w:rsidRPr="00F512C2" w:rsidRDefault="003C3434" w:rsidP="003A7959">
            <w:pPr>
              <w:widowControl w:val="0"/>
              <w:jc w:val="center"/>
              <w:rPr>
                <w:sz w:val="20"/>
              </w:rPr>
            </w:pPr>
            <w:r w:rsidRPr="00F512C2">
              <w:rPr>
                <w:sz w:val="20"/>
              </w:rPr>
              <w:t>(% GDP)</w:t>
            </w:r>
          </w:p>
        </w:tc>
        <w:tc>
          <w:tcPr>
            <w:tcW w:w="891" w:type="pct"/>
          </w:tcPr>
          <w:p w14:paraId="7184F0CB" w14:textId="32CDD3E6" w:rsidR="003C3434" w:rsidRPr="00F512C2" w:rsidRDefault="003C3434" w:rsidP="003C3434">
            <w:pPr>
              <w:widowControl w:val="0"/>
              <w:jc w:val="center"/>
              <w:rPr>
                <w:sz w:val="20"/>
              </w:rPr>
            </w:pPr>
            <w:r w:rsidRPr="00F512C2">
              <w:rPr>
                <w:sz w:val="20"/>
              </w:rPr>
              <w:t>ALMP Spending</w:t>
            </w:r>
          </w:p>
          <w:p w14:paraId="4A19AF8E" w14:textId="14168300" w:rsidR="00275149" w:rsidRPr="00F512C2" w:rsidRDefault="003C3434" w:rsidP="003C3434">
            <w:pPr>
              <w:widowControl w:val="0"/>
              <w:jc w:val="center"/>
              <w:rPr>
                <w:sz w:val="20"/>
              </w:rPr>
            </w:pPr>
            <w:r w:rsidRPr="00F512C2">
              <w:rPr>
                <w:sz w:val="20"/>
              </w:rPr>
              <w:t>(% GDP)</w:t>
            </w:r>
          </w:p>
        </w:tc>
        <w:tc>
          <w:tcPr>
            <w:tcW w:w="594" w:type="pct"/>
          </w:tcPr>
          <w:p w14:paraId="3BB2BBE1" w14:textId="77777777" w:rsidR="00707518" w:rsidRPr="00F512C2" w:rsidRDefault="00707518" w:rsidP="00707518">
            <w:pPr>
              <w:widowControl w:val="0"/>
              <w:jc w:val="center"/>
              <w:rPr>
                <w:sz w:val="20"/>
              </w:rPr>
            </w:pPr>
            <w:r w:rsidRPr="00F512C2">
              <w:rPr>
                <w:sz w:val="20"/>
              </w:rPr>
              <w:t>Poverty</w:t>
            </w:r>
          </w:p>
          <w:p w14:paraId="5670C907" w14:textId="52DE826A" w:rsidR="00275149" w:rsidRPr="00F512C2" w:rsidRDefault="00707518" w:rsidP="00707518">
            <w:pPr>
              <w:widowControl w:val="0"/>
              <w:jc w:val="center"/>
              <w:rPr>
                <w:sz w:val="20"/>
              </w:rPr>
            </w:pPr>
            <w:r w:rsidRPr="00F512C2">
              <w:rPr>
                <w:sz w:val="20"/>
              </w:rPr>
              <w:t>Reduction</w:t>
            </w:r>
          </w:p>
        </w:tc>
        <w:tc>
          <w:tcPr>
            <w:tcW w:w="644" w:type="pct"/>
          </w:tcPr>
          <w:p w14:paraId="0B9C7777" w14:textId="77777777" w:rsidR="00707518" w:rsidRPr="00F512C2" w:rsidRDefault="00707518" w:rsidP="00707518">
            <w:pPr>
              <w:widowControl w:val="0"/>
              <w:jc w:val="center"/>
              <w:rPr>
                <w:sz w:val="20"/>
              </w:rPr>
            </w:pPr>
            <w:r w:rsidRPr="00F512C2">
              <w:rPr>
                <w:sz w:val="20"/>
              </w:rPr>
              <w:t>Poverty</w:t>
            </w:r>
          </w:p>
          <w:p w14:paraId="1D7D6F64" w14:textId="0C9FD684" w:rsidR="00275149" w:rsidRPr="00F512C2" w:rsidRDefault="00707518" w:rsidP="00707518">
            <w:pPr>
              <w:widowControl w:val="0"/>
              <w:jc w:val="center"/>
              <w:rPr>
                <w:sz w:val="20"/>
              </w:rPr>
            </w:pPr>
            <w:r w:rsidRPr="00F512C2">
              <w:rPr>
                <w:sz w:val="20"/>
              </w:rPr>
              <w:t>Reduction</w:t>
            </w:r>
          </w:p>
        </w:tc>
      </w:tr>
      <w:tr w:rsidR="00275149" w:rsidRPr="00F512C2" w14:paraId="73144EF0" w14:textId="77777777" w:rsidTr="009E73CA">
        <w:tc>
          <w:tcPr>
            <w:tcW w:w="1980" w:type="pct"/>
          </w:tcPr>
          <w:p w14:paraId="25D6D129" w14:textId="77777777" w:rsidR="00275149" w:rsidRPr="00F512C2" w:rsidRDefault="00275149" w:rsidP="003A7959">
            <w:pPr>
              <w:widowControl w:val="0"/>
              <w:rPr>
                <w:sz w:val="20"/>
                <w:vertAlign w:val="subscript"/>
              </w:rPr>
            </w:pPr>
            <w:r w:rsidRPr="00F512C2">
              <w:rPr>
                <w:sz w:val="20"/>
              </w:rPr>
              <w:t xml:space="preserve">Left Government </w:t>
            </w:r>
          </w:p>
          <w:p w14:paraId="3D22E956" w14:textId="77777777" w:rsidR="00275149" w:rsidRPr="00F512C2" w:rsidRDefault="00275149" w:rsidP="003A7959">
            <w:pPr>
              <w:widowControl w:val="0"/>
              <w:rPr>
                <w:sz w:val="20"/>
                <w:vertAlign w:val="subscript"/>
              </w:rPr>
            </w:pPr>
          </w:p>
        </w:tc>
        <w:tc>
          <w:tcPr>
            <w:tcW w:w="891" w:type="pct"/>
          </w:tcPr>
          <w:p w14:paraId="2862E437" w14:textId="77777777" w:rsidR="00275149" w:rsidRPr="00F512C2" w:rsidRDefault="00627168" w:rsidP="003A7959">
            <w:pPr>
              <w:widowControl w:val="0"/>
              <w:jc w:val="center"/>
              <w:rPr>
                <w:sz w:val="20"/>
              </w:rPr>
            </w:pPr>
            <w:r w:rsidRPr="00F512C2">
              <w:rPr>
                <w:sz w:val="20"/>
              </w:rPr>
              <w:t>.0036**</w:t>
            </w:r>
          </w:p>
          <w:p w14:paraId="7F5E611B" w14:textId="25F771B2" w:rsidR="00627168" w:rsidRPr="00F512C2" w:rsidRDefault="00627168" w:rsidP="003A7959">
            <w:pPr>
              <w:widowControl w:val="0"/>
              <w:jc w:val="center"/>
              <w:rPr>
                <w:sz w:val="20"/>
              </w:rPr>
            </w:pPr>
            <w:r w:rsidRPr="00F512C2">
              <w:rPr>
                <w:sz w:val="20"/>
              </w:rPr>
              <w:t>(.0</w:t>
            </w:r>
            <w:r w:rsidR="009803B7" w:rsidRPr="00F512C2">
              <w:rPr>
                <w:sz w:val="20"/>
              </w:rPr>
              <w:t>023)</w:t>
            </w:r>
          </w:p>
        </w:tc>
        <w:tc>
          <w:tcPr>
            <w:tcW w:w="891" w:type="pct"/>
          </w:tcPr>
          <w:p w14:paraId="563F8DFA" w14:textId="77777777" w:rsidR="00275149" w:rsidRPr="00F512C2" w:rsidRDefault="009803B7" w:rsidP="003A7959">
            <w:pPr>
              <w:widowControl w:val="0"/>
              <w:jc w:val="center"/>
              <w:rPr>
                <w:sz w:val="20"/>
              </w:rPr>
            </w:pPr>
            <w:r w:rsidRPr="00F512C2">
              <w:rPr>
                <w:sz w:val="20"/>
              </w:rPr>
              <w:t>.0031*</w:t>
            </w:r>
          </w:p>
          <w:p w14:paraId="62C032FB" w14:textId="26934095" w:rsidR="009803B7" w:rsidRPr="00F512C2" w:rsidRDefault="009803B7" w:rsidP="003A7959">
            <w:pPr>
              <w:widowControl w:val="0"/>
              <w:jc w:val="center"/>
              <w:rPr>
                <w:sz w:val="20"/>
              </w:rPr>
            </w:pPr>
            <w:r w:rsidRPr="00F512C2">
              <w:rPr>
                <w:sz w:val="20"/>
              </w:rPr>
              <w:t>(.0020)</w:t>
            </w:r>
          </w:p>
        </w:tc>
        <w:tc>
          <w:tcPr>
            <w:tcW w:w="594" w:type="pct"/>
          </w:tcPr>
          <w:p w14:paraId="251E08B2" w14:textId="77777777" w:rsidR="00275149" w:rsidRPr="00F512C2" w:rsidRDefault="009803B7" w:rsidP="003A7959">
            <w:pPr>
              <w:widowControl w:val="0"/>
              <w:jc w:val="center"/>
              <w:rPr>
                <w:sz w:val="20"/>
              </w:rPr>
            </w:pPr>
            <w:r w:rsidRPr="00F512C2">
              <w:rPr>
                <w:sz w:val="20"/>
              </w:rPr>
              <w:t>.1601**</w:t>
            </w:r>
          </w:p>
          <w:p w14:paraId="0270AFDD" w14:textId="1E1C214D" w:rsidR="009803B7" w:rsidRPr="00F512C2" w:rsidRDefault="009803B7" w:rsidP="003A7959">
            <w:pPr>
              <w:widowControl w:val="0"/>
              <w:jc w:val="center"/>
              <w:rPr>
                <w:sz w:val="20"/>
              </w:rPr>
            </w:pPr>
            <w:r w:rsidRPr="00F512C2">
              <w:rPr>
                <w:sz w:val="20"/>
              </w:rPr>
              <w:t>(.0766)</w:t>
            </w:r>
          </w:p>
        </w:tc>
        <w:tc>
          <w:tcPr>
            <w:tcW w:w="644" w:type="pct"/>
          </w:tcPr>
          <w:p w14:paraId="4444EA0C" w14:textId="77777777" w:rsidR="00275149" w:rsidRPr="00F512C2" w:rsidRDefault="009803B7" w:rsidP="003A7959">
            <w:pPr>
              <w:widowControl w:val="0"/>
              <w:jc w:val="center"/>
              <w:rPr>
                <w:sz w:val="20"/>
              </w:rPr>
            </w:pPr>
            <w:r w:rsidRPr="00F512C2">
              <w:rPr>
                <w:sz w:val="20"/>
              </w:rPr>
              <w:t>.1577**</w:t>
            </w:r>
          </w:p>
          <w:p w14:paraId="38175B3F" w14:textId="74264605" w:rsidR="009803B7" w:rsidRPr="00F512C2" w:rsidRDefault="009803B7" w:rsidP="003A7959">
            <w:pPr>
              <w:widowControl w:val="0"/>
              <w:jc w:val="center"/>
              <w:rPr>
                <w:sz w:val="20"/>
              </w:rPr>
            </w:pPr>
            <w:r w:rsidRPr="00F512C2">
              <w:rPr>
                <w:sz w:val="20"/>
              </w:rPr>
              <w:t>(.0795)</w:t>
            </w:r>
          </w:p>
        </w:tc>
      </w:tr>
      <w:tr w:rsidR="00275149" w:rsidRPr="00F512C2" w14:paraId="6967144D" w14:textId="77777777" w:rsidTr="009E73CA">
        <w:tc>
          <w:tcPr>
            <w:tcW w:w="1980" w:type="pct"/>
          </w:tcPr>
          <w:p w14:paraId="6D252FDE" w14:textId="77777777" w:rsidR="00275149" w:rsidRPr="00F512C2" w:rsidRDefault="00275149" w:rsidP="003A7959">
            <w:pPr>
              <w:widowControl w:val="0"/>
              <w:rPr>
                <w:sz w:val="20"/>
                <w:vertAlign w:val="subscript"/>
              </w:rPr>
            </w:pPr>
            <w:r w:rsidRPr="00F512C2">
              <w:rPr>
                <w:sz w:val="20"/>
              </w:rPr>
              <w:t xml:space="preserve">Labor Organization </w:t>
            </w:r>
          </w:p>
          <w:p w14:paraId="46AA3A07" w14:textId="77777777" w:rsidR="00275149" w:rsidRPr="00F512C2" w:rsidRDefault="00275149" w:rsidP="003A7959">
            <w:pPr>
              <w:widowControl w:val="0"/>
              <w:rPr>
                <w:sz w:val="20"/>
              </w:rPr>
            </w:pPr>
          </w:p>
        </w:tc>
        <w:tc>
          <w:tcPr>
            <w:tcW w:w="891" w:type="pct"/>
          </w:tcPr>
          <w:p w14:paraId="782200F8" w14:textId="77777777" w:rsidR="00275149" w:rsidRPr="00F512C2" w:rsidRDefault="008D673A" w:rsidP="003A7959">
            <w:pPr>
              <w:widowControl w:val="0"/>
              <w:jc w:val="center"/>
              <w:rPr>
                <w:sz w:val="20"/>
              </w:rPr>
            </w:pPr>
            <w:r w:rsidRPr="00F512C2">
              <w:rPr>
                <w:sz w:val="20"/>
              </w:rPr>
              <w:t>.0998**</w:t>
            </w:r>
          </w:p>
          <w:p w14:paraId="0B810B6B" w14:textId="5FFBB278" w:rsidR="008D673A" w:rsidRPr="00F512C2" w:rsidRDefault="008D673A" w:rsidP="003A7959">
            <w:pPr>
              <w:widowControl w:val="0"/>
              <w:jc w:val="center"/>
              <w:rPr>
                <w:sz w:val="20"/>
              </w:rPr>
            </w:pPr>
            <w:r w:rsidRPr="00F512C2">
              <w:rPr>
                <w:sz w:val="20"/>
              </w:rPr>
              <w:t>(.0506)</w:t>
            </w:r>
          </w:p>
        </w:tc>
        <w:tc>
          <w:tcPr>
            <w:tcW w:w="891" w:type="pct"/>
          </w:tcPr>
          <w:p w14:paraId="58F1BC8F" w14:textId="77777777" w:rsidR="00275149" w:rsidRPr="00F512C2" w:rsidRDefault="005F262A" w:rsidP="003A7959">
            <w:pPr>
              <w:widowControl w:val="0"/>
              <w:jc w:val="center"/>
              <w:rPr>
                <w:sz w:val="20"/>
              </w:rPr>
            </w:pPr>
            <w:r w:rsidRPr="00F512C2">
              <w:rPr>
                <w:sz w:val="20"/>
              </w:rPr>
              <w:t>-.1398</w:t>
            </w:r>
          </w:p>
          <w:p w14:paraId="709FB86C" w14:textId="6FA0D631" w:rsidR="005F262A" w:rsidRPr="00F512C2" w:rsidRDefault="005F262A" w:rsidP="003A7959">
            <w:pPr>
              <w:widowControl w:val="0"/>
              <w:jc w:val="center"/>
              <w:rPr>
                <w:sz w:val="20"/>
              </w:rPr>
            </w:pPr>
            <w:r w:rsidRPr="00F512C2">
              <w:rPr>
                <w:sz w:val="20"/>
              </w:rPr>
              <w:t>(.1173)</w:t>
            </w:r>
          </w:p>
        </w:tc>
        <w:tc>
          <w:tcPr>
            <w:tcW w:w="594" w:type="pct"/>
          </w:tcPr>
          <w:p w14:paraId="74185576" w14:textId="77777777" w:rsidR="00275149" w:rsidRPr="00F512C2" w:rsidRDefault="005F262A" w:rsidP="003A7959">
            <w:pPr>
              <w:widowControl w:val="0"/>
              <w:jc w:val="center"/>
              <w:rPr>
                <w:sz w:val="20"/>
              </w:rPr>
            </w:pPr>
            <w:r w:rsidRPr="00F512C2">
              <w:rPr>
                <w:sz w:val="20"/>
              </w:rPr>
              <w:t>4.706**</w:t>
            </w:r>
          </w:p>
          <w:p w14:paraId="3A72FC0C" w14:textId="1BB922B9" w:rsidR="005F262A" w:rsidRPr="00F512C2" w:rsidRDefault="005F262A" w:rsidP="003A7959">
            <w:pPr>
              <w:widowControl w:val="0"/>
              <w:jc w:val="center"/>
              <w:rPr>
                <w:sz w:val="20"/>
              </w:rPr>
            </w:pPr>
            <w:r w:rsidRPr="00F512C2">
              <w:rPr>
                <w:sz w:val="20"/>
              </w:rPr>
              <w:t>(2.4201)</w:t>
            </w:r>
          </w:p>
        </w:tc>
        <w:tc>
          <w:tcPr>
            <w:tcW w:w="644" w:type="pct"/>
          </w:tcPr>
          <w:p w14:paraId="4AE830ED" w14:textId="77777777" w:rsidR="00275149" w:rsidRPr="00F512C2" w:rsidRDefault="005F262A" w:rsidP="003A7959">
            <w:pPr>
              <w:widowControl w:val="0"/>
              <w:jc w:val="center"/>
              <w:rPr>
                <w:sz w:val="20"/>
              </w:rPr>
            </w:pPr>
            <w:r w:rsidRPr="00F512C2">
              <w:rPr>
                <w:sz w:val="20"/>
              </w:rPr>
              <w:t>3.7467</w:t>
            </w:r>
          </w:p>
          <w:p w14:paraId="683C3917" w14:textId="0C7341AE" w:rsidR="005F262A" w:rsidRPr="00F512C2" w:rsidRDefault="005F262A" w:rsidP="003A7959">
            <w:pPr>
              <w:widowControl w:val="0"/>
              <w:jc w:val="center"/>
              <w:rPr>
                <w:sz w:val="20"/>
              </w:rPr>
            </w:pPr>
            <w:r w:rsidRPr="00F512C2">
              <w:rPr>
                <w:sz w:val="20"/>
              </w:rPr>
              <w:t>(4.2945)</w:t>
            </w:r>
          </w:p>
        </w:tc>
      </w:tr>
      <w:tr w:rsidR="00275149" w:rsidRPr="00F512C2" w14:paraId="04EBC7AF" w14:textId="77777777" w:rsidTr="009E73CA">
        <w:tc>
          <w:tcPr>
            <w:tcW w:w="1980" w:type="pct"/>
          </w:tcPr>
          <w:p w14:paraId="3282ABDC" w14:textId="77777777" w:rsidR="00275149" w:rsidRPr="00F512C2" w:rsidRDefault="00275149" w:rsidP="003A7959">
            <w:pPr>
              <w:widowControl w:val="0"/>
              <w:rPr>
                <w:sz w:val="20"/>
              </w:rPr>
            </w:pPr>
            <w:r w:rsidRPr="00F512C2">
              <w:rPr>
                <w:sz w:val="20"/>
              </w:rPr>
              <w:t>Left Government × Union Organization</w:t>
            </w:r>
          </w:p>
          <w:p w14:paraId="5A07E140" w14:textId="77777777" w:rsidR="00275149" w:rsidRPr="00F512C2" w:rsidRDefault="00275149" w:rsidP="003A7959">
            <w:pPr>
              <w:widowControl w:val="0"/>
              <w:rPr>
                <w:sz w:val="20"/>
              </w:rPr>
            </w:pPr>
          </w:p>
        </w:tc>
        <w:tc>
          <w:tcPr>
            <w:tcW w:w="891" w:type="pct"/>
          </w:tcPr>
          <w:p w14:paraId="7B593547" w14:textId="559D0F54" w:rsidR="00275149" w:rsidRPr="00F512C2" w:rsidRDefault="00043040" w:rsidP="003A7959">
            <w:pPr>
              <w:widowControl w:val="0"/>
              <w:jc w:val="center"/>
              <w:rPr>
                <w:sz w:val="20"/>
              </w:rPr>
            </w:pPr>
            <w:r w:rsidRPr="00F512C2">
              <w:rPr>
                <w:sz w:val="20"/>
              </w:rPr>
              <w:t>---</w:t>
            </w:r>
          </w:p>
        </w:tc>
        <w:tc>
          <w:tcPr>
            <w:tcW w:w="891" w:type="pct"/>
          </w:tcPr>
          <w:p w14:paraId="1563BCCA" w14:textId="77777777" w:rsidR="00275149" w:rsidRPr="00F512C2" w:rsidRDefault="00AF1E60" w:rsidP="003A7959">
            <w:pPr>
              <w:widowControl w:val="0"/>
              <w:jc w:val="center"/>
              <w:rPr>
                <w:sz w:val="20"/>
              </w:rPr>
            </w:pPr>
            <w:r w:rsidRPr="00F512C2">
              <w:rPr>
                <w:sz w:val="20"/>
              </w:rPr>
              <w:t>.0050**</w:t>
            </w:r>
          </w:p>
          <w:p w14:paraId="285DED9D" w14:textId="55A8FA02" w:rsidR="00AF1E60" w:rsidRPr="00F512C2" w:rsidRDefault="00AF1E60" w:rsidP="003A7959">
            <w:pPr>
              <w:widowControl w:val="0"/>
              <w:jc w:val="center"/>
              <w:rPr>
                <w:sz w:val="20"/>
              </w:rPr>
            </w:pPr>
            <w:r w:rsidRPr="00F512C2">
              <w:rPr>
                <w:sz w:val="20"/>
              </w:rPr>
              <w:t>(.0021)</w:t>
            </w:r>
          </w:p>
        </w:tc>
        <w:tc>
          <w:tcPr>
            <w:tcW w:w="594" w:type="pct"/>
          </w:tcPr>
          <w:p w14:paraId="36716D96" w14:textId="3EFF90D9" w:rsidR="00275149" w:rsidRPr="00F512C2" w:rsidRDefault="009205AF" w:rsidP="003A7959">
            <w:pPr>
              <w:widowControl w:val="0"/>
              <w:jc w:val="center"/>
              <w:rPr>
                <w:sz w:val="20"/>
              </w:rPr>
            </w:pPr>
            <w:r w:rsidRPr="00F512C2">
              <w:rPr>
                <w:sz w:val="20"/>
              </w:rPr>
              <w:t>---</w:t>
            </w:r>
          </w:p>
        </w:tc>
        <w:tc>
          <w:tcPr>
            <w:tcW w:w="644" w:type="pct"/>
          </w:tcPr>
          <w:p w14:paraId="1DEC4F6D" w14:textId="77777777" w:rsidR="00275149" w:rsidRPr="00F512C2" w:rsidRDefault="00AF1E60" w:rsidP="003A7959">
            <w:pPr>
              <w:widowControl w:val="0"/>
              <w:jc w:val="center"/>
              <w:rPr>
                <w:sz w:val="20"/>
              </w:rPr>
            </w:pPr>
            <w:r w:rsidRPr="00F512C2">
              <w:rPr>
                <w:sz w:val="20"/>
              </w:rPr>
              <w:t>.0188</w:t>
            </w:r>
          </w:p>
          <w:p w14:paraId="3885ED42" w14:textId="2D7F2C0C" w:rsidR="00AF1E60" w:rsidRPr="00F512C2" w:rsidRDefault="00AF1E60" w:rsidP="003A7959">
            <w:pPr>
              <w:widowControl w:val="0"/>
              <w:jc w:val="center"/>
              <w:rPr>
                <w:sz w:val="20"/>
              </w:rPr>
            </w:pPr>
            <w:r w:rsidRPr="00F512C2">
              <w:rPr>
                <w:sz w:val="20"/>
              </w:rPr>
              <w:t>(.0730)</w:t>
            </w:r>
          </w:p>
        </w:tc>
      </w:tr>
      <w:tr w:rsidR="00275149" w:rsidRPr="00F512C2" w14:paraId="1DFB42FA" w14:textId="77777777" w:rsidTr="009E73CA">
        <w:tc>
          <w:tcPr>
            <w:tcW w:w="1980" w:type="pct"/>
          </w:tcPr>
          <w:p w14:paraId="64583BB8" w14:textId="77777777" w:rsidR="00275149" w:rsidRPr="00F512C2" w:rsidRDefault="00275149" w:rsidP="003A7959">
            <w:pPr>
              <w:widowControl w:val="0"/>
              <w:rPr>
                <w:sz w:val="20"/>
                <w:vertAlign w:val="subscript"/>
              </w:rPr>
            </w:pPr>
            <w:r w:rsidRPr="00F512C2">
              <w:rPr>
                <w:sz w:val="20"/>
              </w:rPr>
              <w:t>Economic Position of the Median Citizen</w:t>
            </w:r>
          </w:p>
          <w:p w14:paraId="27F7F60F" w14:textId="77777777" w:rsidR="00275149" w:rsidRPr="00F512C2" w:rsidRDefault="00275149" w:rsidP="003A7959">
            <w:pPr>
              <w:widowControl w:val="0"/>
              <w:rPr>
                <w:sz w:val="20"/>
              </w:rPr>
            </w:pPr>
          </w:p>
        </w:tc>
        <w:tc>
          <w:tcPr>
            <w:tcW w:w="891" w:type="pct"/>
          </w:tcPr>
          <w:p w14:paraId="3B1E0741" w14:textId="77777777" w:rsidR="00275149" w:rsidRPr="00F512C2" w:rsidRDefault="00AF1E60" w:rsidP="003A7959">
            <w:pPr>
              <w:widowControl w:val="0"/>
              <w:jc w:val="center"/>
              <w:rPr>
                <w:sz w:val="20"/>
              </w:rPr>
            </w:pPr>
            <w:r w:rsidRPr="00F512C2">
              <w:rPr>
                <w:sz w:val="20"/>
              </w:rPr>
              <w:t>.06</w:t>
            </w:r>
            <w:r w:rsidR="0001457C" w:rsidRPr="00F512C2">
              <w:rPr>
                <w:sz w:val="20"/>
              </w:rPr>
              <w:t>27</w:t>
            </w:r>
          </w:p>
          <w:p w14:paraId="6EA76CB9" w14:textId="4A10724B" w:rsidR="0001457C" w:rsidRPr="00F512C2" w:rsidRDefault="0001457C" w:rsidP="003A7959">
            <w:pPr>
              <w:widowControl w:val="0"/>
              <w:jc w:val="center"/>
              <w:rPr>
                <w:sz w:val="20"/>
              </w:rPr>
            </w:pPr>
            <w:r w:rsidRPr="00F512C2">
              <w:rPr>
                <w:sz w:val="20"/>
              </w:rPr>
              <w:t>(.1712)</w:t>
            </w:r>
          </w:p>
        </w:tc>
        <w:tc>
          <w:tcPr>
            <w:tcW w:w="891" w:type="pct"/>
          </w:tcPr>
          <w:p w14:paraId="30A72E12" w14:textId="77777777" w:rsidR="00275149" w:rsidRPr="00F512C2" w:rsidRDefault="0001457C" w:rsidP="003A7959">
            <w:pPr>
              <w:widowControl w:val="0"/>
              <w:jc w:val="center"/>
              <w:rPr>
                <w:sz w:val="20"/>
              </w:rPr>
            </w:pPr>
            <w:r w:rsidRPr="00F512C2">
              <w:rPr>
                <w:sz w:val="20"/>
              </w:rPr>
              <w:t>.0904</w:t>
            </w:r>
          </w:p>
          <w:p w14:paraId="2802D5CB" w14:textId="3CAD8FDB" w:rsidR="0001457C" w:rsidRPr="00F512C2" w:rsidRDefault="0001457C" w:rsidP="003A7959">
            <w:pPr>
              <w:widowControl w:val="0"/>
              <w:jc w:val="center"/>
              <w:rPr>
                <w:sz w:val="20"/>
              </w:rPr>
            </w:pPr>
            <w:r w:rsidRPr="00F512C2">
              <w:rPr>
                <w:sz w:val="20"/>
              </w:rPr>
              <w:t>(.1701)</w:t>
            </w:r>
          </w:p>
        </w:tc>
        <w:tc>
          <w:tcPr>
            <w:tcW w:w="594" w:type="pct"/>
          </w:tcPr>
          <w:p w14:paraId="6FE8D7CC" w14:textId="77777777" w:rsidR="00275149" w:rsidRPr="00F512C2" w:rsidRDefault="0001457C" w:rsidP="003A7959">
            <w:pPr>
              <w:widowControl w:val="0"/>
              <w:jc w:val="center"/>
              <w:rPr>
                <w:sz w:val="20"/>
              </w:rPr>
            </w:pPr>
            <w:r w:rsidRPr="00F512C2">
              <w:rPr>
                <w:sz w:val="20"/>
              </w:rPr>
              <w:t>-2.1445</w:t>
            </w:r>
          </w:p>
          <w:p w14:paraId="0FD08578" w14:textId="6B56BC80" w:rsidR="0001457C" w:rsidRPr="00F512C2" w:rsidRDefault="0001457C" w:rsidP="003A7959">
            <w:pPr>
              <w:widowControl w:val="0"/>
              <w:jc w:val="center"/>
              <w:rPr>
                <w:sz w:val="20"/>
              </w:rPr>
            </w:pPr>
            <w:r w:rsidRPr="00F512C2">
              <w:rPr>
                <w:sz w:val="20"/>
              </w:rPr>
              <w:t>(9.2321)</w:t>
            </w:r>
          </w:p>
        </w:tc>
        <w:tc>
          <w:tcPr>
            <w:tcW w:w="644" w:type="pct"/>
          </w:tcPr>
          <w:p w14:paraId="7C05B7F5" w14:textId="77777777" w:rsidR="00275149" w:rsidRPr="00F512C2" w:rsidRDefault="0001457C" w:rsidP="003A7959">
            <w:pPr>
              <w:widowControl w:val="0"/>
              <w:jc w:val="center"/>
              <w:rPr>
                <w:sz w:val="20"/>
              </w:rPr>
            </w:pPr>
            <w:r w:rsidRPr="00F512C2">
              <w:rPr>
                <w:sz w:val="20"/>
              </w:rPr>
              <w:t>-1.</w:t>
            </w:r>
            <w:r w:rsidR="00DA4988" w:rsidRPr="00F512C2">
              <w:rPr>
                <w:sz w:val="20"/>
              </w:rPr>
              <w:t>7683</w:t>
            </w:r>
          </w:p>
          <w:p w14:paraId="4D9D1353" w14:textId="47082BEF" w:rsidR="00DA4988" w:rsidRPr="00F512C2" w:rsidRDefault="00DA4988" w:rsidP="003A7959">
            <w:pPr>
              <w:widowControl w:val="0"/>
              <w:jc w:val="center"/>
              <w:rPr>
                <w:sz w:val="20"/>
              </w:rPr>
            </w:pPr>
            <w:r w:rsidRPr="00F512C2">
              <w:rPr>
                <w:sz w:val="20"/>
              </w:rPr>
              <w:t>(9.0349)</w:t>
            </w:r>
          </w:p>
        </w:tc>
      </w:tr>
      <w:tr w:rsidR="00275149" w:rsidRPr="00F512C2" w14:paraId="5F5BB1C9" w14:textId="77777777" w:rsidTr="009E73CA">
        <w:tc>
          <w:tcPr>
            <w:tcW w:w="1980" w:type="pct"/>
          </w:tcPr>
          <w:p w14:paraId="4B4532E8" w14:textId="77777777" w:rsidR="00275149" w:rsidRPr="00F512C2" w:rsidRDefault="00275149" w:rsidP="003A7959">
            <w:pPr>
              <w:widowControl w:val="0"/>
              <w:rPr>
                <w:sz w:val="20"/>
              </w:rPr>
            </w:pPr>
            <w:r w:rsidRPr="00F512C2">
              <w:rPr>
                <w:sz w:val="20"/>
              </w:rPr>
              <w:t>Employers Organization</w:t>
            </w:r>
          </w:p>
          <w:p w14:paraId="38BED010" w14:textId="77777777" w:rsidR="00275149" w:rsidRPr="00F512C2" w:rsidRDefault="00275149" w:rsidP="003A7959">
            <w:pPr>
              <w:widowControl w:val="0"/>
              <w:rPr>
                <w:sz w:val="20"/>
              </w:rPr>
            </w:pPr>
          </w:p>
        </w:tc>
        <w:tc>
          <w:tcPr>
            <w:tcW w:w="891" w:type="pct"/>
          </w:tcPr>
          <w:p w14:paraId="426BCD25" w14:textId="77777777" w:rsidR="00275149" w:rsidRPr="00F512C2" w:rsidRDefault="000B34CC" w:rsidP="003A7959">
            <w:pPr>
              <w:widowControl w:val="0"/>
              <w:jc w:val="center"/>
              <w:rPr>
                <w:sz w:val="20"/>
              </w:rPr>
            </w:pPr>
            <w:r w:rsidRPr="00F512C2">
              <w:rPr>
                <w:sz w:val="20"/>
              </w:rPr>
              <w:t>.2599**</w:t>
            </w:r>
          </w:p>
          <w:p w14:paraId="0B40D13B" w14:textId="7349F566" w:rsidR="000B34CC" w:rsidRPr="00F512C2" w:rsidRDefault="000B34CC" w:rsidP="003A7959">
            <w:pPr>
              <w:widowControl w:val="0"/>
              <w:jc w:val="center"/>
              <w:rPr>
                <w:sz w:val="20"/>
              </w:rPr>
            </w:pPr>
            <w:r w:rsidRPr="00F512C2">
              <w:rPr>
                <w:sz w:val="20"/>
              </w:rPr>
              <w:t>(.0815)</w:t>
            </w:r>
          </w:p>
        </w:tc>
        <w:tc>
          <w:tcPr>
            <w:tcW w:w="891" w:type="pct"/>
          </w:tcPr>
          <w:p w14:paraId="67FCBE9E" w14:textId="77777777" w:rsidR="00275149" w:rsidRPr="00F512C2" w:rsidRDefault="000B34CC" w:rsidP="003A7959">
            <w:pPr>
              <w:widowControl w:val="0"/>
              <w:jc w:val="center"/>
              <w:rPr>
                <w:sz w:val="20"/>
              </w:rPr>
            </w:pPr>
            <w:r w:rsidRPr="00F512C2">
              <w:rPr>
                <w:sz w:val="20"/>
              </w:rPr>
              <w:t>.2550**</w:t>
            </w:r>
          </w:p>
          <w:p w14:paraId="50A768A0" w14:textId="0ED4B270" w:rsidR="000B34CC" w:rsidRPr="00F512C2" w:rsidRDefault="000B34CC" w:rsidP="003A7959">
            <w:pPr>
              <w:widowControl w:val="0"/>
              <w:jc w:val="center"/>
              <w:rPr>
                <w:sz w:val="20"/>
              </w:rPr>
            </w:pPr>
            <w:r w:rsidRPr="00F512C2">
              <w:rPr>
                <w:sz w:val="20"/>
              </w:rPr>
              <w:t>(.0804)</w:t>
            </w:r>
          </w:p>
        </w:tc>
        <w:tc>
          <w:tcPr>
            <w:tcW w:w="594" w:type="pct"/>
          </w:tcPr>
          <w:p w14:paraId="5FAAF302" w14:textId="77777777" w:rsidR="00275149" w:rsidRPr="00F512C2" w:rsidRDefault="000B34CC" w:rsidP="003A7959">
            <w:pPr>
              <w:widowControl w:val="0"/>
              <w:jc w:val="center"/>
              <w:rPr>
                <w:sz w:val="20"/>
              </w:rPr>
            </w:pPr>
            <w:r w:rsidRPr="00F512C2">
              <w:rPr>
                <w:sz w:val="20"/>
              </w:rPr>
              <w:t>2.5703</w:t>
            </w:r>
          </w:p>
          <w:p w14:paraId="416591B3" w14:textId="142F6725" w:rsidR="000B34CC" w:rsidRPr="00F512C2" w:rsidRDefault="000B34CC" w:rsidP="00BF7891">
            <w:pPr>
              <w:widowControl w:val="0"/>
              <w:jc w:val="center"/>
              <w:rPr>
                <w:sz w:val="20"/>
              </w:rPr>
            </w:pPr>
            <w:r w:rsidRPr="00F512C2">
              <w:rPr>
                <w:sz w:val="20"/>
              </w:rPr>
              <w:t>(</w:t>
            </w:r>
            <w:r w:rsidR="007E2DFA" w:rsidRPr="00F512C2">
              <w:rPr>
                <w:sz w:val="20"/>
              </w:rPr>
              <w:t>2.</w:t>
            </w:r>
            <w:r w:rsidRPr="00F512C2">
              <w:rPr>
                <w:sz w:val="20"/>
              </w:rPr>
              <w:t>0</w:t>
            </w:r>
            <w:r w:rsidR="007E2DFA" w:rsidRPr="00F512C2">
              <w:rPr>
                <w:sz w:val="20"/>
              </w:rPr>
              <w:t>0</w:t>
            </w:r>
            <w:r w:rsidRPr="00F512C2">
              <w:rPr>
                <w:sz w:val="20"/>
              </w:rPr>
              <w:t>25)</w:t>
            </w:r>
          </w:p>
        </w:tc>
        <w:tc>
          <w:tcPr>
            <w:tcW w:w="644" w:type="pct"/>
          </w:tcPr>
          <w:p w14:paraId="43246A44" w14:textId="77777777" w:rsidR="00275149" w:rsidRPr="00F512C2" w:rsidRDefault="000B34CC" w:rsidP="003A7959">
            <w:pPr>
              <w:widowControl w:val="0"/>
              <w:jc w:val="center"/>
              <w:rPr>
                <w:sz w:val="20"/>
              </w:rPr>
            </w:pPr>
            <w:r w:rsidRPr="00F512C2">
              <w:rPr>
                <w:sz w:val="20"/>
              </w:rPr>
              <w:t>2.</w:t>
            </w:r>
            <w:r w:rsidR="007E2DFA" w:rsidRPr="00F512C2">
              <w:rPr>
                <w:sz w:val="20"/>
              </w:rPr>
              <w:t>5741*</w:t>
            </w:r>
          </w:p>
          <w:p w14:paraId="7093561E" w14:textId="61CEC4EE" w:rsidR="007E2DFA" w:rsidRPr="00F512C2" w:rsidRDefault="007E2DFA" w:rsidP="003A7959">
            <w:pPr>
              <w:widowControl w:val="0"/>
              <w:jc w:val="center"/>
              <w:rPr>
                <w:sz w:val="20"/>
              </w:rPr>
            </w:pPr>
            <w:r w:rsidRPr="00F512C2">
              <w:rPr>
                <w:sz w:val="20"/>
              </w:rPr>
              <w:t>(2.0039)</w:t>
            </w:r>
          </w:p>
        </w:tc>
      </w:tr>
      <w:tr w:rsidR="00B334E7" w:rsidRPr="00F512C2" w14:paraId="09BA2F0D" w14:textId="77777777" w:rsidTr="009E73CA">
        <w:tc>
          <w:tcPr>
            <w:tcW w:w="1980" w:type="pct"/>
          </w:tcPr>
          <w:p w14:paraId="527586D5" w14:textId="4ACB4620" w:rsidR="00B334E7" w:rsidRPr="00F512C2" w:rsidRDefault="00B334E7" w:rsidP="003A7959">
            <w:pPr>
              <w:widowControl w:val="0"/>
              <w:rPr>
                <w:sz w:val="20"/>
                <w:vertAlign w:val="subscript"/>
              </w:rPr>
            </w:pPr>
            <w:r w:rsidRPr="00F512C2">
              <w:rPr>
                <w:sz w:val="20"/>
              </w:rPr>
              <w:t>Technological Change</w:t>
            </w:r>
          </w:p>
          <w:p w14:paraId="5C6137FC" w14:textId="43B3594C" w:rsidR="00B334E7" w:rsidRPr="00F512C2" w:rsidRDefault="00B334E7" w:rsidP="003A7959">
            <w:pPr>
              <w:widowControl w:val="0"/>
              <w:rPr>
                <w:sz w:val="20"/>
              </w:rPr>
            </w:pPr>
          </w:p>
        </w:tc>
        <w:tc>
          <w:tcPr>
            <w:tcW w:w="891" w:type="pct"/>
          </w:tcPr>
          <w:p w14:paraId="140BFEEB" w14:textId="77777777" w:rsidR="00B334E7" w:rsidRPr="00F512C2" w:rsidRDefault="00C7085D" w:rsidP="003A7959">
            <w:pPr>
              <w:widowControl w:val="0"/>
              <w:jc w:val="center"/>
              <w:rPr>
                <w:sz w:val="20"/>
              </w:rPr>
            </w:pPr>
            <w:r w:rsidRPr="00F512C2">
              <w:rPr>
                <w:sz w:val="20"/>
              </w:rPr>
              <w:t>-.0001</w:t>
            </w:r>
          </w:p>
          <w:p w14:paraId="18AD9817" w14:textId="31342C44" w:rsidR="00C7085D" w:rsidRPr="00F512C2" w:rsidRDefault="00C7085D" w:rsidP="003A7959">
            <w:pPr>
              <w:widowControl w:val="0"/>
              <w:jc w:val="center"/>
              <w:rPr>
                <w:sz w:val="20"/>
              </w:rPr>
            </w:pPr>
            <w:r w:rsidRPr="00F512C2">
              <w:rPr>
                <w:sz w:val="20"/>
              </w:rPr>
              <w:t>(.0002)</w:t>
            </w:r>
          </w:p>
        </w:tc>
        <w:tc>
          <w:tcPr>
            <w:tcW w:w="891" w:type="pct"/>
          </w:tcPr>
          <w:p w14:paraId="473608BA" w14:textId="77777777" w:rsidR="00B334E7" w:rsidRPr="00F512C2" w:rsidRDefault="00C7085D" w:rsidP="003A7959">
            <w:pPr>
              <w:widowControl w:val="0"/>
              <w:jc w:val="center"/>
              <w:rPr>
                <w:sz w:val="20"/>
              </w:rPr>
            </w:pPr>
            <w:r w:rsidRPr="00F512C2">
              <w:rPr>
                <w:sz w:val="20"/>
              </w:rPr>
              <w:t>-.0001</w:t>
            </w:r>
          </w:p>
          <w:p w14:paraId="56B06027" w14:textId="06CE52DD" w:rsidR="00C7085D" w:rsidRPr="00F512C2" w:rsidRDefault="00C7085D" w:rsidP="003A7959">
            <w:pPr>
              <w:widowControl w:val="0"/>
              <w:jc w:val="center"/>
              <w:rPr>
                <w:sz w:val="20"/>
              </w:rPr>
            </w:pPr>
            <w:r w:rsidRPr="00F512C2">
              <w:rPr>
                <w:sz w:val="20"/>
              </w:rPr>
              <w:t>(.0002)</w:t>
            </w:r>
          </w:p>
        </w:tc>
        <w:tc>
          <w:tcPr>
            <w:tcW w:w="594" w:type="pct"/>
          </w:tcPr>
          <w:p w14:paraId="4765A20B" w14:textId="4F3FC70E" w:rsidR="00B334E7" w:rsidRPr="00F512C2" w:rsidRDefault="00043040" w:rsidP="00043040">
            <w:pPr>
              <w:widowControl w:val="0"/>
              <w:jc w:val="center"/>
              <w:rPr>
                <w:sz w:val="20"/>
              </w:rPr>
            </w:pPr>
            <w:r w:rsidRPr="00F512C2">
              <w:rPr>
                <w:sz w:val="20"/>
              </w:rPr>
              <w:t>---</w:t>
            </w:r>
          </w:p>
        </w:tc>
        <w:tc>
          <w:tcPr>
            <w:tcW w:w="644" w:type="pct"/>
          </w:tcPr>
          <w:p w14:paraId="21064CBA" w14:textId="1FB8EBF8" w:rsidR="00B334E7" w:rsidRPr="00F512C2" w:rsidRDefault="00043040" w:rsidP="00043040">
            <w:pPr>
              <w:widowControl w:val="0"/>
              <w:jc w:val="center"/>
              <w:rPr>
                <w:sz w:val="20"/>
              </w:rPr>
            </w:pPr>
            <w:r w:rsidRPr="00F512C2">
              <w:rPr>
                <w:sz w:val="20"/>
              </w:rPr>
              <w:t>---</w:t>
            </w:r>
          </w:p>
        </w:tc>
      </w:tr>
      <w:tr w:rsidR="00275149" w:rsidRPr="00F512C2" w14:paraId="7198439C" w14:textId="77777777" w:rsidTr="009E73CA">
        <w:tc>
          <w:tcPr>
            <w:tcW w:w="1980" w:type="pct"/>
          </w:tcPr>
          <w:p w14:paraId="5BC053A5" w14:textId="77777777" w:rsidR="00275149" w:rsidRPr="00F512C2" w:rsidRDefault="00275149" w:rsidP="003A7959">
            <w:pPr>
              <w:widowControl w:val="0"/>
              <w:rPr>
                <w:sz w:val="20"/>
                <w:vertAlign w:val="subscript"/>
              </w:rPr>
            </w:pPr>
            <w:r w:rsidRPr="00F512C2">
              <w:rPr>
                <w:sz w:val="20"/>
              </w:rPr>
              <w:t>Trade Openness</w:t>
            </w:r>
            <w:r w:rsidRPr="00F512C2">
              <w:rPr>
                <w:sz w:val="20"/>
                <w:vertAlign w:val="subscript"/>
              </w:rPr>
              <w:t xml:space="preserve">  </w:t>
            </w:r>
          </w:p>
          <w:p w14:paraId="7C55C2CB" w14:textId="77777777" w:rsidR="00275149" w:rsidRPr="00F512C2" w:rsidRDefault="00275149" w:rsidP="003A7959">
            <w:pPr>
              <w:widowControl w:val="0"/>
              <w:rPr>
                <w:sz w:val="20"/>
                <w:vertAlign w:val="subscript"/>
              </w:rPr>
            </w:pPr>
          </w:p>
        </w:tc>
        <w:tc>
          <w:tcPr>
            <w:tcW w:w="891" w:type="pct"/>
          </w:tcPr>
          <w:p w14:paraId="1CD71396" w14:textId="77777777" w:rsidR="00275149" w:rsidRPr="00F512C2" w:rsidRDefault="001D635A" w:rsidP="003A7959">
            <w:pPr>
              <w:widowControl w:val="0"/>
              <w:jc w:val="center"/>
              <w:rPr>
                <w:sz w:val="20"/>
              </w:rPr>
            </w:pPr>
            <w:r w:rsidRPr="00F512C2">
              <w:rPr>
                <w:sz w:val="20"/>
              </w:rPr>
              <w:t>.0008</w:t>
            </w:r>
          </w:p>
          <w:p w14:paraId="011EEE7F" w14:textId="438C01BB" w:rsidR="001D635A" w:rsidRPr="00F512C2" w:rsidRDefault="001D635A" w:rsidP="003A7959">
            <w:pPr>
              <w:widowControl w:val="0"/>
              <w:jc w:val="center"/>
              <w:rPr>
                <w:sz w:val="20"/>
              </w:rPr>
            </w:pPr>
            <w:r w:rsidRPr="00F512C2">
              <w:rPr>
                <w:sz w:val="20"/>
              </w:rPr>
              <w:t>(.0011)</w:t>
            </w:r>
          </w:p>
        </w:tc>
        <w:tc>
          <w:tcPr>
            <w:tcW w:w="891" w:type="pct"/>
          </w:tcPr>
          <w:p w14:paraId="4D737347" w14:textId="77777777" w:rsidR="00275149" w:rsidRPr="00F512C2" w:rsidRDefault="001D635A" w:rsidP="003A7959">
            <w:pPr>
              <w:widowControl w:val="0"/>
              <w:jc w:val="center"/>
              <w:rPr>
                <w:sz w:val="20"/>
              </w:rPr>
            </w:pPr>
            <w:r w:rsidRPr="00F512C2">
              <w:rPr>
                <w:sz w:val="20"/>
              </w:rPr>
              <w:t>.0009</w:t>
            </w:r>
          </w:p>
          <w:p w14:paraId="1AB01E49" w14:textId="49435FC6" w:rsidR="001D635A" w:rsidRPr="00F512C2" w:rsidRDefault="001D635A" w:rsidP="003A7959">
            <w:pPr>
              <w:widowControl w:val="0"/>
              <w:jc w:val="center"/>
              <w:rPr>
                <w:sz w:val="20"/>
              </w:rPr>
            </w:pPr>
            <w:r w:rsidRPr="00F512C2">
              <w:rPr>
                <w:sz w:val="20"/>
              </w:rPr>
              <w:t>(.0011)</w:t>
            </w:r>
          </w:p>
        </w:tc>
        <w:tc>
          <w:tcPr>
            <w:tcW w:w="594" w:type="pct"/>
          </w:tcPr>
          <w:p w14:paraId="79270260" w14:textId="77777777" w:rsidR="00275149" w:rsidRPr="00F512C2" w:rsidRDefault="001D635A" w:rsidP="003A7959">
            <w:pPr>
              <w:widowControl w:val="0"/>
              <w:jc w:val="center"/>
              <w:rPr>
                <w:sz w:val="20"/>
              </w:rPr>
            </w:pPr>
            <w:r w:rsidRPr="00F512C2">
              <w:rPr>
                <w:sz w:val="20"/>
              </w:rPr>
              <w:t>-.0823</w:t>
            </w:r>
          </w:p>
          <w:p w14:paraId="71868712" w14:textId="4C8C837C" w:rsidR="001D635A" w:rsidRPr="00F512C2" w:rsidRDefault="001D635A" w:rsidP="003A7959">
            <w:pPr>
              <w:widowControl w:val="0"/>
              <w:jc w:val="center"/>
              <w:rPr>
                <w:sz w:val="20"/>
              </w:rPr>
            </w:pPr>
            <w:r w:rsidRPr="00F512C2">
              <w:rPr>
                <w:sz w:val="20"/>
              </w:rPr>
              <w:t>(.0872)</w:t>
            </w:r>
          </w:p>
        </w:tc>
        <w:tc>
          <w:tcPr>
            <w:tcW w:w="644" w:type="pct"/>
          </w:tcPr>
          <w:p w14:paraId="650BAE3A" w14:textId="77777777" w:rsidR="00275149" w:rsidRPr="00F512C2" w:rsidRDefault="001D635A" w:rsidP="003A7959">
            <w:pPr>
              <w:widowControl w:val="0"/>
              <w:jc w:val="center"/>
              <w:rPr>
                <w:sz w:val="20"/>
              </w:rPr>
            </w:pPr>
            <w:r w:rsidRPr="00F512C2">
              <w:rPr>
                <w:sz w:val="20"/>
              </w:rPr>
              <w:t>-.0778</w:t>
            </w:r>
          </w:p>
          <w:p w14:paraId="50F8BDDA" w14:textId="4D012986" w:rsidR="001D635A" w:rsidRPr="00F512C2" w:rsidRDefault="001D635A" w:rsidP="003A7959">
            <w:pPr>
              <w:widowControl w:val="0"/>
              <w:jc w:val="center"/>
              <w:rPr>
                <w:sz w:val="20"/>
              </w:rPr>
            </w:pPr>
            <w:r w:rsidRPr="00F512C2">
              <w:rPr>
                <w:sz w:val="20"/>
              </w:rPr>
              <w:t>(.0659)</w:t>
            </w:r>
          </w:p>
        </w:tc>
      </w:tr>
      <w:tr w:rsidR="00275149" w:rsidRPr="00F512C2" w14:paraId="237CF262" w14:textId="77777777" w:rsidTr="009E73CA">
        <w:tc>
          <w:tcPr>
            <w:tcW w:w="1980" w:type="pct"/>
          </w:tcPr>
          <w:p w14:paraId="7966BBB1" w14:textId="77777777" w:rsidR="00275149" w:rsidRPr="00F512C2" w:rsidRDefault="00275149" w:rsidP="003A7959">
            <w:pPr>
              <w:widowControl w:val="0"/>
              <w:rPr>
                <w:sz w:val="20"/>
              </w:rPr>
            </w:pPr>
            <w:r w:rsidRPr="00F512C2">
              <w:rPr>
                <w:sz w:val="20"/>
              </w:rPr>
              <w:t>Capital Market Openness</w:t>
            </w:r>
            <w:r w:rsidRPr="00F512C2">
              <w:rPr>
                <w:sz w:val="20"/>
                <w:vertAlign w:val="subscript"/>
              </w:rPr>
              <w:t xml:space="preserve"> </w:t>
            </w:r>
          </w:p>
          <w:p w14:paraId="753B7799" w14:textId="77777777" w:rsidR="00275149" w:rsidRPr="00F512C2" w:rsidRDefault="00275149" w:rsidP="003A7959">
            <w:pPr>
              <w:widowControl w:val="0"/>
              <w:rPr>
                <w:sz w:val="20"/>
              </w:rPr>
            </w:pPr>
          </w:p>
        </w:tc>
        <w:tc>
          <w:tcPr>
            <w:tcW w:w="891" w:type="pct"/>
          </w:tcPr>
          <w:p w14:paraId="0E7B2E48" w14:textId="77777777" w:rsidR="00275149" w:rsidRPr="00F512C2" w:rsidRDefault="00963BFF" w:rsidP="003A7959">
            <w:pPr>
              <w:widowControl w:val="0"/>
              <w:jc w:val="center"/>
              <w:rPr>
                <w:sz w:val="20"/>
              </w:rPr>
            </w:pPr>
            <w:r w:rsidRPr="00F512C2">
              <w:rPr>
                <w:sz w:val="20"/>
              </w:rPr>
              <w:t>.0026**</w:t>
            </w:r>
          </w:p>
          <w:p w14:paraId="056823FE" w14:textId="4CCD49A6" w:rsidR="00963BFF" w:rsidRPr="00F512C2" w:rsidRDefault="00963BFF" w:rsidP="003A7959">
            <w:pPr>
              <w:widowControl w:val="0"/>
              <w:jc w:val="center"/>
              <w:rPr>
                <w:sz w:val="20"/>
              </w:rPr>
            </w:pPr>
            <w:r w:rsidRPr="00F512C2">
              <w:rPr>
                <w:sz w:val="20"/>
              </w:rPr>
              <w:t>(.0014)</w:t>
            </w:r>
          </w:p>
        </w:tc>
        <w:tc>
          <w:tcPr>
            <w:tcW w:w="891" w:type="pct"/>
          </w:tcPr>
          <w:p w14:paraId="18852A19" w14:textId="77777777" w:rsidR="00275149" w:rsidRPr="00F512C2" w:rsidRDefault="00963BFF" w:rsidP="003A7959">
            <w:pPr>
              <w:widowControl w:val="0"/>
              <w:jc w:val="center"/>
              <w:rPr>
                <w:sz w:val="20"/>
              </w:rPr>
            </w:pPr>
            <w:r w:rsidRPr="00F512C2">
              <w:rPr>
                <w:sz w:val="20"/>
              </w:rPr>
              <w:t>.0026**</w:t>
            </w:r>
          </w:p>
          <w:p w14:paraId="0739810C" w14:textId="2961CB2D" w:rsidR="00963BFF" w:rsidRPr="00F512C2" w:rsidRDefault="00963BFF" w:rsidP="003A7959">
            <w:pPr>
              <w:widowControl w:val="0"/>
              <w:jc w:val="center"/>
              <w:rPr>
                <w:sz w:val="20"/>
              </w:rPr>
            </w:pPr>
            <w:r w:rsidRPr="00F512C2">
              <w:rPr>
                <w:sz w:val="20"/>
              </w:rPr>
              <w:t>(.0013)</w:t>
            </w:r>
          </w:p>
        </w:tc>
        <w:tc>
          <w:tcPr>
            <w:tcW w:w="594" w:type="pct"/>
          </w:tcPr>
          <w:p w14:paraId="66DE29C8" w14:textId="77777777" w:rsidR="00275149" w:rsidRPr="00F512C2" w:rsidRDefault="00963BFF" w:rsidP="003A7959">
            <w:pPr>
              <w:widowControl w:val="0"/>
              <w:jc w:val="center"/>
              <w:rPr>
                <w:sz w:val="20"/>
              </w:rPr>
            </w:pPr>
            <w:r w:rsidRPr="00F512C2">
              <w:rPr>
                <w:sz w:val="20"/>
              </w:rPr>
              <w:t>.0929</w:t>
            </w:r>
          </w:p>
          <w:p w14:paraId="44185E8F" w14:textId="4EAEF1E5" w:rsidR="00963BFF" w:rsidRPr="00F512C2" w:rsidRDefault="00963BFF" w:rsidP="003A7959">
            <w:pPr>
              <w:widowControl w:val="0"/>
              <w:jc w:val="center"/>
              <w:rPr>
                <w:sz w:val="20"/>
              </w:rPr>
            </w:pPr>
            <w:r w:rsidRPr="00F512C2">
              <w:rPr>
                <w:sz w:val="20"/>
              </w:rPr>
              <w:t>(.0886)</w:t>
            </w:r>
          </w:p>
        </w:tc>
        <w:tc>
          <w:tcPr>
            <w:tcW w:w="644" w:type="pct"/>
          </w:tcPr>
          <w:p w14:paraId="1B696C57" w14:textId="44BBB998" w:rsidR="00275149" w:rsidRPr="00F512C2" w:rsidRDefault="005F01D5" w:rsidP="003A7959">
            <w:pPr>
              <w:widowControl w:val="0"/>
              <w:jc w:val="center"/>
              <w:rPr>
                <w:sz w:val="20"/>
              </w:rPr>
            </w:pPr>
            <w:r w:rsidRPr="00F512C2">
              <w:rPr>
                <w:sz w:val="20"/>
              </w:rPr>
              <w:t>.0875</w:t>
            </w:r>
          </w:p>
          <w:p w14:paraId="75F06C70" w14:textId="18B0766C" w:rsidR="005F01D5" w:rsidRPr="00F512C2" w:rsidRDefault="005F01D5" w:rsidP="003A7959">
            <w:pPr>
              <w:widowControl w:val="0"/>
              <w:jc w:val="center"/>
              <w:rPr>
                <w:sz w:val="20"/>
              </w:rPr>
            </w:pPr>
            <w:r w:rsidRPr="00F512C2">
              <w:rPr>
                <w:sz w:val="20"/>
              </w:rPr>
              <w:t>(.0967)</w:t>
            </w:r>
          </w:p>
        </w:tc>
      </w:tr>
      <w:tr w:rsidR="00275149" w:rsidRPr="00F512C2" w14:paraId="6196F7F9" w14:textId="77777777" w:rsidTr="009E73CA">
        <w:tc>
          <w:tcPr>
            <w:tcW w:w="1980" w:type="pct"/>
          </w:tcPr>
          <w:p w14:paraId="0B6B7072" w14:textId="77777777" w:rsidR="00275149" w:rsidRPr="00F512C2" w:rsidRDefault="00275149" w:rsidP="003A7959">
            <w:pPr>
              <w:widowControl w:val="0"/>
              <w:rPr>
                <w:sz w:val="20"/>
                <w:vertAlign w:val="subscript"/>
              </w:rPr>
            </w:pPr>
            <w:r w:rsidRPr="00F512C2">
              <w:rPr>
                <w:sz w:val="20"/>
              </w:rPr>
              <w:t xml:space="preserve">Deindustrialization </w:t>
            </w:r>
          </w:p>
          <w:p w14:paraId="33C58CE6" w14:textId="77777777" w:rsidR="00275149" w:rsidRPr="00F512C2" w:rsidRDefault="00275149" w:rsidP="003A7959">
            <w:pPr>
              <w:widowControl w:val="0"/>
              <w:rPr>
                <w:sz w:val="20"/>
              </w:rPr>
            </w:pPr>
          </w:p>
        </w:tc>
        <w:tc>
          <w:tcPr>
            <w:tcW w:w="891" w:type="pct"/>
          </w:tcPr>
          <w:p w14:paraId="3481416E" w14:textId="77777777" w:rsidR="00275149" w:rsidRPr="00F512C2" w:rsidRDefault="005F01D5" w:rsidP="003A7959">
            <w:pPr>
              <w:widowControl w:val="0"/>
              <w:jc w:val="center"/>
              <w:rPr>
                <w:sz w:val="20"/>
              </w:rPr>
            </w:pPr>
            <w:r w:rsidRPr="00F512C2">
              <w:rPr>
                <w:sz w:val="20"/>
              </w:rPr>
              <w:t>.0048</w:t>
            </w:r>
          </w:p>
          <w:p w14:paraId="3CBB11F8" w14:textId="385DE010" w:rsidR="005F01D5" w:rsidRPr="00F512C2" w:rsidRDefault="005F01D5" w:rsidP="003A7959">
            <w:pPr>
              <w:widowControl w:val="0"/>
              <w:jc w:val="center"/>
              <w:rPr>
                <w:sz w:val="20"/>
              </w:rPr>
            </w:pPr>
            <w:r w:rsidRPr="00F512C2">
              <w:rPr>
                <w:sz w:val="20"/>
              </w:rPr>
              <w:t>(.0053</w:t>
            </w:r>
          </w:p>
        </w:tc>
        <w:tc>
          <w:tcPr>
            <w:tcW w:w="891" w:type="pct"/>
          </w:tcPr>
          <w:p w14:paraId="1BE77CB9" w14:textId="77777777" w:rsidR="00275149" w:rsidRPr="00F512C2" w:rsidRDefault="005F01D5" w:rsidP="003A7959">
            <w:pPr>
              <w:widowControl w:val="0"/>
              <w:jc w:val="center"/>
              <w:rPr>
                <w:sz w:val="20"/>
              </w:rPr>
            </w:pPr>
            <w:r w:rsidRPr="00F512C2">
              <w:rPr>
                <w:sz w:val="20"/>
              </w:rPr>
              <w:t>.0042</w:t>
            </w:r>
          </w:p>
          <w:p w14:paraId="6FAD3CB2" w14:textId="2444F2EB" w:rsidR="005F01D5" w:rsidRPr="00F512C2" w:rsidRDefault="005F01D5" w:rsidP="003A7959">
            <w:pPr>
              <w:widowControl w:val="0"/>
              <w:jc w:val="center"/>
              <w:rPr>
                <w:sz w:val="20"/>
              </w:rPr>
            </w:pPr>
            <w:r w:rsidRPr="00F512C2">
              <w:rPr>
                <w:sz w:val="20"/>
              </w:rPr>
              <w:t>(.0053)</w:t>
            </w:r>
          </w:p>
        </w:tc>
        <w:tc>
          <w:tcPr>
            <w:tcW w:w="594" w:type="pct"/>
          </w:tcPr>
          <w:p w14:paraId="721518B9" w14:textId="77777777" w:rsidR="00275149" w:rsidRPr="00F512C2" w:rsidRDefault="000423B9" w:rsidP="003A7959">
            <w:pPr>
              <w:widowControl w:val="0"/>
              <w:jc w:val="center"/>
              <w:rPr>
                <w:sz w:val="20"/>
              </w:rPr>
            </w:pPr>
            <w:r w:rsidRPr="00F512C2">
              <w:rPr>
                <w:sz w:val="20"/>
              </w:rPr>
              <w:t>.3832**</w:t>
            </w:r>
          </w:p>
          <w:p w14:paraId="63FE5E31" w14:textId="520C0D53" w:rsidR="00D87413" w:rsidRPr="00F512C2" w:rsidRDefault="00D87413" w:rsidP="003A7959">
            <w:pPr>
              <w:widowControl w:val="0"/>
              <w:jc w:val="center"/>
              <w:rPr>
                <w:sz w:val="20"/>
              </w:rPr>
            </w:pPr>
            <w:r w:rsidRPr="00F512C2">
              <w:rPr>
                <w:sz w:val="20"/>
              </w:rPr>
              <w:t>(.2444)</w:t>
            </w:r>
          </w:p>
        </w:tc>
        <w:tc>
          <w:tcPr>
            <w:tcW w:w="644" w:type="pct"/>
          </w:tcPr>
          <w:p w14:paraId="7DE525BD" w14:textId="77777777" w:rsidR="00275149" w:rsidRPr="00F512C2" w:rsidRDefault="00D87413" w:rsidP="003A7959">
            <w:pPr>
              <w:widowControl w:val="0"/>
              <w:jc w:val="center"/>
              <w:rPr>
                <w:sz w:val="20"/>
              </w:rPr>
            </w:pPr>
            <w:r w:rsidRPr="00F512C2">
              <w:rPr>
                <w:sz w:val="20"/>
              </w:rPr>
              <w:t>.3762*</w:t>
            </w:r>
          </w:p>
          <w:p w14:paraId="30705C70" w14:textId="6B8FFF70" w:rsidR="00D87413" w:rsidRPr="00F512C2" w:rsidRDefault="00D87413" w:rsidP="003A7959">
            <w:pPr>
              <w:widowControl w:val="0"/>
              <w:jc w:val="center"/>
              <w:rPr>
                <w:sz w:val="20"/>
              </w:rPr>
            </w:pPr>
            <w:r w:rsidRPr="00F512C2">
              <w:rPr>
                <w:sz w:val="20"/>
              </w:rPr>
              <w:t>(.2406)</w:t>
            </w:r>
          </w:p>
        </w:tc>
      </w:tr>
      <w:tr w:rsidR="00275149" w:rsidRPr="00F512C2" w14:paraId="581E34F0" w14:textId="77777777" w:rsidTr="009E73CA">
        <w:tc>
          <w:tcPr>
            <w:tcW w:w="1980" w:type="pct"/>
          </w:tcPr>
          <w:p w14:paraId="4ADB6AAA" w14:textId="77777777" w:rsidR="00275149" w:rsidRPr="00F512C2" w:rsidRDefault="00275149" w:rsidP="003A7959">
            <w:pPr>
              <w:widowControl w:val="0"/>
              <w:rPr>
                <w:sz w:val="20"/>
              </w:rPr>
            </w:pPr>
            <w:r w:rsidRPr="00F512C2">
              <w:rPr>
                <w:sz w:val="20"/>
              </w:rPr>
              <w:t>Economic Growth Rate</w:t>
            </w:r>
          </w:p>
          <w:p w14:paraId="77B3E9A4" w14:textId="6D64B0B1" w:rsidR="009205AF" w:rsidRPr="00F512C2" w:rsidRDefault="009205AF" w:rsidP="003A7959">
            <w:pPr>
              <w:widowControl w:val="0"/>
              <w:rPr>
                <w:sz w:val="20"/>
              </w:rPr>
            </w:pPr>
          </w:p>
        </w:tc>
        <w:tc>
          <w:tcPr>
            <w:tcW w:w="891" w:type="pct"/>
          </w:tcPr>
          <w:p w14:paraId="279BC091" w14:textId="77777777" w:rsidR="00275149" w:rsidRPr="00F512C2" w:rsidRDefault="00C42070" w:rsidP="003A7959">
            <w:pPr>
              <w:widowControl w:val="0"/>
              <w:jc w:val="center"/>
              <w:rPr>
                <w:sz w:val="20"/>
              </w:rPr>
            </w:pPr>
            <w:r w:rsidRPr="00F512C2">
              <w:rPr>
                <w:sz w:val="20"/>
              </w:rPr>
              <w:t>-.0096**</w:t>
            </w:r>
          </w:p>
          <w:p w14:paraId="4C171EC8" w14:textId="7D975DB9" w:rsidR="00C42070" w:rsidRPr="00F512C2" w:rsidRDefault="00C42070" w:rsidP="003A7959">
            <w:pPr>
              <w:widowControl w:val="0"/>
              <w:jc w:val="center"/>
              <w:rPr>
                <w:sz w:val="20"/>
              </w:rPr>
            </w:pPr>
            <w:r w:rsidRPr="00F512C2">
              <w:rPr>
                <w:sz w:val="20"/>
              </w:rPr>
              <w:t>(.0030)</w:t>
            </w:r>
          </w:p>
        </w:tc>
        <w:tc>
          <w:tcPr>
            <w:tcW w:w="891" w:type="pct"/>
          </w:tcPr>
          <w:p w14:paraId="2FAD2F14" w14:textId="77777777" w:rsidR="00275149" w:rsidRPr="00F512C2" w:rsidRDefault="00C42070" w:rsidP="003A7959">
            <w:pPr>
              <w:widowControl w:val="0"/>
              <w:jc w:val="center"/>
              <w:rPr>
                <w:sz w:val="20"/>
              </w:rPr>
            </w:pPr>
            <w:r w:rsidRPr="00F512C2">
              <w:rPr>
                <w:sz w:val="20"/>
              </w:rPr>
              <w:t>-.0089**</w:t>
            </w:r>
          </w:p>
          <w:p w14:paraId="2E04AF35" w14:textId="18440B46" w:rsidR="00C42070" w:rsidRPr="00F512C2" w:rsidRDefault="00C42070" w:rsidP="003A7959">
            <w:pPr>
              <w:widowControl w:val="0"/>
              <w:jc w:val="center"/>
              <w:rPr>
                <w:sz w:val="20"/>
              </w:rPr>
            </w:pPr>
            <w:r w:rsidRPr="00F512C2">
              <w:rPr>
                <w:sz w:val="20"/>
              </w:rPr>
              <w:t>(.0030)</w:t>
            </w:r>
          </w:p>
        </w:tc>
        <w:tc>
          <w:tcPr>
            <w:tcW w:w="594" w:type="pct"/>
          </w:tcPr>
          <w:p w14:paraId="42FCB4AC" w14:textId="77777777" w:rsidR="00275149" w:rsidRPr="00F512C2" w:rsidRDefault="00C42070" w:rsidP="003A7959">
            <w:pPr>
              <w:widowControl w:val="0"/>
              <w:jc w:val="center"/>
              <w:rPr>
                <w:sz w:val="20"/>
              </w:rPr>
            </w:pPr>
            <w:r w:rsidRPr="00F512C2">
              <w:rPr>
                <w:sz w:val="20"/>
              </w:rPr>
              <w:t>-.0197</w:t>
            </w:r>
          </w:p>
          <w:p w14:paraId="04C241D9" w14:textId="3E677D6D" w:rsidR="00C42070" w:rsidRPr="00F512C2" w:rsidRDefault="00C42070" w:rsidP="003A7959">
            <w:pPr>
              <w:widowControl w:val="0"/>
              <w:jc w:val="center"/>
              <w:rPr>
                <w:sz w:val="20"/>
              </w:rPr>
            </w:pPr>
            <w:r w:rsidRPr="00F512C2">
              <w:rPr>
                <w:sz w:val="20"/>
              </w:rPr>
              <w:t>(.24</w:t>
            </w:r>
            <w:r w:rsidR="003A7724" w:rsidRPr="00F512C2">
              <w:rPr>
                <w:sz w:val="20"/>
              </w:rPr>
              <w:t>07)</w:t>
            </w:r>
          </w:p>
        </w:tc>
        <w:tc>
          <w:tcPr>
            <w:tcW w:w="644" w:type="pct"/>
          </w:tcPr>
          <w:p w14:paraId="60D67D38" w14:textId="77777777" w:rsidR="00275149" w:rsidRPr="00F512C2" w:rsidRDefault="003A7724" w:rsidP="003A7959">
            <w:pPr>
              <w:widowControl w:val="0"/>
              <w:jc w:val="center"/>
              <w:rPr>
                <w:sz w:val="20"/>
              </w:rPr>
            </w:pPr>
            <w:r w:rsidRPr="00F512C2">
              <w:rPr>
                <w:sz w:val="20"/>
              </w:rPr>
              <w:t>-.0256</w:t>
            </w:r>
          </w:p>
          <w:p w14:paraId="2B64E126" w14:textId="5AB614CB" w:rsidR="003A7724" w:rsidRPr="00F512C2" w:rsidRDefault="003A7724" w:rsidP="003A7959">
            <w:pPr>
              <w:widowControl w:val="0"/>
              <w:jc w:val="center"/>
              <w:rPr>
                <w:sz w:val="20"/>
              </w:rPr>
            </w:pPr>
            <w:r w:rsidRPr="00F512C2">
              <w:rPr>
                <w:sz w:val="20"/>
              </w:rPr>
              <w:t>(.2387)</w:t>
            </w:r>
          </w:p>
        </w:tc>
      </w:tr>
      <w:tr w:rsidR="00275149" w:rsidRPr="00F512C2" w14:paraId="131F15D2" w14:textId="77777777" w:rsidTr="009E73CA">
        <w:tc>
          <w:tcPr>
            <w:tcW w:w="1980" w:type="pct"/>
          </w:tcPr>
          <w:p w14:paraId="03019E2F" w14:textId="77777777" w:rsidR="00275149" w:rsidRPr="00F512C2" w:rsidRDefault="00275149" w:rsidP="003A7959">
            <w:pPr>
              <w:widowControl w:val="0"/>
              <w:rPr>
                <w:sz w:val="20"/>
                <w:vertAlign w:val="subscript"/>
              </w:rPr>
            </w:pPr>
            <w:r w:rsidRPr="00F512C2">
              <w:rPr>
                <w:sz w:val="20"/>
              </w:rPr>
              <w:t xml:space="preserve">Unemployment </w:t>
            </w:r>
          </w:p>
          <w:p w14:paraId="701E297E" w14:textId="77777777" w:rsidR="00275149" w:rsidRPr="00F512C2" w:rsidRDefault="00275149" w:rsidP="003A7959">
            <w:pPr>
              <w:widowControl w:val="0"/>
              <w:rPr>
                <w:sz w:val="20"/>
                <w:vertAlign w:val="subscript"/>
              </w:rPr>
            </w:pPr>
          </w:p>
        </w:tc>
        <w:tc>
          <w:tcPr>
            <w:tcW w:w="891" w:type="pct"/>
          </w:tcPr>
          <w:p w14:paraId="63756C77" w14:textId="77777777" w:rsidR="00275149" w:rsidRPr="00F512C2" w:rsidRDefault="003A7724" w:rsidP="003A7959">
            <w:pPr>
              <w:widowControl w:val="0"/>
              <w:jc w:val="center"/>
              <w:rPr>
                <w:sz w:val="20"/>
              </w:rPr>
            </w:pPr>
            <w:r w:rsidRPr="00F512C2">
              <w:rPr>
                <w:sz w:val="20"/>
              </w:rPr>
              <w:t>.0211**</w:t>
            </w:r>
          </w:p>
          <w:p w14:paraId="502ABE5C" w14:textId="4A069E3D" w:rsidR="003A7724" w:rsidRPr="00F512C2" w:rsidRDefault="003A7724" w:rsidP="003A7959">
            <w:pPr>
              <w:widowControl w:val="0"/>
              <w:jc w:val="center"/>
              <w:rPr>
                <w:sz w:val="20"/>
              </w:rPr>
            </w:pPr>
            <w:r w:rsidRPr="00F512C2">
              <w:rPr>
                <w:sz w:val="20"/>
              </w:rPr>
              <w:t>(.0077)</w:t>
            </w:r>
          </w:p>
        </w:tc>
        <w:tc>
          <w:tcPr>
            <w:tcW w:w="891" w:type="pct"/>
          </w:tcPr>
          <w:p w14:paraId="771079E8" w14:textId="77777777" w:rsidR="00275149" w:rsidRPr="00F512C2" w:rsidRDefault="003A7724" w:rsidP="003A7959">
            <w:pPr>
              <w:widowControl w:val="0"/>
              <w:jc w:val="center"/>
              <w:rPr>
                <w:sz w:val="20"/>
              </w:rPr>
            </w:pPr>
            <w:r w:rsidRPr="00F512C2">
              <w:rPr>
                <w:sz w:val="20"/>
              </w:rPr>
              <w:t>.0221**</w:t>
            </w:r>
          </w:p>
          <w:p w14:paraId="12D5BC72" w14:textId="6A1EDF4E" w:rsidR="003A7724" w:rsidRPr="00F512C2" w:rsidRDefault="003A7724" w:rsidP="003A7959">
            <w:pPr>
              <w:widowControl w:val="0"/>
              <w:jc w:val="center"/>
              <w:rPr>
                <w:sz w:val="20"/>
              </w:rPr>
            </w:pPr>
            <w:r w:rsidRPr="00F512C2">
              <w:rPr>
                <w:sz w:val="20"/>
              </w:rPr>
              <w:t>(</w:t>
            </w:r>
            <w:r w:rsidR="005A7749" w:rsidRPr="00F512C2">
              <w:rPr>
                <w:sz w:val="20"/>
              </w:rPr>
              <w:t>.0076)</w:t>
            </w:r>
          </w:p>
        </w:tc>
        <w:tc>
          <w:tcPr>
            <w:tcW w:w="594" w:type="pct"/>
          </w:tcPr>
          <w:p w14:paraId="01C438FC" w14:textId="77777777" w:rsidR="00275149" w:rsidRPr="00F512C2" w:rsidRDefault="005A7749" w:rsidP="003A7959">
            <w:pPr>
              <w:widowControl w:val="0"/>
              <w:jc w:val="center"/>
              <w:rPr>
                <w:sz w:val="20"/>
              </w:rPr>
            </w:pPr>
            <w:r w:rsidRPr="00F512C2">
              <w:rPr>
                <w:sz w:val="20"/>
              </w:rPr>
              <w:t>1.3071**</w:t>
            </w:r>
          </w:p>
          <w:p w14:paraId="2CAB1FE8" w14:textId="1169E4DD" w:rsidR="005A7749" w:rsidRPr="00F512C2" w:rsidRDefault="005A7749" w:rsidP="003A7959">
            <w:pPr>
              <w:widowControl w:val="0"/>
              <w:jc w:val="center"/>
              <w:rPr>
                <w:sz w:val="20"/>
              </w:rPr>
            </w:pPr>
            <w:r w:rsidRPr="00F512C2">
              <w:rPr>
                <w:sz w:val="20"/>
              </w:rPr>
              <w:t>(.4186)</w:t>
            </w:r>
          </w:p>
        </w:tc>
        <w:tc>
          <w:tcPr>
            <w:tcW w:w="644" w:type="pct"/>
          </w:tcPr>
          <w:p w14:paraId="6554972D" w14:textId="77777777" w:rsidR="00275149" w:rsidRPr="00F512C2" w:rsidRDefault="008D6F81" w:rsidP="003A7959">
            <w:pPr>
              <w:widowControl w:val="0"/>
              <w:jc w:val="center"/>
              <w:rPr>
                <w:sz w:val="20"/>
              </w:rPr>
            </w:pPr>
            <w:r w:rsidRPr="00F512C2">
              <w:rPr>
                <w:sz w:val="20"/>
              </w:rPr>
              <w:t>1.3287**</w:t>
            </w:r>
          </w:p>
          <w:p w14:paraId="3BF3CD7D" w14:textId="2D1E0D88" w:rsidR="008D6F81" w:rsidRPr="00F512C2" w:rsidRDefault="008D6F81" w:rsidP="003A7959">
            <w:pPr>
              <w:widowControl w:val="0"/>
              <w:jc w:val="center"/>
              <w:rPr>
                <w:sz w:val="20"/>
              </w:rPr>
            </w:pPr>
            <w:r w:rsidRPr="00F512C2">
              <w:rPr>
                <w:sz w:val="20"/>
              </w:rPr>
              <w:t>(.4562)</w:t>
            </w:r>
          </w:p>
        </w:tc>
      </w:tr>
      <w:tr w:rsidR="00037555" w:rsidRPr="00F512C2" w14:paraId="7B7AE3C0" w14:textId="77777777" w:rsidTr="009E73CA">
        <w:tc>
          <w:tcPr>
            <w:tcW w:w="1980" w:type="pct"/>
          </w:tcPr>
          <w:p w14:paraId="2F4E9762" w14:textId="4223625B" w:rsidR="00037555" w:rsidRPr="00F512C2" w:rsidRDefault="00037555" w:rsidP="003A7959">
            <w:pPr>
              <w:widowControl w:val="0"/>
              <w:rPr>
                <w:sz w:val="20"/>
              </w:rPr>
            </w:pPr>
            <w:r w:rsidRPr="00F512C2">
              <w:rPr>
                <w:sz w:val="20"/>
              </w:rPr>
              <w:t>Poverty Reduction</w:t>
            </w:r>
            <w:r w:rsidR="004A62C9" w:rsidRPr="00F512C2">
              <w:rPr>
                <w:sz w:val="20"/>
              </w:rPr>
              <w:t xml:space="preserve"> Previous</w:t>
            </w:r>
            <w:r w:rsidR="00565D19" w:rsidRPr="00F512C2">
              <w:rPr>
                <w:sz w:val="20"/>
              </w:rPr>
              <w:t xml:space="preserve"> Period</w:t>
            </w:r>
          </w:p>
          <w:p w14:paraId="0ECFD9F1" w14:textId="070393ED" w:rsidR="008C4090" w:rsidRPr="00F512C2" w:rsidRDefault="008C4090" w:rsidP="003A7959">
            <w:pPr>
              <w:widowControl w:val="0"/>
              <w:rPr>
                <w:sz w:val="20"/>
              </w:rPr>
            </w:pPr>
          </w:p>
        </w:tc>
        <w:tc>
          <w:tcPr>
            <w:tcW w:w="891" w:type="pct"/>
          </w:tcPr>
          <w:p w14:paraId="56E89B89" w14:textId="3B54A365" w:rsidR="00037555" w:rsidRPr="00F512C2" w:rsidRDefault="008D6F81" w:rsidP="003A7959">
            <w:pPr>
              <w:widowControl w:val="0"/>
              <w:jc w:val="center"/>
              <w:rPr>
                <w:sz w:val="20"/>
              </w:rPr>
            </w:pPr>
            <w:r w:rsidRPr="00F512C2">
              <w:rPr>
                <w:sz w:val="20"/>
              </w:rPr>
              <w:t>---</w:t>
            </w:r>
          </w:p>
        </w:tc>
        <w:tc>
          <w:tcPr>
            <w:tcW w:w="891" w:type="pct"/>
          </w:tcPr>
          <w:p w14:paraId="34A3BE52" w14:textId="1816935D" w:rsidR="00037555" w:rsidRPr="00F512C2" w:rsidRDefault="008D6F81" w:rsidP="003A7959">
            <w:pPr>
              <w:widowControl w:val="0"/>
              <w:jc w:val="center"/>
              <w:rPr>
                <w:sz w:val="20"/>
              </w:rPr>
            </w:pPr>
            <w:r w:rsidRPr="00F512C2">
              <w:rPr>
                <w:sz w:val="20"/>
              </w:rPr>
              <w:t>---</w:t>
            </w:r>
          </w:p>
        </w:tc>
        <w:tc>
          <w:tcPr>
            <w:tcW w:w="594" w:type="pct"/>
          </w:tcPr>
          <w:p w14:paraId="2A9D5C99" w14:textId="77777777" w:rsidR="00037555" w:rsidRPr="00F512C2" w:rsidRDefault="008D6F81" w:rsidP="003A7959">
            <w:pPr>
              <w:widowControl w:val="0"/>
              <w:jc w:val="center"/>
              <w:rPr>
                <w:sz w:val="20"/>
              </w:rPr>
            </w:pPr>
            <w:r w:rsidRPr="00F512C2">
              <w:rPr>
                <w:sz w:val="20"/>
              </w:rPr>
              <w:t>.6405**</w:t>
            </w:r>
          </w:p>
          <w:p w14:paraId="08C92AAE" w14:textId="02CD5DA5" w:rsidR="008D6F81" w:rsidRPr="00F512C2" w:rsidRDefault="008D6F81" w:rsidP="003A7959">
            <w:pPr>
              <w:widowControl w:val="0"/>
              <w:jc w:val="center"/>
              <w:rPr>
                <w:sz w:val="20"/>
              </w:rPr>
            </w:pPr>
            <w:r w:rsidRPr="00F512C2">
              <w:rPr>
                <w:sz w:val="20"/>
              </w:rPr>
              <w:t>(.0838)</w:t>
            </w:r>
          </w:p>
        </w:tc>
        <w:tc>
          <w:tcPr>
            <w:tcW w:w="644" w:type="pct"/>
          </w:tcPr>
          <w:p w14:paraId="4FFCB69D" w14:textId="77777777" w:rsidR="00037555" w:rsidRPr="00F512C2" w:rsidRDefault="00382DCC" w:rsidP="003A7959">
            <w:pPr>
              <w:widowControl w:val="0"/>
              <w:jc w:val="center"/>
              <w:rPr>
                <w:sz w:val="20"/>
              </w:rPr>
            </w:pPr>
            <w:r w:rsidRPr="00F512C2">
              <w:rPr>
                <w:sz w:val="20"/>
              </w:rPr>
              <w:t>.6416**</w:t>
            </w:r>
          </w:p>
          <w:p w14:paraId="2877155A" w14:textId="240EF515" w:rsidR="00382DCC" w:rsidRPr="00F512C2" w:rsidRDefault="00382DCC" w:rsidP="003A7959">
            <w:pPr>
              <w:widowControl w:val="0"/>
              <w:jc w:val="center"/>
              <w:rPr>
                <w:sz w:val="20"/>
              </w:rPr>
            </w:pPr>
            <w:r w:rsidRPr="00F512C2">
              <w:rPr>
                <w:sz w:val="20"/>
              </w:rPr>
              <w:t>(.0828)</w:t>
            </w:r>
          </w:p>
        </w:tc>
      </w:tr>
      <w:tr w:rsidR="00275149" w:rsidRPr="00F512C2" w14:paraId="3BDF3C19" w14:textId="77777777" w:rsidTr="009E73CA">
        <w:tc>
          <w:tcPr>
            <w:tcW w:w="1980" w:type="pct"/>
          </w:tcPr>
          <w:p w14:paraId="2A94D1DD" w14:textId="77777777" w:rsidR="00275149" w:rsidRPr="00F512C2" w:rsidRDefault="00275149" w:rsidP="003A7959">
            <w:pPr>
              <w:widowControl w:val="0"/>
              <w:rPr>
                <w:sz w:val="20"/>
              </w:rPr>
            </w:pPr>
            <w:r w:rsidRPr="00F512C2">
              <w:rPr>
                <w:sz w:val="20"/>
              </w:rPr>
              <w:t>Constant</w:t>
            </w:r>
          </w:p>
        </w:tc>
        <w:tc>
          <w:tcPr>
            <w:tcW w:w="891" w:type="pct"/>
          </w:tcPr>
          <w:p w14:paraId="2A43C415" w14:textId="2A0C9397" w:rsidR="00275149" w:rsidRPr="00F512C2" w:rsidRDefault="00382DCC" w:rsidP="003A7959">
            <w:pPr>
              <w:widowControl w:val="0"/>
              <w:jc w:val="center"/>
              <w:rPr>
                <w:sz w:val="20"/>
              </w:rPr>
            </w:pPr>
            <w:r w:rsidRPr="00F512C2">
              <w:rPr>
                <w:sz w:val="20"/>
              </w:rPr>
              <w:t>-.2548</w:t>
            </w:r>
          </w:p>
        </w:tc>
        <w:tc>
          <w:tcPr>
            <w:tcW w:w="891" w:type="pct"/>
          </w:tcPr>
          <w:p w14:paraId="04C62755" w14:textId="15682EB4" w:rsidR="00275149" w:rsidRPr="00F512C2" w:rsidRDefault="00382DCC" w:rsidP="003A7959">
            <w:pPr>
              <w:widowControl w:val="0"/>
              <w:jc w:val="center"/>
              <w:rPr>
                <w:sz w:val="20"/>
              </w:rPr>
            </w:pPr>
            <w:r w:rsidRPr="00F512C2">
              <w:rPr>
                <w:sz w:val="20"/>
              </w:rPr>
              <w:t>-.2403</w:t>
            </w:r>
          </w:p>
        </w:tc>
        <w:tc>
          <w:tcPr>
            <w:tcW w:w="594" w:type="pct"/>
          </w:tcPr>
          <w:p w14:paraId="40DFA937" w14:textId="6BB5013F" w:rsidR="00275149" w:rsidRPr="00F512C2" w:rsidRDefault="00382DCC" w:rsidP="003A7959">
            <w:pPr>
              <w:widowControl w:val="0"/>
              <w:jc w:val="center"/>
              <w:rPr>
                <w:sz w:val="20"/>
              </w:rPr>
            </w:pPr>
            <w:r w:rsidRPr="00F512C2">
              <w:rPr>
                <w:sz w:val="20"/>
              </w:rPr>
              <w:t>-30.5050</w:t>
            </w:r>
          </w:p>
        </w:tc>
        <w:tc>
          <w:tcPr>
            <w:tcW w:w="644" w:type="pct"/>
          </w:tcPr>
          <w:p w14:paraId="5F6B8BCE" w14:textId="1127A6D8" w:rsidR="00275149" w:rsidRPr="00F512C2" w:rsidRDefault="00382DCC" w:rsidP="003A7959">
            <w:pPr>
              <w:widowControl w:val="0"/>
              <w:jc w:val="center"/>
              <w:rPr>
                <w:sz w:val="20"/>
              </w:rPr>
            </w:pPr>
            <w:r w:rsidRPr="00F512C2">
              <w:rPr>
                <w:sz w:val="20"/>
              </w:rPr>
              <w:t>-29.9139</w:t>
            </w:r>
          </w:p>
        </w:tc>
      </w:tr>
      <w:tr w:rsidR="00275149" w:rsidRPr="00F512C2" w14:paraId="76CBBB24" w14:textId="77777777" w:rsidTr="009E73CA">
        <w:tc>
          <w:tcPr>
            <w:tcW w:w="1980" w:type="pct"/>
          </w:tcPr>
          <w:p w14:paraId="7E1151E3" w14:textId="77777777" w:rsidR="00275149" w:rsidRPr="00F512C2" w:rsidRDefault="00275149" w:rsidP="003A7959">
            <w:pPr>
              <w:widowControl w:val="0"/>
              <w:rPr>
                <w:sz w:val="20"/>
              </w:rPr>
            </w:pPr>
            <w:r w:rsidRPr="00F512C2">
              <w:rPr>
                <w:sz w:val="20"/>
              </w:rPr>
              <w:t>R</w:t>
            </w:r>
            <w:r w:rsidRPr="00F512C2">
              <w:rPr>
                <w:sz w:val="20"/>
                <w:vertAlign w:val="superscript"/>
              </w:rPr>
              <w:t>2</w:t>
            </w:r>
          </w:p>
        </w:tc>
        <w:tc>
          <w:tcPr>
            <w:tcW w:w="891" w:type="pct"/>
          </w:tcPr>
          <w:p w14:paraId="797F6440" w14:textId="1ABF93C2" w:rsidR="00275149" w:rsidRPr="00F512C2" w:rsidRDefault="00F71814" w:rsidP="003A7959">
            <w:pPr>
              <w:widowControl w:val="0"/>
              <w:jc w:val="center"/>
              <w:rPr>
                <w:sz w:val="20"/>
              </w:rPr>
            </w:pPr>
            <w:r w:rsidRPr="00F512C2">
              <w:rPr>
                <w:sz w:val="20"/>
              </w:rPr>
              <w:t>.2574</w:t>
            </w:r>
          </w:p>
        </w:tc>
        <w:tc>
          <w:tcPr>
            <w:tcW w:w="891" w:type="pct"/>
          </w:tcPr>
          <w:p w14:paraId="2735F5F2" w14:textId="65FE19B5" w:rsidR="00275149" w:rsidRPr="00F512C2" w:rsidRDefault="00F71814" w:rsidP="003A7959">
            <w:pPr>
              <w:widowControl w:val="0"/>
              <w:jc w:val="center"/>
              <w:rPr>
                <w:sz w:val="20"/>
              </w:rPr>
            </w:pPr>
            <w:r w:rsidRPr="00F512C2">
              <w:rPr>
                <w:sz w:val="20"/>
              </w:rPr>
              <w:t>.2667</w:t>
            </w:r>
          </w:p>
        </w:tc>
        <w:tc>
          <w:tcPr>
            <w:tcW w:w="594" w:type="pct"/>
          </w:tcPr>
          <w:p w14:paraId="5C2900C8" w14:textId="201EB71B" w:rsidR="00275149" w:rsidRPr="00F512C2" w:rsidRDefault="00F71814" w:rsidP="003A7959">
            <w:pPr>
              <w:widowControl w:val="0"/>
              <w:jc w:val="center"/>
              <w:rPr>
                <w:sz w:val="20"/>
              </w:rPr>
            </w:pPr>
            <w:r w:rsidRPr="00F512C2">
              <w:rPr>
                <w:sz w:val="20"/>
              </w:rPr>
              <w:t>.8759</w:t>
            </w:r>
          </w:p>
        </w:tc>
        <w:tc>
          <w:tcPr>
            <w:tcW w:w="644" w:type="pct"/>
          </w:tcPr>
          <w:p w14:paraId="2C0FD784" w14:textId="3EA1C92A" w:rsidR="00275149" w:rsidRPr="00F512C2" w:rsidRDefault="00F71814" w:rsidP="003A7959">
            <w:pPr>
              <w:widowControl w:val="0"/>
              <w:jc w:val="center"/>
              <w:rPr>
                <w:sz w:val="20"/>
              </w:rPr>
            </w:pPr>
            <w:r w:rsidRPr="00F512C2">
              <w:rPr>
                <w:sz w:val="20"/>
              </w:rPr>
              <w:t>.8760</w:t>
            </w:r>
          </w:p>
        </w:tc>
      </w:tr>
      <w:tr w:rsidR="00275149" w:rsidRPr="00F512C2" w14:paraId="7CE12DF1" w14:textId="77777777" w:rsidTr="009E73CA">
        <w:tc>
          <w:tcPr>
            <w:tcW w:w="1980" w:type="pct"/>
          </w:tcPr>
          <w:p w14:paraId="00D74C44" w14:textId="77777777" w:rsidR="00275149" w:rsidRPr="00F512C2" w:rsidRDefault="00275149" w:rsidP="003A7959">
            <w:pPr>
              <w:widowControl w:val="0"/>
              <w:rPr>
                <w:sz w:val="20"/>
              </w:rPr>
            </w:pPr>
            <w:r w:rsidRPr="00F512C2">
              <w:rPr>
                <w:sz w:val="20"/>
              </w:rPr>
              <w:t>Observations</w:t>
            </w:r>
          </w:p>
        </w:tc>
        <w:tc>
          <w:tcPr>
            <w:tcW w:w="891" w:type="pct"/>
          </w:tcPr>
          <w:p w14:paraId="5E958DAA" w14:textId="5B3A59F7" w:rsidR="00275149" w:rsidRPr="00F512C2" w:rsidRDefault="002E6F81" w:rsidP="003A7959">
            <w:pPr>
              <w:widowControl w:val="0"/>
              <w:jc w:val="center"/>
              <w:rPr>
                <w:sz w:val="20"/>
              </w:rPr>
            </w:pPr>
            <w:r w:rsidRPr="00F512C2">
              <w:rPr>
                <w:sz w:val="20"/>
              </w:rPr>
              <w:t>454</w:t>
            </w:r>
          </w:p>
        </w:tc>
        <w:tc>
          <w:tcPr>
            <w:tcW w:w="891" w:type="pct"/>
          </w:tcPr>
          <w:p w14:paraId="2A689F1B" w14:textId="6C4F2881" w:rsidR="00275149" w:rsidRPr="00F512C2" w:rsidRDefault="002E6F81" w:rsidP="003A7959">
            <w:pPr>
              <w:widowControl w:val="0"/>
              <w:jc w:val="center"/>
              <w:rPr>
                <w:sz w:val="20"/>
              </w:rPr>
            </w:pPr>
            <w:r w:rsidRPr="00F512C2">
              <w:rPr>
                <w:sz w:val="20"/>
              </w:rPr>
              <w:t>454</w:t>
            </w:r>
          </w:p>
        </w:tc>
        <w:tc>
          <w:tcPr>
            <w:tcW w:w="594" w:type="pct"/>
          </w:tcPr>
          <w:p w14:paraId="0AACA6C7" w14:textId="116BE846" w:rsidR="00275149" w:rsidRPr="00F512C2" w:rsidRDefault="002E6F81" w:rsidP="003A7959">
            <w:pPr>
              <w:widowControl w:val="0"/>
              <w:jc w:val="center"/>
              <w:rPr>
                <w:sz w:val="20"/>
              </w:rPr>
            </w:pPr>
            <w:r w:rsidRPr="00F512C2">
              <w:rPr>
                <w:sz w:val="20"/>
              </w:rPr>
              <w:t>77</w:t>
            </w:r>
          </w:p>
        </w:tc>
        <w:tc>
          <w:tcPr>
            <w:tcW w:w="644" w:type="pct"/>
          </w:tcPr>
          <w:p w14:paraId="1C86DD36" w14:textId="53A90EDC" w:rsidR="00275149" w:rsidRPr="00F512C2" w:rsidRDefault="002E6F81" w:rsidP="003A7959">
            <w:pPr>
              <w:widowControl w:val="0"/>
              <w:jc w:val="center"/>
              <w:rPr>
                <w:sz w:val="20"/>
              </w:rPr>
            </w:pPr>
            <w:r w:rsidRPr="00F512C2">
              <w:rPr>
                <w:sz w:val="20"/>
              </w:rPr>
              <w:t>77</w:t>
            </w:r>
          </w:p>
        </w:tc>
      </w:tr>
    </w:tbl>
    <w:p w14:paraId="65AC61C5" w14:textId="77777777" w:rsidR="00275149" w:rsidRPr="00F512C2" w:rsidRDefault="00275149" w:rsidP="00275149">
      <w:pPr>
        <w:widowControl w:val="0"/>
        <w:ind w:left="720" w:hanging="720"/>
        <w:rPr>
          <w:sz w:val="20"/>
        </w:rPr>
      </w:pPr>
    </w:p>
    <w:p w14:paraId="19E9AA27" w14:textId="5E7696E9" w:rsidR="00275149" w:rsidRPr="00F512C2" w:rsidRDefault="00275149" w:rsidP="00F25ECB">
      <w:pPr>
        <w:widowControl w:val="0"/>
        <w:rPr>
          <w:sz w:val="20"/>
        </w:rPr>
      </w:pPr>
      <w:r w:rsidRPr="00F512C2">
        <w:rPr>
          <w:sz w:val="20"/>
        </w:rPr>
        <w:t xml:space="preserve">Models of </w:t>
      </w:r>
      <w:r w:rsidR="00B334E7" w:rsidRPr="00F512C2">
        <w:rPr>
          <w:sz w:val="20"/>
        </w:rPr>
        <w:t xml:space="preserve">ALMP spending are </w:t>
      </w:r>
      <w:r w:rsidRPr="00F512C2">
        <w:rPr>
          <w:sz w:val="20"/>
        </w:rPr>
        <w:t>estimated with 197</w:t>
      </w:r>
      <w:r w:rsidR="00FE446E" w:rsidRPr="00F512C2">
        <w:rPr>
          <w:sz w:val="20"/>
        </w:rPr>
        <w:t>9</w:t>
      </w:r>
      <w:r w:rsidRPr="00F512C2">
        <w:rPr>
          <w:sz w:val="20"/>
        </w:rPr>
        <w:t>-201</w:t>
      </w:r>
      <w:r w:rsidR="00FE446E" w:rsidRPr="00F512C2">
        <w:rPr>
          <w:sz w:val="20"/>
        </w:rPr>
        <w:t>2</w:t>
      </w:r>
      <w:r w:rsidRPr="00F512C2">
        <w:rPr>
          <w:sz w:val="20"/>
        </w:rPr>
        <w:t xml:space="preserve"> data for 18 advanced democracies by OLS regression;</w:t>
      </w:r>
      <w:r w:rsidR="00B334E7" w:rsidRPr="00F512C2">
        <w:rPr>
          <w:sz w:val="20"/>
        </w:rPr>
        <w:t xml:space="preserve"> </w:t>
      </w:r>
      <w:r w:rsidRPr="00F512C2">
        <w:rPr>
          <w:sz w:val="20"/>
        </w:rPr>
        <w:t xml:space="preserve">models of </w:t>
      </w:r>
      <w:r w:rsidR="00006AA3" w:rsidRPr="00F512C2">
        <w:rPr>
          <w:sz w:val="20"/>
        </w:rPr>
        <w:t xml:space="preserve">relative poverty </w:t>
      </w:r>
      <w:r w:rsidRPr="00F512C2">
        <w:rPr>
          <w:sz w:val="20"/>
        </w:rPr>
        <w:t xml:space="preserve">are estimated with </w:t>
      </w:r>
      <w:r w:rsidR="00006AA3" w:rsidRPr="00F512C2">
        <w:rPr>
          <w:sz w:val="20"/>
        </w:rPr>
        <w:t>early 1980s</w:t>
      </w:r>
      <w:r w:rsidRPr="00F512C2">
        <w:rPr>
          <w:sz w:val="20"/>
        </w:rPr>
        <w:t xml:space="preserve"> to 20</w:t>
      </w:r>
      <w:r w:rsidR="00006AA3" w:rsidRPr="00F512C2">
        <w:rPr>
          <w:sz w:val="20"/>
        </w:rPr>
        <w:t xml:space="preserve">10 </w:t>
      </w:r>
      <w:r w:rsidR="002E6F81" w:rsidRPr="00F512C2">
        <w:rPr>
          <w:sz w:val="20"/>
        </w:rPr>
        <w:t xml:space="preserve">data </w:t>
      </w:r>
      <w:r w:rsidR="00006AA3" w:rsidRPr="00F512C2">
        <w:rPr>
          <w:sz w:val="20"/>
        </w:rPr>
        <w:t>for 13 nations.</w:t>
      </w:r>
      <w:r w:rsidRPr="00F512C2">
        <w:rPr>
          <w:sz w:val="20"/>
        </w:rPr>
        <w:t xml:space="preserve"> The table reports unstandardized regression coefficients and panel-correct standard errors.</w:t>
      </w:r>
    </w:p>
    <w:p w14:paraId="34314B3F" w14:textId="77777777" w:rsidR="00275149" w:rsidRPr="00F512C2" w:rsidRDefault="00275149" w:rsidP="00F25ECB">
      <w:pPr>
        <w:widowControl w:val="0"/>
        <w:rPr>
          <w:sz w:val="20"/>
        </w:rPr>
      </w:pPr>
    </w:p>
    <w:p w14:paraId="622088C0" w14:textId="06885E49" w:rsidR="00275149" w:rsidRPr="00F512C2" w:rsidRDefault="00275149" w:rsidP="00F25ECB">
      <w:pPr>
        <w:widowControl w:val="0"/>
        <w:rPr>
          <w:sz w:val="20"/>
        </w:rPr>
      </w:pPr>
      <w:r w:rsidRPr="00F512C2">
        <w:rPr>
          <w:sz w:val="20"/>
        </w:rPr>
        <w:t>* significant at the .10 level; ** significant at the .05 level.</w:t>
      </w:r>
    </w:p>
    <w:p w14:paraId="152B17ED" w14:textId="77777777" w:rsidR="00275149" w:rsidRPr="00F512C2" w:rsidRDefault="00275149" w:rsidP="00275149"/>
    <w:p w14:paraId="64529869" w14:textId="36C97F5E" w:rsidR="00A92A37" w:rsidRPr="00F512C2" w:rsidRDefault="00A92A37">
      <w:pPr>
        <w:spacing w:after="200" w:line="276" w:lineRule="auto"/>
      </w:pPr>
    </w:p>
    <w:p w14:paraId="16649D44" w14:textId="73FD7391" w:rsidR="00635D29" w:rsidRPr="00F512C2" w:rsidRDefault="00635D29" w:rsidP="00635D29">
      <w:pPr>
        <w:spacing w:after="200" w:line="276" w:lineRule="auto"/>
        <w:rPr>
          <w:b/>
        </w:rPr>
      </w:pPr>
      <w:r w:rsidRPr="00F512C2">
        <w:rPr>
          <w:b/>
        </w:rPr>
        <w:t>Figure 1. Three Sets of Tradeoffs in Social Democratic Party Coalition Building in Advanced Postindustrial Societies.</w:t>
      </w:r>
    </w:p>
    <w:p w14:paraId="5AC4580D" w14:textId="2781E16D" w:rsidR="00635D29" w:rsidRPr="00F512C2" w:rsidRDefault="00DD4BD5" w:rsidP="00635D29">
      <w:pPr>
        <w:spacing w:after="200" w:line="276" w:lineRule="auto"/>
        <w:rPr>
          <w:b/>
        </w:rPr>
      </w:pPr>
      <w:r w:rsidRPr="00F512C2">
        <w:rPr>
          <w:noProof/>
        </w:rPr>
        <w:drawing>
          <wp:inline distT="0" distB="0" distL="0" distR="0" wp14:anchorId="3CB1E28C" wp14:editId="1EDD9C7F">
            <wp:extent cx="5486400" cy="3867912"/>
            <wp:effectExtent l="0" t="0" r="0" b="0"/>
            <wp:docPr id="9" name="Picture 9" descr="Figure 1. Three Sets of Tradeoffs in Social Democratic Party Coalition Building in Advanced Postindustrial Socie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486400" cy="3867912"/>
                    </a:xfrm>
                    <a:prstGeom prst="rect">
                      <a:avLst/>
                    </a:prstGeom>
                  </pic:spPr>
                </pic:pic>
              </a:graphicData>
            </a:graphic>
          </wp:inline>
        </w:drawing>
      </w:r>
    </w:p>
    <w:p w14:paraId="4272984B" w14:textId="41494D83" w:rsidR="00286959" w:rsidRPr="00F512C2" w:rsidRDefault="00286959" w:rsidP="004538D0">
      <w:pPr>
        <w:spacing w:after="200" w:line="276" w:lineRule="auto"/>
      </w:pPr>
    </w:p>
    <w:p w14:paraId="342F7362" w14:textId="1B6A3372" w:rsidR="00286959" w:rsidRPr="00F512C2" w:rsidRDefault="00286959" w:rsidP="004538D0">
      <w:pPr>
        <w:spacing w:after="200" w:line="276" w:lineRule="auto"/>
      </w:pPr>
    </w:p>
    <w:p w14:paraId="544462C5" w14:textId="21F7DE27" w:rsidR="00286959" w:rsidRPr="00F512C2" w:rsidRDefault="00286959" w:rsidP="004538D0">
      <w:pPr>
        <w:spacing w:after="200" w:line="276" w:lineRule="auto"/>
      </w:pPr>
      <w:r w:rsidRPr="00F512C2">
        <w:rPr>
          <w:noProof/>
        </w:rPr>
        <w:drawing>
          <wp:inline distT="0" distB="0" distL="0" distR="0" wp14:anchorId="3D1244D3" wp14:editId="6FD1F5BA">
            <wp:extent cx="5858915" cy="4291200"/>
            <wp:effectExtent l="0" t="0" r="0" b="0"/>
            <wp:docPr id="2" name="Picture 2" descr="Figure 2. Left Party Effects on Minimum Benefits Party Effects by Labor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878724" cy="4305709"/>
                    </a:xfrm>
                    <a:prstGeom prst="rect">
                      <a:avLst/>
                    </a:prstGeom>
                    <a:noFill/>
                    <a:ln>
                      <a:noFill/>
                    </a:ln>
                  </pic:spPr>
                </pic:pic>
              </a:graphicData>
            </a:graphic>
          </wp:inline>
        </w:drawing>
      </w:r>
    </w:p>
    <w:p w14:paraId="0ADED757" w14:textId="77777777" w:rsidR="00286959" w:rsidRPr="00F512C2" w:rsidRDefault="00286959" w:rsidP="004538D0">
      <w:pPr>
        <w:spacing w:after="200" w:line="276" w:lineRule="auto"/>
      </w:pPr>
    </w:p>
    <w:sectPr w:rsidR="00286959" w:rsidRPr="00F512C2" w:rsidSect="003A0A9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45439F" w14:textId="77777777" w:rsidR="003A7959" w:rsidRDefault="003A7959" w:rsidP="002D683A">
      <w:r>
        <w:separator/>
      </w:r>
    </w:p>
  </w:endnote>
  <w:endnote w:type="continuationSeparator" w:id="0">
    <w:p w14:paraId="395C355A" w14:textId="77777777" w:rsidR="003A7959" w:rsidRDefault="003A7959" w:rsidP="002D6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11653300"/>
      <w:docPartObj>
        <w:docPartGallery w:val="Page Numbers (Bottom of Page)"/>
        <w:docPartUnique/>
      </w:docPartObj>
    </w:sdtPr>
    <w:sdtEndPr>
      <w:rPr>
        <w:noProof/>
      </w:rPr>
    </w:sdtEndPr>
    <w:sdtContent>
      <w:p w14:paraId="4BA95F8A" w14:textId="42FC15FA" w:rsidR="003A7959" w:rsidRDefault="003A795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B3519CC" w14:textId="77777777" w:rsidR="003A7959" w:rsidRDefault="003A79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CFF6BD" w14:textId="77777777" w:rsidR="003A7959" w:rsidRDefault="003A7959" w:rsidP="002D683A">
      <w:r>
        <w:separator/>
      </w:r>
    </w:p>
  </w:footnote>
  <w:footnote w:type="continuationSeparator" w:id="0">
    <w:p w14:paraId="4340571B" w14:textId="77777777" w:rsidR="003A7959" w:rsidRDefault="003A7959" w:rsidP="002D683A">
      <w:r>
        <w:continuationSeparator/>
      </w:r>
    </w:p>
  </w:footnote>
  <w:footnote w:id="1">
    <w:p w14:paraId="25A1D02D" w14:textId="4606247C" w:rsidR="003A7959" w:rsidRDefault="003A7959" w:rsidP="007A327D">
      <w:pPr>
        <w:pStyle w:val="FootnoteText"/>
      </w:pPr>
      <w:r>
        <w:rPr>
          <w:rStyle w:val="FootnoteReference"/>
        </w:rPr>
        <w:footnoteRef/>
      </w:r>
      <w:r>
        <w:t xml:space="preserve"> See David Rueda (2005; 2007) for the first major analysis of the political ramifications of labor market dualism, especially the impacts on social democratic parties (see below for the specifics of this argument).  See Emmenegger et al (2012) for analysis of major features of labor market dualism and summaries of the large social science literature of the topic. </w:t>
      </w:r>
    </w:p>
  </w:footnote>
  <w:footnote w:id="2">
    <w:p w14:paraId="2A0AAF14" w14:textId="77777777" w:rsidR="003A7959" w:rsidRPr="00284422" w:rsidRDefault="003A7959" w:rsidP="00713505">
      <w:pPr>
        <w:pStyle w:val="FootnoteText"/>
      </w:pPr>
      <w:r>
        <w:rPr>
          <w:rStyle w:val="FootnoteReference"/>
        </w:rPr>
        <w:footnoteRef/>
      </w:r>
      <w:r>
        <w:t xml:space="preserve"> </w:t>
      </w:r>
      <w:r w:rsidRPr="00284422">
        <w:t>This measure taps the likely social wage available to younger and irregularly employed workers who do not meet</w:t>
      </w:r>
    </w:p>
    <w:p w14:paraId="052F3325" w14:textId="5B16E35B" w:rsidR="003A7959" w:rsidRPr="00313439" w:rsidRDefault="003A7959" w:rsidP="00313439">
      <w:pPr>
        <w:spacing w:after="200"/>
        <w:rPr>
          <w:sz w:val="20"/>
        </w:rPr>
      </w:pPr>
      <w:r w:rsidRPr="00284422">
        <w:rPr>
          <w:sz w:val="20"/>
        </w:rPr>
        <w:t>or have exhausted eligibility requirements for normal unemployment compensation.</w:t>
      </w:r>
      <w:r>
        <w:rPr>
          <w:sz w:val="20"/>
        </w:rPr>
        <w:t xml:space="preserve"> </w:t>
      </w:r>
    </w:p>
  </w:footnote>
  <w:footnote w:id="3">
    <w:p w14:paraId="76B776B9" w14:textId="77777777" w:rsidR="003A7959" w:rsidRDefault="003A7959" w:rsidP="001C3FAB">
      <w:pPr>
        <w:pStyle w:val="FootnoteText"/>
      </w:pPr>
      <w:r>
        <w:rPr>
          <w:rStyle w:val="FootnoteReference"/>
        </w:rPr>
        <w:footnoteRef/>
      </w:r>
      <w:r>
        <w:t xml:space="preserve"> Models of ALMP and minimum income protection estimated here update and extend (with new controls, new tests, corrected measures for some explanatory variables, and more years in the case of ALMP) initial analysis reported in Swank (2014).</w:t>
      </w:r>
    </w:p>
  </w:footnote>
  <w:footnote w:id="4">
    <w:p w14:paraId="043DA987" w14:textId="42995994" w:rsidR="003A7959" w:rsidRDefault="003A7959">
      <w:pPr>
        <w:pStyle w:val="FootnoteText"/>
      </w:pPr>
      <w:r>
        <w:rPr>
          <w:rStyle w:val="FootnoteReference"/>
        </w:rPr>
        <w:footnoteRef/>
      </w:r>
      <w:r>
        <w:t xml:space="preserve"> See the Appendix </w:t>
      </w:r>
      <w:r w:rsidRPr="00C32497">
        <w:t xml:space="preserve"> </w:t>
      </w:r>
      <w:r>
        <w:t>for data sources for all variables used in this chapter.</w:t>
      </w:r>
    </w:p>
  </w:footnote>
  <w:footnote w:id="5">
    <w:p w14:paraId="272C2F3B" w14:textId="5584F7D4" w:rsidR="003A7959" w:rsidRDefault="003A7959">
      <w:pPr>
        <w:pStyle w:val="FootnoteText"/>
      </w:pPr>
      <w:r>
        <w:rPr>
          <w:rStyle w:val="FootnoteReference"/>
        </w:rPr>
        <w:footnoteRef/>
      </w:r>
      <w:r>
        <w:t xml:space="preserve"> I exclude the both the Mediterranean countries because of sporadic data availability as well as Central and Eastern European countries because of the time frame of this study.</w:t>
      </w:r>
    </w:p>
  </w:footnote>
  <w:footnote w:id="6">
    <w:p w14:paraId="713BA041" w14:textId="0828C98E" w:rsidR="003A7959" w:rsidRDefault="003A7959" w:rsidP="00C47FE1">
      <w:pPr>
        <w:pStyle w:val="FootnoteText"/>
      </w:pPr>
      <w:r>
        <w:rPr>
          <w:rStyle w:val="FootnoteReference"/>
        </w:rPr>
        <w:footnoteRef/>
      </w:r>
      <w:r>
        <w:t xml:space="preserve"> As is commonly understood, scholars typically emphasized the balance of class power where labor mobilization through union organization, corporatist institutions, and left party rule signaled the relative advantage of low versus high income strata and the likelihood of redistribution (see Korpi [1983] for a classic statement)..</w:t>
      </w:r>
    </w:p>
  </w:footnote>
  <w:footnote w:id="7">
    <w:p w14:paraId="3ED1C092" w14:textId="3B271D7B" w:rsidR="003A7959" w:rsidRDefault="003A7959" w:rsidP="0065656E">
      <w:pPr>
        <w:pStyle w:val="FootnoteText"/>
      </w:pPr>
      <w:r>
        <w:rPr>
          <w:rStyle w:val="FootnoteReference"/>
        </w:rPr>
        <w:footnoteRef/>
      </w:r>
      <w:r>
        <w:t xml:space="preserve"> For Iversen and Soskice (2015a), the challenge for social democrats is to forge a new electoral coalition between low-skilled workers increasingly concentrated in services, remaining high skilled blue collar workers, and middle tier technicians and managers. As articulated in their past work (Iversen and Soskice 2006), the authors argue that this new lower and middle class coalition is most likely in PR systems (especially those with strong secular right parties and without significant Christian Democratic parties), where left parties may credibly commit to a redistribution. Iversen and Soskice to do not fully account for programmatic divisions between new middle class and traditional working class constituencies; they ignore the universalism-particularism cleavage discussed below. </w:t>
      </w:r>
    </w:p>
  </w:footnote>
  <w:footnote w:id="8">
    <w:p w14:paraId="245E4984" w14:textId="14477E7A" w:rsidR="003A7959" w:rsidRPr="00701FEB" w:rsidRDefault="003A7959" w:rsidP="00076420">
      <w:pPr>
        <w:pStyle w:val="FootnoteText"/>
      </w:pPr>
      <w:r>
        <w:rPr>
          <w:vertAlign w:val="superscript"/>
        </w:rPr>
        <w:footnoteRef/>
      </w:r>
      <w:r>
        <w:rPr>
          <w:sz w:val="24"/>
        </w:rPr>
        <w:t xml:space="preserve"> </w:t>
      </w:r>
      <w:r>
        <w:t>Data series begin between 1979</w:t>
      </w:r>
      <w:r w:rsidRPr="00701FEB">
        <w:t xml:space="preserve"> </w:t>
      </w:r>
      <w:r>
        <w:t>and</w:t>
      </w:r>
      <w:r w:rsidRPr="00701FEB">
        <w:t xml:space="preserve"> the early 1980s</w:t>
      </w:r>
      <w:r>
        <w:t xml:space="preserve"> and typically end around 2010-to-2012</w:t>
      </w:r>
      <w:r w:rsidRPr="00701FEB">
        <w:t>; Nelson’s data are available for 1990 to 2009 only.</w:t>
      </w:r>
      <w:r>
        <w:t xml:space="preserve"> LIS household poverty data are typically available for time points every five years; the three low-income benefit measures are measured annually.</w:t>
      </w:r>
    </w:p>
  </w:footnote>
  <w:footnote w:id="9">
    <w:p w14:paraId="7B679A4C" w14:textId="4BE9A95F" w:rsidR="003A7959" w:rsidRDefault="003A7959">
      <w:pPr>
        <w:pStyle w:val="FootnoteText"/>
      </w:pPr>
      <w:r>
        <w:rPr>
          <w:rStyle w:val="FootnoteReference"/>
        </w:rPr>
        <w:footnoteRef/>
      </w:r>
      <w:r>
        <w:t xml:space="preserve"> I measure the partisan control of government by weighting the ideological position of each governing party with that party’s share of total governing parties’ parliamentary (lower chamber) seats, and summing the score for all governing parties The ideological position of each party is based on the party’s score on the 26-item scale of government intervention in markets and society developed in the Manifesto Data Collection project (Volkens et al 2013). The resulting variable is scaled 0.0 to 100 (where 100 is the most left-leaning score possible).</w:t>
      </w:r>
    </w:p>
  </w:footnote>
  <w:footnote w:id="10">
    <w:p w14:paraId="5037188E" w14:textId="04237CE7" w:rsidR="003A7959" w:rsidRDefault="003A7959" w:rsidP="000D4B9F">
      <w:pPr>
        <w:pStyle w:val="FootnoteText"/>
      </w:pPr>
      <w:r>
        <w:rPr>
          <w:rStyle w:val="FootnoteReference"/>
        </w:rPr>
        <w:footnoteRef/>
      </w:r>
      <w:r>
        <w:t xml:space="preserve"> In addition, I substituted the annual share of Left party cabinet portfolios, a common alternative measure of partisan government, and I note these very similar results below. Overall, measures of multicollinearity reveal the short- and intermediate term measures have low associations with the standard set of exogenous variables, including labor organization (e.g., R-squares of .1 to .4). </w:t>
      </w:r>
    </w:p>
  </w:footnote>
  <w:footnote w:id="11">
    <w:p w14:paraId="75F64721" w14:textId="609FD6EE" w:rsidR="003A7959" w:rsidRDefault="003A7959" w:rsidP="005942FD">
      <w:pPr>
        <w:widowControl w:val="0"/>
      </w:pPr>
      <w:r>
        <w:rPr>
          <w:rStyle w:val="FootnoteReference"/>
        </w:rPr>
        <w:footnoteRef/>
      </w:r>
      <w:r>
        <w:t xml:space="preserve"> </w:t>
      </w:r>
      <w:r w:rsidRPr="00E62CBC">
        <w:rPr>
          <w:sz w:val="20"/>
        </w:rPr>
        <w:t>I do not use, for instance, a fixed effects estimator as my standard estimator because of the need to assess theoretically important variables with heavily cross-national variation (e.g., labor organization).</w:t>
      </w:r>
      <w:r>
        <w:rPr>
          <w:sz w:val="20"/>
        </w:rPr>
        <w:t xml:space="preserve"> In any case, fixed and random effects estimations reproduce the pattern of findings presented below. </w:t>
      </w:r>
    </w:p>
  </w:footnote>
  <w:footnote w:id="12">
    <w:p w14:paraId="6B756BEB" w14:textId="7FBA04AC" w:rsidR="003A7959" w:rsidRDefault="003A7959">
      <w:pPr>
        <w:pStyle w:val="FootnoteText"/>
      </w:pPr>
      <w:r>
        <w:rPr>
          <w:rStyle w:val="FootnoteReference"/>
        </w:rPr>
        <w:footnoteRef/>
      </w:r>
      <w:r>
        <w:t xml:space="preserve"> Measures of party government over the previous five and 10 years produce modestly stronger findings than the three-year average score, I use the 10-year measure in all models as it proves slightly more robust than the five-year average. </w:t>
      </w:r>
    </w:p>
  </w:footnote>
  <w:footnote w:id="13">
    <w:p w14:paraId="2324EC13" w14:textId="78E9DD40" w:rsidR="003A7959" w:rsidRDefault="003A7959">
      <w:pPr>
        <w:pStyle w:val="FootnoteText"/>
      </w:pPr>
      <w:r>
        <w:rPr>
          <w:rStyle w:val="FootnoteReference"/>
        </w:rPr>
        <w:footnoteRef/>
      </w:r>
      <w:r>
        <w:t xml:space="preserve">  </w:t>
      </w:r>
      <w:r w:rsidRPr="00C007CB">
        <w:t>Recall that the effect of some variable X</w:t>
      </w:r>
      <w:r w:rsidRPr="00C007CB">
        <w:rPr>
          <w:vertAlign w:val="subscript"/>
        </w:rPr>
        <w:t>1</w:t>
      </w:r>
      <w:r w:rsidRPr="00C007CB">
        <w:t xml:space="preserve"> on Y at variable levels of X</w:t>
      </w:r>
      <w:r w:rsidRPr="00C007CB">
        <w:rPr>
          <w:vertAlign w:val="subscript"/>
        </w:rPr>
        <w:t>2</w:t>
      </w:r>
      <w:r w:rsidRPr="00C007CB">
        <w:t xml:space="preserve"> is given by  </w:t>
      </w:r>
      <w:r w:rsidRPr="00C007CB">
        <w:rPr>
          <w:i/>
        </w:rPr>
        <w:t>β</w:t>
      </w:r>
      <w:r w:rsidRPr="00C007CB">
        <w:rPr>
          <w:i/>
          <w:vertAlign w:val="subscript"/>
        </w:rPr>
        <w:t>1</w:t>
      </w:r>
      <w:r w:rsidRPr="00C007CB">
        <w:rPr>
          <w:i/>
        </w:rPr>
        <w:t xml:space="preserve"> + </w:t>
      </w:r>
      <w:r w:rsidRPr="00C007CB">
        <w:t xml:space="preserve"> </w:t>
      </w:r>
      <w:r w:rsidRPr="00C007CB">
        <w:rPr>
          <w:i/>
        </w:rPr>
        <w:t>β</w:t>
      </w:r>
      <w:r w:rsidRPr="00C007CB">
        <w:rPr>
          <w:i/>
          <w:vertAlign w:val="subscript"/>
        </w:rPr>
        <w:t>3</w:t>
      </w:r>
      <w:r w:rsidRPr="00C007CB">
        <w:t>[X</w:t>
      </w:r>
      <w:r w:rsidRPr="00C007CB">
        <w:rPr>
          <w:vertAlign w:val="subscript"/>
        </w:rPr>
        <w:t>2</w:t>
      </w:r>
      <w:r w:rsidRPr="00C007CB">
        <w:t xml:space="preserve">], where </w:t>
      </w:r>
      <w:r w:rsidRPr="00C007CB">
        <w:rPr>
          <w:i/>
        </w:rPr>
        <w:t>β</w:t>
      </w:r>
      <w:r w:rsidRPr="00C007CB">
        <w:rPr>
          <w:i/>
          <w:vertAlign w:val="subscript"/>
        </w:rPr>
        <w:t>3</w:t>
      </w:r>
      <w:r w:rsidRPr="00C007CB">
        <w:t xml:space="preserve"> is the coefficient for the interaction of X</w:t>
      </w:r>
      <w:r w:rsidRPr="00C007CB">
        <w:rPr>
          <w:vertAlign w:val="subscript"/>
        </w:rPr>
        <w:t xml:space="preserve">1 </w:t>
      </w:r>
      <w:r w:rsidRPr="00C007CB">
        <w:t>and X</w:t>
      </w:r>
      <w:r w:rsidRPr="00C007CB">
        <w:rPr>
          <w:vertAlign w:val="subscript"/>
        </w:rPr>
        <w:t>2</w:t>
      </w:r>
      <w:r w:rsidRPr="00C007CB">
        <w:t>. Standard errors for these marginal effects are readily computed (Kam and Franzese 2009).</w:t>
      </w:r>
      <w:r>
        <w:t xml:space="preserve"> </w:t>
      </w:r>
    </w:p>
  </w:footnote>
  <w:footnote w:id="14">
    <w:p w14:paraId="0E1B26EB" w14:textId="310676D9" w:rsidR="003A7959" w:rsidRPr="00BF7F1A" w:rsidRDefault="003A7959">
      <w:pPr>
        <w:pStyle w:val="FootnoteText"/>
      </w:pPr>
      <w:r>
        <w:rPr>
          <w:rStyle w:val="FootnoteReference"/>
        </w:rPr>
        <w:footnoteRef/>
      </w:r>
      <w:r>
        <w:t xml:space="preserve"> Recall that the impact of x</w:t>
      </w:r>
      <w:r>
        <w:rPr>
          <w:vertAlign w:val="subscript"/>
        </w:rPr>
        <w:t>1</w:t>
      </w:r>
      <w:r>
        <w:t xml:space="preserve"> when the mediating variable, x</w:t>
      </w:r>
      <w:r>
        <w:rPr>
          <w:vertAlign w:val="subscript"/>
        </w:rPr>
        <w:t>2</w:t>
      </w:r>
      <w:r>
        <w:t>,is 0.0, is given by the coefficient for the direct effect  of x</w:t>
      </w:r>
      <w:r>
        <w:rPr>
          <w:vertAlign w:val="subscript"/>
        </w:rPr>
        <w:t>1</w:t>
      </w:r>
      <w:r>
        <w:t xml:space="preserve"> in the equation.</w:t>
      </w:r>
    </w:p>
  </w:footnote>
  <w:footnote w:id="15">
    <w:p w14:paraId="222E4332" w14:textId="121F6F61" w:rsidR="003A7959" w:rsidRDefault="003A7959">
      <w:pPr>
        <w:pStyle w:val="FootnoteText"/>
      </w:pPr>
      <w:r>
        <w:rPr>
          <w:rStyle w:val="FootnoteReference"/>
        </w:rPr>
        <w:footnoteRef/>
      </w:r>
      <w:r>
        <w:t xml:space="preserve"> It is relevant to mention that as predicted by Swank and Martin (2001), the impacts of Left party government on ALMP also increase at higher levels of employer organization; this is not the case, however, with income protection variables nor poverty reduction.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0A0890"/>
    <w:multiLevelType w:val="hybridMultilevel"/>
    <w:tmpl w:val="FB4C5D5A"/>
    <w:lvl w:ilvl="0" w:tplc="A65C9FA4">
      <w:start w:val="5"/>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54E81AF2"/>
    <w:multiLevelType w:val="hybridMultilevel"/>
    <w:tmpl w:val="AF8C3AFA"/>
    <w:lvl w:ilvl="0" w:tplc="023877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76C1682"/>
    <w:multiLevelType w:val="hybridMultilevel"/>
    <w:tmpl w:val="C394AFBC"/>
    <w:lvl w:ilvl="0" w:tplc="16E81D5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10"/>
  <w:proofState w:spelling="clean" w:grammar="clean"/>
  <w:documentProtection w:edit="readOnly" w:formatting="1" w:enforcement="1" w:cryptProviderType="rsaAES" w:cryptAlgorithmClass="hash" w:cryptAlgorithmType="typeAny" w:cryptAlgorithmSid="14" w:cryptSpinCount="100000" w:hash="IJNPqUwidOA8JYZ251UfOQYLDxV0hZBOVdadCaVM9wb3iQe0yuDw1AxjDqHGF+it2xzjklRtZxJxzfQVNIy2iw==" w:salt="Cul7JngD/i9Xww0MTDNRw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D45"/>
    <w:rsid w:val="00000B4A"/>
    <w:rsid w:val="00001848"/>
    <w:rsid w:val="0000605D"/>
    <w:rsid w:val="00006AA3"/>
    <w:rsid w:val="00011CFA"/>
    <w:rsid w:val="0001457C"/>
    <w:rsid w:val="00014F02"/>
    <w:rsid w:val="0001600F"/>
    <w:rsid w:val="000171AF"/>
    <w:rsid w:val="0001740B"/>
    <w:rsid w:val="0002037F"/>
    <w:rsid w:val="000223B5"/>
    <w:rsid w:val="00023215"/>
    <w:rsid w:val="00024818"/>
    <w:rsid w:val="00025287"/>
    <w:rsid w:val="00025DC1"/>
    <w:rsid w:val="00027739"/>
    <w:rsid w:val="0003002F"/>
    <w:rsid w:val="000315F9"/>
    <w:rsid w:val="00032FF8"/>
    <w:rsid w:val="00033908"/>
    <w:rsid w:val="0003449A"/>
    <w:rsid w:val="000346BA"/>
    <w:rsid w:val="00036278"/>
    <w:rsid w:val="00037555"/>
    <w:rsid w:val="00040C4C"/>
    <w:rsid w:val="00040DA0"/>
    <w:rsid w:val="000423B9"/>
    <w:rsid w:val="0004295F"/>
    <w:rsid w:val="00043040"/>
    <w:rsid w:val="00044326"/>
    <w:rsid w:val="00047821"/>
    <w:rsid w:val="000506DB"/>
    <w:rsid w:val="00054494"/>
    <w:rsid w:val="00055F56"/>
    <w:rsid w:val="00057B14"/>
    <w:rsid w:val="000621E9"/>
    <w:rsid w:val="00066DD3"/>
    <w:rsid w:val="000703F1"/>
    <w:rsid w:val="00070B31"/>
    <w:rsid w:val="0007251A"/>
    <w:rsid w:val="0007543A"/>
    <w:rsid w:val="000759A1"/>
    <w:rsid w:val="00076152"/>
    <w:rsid w:val="00076420"/>
    <w:rsid w:val="00077AB3"/>
    <w:rsid w:val="000837B3"/>
    <w:rsid w:val="00083D32"/>
    <w:rsid w:val="000854A8"/>
    <w:rsid w:val="00086800"/>
    <w:rsid w:val="0009127A"/>
    <w:rsid w:val="0009302A"/>
    <w:rsid w:val="00094DD9"/>
    <w:rsid w:val="00095B46"/>
    <w:rsid w:val="000A0175"/>
    <w:rsid w:val="000A1D3E"/>
    <w:rsid w:val="000A30E5"/>
    <w:rsid w:val="000A5656"/>
    <w:rsid w:val="000A62A1"/>
    <w:rsid w:val="000A64E4"/>
    <w:rsid w:val="000A6C2B"/>
    <w:rsid w:val="000A748D"/>
    <w:rsid w:val="000B294E"/>
    <w:rsid w:val="000B34CC"/>
    <w:rsid w:val="000B3E9B"/>
    <w:rsid w:val="000B408D"/>
    <w:rsid w:val="000B74CA"/>
    <w:rsid w:val="000C1764"/>
    <w:rsid w:val="000C176F"/>
    <w:rsid w:val="000C290F"/>
    <w:rsid w:val="000C454D"/>
    <w:rsid w:val="000C47F7"/>
    <w:rsid w:val="000C5898"/>
    <w:rsid w:val="000C7F23"/>
    <w:rsid w:val="000D10F5"/>
    <w:rsid w:val="000D431E"/>
    <w:rsid w:val="000D4B9F"/>
    <w:rsid w:val="000D5648"/>
    <w:rsid w:val="000D57C4"/>
    <w:rsid w:val="000D6BCD"/>
    <w:rsid w:val="000D6FA2"/>
    <w:rsid w:val="000D76C0"/>
    <w:rsid w:val="000E2D4A"/>
    <w:rsid w:val="000E58A7"/>
    <w:rsid w:val="000E59D9"/>
    <w:rsid w:val="000F05BB"/>
    <w:rsid w:val="000F11F9"/>
    <w:rsid w:val="000F15AC"/>
    <w:rsid w:val="000F1C31"/>
    <w:rsid w:val="000F2111"/>
    <w:rsid w:val="000F2D4C"/>
    <w:rsid w:val="000F31F1"/>
    <w:rsid w:val="000F38FA"/>
    <w:rsid w:val="000F58D3"/>
    <w:rsid w:val="001001F2"/>
    <w:rsid w:val="001005A7"/>
    <w:rsid w:val="00100B9E"/>
    <w:rsid w:val="0010168E"/>
    <w:rsid w:val="00101B18"/>
    <w:rsid w:val="0010374D"/>
    <w:rsid w:val="001041CA"/>
    <w:rsid w:val="001054B7"/>
    <w:rsid w:val="001055EB"/>
    <w:rsid w:val="00106ED1"/>
    <w:rsid w:val="00110732"/>
    <w:rsid w:val="001115B6"/>
    <w:rsid w:val="0011260D"/>
    <w:rsid w:val="00112C7A"/>
    <w:rsid w:val="00114513"/>
    <w:rsid w:val="001163E8"/>
    <w:rsid w:val="00117184"/>
    <w:rsid w:val="0011787D"/>
    <w:rsid w:val="00117AED"/>
    <w:rsid w:val="00121618"/>
    <w:rsid w:val="001248D1"/>
    <w:rsid w:val="0012492D"/>
    <w:rsid w:val="00125C64"/>
    <w:rsid w:val="0012655B"/>
    <w:rsid w:val="00127C2E"/>
    <w:rsid w:val="001302C1"/>
    <w:rsid w:val="00132241"/>
    <w:rsid w:val="00132A10"/>
    <w:rsid w:val="00133E0E"/>
    <w:rsid w:val="00134B66"/>
    <w:rsid w:val="00135A72"/>
    <w:rsid w:val="00136F23"/>
    <w:rsid w:val="001373B9"/>
    <w:rsid w:val="0014052F"/>
    <w:rsid w:val="00142310"/>
    <w:rsid w:val="001433B2"/>
    <w:rsid w:val="00143495"/>
    <w:rsid w:val="0014610D"/>
    <w:rsid w:val="0015024E"/>
    <w:rsid w:val="00151488"/>
    <w:rsid w:val="00152633"/>
    <w:rsid w:val="00152F73"/>
    <w:rsid w:val="001553AC"/>
    <w:rsid w:val="001559D0"/>
    <w:rsid w:val="0015664B"/>
    <w:rsid w:val="0016046B"/>
    <w:rsid w:val="00160CB3"/>
    <w:rsid w:val="0016397F"/>
    <w:rsid w:val="00163DB3"/>
    <w:rsid w:val="00164A82"/>
    <w:rsid w:val="0016558A"/>
    <w:rsid w:val="001661C9"/>
    <w:rsid w:val="00167092"/>
    <w:rsid w:val="0016713F"/>
    <w:rsid w:val="00167402"/>
    <w:rsid w:val="001677A9"/>
    <w:rsid w:val="00172068"/>
    <w:rsid w:val="001731BC"/>
    <w:rsid w:val="00176993"/>
    <w:rsid w:val="001777ED"/>
    <w:rsid w:val="00181ACF"/>
    <w:rsid w:val="0018564D"/>
    <w:rsid w:val="00185E97"/>
    <w:rsid w:val="0019014E"/>
    <w:rsid w:val="0019227E"/>
    <w:rsid w:val="00192F80"/>
    <w:rsid w:val="0019362C"/>
    <w:rsid w:val="00193C30"/>
    <w:rsid w:val="00197BDA"/>
    <w:rsid w:val="001A0183"/>
    <w:rsid w:val="001A1DDB"/>
    <w:rsid w:val="001A1F03"/>
    <w:rsid w:val="001A3983"/>
    <w:rsid w:val="001A3E45"/>
    <w:rsid w:val="001A5E85"/>
    <w:rsid w:val="001A63D0"/>
    <w:rsid w:val="001A6D22"/>
    <w:rsid w:val="001B0DB5"/>
    <w:rsid w:val="001B1EA4"/>
    <w:rsid w:val="001B35E7"/>
    <w:rsid w:val="001B4A3C"/>
    <w:rsid w:val="001B57FB"/>
    <w:rsid w:val="001B7E65"/>
    <w:rsid w:val="001C01D9"/>
    <w:rsid w:val="001C0F80"/>
    <w:rsid w:val="001C3FAB"/>
    <w:rsid w:val="001C7047"/>
    <w:rsid w:val="001D06EA"/>
    <w:rsid w:val="001D0B1C"/>
    <w:rsid w:val="001D635A"/>
    <w:rsid w:val="001E00E2"/>
    <w:rsid w:val="001E1353"/>
    <w:rsid w:val="001E1398"/>
    <w:rsid w:val="001E38C0"/>
    <w:rsid w:val="001E5E6A"/>
    <w:rsid w:val="001F0D1A"/>
    <w:rsid w:val="001F22EE"/>
    <w:rsid w:val="001F3F71"/>
    <w:rsid w:val="001F40FA"/>
    <w:rsid w:val="001F4B98"/>
    <w:rsid w:val="001F5C07"/>
    <w:rsid w:val="001F6846"/>
    <w:rsid w:val="001F6BC8"/>
    <w:rsid w:val="00200E88"/>
    <w:rsid w:val="0020197E"/>
    <w:rsid w:val="0020304D"/>
    <w:rsid w:val="00204275"/>
    <w:rsid w:val="00211783"/>
    <w:rsid w:val="002127EC"/>
    <w:rsid w:val="00212936"/>
    <w:rsid w:val="00213F43"/>
    <w:rsid w:val="00215DD2"/>
    <w:rsid w:val="0021668D"/>
    <w:rsid w:val="002177F0"/>
    <w:rsid w:val="00217852"/>
    <w:rsid w:val="00217D74"/>
    <w:rsid w:val="00220511"/>
    <w:rsid w:val="00220625"/>
    <w:rsid w:val="00221209"/>
    <w:rsid w:val="00221EDD"/>
    <w:rsid w:val="00223724"/>
    <w:rsid w:val="00223B5A"/>
    <w:rsid w:val="0022564C"/>
    <w:rsid w:val="002257AA"/>
    <w:rsid w:val="00225A9B"/>
    <w:rsid w:val="00226361"/>
    <w:rsid w:val="00233305"/>
    <w:rsid w:val="002336B8"/>
    <w:rsid w:val="002345AF"/>
    <w:rsid w:val="002350E5"/>
    <w:rsid w:val="00235196"/>
    <w:rsid w:val="00235E87"/>
    <w:rsid w:val="00240785"/>
    <w:rsid w:val="002407A5"/>
    <w:rsid w:val="00242782"/>
    <w:rsid w:val="00242D06"/>
    <w:rsid w:val="00245D07"/>
    <w:rsid w:val="0024768F"/>
    <w:rsid w:val="0025003F"/>
    <w:rsid w:val="0025019A"/>
    <w:rsid w:val="00251734"/>
    <w:rsid w:val="0025307A"/>
    <w:rsid w:val="00253CA4"/>
    <w:rsid w:val="002545A1"/>
    <w:rsid w:val="00256E4A"/>
    <w:rsid w:val="00260233"/>
    <w:rsid w:val="00264F42"/>
    <w:rsid w:val="00266D46"/>
    <w:rsid w:val="00267B69"/>
    <w:rsid w:val="00267F73"/>
    <w:rsid w:val="002711CD"/>
    <w:rsid w:val="00272309"/>
    <w:rsid w:val="002726AF"/>
    <w:rsid w:val="00274044"/>
    <w:rsid w:val="00274306"/>
    <w:rsid w:val="00275149"/>
    <w:rsid w:val="00275270"/>
    <w:rsid w:val="002761FB"/>
    <w:rsid w:val="00276DFF"/>
    <w:rsid w:val="00283A36"/>
    <w:rsid w:val="00284422"/>
    <w:rsid w:val="00286959"/>
    <w:rsid w:val="00290A51"/>
    <w:rsid w:val="002917BE"/>
    <w:rsid w:val="0029185A"/>
    <w:rsid w:val="00292A12"/>
    <w:rsid w:val="00294D59"/>
    <w:rsid w:val="00295229"/>
    <w:rsid w:val="00295C37"/>
    <w:rsid w:val="00296199"/>
    <w:rsid w:val="002A039A"/>
    <w:rsid w:val="002A2B41"/>
    <w:rsid w:val="002A4F7C"/>
    <w:rsid w:val="002A5A16"/>
    <w:rsid w:val="002A648B"/>
    <w:rsid w:val="002A6B33"/>
    <w:rsid w:val="002A7618"/>
    <w:rsid w:val="002B037B"/>
    <w:rsid w:val="002B0E82"/>
    <w:rsid w:val="002B1B7E"/>
    <w:rsid w:val="002B1B86"/>
    <w:rsid w:val="002B4FF8"/>
    <w:rsid w:val="002B5E39"/>
    <w:rsid w:val="002B6A55"/>
    <w:rsid w:val="002B78EA"/>
    <w:rsid w:val="002C0C06"/>
    <w:rsid w:val="002C140F"/>
    <w:rsid w:val="002C1B52"/>
    <w:rsid w:val="002C3228"/>
    <w:rsid w:val="002C3B84"/>
    <w:rsid w:val="002C644F"/>
    <w:rsid w:val="002D589D"/>
    <w:rsid w:val="002D5E51"/>
    <w:rsid w:val="002D683A"/>
    <w:rsid w:val="002D6E9A"/>
    <w:rsid w:val="002D7BB2"/>
    <w:rsid w:val="002E02E3"/>
    <w:rsid w:val="002E17CE"/>
    <w:rsid w:val="002E1D97"/>
    <w:rsid w:val="002E1EF8"/>
    <w:rsid w:val="002E23AD"/>
    <w:rsid w:val="002E34F1"/>
    <w:rsid w:val="002E4B82"/>
    <w:rsid w:val="002E57CD"/>
    <w:rsid w:val="002E6F81"/>
    <w:rsid w:val="002E7283"/>
    <w:rsid w:val="002F23EA"/>
    <w:rsid w:val="002F2E3E"/>
    <w:rsid w:val="002F38CD"/>
    <w:rsid w:val="0030006D"/>
    <w:rsid w:val="00301987"/>
    <w:rsid w:val="00302295"/>
    <w:rsid w:val="003041A6"/>
    <w:rsid w:val="0030664A"/>
    <w:rsid w:val="003067E1"/>
    <w:rsid w:val="00311B3E"/>
    <w:rsid w:val="00311FDC"/>
    <w:rsid w:val="00313439"/>
    <w:rsid w:val="00321178"/>
    <w:rsid w:val="003220CC"/>
    <w:rsid w:val="00324A86"/>
    <w:rsid w:val="00324B60"/>
    <w:rsid w:val="00326BA7"/>
    <w:rsid w:val="0032784F"/>
    <w:rsid w:val="00332A81"/>
    <w:rsid w:val="003358F7"/>
    <w:rsid w:val="00336E2F"/>
    <w:rsid w:val="003371B4"/>
    <w:rsid w:val="00340929"/>
    <w:rsid w:val="00342DE3"/>
    <w:rsid w:val="00343763"/>
    <w:rsid w:val="003514CA"/>
    <w:rsid w:val="00351A72"/>
    <w:rsid w:val="003529A8"/>
    <w:rsid w:val="0035495E"/>
    <w:rsid w:val="00356575"/>
    <w:rsid w:val="00356C5C"/>
    <w:rsid w:val="00356D1A"/>
    <w:rsid w:val="0035777C"/>
    <w:rsid w:val="00357822"/>
    <w:rsid w:val="00360FCC"/>
    <w:rsid w:val="0036638D"/>
    <w:rsid w:val="00370B65"/>
    <w:rsid w:val="00372D2E"/>
    <w:rsid w:val="00372F59"/>
    <w:rsid w:val="00376C94"/>
    <w:rsid w:val="00377E58"/>
    <w:rsid w:val="00380065"/>
    <w:rsid w:val="0038089D"/>
    <w:rsid w:val="003808CA"/>
    <w:rsid w:val="0038197F"/>
    <w:rsid w:val="0038238A"/>
    <w:rsid w:val="00382DCC"/>
    <w:rsid w:val="00383453"/>
    <w:rsid w:val="00383A76"/>
    <w:rsid w:val="00383CF4"/>
    <w:rsid w:val="003852A5"/>
    <w:rsid w:val="003859FD"/>
    <w:rsid w:val="003862F5"/>
    <w:rsid w:val="00390362"/>
    <w:rsid w:val="003914E3"/>
    <w:rsid w:val="00391914"/>
    <w:rsid w:val="00391984"/>
    <w:rsid w:val="00392312"/>
    <w:rsid w:val="00392B52"/>
    <w:rsid w:val="00392BEA"/>
    <w:rsid w:val="00394E66"/>
    <w:rsid w:val="0039627D"/>
    <w:rsid w:val="00396E5B"/>
    <w:rsid w:val="003A01B7"/>
    <w:rsid w:val="003A02F4"/>
    <w:rsid w:val="003A0A90"/>
    <w:rsid w:val="003A0F54"/>
    <w:rsid w:val="003A3C31"/>
    <w:rsid w:val="003A4E7A"/>
    <w:rsid w:val="003A6199"/>
    <w:rsid w:val="003A680C"/>
    <w:rsid w:val="003A7724"/>
    <w:rsid w:val="003A7959"/>
    <w:rsid w:val="003B189C"/>
    <w:rsid w:val="003B1A7D"/>
    <w:rsid w:val="003B1C96"/>
    <w:rsid w:val="003B1E99"/>
    <w:rsid w:val="003B2C81"/>
    <w:rsid w:val="003B50D5"/>
    <w:rsid w:val="003B6A39"/>
    <w:rsid w:val="003C1162"/>
    <w:rsid w:val="003C24AD"/>
    <w:rsid w:val="003C2B9B"/>
    <w:rsid w:val="003C3434"/>
    <w:rsid w:val="003C557C"/>
    <w:rsid w:val="003C6684"/>
    <w:rsid w:val="003C6BE3"/>
    <w:rsid w:val="003C6CC7"/>
    <w:rsid w:val="003D2C68"/>
    <w:rsid w:val="003D6F77"/>
    <w:rsid w:val="003E4125"/>
    <w:rsid w:val="003E5D1C"/>
    <w:rsid w:val="003E6927"/>
    <w:rsid w:val="003F30B4"/>
    <w:rsid w:val="003F4228"/>
    <w:rsid w:val="003F6AD3"/>
    <w:rsid w:val="003F7820"/>
    <w:rsid w:val="003F7975"/>
    <w:rsid w:val="00401084"/>
    <w:rsid w:val="0040112D"/>
    <w:rsid w:val="00404062"/>
    <w:rsid w:val="00405E86"/>
    <w:rsid w:val="004079D4"/>
    <w:rsid w:val="0041167B"/>
    <w:rsid w:val="00411715"/>
    <w:rsid w:val="00421455"/>
    <w:rsid w:val="004219E7"/>
    <w:rsid w:val="00423E11"/>
    <w:rsid w:val="00423E5B"/>
    <w:rsid w:val="004259D3"/>
    <w:rsid w:val="00426A15"/>
    <w:rsid w:val="004272C1"/>
    <w:rsid w:val="004274F9"/>
    <w:rsid w:val="004326FD"/>
    <w:rsid w:val="00434338"/>
    <w:rsid w:val="004352F6"/>
    <w:rsid w:val="004360C4"/>
    <w:rsid w:val="0043662B"/>
    <w:rsid w:val="00440423"/>
    <w:rsid w:val="00440DC3"/>
    <w:rsid w:val="00441565"/>
    <w:rsid w:val="00442836"/>
    <w:rsid w:val="00442EA7"/>
    <w:rsid w:val="0044340F"/>
    <w:rsid w:val="00446D4A"/>
    <w:rsid w:val="00447D9D"/>
    <w:rsid w:val="004500E1"/>
    <w:rsid w:val="004522D8"/>
    <w:rsid w:val="004535F0"/>
    <w:rsid w:val="004538D0"/>
    <w:rsid w:val="0046063F"/>
    <w:rsid w:val="00461464"/>
    <w:rsid w:val="00461638"/>
    <w:rsid w:val="00461B88"/>
    <w:rsid w:val="00461C66"/>
    <w:rsid w:val="004628F9"/>
    <w:rsid w:val="0047193B"/>
    <w:rsid w:val="00475A9B"/>
    <w:rsid w:val="00480C0B"/>
    <w:rsid w:val="00482A3B"/>
    <w:rsid w:val="0048530B"/>
    <w:rsid w:val="00487449"/>
    <w:rsid w:val="00487EE2"/>
    <w:rsid w:val="004936C0"/>
    <w:rsid w:val="004950DD"/>
    <w:rsid w:val="004A34F0"/>
    <w:rsid w:val="004A3B55"/>
    <w:rsid w:val="004A5AD1"/>
    <w:rsid w:val="004A62C9"/>
    <w:rsid w:val="004A65C0"/>
    <w:rsid w:val="004B0856"/>
    <w:rsid w:val="004B2CA5"/>
    <w:rsid w:val="004B2FE2"/>
    <w:rsid w:val="004B3C55"/>
    <w:rsid w:val="004B7A41"/>
    <w:rsid w:val="004C104C"/>
    <w:rsid w:val="004C2132"/>
    <w:rsid w:val="004C252D"/>
    <w:rsid w:val="004C2EE2"/>
    <w:rsid w:val="004C4B71"/>
    <w:rsid w:val="004C6828"/>
    <w:rsid w:val="004D0539"/>
    <w:rsid w:val="004D121F"/>
    <w:rsid w:val="004D1CFF"/>
    <w:rsid w:val="004D2467"/>
    <w:rsid w:val="004D303A"/>
    <w:rsid w:val="004D3E30"/>
    <w:rsid w:val="004D400B"/>
    <w:rsid w:val="004D4B13"/>
    <w:rsid w:val="004D55B5"/>
    <w:rsid w:val="004D55D0"/>
    <w:rsid w:val="004D70CE"/>
    <w:rsid w:val="004E261E"/>
    <w:rsid w:val="004E377E"/>
    <w:rsid w:val="004F2C40"/>
    <w:rsid w:val="004F5EE4"/>
    <w:rsid w:val="0050034E"/>
    <w:rsid w:val="00500AAC"/>
    <w:rsid w:val="0050187B"/>
    <w:rsid w:val="00503BE4"/>
    <w:rsid w:val="00504B25"/>
    <w:rsid w:val="00505639"/>
    <w:rsid w:val="00505ACC"/>
    <w:rsid w:val="00505B8C"/>
    <w:rsid w:val="005105E9"/>
    <w:rsid w:val="00513F58"/>
    <w:rsid w:val="005150D8"/>
    <w:rsid w:val="0051615C"/>
    <w:rsid w:val="00520975"/>
    <w:rsid w:val="005211F3"/>
    <w:rsid w:val="005221AE"/>
    <w:rsid w:val="0052541E"/>
    <w:rsid w:val="00526F86"/>
    <w:rsid w:val="00532BD0"/>
    <w:rsid w:val="005348B5"/>
    <w:rsid w:val="00534BF1"/>
    <w:rsid w:val="00534D50"/>
    <w:rsid w:val="005350F2"/>
    <w:rsid w:val="005353F7"/>
    <w:rsid w:val="00536613"/>
    <w:rsid w:val="005379C5"/>
    <w:rsid w:val="00540107"/>
    <w:rsid w:val="00542313"/>
    <w:rsid w:val="00542596"/>
    <w:rsid w:val="00543647"/>
    <w:rsid w:val="0054441A"/>
    <w:rsid w:val="005449E4"/>
    <w:rsid w:val="00545582"/>
    <w:rsid w:val="00547BFD"/>
    <w:rsid w:val="00551835"/>
    <w:rsid w:val="00560030"/>
    <w:rsid w:val="00560044"/>
    <w:rsid w:val="00561DDA"/>
    <w:rsid w:val="00562549"/>
    <w:rsid w:val="00565BFB"/>
    <w:rsid w:val="00565D19"/>
    <w:rsid w:val="005734F1"/>
    <w:rsid w:val="0057373A"/>
    <w:rsid w:val="005746E5"/>
    <w:rsid w:val="00575592"/>
    <w:rsid w:val="00575A4C"/>
    <w:rsid w:val="00577930"/>
    <w:rsid w:val="00580026"/>
    <w:rsid w:val="00580666"/>
    <w:rsid w:val="005807C7"/>
    <w:rsid w:val="00581617"/>
    <w:rsid w:val="0058221D"/>
    <w:rsid w:val="005840B9"/>
    <w:rsid w:val="005853A4"/>
    <w:rsid w:val="005858F1"/>
    <w:rsid w:val="00585B07"/>
    <w:rsid w:val="00586125"/>
    <w:rsid w:val="005902A7"/>
    <w:rsid w:val="005942FD"/>
    <w:rsid w:val="0059592D"/>
    <w:rsid w:val="0059599B"/>
    <w:rsid w:val="0059717D"/>
    <w:rsid w:val="00597EE2"/>
    <w:rsid w:val="005A182C"/>
    <w:rsid w:val="005A38DB"/>
    <w:rsid w:val="005A5E17"/>
    <w:rsid w:val="005A75E6"/>
    <w:rsid w:val="005A7749"/>
    <w:rsid w:val="005B1487"/>
    <w:rsid w:val="005B19FD"/>
    <w:rsid w:val="005B42CC"/>
    <w:rsid w:val="005B570C"/>
    <w:rsid w:val="005B59E1"/>
    <w:rsid w:val="005B5A4A"/>
    <w:rsid w:val="005C030B"/>
    <w:rsid w:val="005C23E2"/>
    <w:rsid w:val="005C3028"/>
    <w:rsid w:val="005C4BD0"/>
    <w:rsid w:val="005C61D1"/>
    <w:rsid w:val="005C71B3"/>
    <w:rsid w:val="005C7919"/>
    <w:rsid w:val="005C7D40"/>
    <w:rsid w:val="005D0AAD"/>
    <w:rsid w:val="005D4921"/>
    <w:rsid w:val="005D4BAD"/>
    <w:rsid w:val="005D543A"/>
    <w:rsid w:val="005D5C06"/>
    <w:rsid w:val="005E359F"/>
    <w:rsid w:val="005E4DA3"/>
    <w:rsid w:val="005E50D1"/>
    <w:rsid w:val="005E5884"/>
    <w:rsid w:val="005E78B8"/>
    <w:rsid w:val="005F01D5"/>
    <w:rsid w:val="005F03C2"/>
    <w:rsid w:val="005F0F82"/>
    <w:rsid w:val="005F262A"/>
    <w:rsid w:val="005F2AC1"/>
    <w:rsid w:val="005F30C2"/>
    <w:rsid w:val="005F36B5"/>
    <w:rsid w:val="005F36C6"/>
    <w:rsid w:val="005F524C"/>
    <w:rsid w:val="006016BA"/>
    <w:rsid w:val="00603182"/>
    <w:rsid w:val="0060446B"/>
    <w:rsid w:val="006051AF"/>
    <w:rsid w:val="00605D37"/>
    <w:rsid w:val="00610724"/>
    <w:rsid w:val="006116D8"/>
    <w:rsid w:val="00614549"/>
    <w:rsid w:val="00617C10"/>
    <w:rsid w:val="00617D88"/>
    <w:rsid w:val="00620362"/>
    <w:rsid w:val="00622906"/>
    <w:rsid w:val="006238CC"/>
    <w:rsid w:val="00624F59"/>
    <w:rsid w:val="00627168"/>
    <w:rsid w:val="00627E95"/>
    <w:rsid w:val="00631F75"/>
    <w:rsid w:val="0063523F"/>
    <w:rsid w:val="00635D29"/>
    <w:rsid w:val="006402D3"/>
    <w:rsid w:val="00642F28"/>
    <w:rsid w:val="00642F7E"/>
    <w:rsid w:val="00643D0B"/>
    <w:rsid w:val="00644A49"/>
    <w:rsid w:val="00651AB8"/>
    <w:rsid w:val="00651C29"/>
    <w:rsid w:val="00652E49"/>
    <w:rsid w:val="006539E5"/>
    <w:rsid w:val="0065656E"/>
    <w:rsid w:val="00656D62"/>
    <w:rsid w:val="0065791B"/>
    <w:rsid w:val="00657F50"/>
    <w:rsid w:val="00660D78"/>
    <w:rsid w:val="006627B3"/>
    <w:rsid w:val="00664496"/>
    <w:rsid w:val="00666668"/>
    <w:rsid w:val="006666A1"/>
    <w:rsid w:val="00666C1A"/>
    <w:rsid w:val="006673EC"/>
    <w:rsid w:val="00673430"/>
    <w:rsid w:val="00673545"/>
    <w:rsid w:val="006735BA"/>
    <w:rsid w:val="006745E3"/>
    <w:rsid w:val="006751A5"/>
    <w:rsid w:val="006817B8"/>
    <w:rsid w:val="00684325"/>
    <w:rsid w:val="00687681"/>
    <w:rsid w:val="006900BA"/>
    <w:rsid w:val="00690F4D"/>
    <w:rsid w:val="00693537"/>
    <w:rsid w:val="0069606E"/>
    <w:rsid w:val="006A1F4B"/>
    <w:rsid w:val="006A378F"/>
    <w:rsid w:val="006A37BA"/>
    <w:rsid w:val="006A46F7"/>
    <w:rsid w:val="006A564A"/>
    <w:rsid w:val="006A5E6F"/>
    <w:rsid w:val="006B1D41"/>
    <w:rsid w:val="006B1E57"/>
    <w:rsid w:val="006B2555"/>
    <w:rsid w:val="006B2D8E"/>
    <w:rsid w:val="006B3C09"/>
    <w:rsid w:val="006B3E44"/>
    <w:rsid w:val="006B406D"/>
    <w:rsid w:val="006B47AE"/>
    <w:rsid w:val="006B484B"/>
    <w:rsid w:val="006B53AC"/>
    <w:rsid w:val="006B634B"/>
    <w:rsid w:val="006B6700"/>
    <w:rsid w:val="006B7160"/>
    <w:rsid w:val="006B7FD9"/>
    <w:rsid w:val="006C1B72"/>
    <w:rsid w:val="006C244C"/>
    <w:rsid w:val="006C2AD8"/>
    <w:rsid w:val="006C2AF3"/>
    <w:rsid w:val="006C3CAE"/>
    <w:rsid w:val="006C4006"/>
    <w:rsid w:val="006C517E"/>
    <w:rsid w:val="006C5E7A"/>
    <w:rsid w:val="006C642E"/>
    <w:rsid w:val="006C6F64"/>
    <w:rsid w:val="006D0679"/>
    <w:rsid w:val="006D12FF"/>
    <w:rsid w:val="006D4570"/>
    <w:rsid w:val="006D58CA"/>
    <w:rsid w:val="006D6743"/>
    <w:rsid w:val="006D690D"/>
    <w:rsid w:val="006D6E5C"/>
    <w:rsid w:val="006E0A0B"/>
    <w:rsid w:val="006E0E6C"/>
    <w:rsid w:val="006E177D"/>
    <w:rsid w:val="006E1BB7"/>
    <w:rsid w:val="006E49D0"/>
    <w:rsid w:val="006E4D27"/>
    <w:rsid w:val="006E57CA"/>
    <w:rsid w:val="006E5B80"/>
    <w:rsid w:val="006E6545"/>
    <w:rsid w:val="006E78DF"/>
    <w:rsid w:val="006E7C6A"/>
    <w:rsid w:val="006F179C"/>
    <w:rsid w:val="006F20F9"/>
    <w:rsid w:val="006F44A6"/>
    <w:rsid w:val="006F69DD"/>
    <w:rsid w:val="006F7A50"/>
    <w:rsid w:val="00700881"/>
    <w:rsid w:val="00701224"/>
    <w:rsid w:val="007035F8"/>
    <w:rsid w:val="00704515"/>
    <w:rsid w:val="00706680"/>
    <w:rsid w:val="00706DF6"/>
    <w:rsid w:val="0070702A"/>
    <w:rsid w:val="00707097"/>
    <w:rsid w:val="00707202"/>
    <w:rsid w:val="00707518"/>
    <w:rsid w:val="00712506"/>
    <w:rsid w:val="00712A61"/>
    <w:rsid w:val="00713505"/>
    <w:rsid w:val="007151F0"/>
    <w:rsid w:val="0071563E"/>
    <w:rsid w:val="00715C22"/>
    <w:rsid w:val="00717A62"/>
    <w:rsid w:val="00721896"/>
    <w:rsid w:val="00724996"/>
    <w:rsid w:val="0072546A"/>
    <w:rsid w:val="00727658"/>
    <w:rsid w:val="007355D5"/>
    <w:rsid w:val="0073696A"/>
    <w:rsid w:val="0074111B"/>
    <w:rsid w:val="00742C14"/>
    <w:rsid w:val="0074485B"/>
    <w:rsid w:val="00745ABD"/>
    <w:rsid w:val="00745E72"/>
    <w:rsid w:val="00751DD3"/>
    <w:rsid w:val="007529C3"/>
    <w:rsid w:val="00755930"/>
    <w:rsid w:val="0076003E"/>
    <w:rsid w:val="00761A87"/>
    <w:rsid w:val="007635D6"/>
    <w:rsid w:val="0076528A"/>
    <w:rsid w:val="00766347"/>
    <w:rsid w:val="00771511"/>
    <w:rsid w:val="00771F8A"/>
    <w:rsid w:val="00774678"/>
    <w:rsid w:val="00774FF8"/>
    <w:rsid w:val="00781DF4"/>
    <w:rsid w:val="007836AD"/>
    <w:rsid w:val="00786967"/>
    <w:rsid w:val="00787CA7"/>
    <w:rsid w:val="00790BEF"/>
    <w:rsid w:val="007920E7"/>
    <w:rsid w:val="00794318"/>
    <w:rsid w:val="00796374"/>
    <w:rsid w:val="0079723C"/>
    <w:rsid w:val="007A0149"/>
    <w:rsid w:val="007A0EBE"/>
    <w:rsid w:val="007A327D"/>
    <w:rsid w:val="007A47FF"/>
    <w:rsid w:val="007A4F9F"/>
    <w:rsid w:val="007A5A6D"/>
    <w:rsid w:val="007A5DDB"/>
    <w:rsid w:val="007A748E"/>
    <w:rsid w:val="007B088D"/>
    <w:rsid w:val="007B3DEE"/>
    <w:rsid w:val="007B6076"/>
    <w:rsid w:val="007B6772"/>
    <w:rsid w:val="007B6AC5"/>
    <w:rsid w:val="007B716D"/>
    <w:rsid w:val="007B7602"/>
    <w:rsid w:val="007C01C1"/>
    <w:rsid w:val="007C06F0"/>
    <w:rsid w:val="007C0FBC"/>
    <w:rsid w:val="007C1194"/>
    <w:rsid w:val="007C184B"/>
    <w:rsid w:val="007C2222"/>
    <w:rsid w:val="007C2894"/>
    <w:rsid w:val="007C2923"/>
    <w:rsid w:val="007C46A5"/>
    <w:rsid w:val="007C6F89"/>
    <w:rsid w:val="007C7F88"/>
    <w:rsid w:val="007D1565"/>
    <w:rsid w:val="007D570F"/>
    <w:rsid w:val="007D733D"/>
    <w:rsid w:val="007E07FC"/>
    <w:rsid w:val="007E2B0B"/>
    <w:rsid w:val="007E2DFA"/>
    <w:rsid w:val="007E65AB"/>
    <w:rsid w:val="007F04C0"/>
    <w:rsid w:val="007F1430"/>
    <w:rsid w:val="007F5505"/>
    <w:rsid w:val="00801E56"/>
    <w:rsid w:val="00805E8D"/>
    <w:rsid w:val="0080623D"/>
    <w:rsid w:val="008102C2"/>
    <w:rsid w:val="00810636"/>
    <w:rsid w:val="00811CEE"/>
    <w:rsid w:val="00813226"/>
    <w:rsid w:val="00814252"/>
    <w:rsid w:val="0081467B"/>
    <w:rsid w:val="0081640E"/>
    <w:rsid w:val="00816636"/>
    <w:rsid w:val="008201B1"/>
    <w:rsid w:val="00820FBC"/>
    <w:rsid w:val="00821445"/>
    <w:rsid w:val="00821D0A"/>
    <w:rsid w:val="00822594"/>
    <w:rsid w:val="00822D25"/>
    <w:rsid w:val="00824BAE"/>
    <w:rsid w:val="008260FA"/>
    <w:rsid w:val="008305F0"/>
    <w:rsid w:val="00832FD9"/>
    <w:rsid w:val="008340F5"/>
    <w:rsid w:val="008343EF"/>
    <w:rsid w:val="00835366"/>
    <w:rsid w:val="0083569F"/>
    <w:rsid w:val="0083621F"/>
    <w:rsid w:val="0083646A"/>
    <w:rsid w:val="0083685B"/>
    <w:rsid w:val="0083795A"/>
    <w:rsid w:val="00837F15"/>
    <w:rsid w:val="008411F7"/>
    <w:rsid w:val="008424DC"/>
    <w:rsid w:val="008445AA"/>
    <w:rsid w:val="008450AF"/>
    <w:rsid w:val="00845A8E"/>
    <w:rsid w:val="00845AF2"/>
    <w:rsid w:val="00845C6E"/>
    <w:rsid w:val="00846B2D"/>
    <w:rsid w:val="00847F9D"/>
    <w:rsid w:val="00852108"/>
    <w:rsid w:val="00853B73"/>
    <w:rsid w:val="0085426C"/>
    <w:rsid w:val="00854C7A"/>
    <w:rsid w:val="008556E1"/>
    <w:rsid w:val="00857696"/>
    <w:rsid w:val="00857852"/>
    <w:rsid w:val="008603B2"/>
    <w:rsid w:val="00863EDB"/>
    <w:rsid w:val="00871BE8"/>
    <w:rsid w:val="00871E43"/>
    <w:rsid w:val="00872EA4"/>
    <w:rsid w:val="00874708"/>
    <w:rsid w:val="00880554"/>
    <w:rsid w:val="008840FF"/>
    <w:rsid w:val="0088545E"/>
    <w:rsid w:val="00887DB3"/>
    <w:rsid w:val="00892AB6"/>
    <w:rsid w:val="00892DC3"/>
    <w:rsid w:val="00893263"/>
    <w:rsid w:val="00893A89"/>
    <w:rsid w:val="008957CC"/>
    <w:rsid w:val="0089684A"/>
    <w:rsid w:val="00896947"/>
    <w:rsid w:val="0089782A"/>
    <w:rsid w:val="008A0D03"/>
    <w:rsid w:val="008A45F8"/>
    <w:rsid w:val="008A54F5"/>
    <w:rsid w:val="008A6C44"/>
    <w:rsid w:val="008A78D8"/>
    <w:rsid w:val="008A7E28"/>
    <w:rsid w:val="008B0201"/>
    <w:rsid w:val="008B27D6"/>
    <w:rsid w:val="008B40CC"/>
    <w:rsid w:val="008B4708"/>
    <w:rsid w:val="008B61A1"/>
    <w:rsid w:val="008B6637"/>
    <w:rsid w:val="008C0352"/>
    <w:rsid w:val="008C0991"/>
    <w:rsid w:val="008C1C50"/>
    <w:rsid w:val="008C4090"/>
    <w:rsid w:val="008D00BB"/>
    <w:rsid w:val="008D054C"/>
    <w:rsid w:val="008D2113"/>
    <w:rsid w:val="008D37A4"/>
    <w:rsid w:val="008D487A"/>
    <w:rsid w:val="008D673A"/>
    <w:rsid w:val="008D6B69"/>
    <w:rsid w:val="008D6F81"/>
    <w:rsid w:val="008E18C1"/>
    <w:rsid w:val="008E3CA6"/>
    <w:rsid w:val="008E7E0E"/>
    <w:rsid w:val="008F1F5E"/>
    <w:rsid w:val="008F3278"/>
    <w:rsid w:val="008F332E"/>
    <w:rsid w:val="008F3672"/>
    <w:rsid w:val="008F4578"/>
    <w:rsid w:val="008F55CF"/>
    <w:rsid w:val="008F6EF5"/>
    <w:rsid w:val="009001A0"/>
    <w:rsid w:val="00901091"/>
    <w:rsid w:val="00901C2A"/>
    <w:rsid w:val="00901FF9"/>
    <w:rsid w:val="00904E7A"/>
    <w:rsid w:val="00905307"/>
    <w:rsid w:val="00905FE8"/>
    <w:rsid w:val="009109BF"/>
    <w:rsid w:val="00911F2D"/>
    <w:rsid w:val="00912069"/>
    <w:rsid w:val="009125A3"/>
    <w:rsid w:val="009201BF"/>
    <w:rsid w:val="009205AF"/>
    <w:rsid w:val="00921375"/>
    <w:rsid w:val="00924290"/>
    <w:rsid w:val="00924ECC"/>
    <w:rsid w:val="00925C28"/>
    <w:rsid w:val="0092690E"/>
    <w:rsid w:val="00927DAC"/>
    <w:rsid w:val="009325FF"/>
    <w:rsid w:val="00933F29"/>
    <w:rsid w:val="0093431E"/>
    <w:rsid w:val="009375C3"/>
    <w:rsid w:val="00942BDA"/>
    <w:rsid w:val="00943A6E"/>
    <w:rsid w:val="00944624"/>
    <w:rsid w:val="00951E4E"/>
    <w:rsid w:val="00955A5C"/>
    <w:rsid w:val="0095671C"/>
    <w:rsid w:val="00957939"/>
    <w:rsid w:val="00960224"/>
    <w:rsid w:val="009602E5"/>
    <w:rsid w:val="0096094E"/>
    <w:rsid w:val="0096183D"/>
    <w:rsid w:val="0096220A"/>
    <w:rsid w:val="00963BFF"/>
    <w:rsid w:val="0096731B"/>
    <w:rsid w:val="009711D9"/>
    <w:rsid w:val="00971CBE"/>
    <w:rsid w:val="0097429F"/>
    <w:rsid w:val="00974657"/>
    <w:rsid w:val="009756E9"/>
    <w:rsid w:val="00976654"/>
    <w:rsid w:val="00976700"/>
    <w:rsid w:val="009769F7"/>
    <w:rsid w:val="009803B7"/>
    <w:rsid w:val="009822E9"/>
    <w:rsid w:val="00982471"/>
    <w:rsid w:val="00983E1D"/>
    <w:rsid w:val="00986F1B"/>
    <w:rsid w:val="0099022B"/>
    <w:rsid w:val="00990A8D"/>
    <w:rsid w:val="00990D20"/>
    <w:rsid w:val="00994BF2"/>
    <w:rsid w:val="00997207"/>
    <w:rsid w:val="009A453E"/>
    <w:rsid w:val="009A7621"/>
    <w:rsid w:val="009B06C1"/>
    <w:rsid w:val="009B08CD"/>
    <w:rsid w:val="009B1A77"/>
    <w:rsid w:val="009B20DF"/>
    <w:rsid w:val="009B4A4C"/>
    <w:rsid w:val="009B6105"/>
    <w:rsid w:val="009B740F"/>
    <w:rsid w:val="009C113E"/>
    <w:rsid w:val="009C2B8C"/>
    <w:rsid w:val="009C5101"/>
    <w:rsid w:val="009C6E92"/>
    <w:rsid w:val="009C74D6"/>
    <w:rsid w:val="009D20E3"/>
    <w:rsid w:val="009D34E6"/>
    <w:rsid w:val="009D39F3"/>
    <w:rsid w:val="009D3A69"/>
    <w:rsid w:val="009D581D"/>
    <w:rsid w:val="009D5B6B"/>
    <w:rsid w:val="009D7247"/>
    <w:rsid w:val="009E4DB7"/>
    <w:rsid w:val="009E5151"/>
    <w:rsid w:val="009E5288"/>
    <w:rsid w:val="009E6893"/>
    <w:rsid w:val="009E73CA"/>
    <w:rsid w:val="009E7EAA"/>
    <w:rsid w:val="009F3DDE"/>
    <w:rsid w:val="009F4DC5"/>
    <w:rsid w:val="009F537A"/>
    <w:rsid w:val="009F7957"/>
    <w:rsid w:val="009F7D7F"/>
    <w:rsid w:val="00A048FD"/>
    <w:rsid w:val="00A059F5"/>
    <w:rsid w:val="00A05AA9"/>
    <w:rsid w:val="00A06778"/>
    <w:rsid w:val="00A07B0F"/>
    <w:rsid w:val="00A07EBD"/>
    <w:rsid w:val="00A10412"/>
    <w:rsid w:val="00A10CA0"/>
    <w:rsid w:val="00A1112B"/>
    <w:rsid w:val="00A123EC"/>
    <w:rsid w:val="00A12995"/>
    <w:rsid w:val="00A12CA5"/>
    <w:rsid w:val="00A12CF8"/>
    <w:rsid w:val="00A15148"/>
    <w:rsid w:val="00A20B46"/>
    <w:rsid w:val="00A20F1F"/>
    <w:rsid w:val="00A23A4F"/>
    <w:rsid w:val="00A23B02"/>
    <w:rsid w:val="00A24B7C"/>
    <w:rsid w:val="00A26420"/>
    <w:rsid w:val="00A27ED3"/>
    <w:rsid w:val="00A315A8"/>
    <w:rsid w:val="00A3166E"/>
    <w:rsid w:val="00A32F97"/>
    <w:rsid w:val="00A330B0"/>
    <w:rsid w:val="00A346CD"/>
    <w:rsid w:val="00A3663C"/>
    <w:rsid w:val="00A36E4A"/>
    <w:rsid w:val="00A4077A"/>
    <w:rsid w:val="00A4180B"/>
    <w:rsid w:val="00A42783"/>
    <w:rsid w:val="00A46D42"/>
    <w:rsid w:val="00A47172"/>
    <w:rsid w:val="00A4724D"/>
    <w:rsid w:val="00A4791B"/>
    <w:rsid w:val="00A505D8"/>
    <w:rsid w:val="00A55059"/>
    <w:rsid w:val="00A55803"/>
    <w:rsid w:val="00A5676B"/>
    <w:rsid w:val="00A56CA3"/>
    <w:rsid w:val="00A56F29"/>
    <w:rsid w:val="00A62D61"/>
    <w:rsid w:val="00A62EA1"/>
    <w:rsid w:val="00A62F87"/>
    <w:rsid w:val="00A66177"/>
    <w:rsid w:val="00A668D5"/>
    <w:rsid w:val="00A66DF3"/>
    <w:rsid w:val="00A672AD"/>
    <w:rsid w:val="00A70E29"/>
    <w:rsid w:val="00A71067"/>
    <w:rsid w:val="00A7287A"/>
    <w:rsid w:val="00A74AB1"/>
    <w:rsid w:val="00A80E01"/>
    <w:rsid w:val="00A82041"/>
    <w:rsid w:val="00A83D2E"/>
    <w:rsid w:val="00A849A8"/>
    <w:rsid w:val="00A84F7F"/>
    <w:rsid w:val="00A856A9"/>
    <w:rsid w:val="00A86521"/>
    <w:rsid w:val="00A86CA2"/>
    <w:rsid w:val="00A86E60"/>
    <w:rsid w:val="00A87E81"/>
    <w:rsid w:val="00A9098E"/>
    <w:rsid w:val="00A92A37"/>
    <w:rsid w:val="00A940F3"/>
    <w:rsid w:val="00A949E3"/>
    <w:rsid w:val="00A962AD"/>
    <w:rsid w:val="00A96A01"/>
    <w:rsid w:val="00A97766"/>
    <w:rsid w:val="00A97A43"/>
    <w:rsid w:val="00AA01FE"/>
    <w:rsid w:val="00AA1B20"/>
    <w:rsid w:val="00AA5F9E"/>
    <w:rsid w:val="00AB056A"/>
    <w:rsid w:val="00AB0FD7"/>
    <w:rsid w:val="00AB12BF"/>
    <w:rsid w:val="00AB1AC2"/>
    <w:rsid w:val="00AB1B09"/>
    <w:rsid w:val="00AB2D79"/>
    <w:rsid w:val="00AB3B8D"/>
    <w:rsid w:val="00AB3DE0"/>
    <w:rsid w:val="00AB436B"/>
    <w:rsid w:val="00AB5177"/>
    <w:rsid w:val="00AB533E"/>
    <w:rsid w:val="00AB74BE"/>
    <w:rsid w:val="00AC0EA1"/>
    <w:rsid w:val="00AC1570"/>
    <w:rsid w:val="00AC1AA3"/>
    <w:rsid w:val="00AC428D"/>
    <w:rsid w:val="00AC43E7"/>
    <w:rsid w:val="00AC5D48"/>
    <w:rsid w:val="00AC646B"/>
    <w:rsid w:val="00AC74D8"/>
    <w:rsid w:val="00AC7CE5"/>
    <w:rsid w:val="00AD0737"/>
    <w:rsid w:val="00AD2BFD"/>
    <w:rsid w:val="00AD2E17"/>
    <w:rsid w:val="00AD42BD"/>
    <w:rsid w:val="00AD43B9"/>
    <w:rsid w:val="00AD5EE1"/>
    <w:rsid w:val="00AD6434"/>
    <w:rsid w:val="00AD7A0F"/>
    <w:rsid w:val="00AE3C1B"/>
    <w:rsid w:val="00AE41DE"/>
    <w:rsid w:val="00AE42F4"/>
    <w:rsid w:val="00AE4E1D"/>
    <w:rsid w:val="00AE5A3A"/>
    <w:rsid w:val="00AE7A63"/>
    <w:rsid w:val="00AF0AD7"/>
    <w:rsid w:val="00AF0B96"/>
    <w:rsid w:val="00AF1E60"/>
    <w:rsid w:val="00AF30CA"/>
    <w:rsid w:val="00AF3E3D"/>
    <w:rsid w:val="00AF42E0"/>
    <w:rsid w:val="00AF6E44"/>
    <w:rsid w:val="00B01181"/>
    <w:rsid w:val="00B015B6"/>
    <w:rsid w:val="00B0282F"/>
    <w:rsid w:val="00B03C21"/>
    <w:rsid w:val="00B05139"/>
    <w:rsid w:val="00B06926"/>
    <w:rsid w:val="00B07510"/>
    <w:rsid w:val="00B07513"/>
    <w:rsid w:val="00B07997"/>
    <w:rsid w:val="00B13125"/>
    <w:rsid w:val="00B158F6"/>
    <w:rsid w:val="00B1598B"/>
    <w:rsid w:val="00B17B29"/>
    <w:rsid w:val="00B20AF8"/>
    <w:rsid w:val="00B210B7"/>
    <w:rsid w:val="00B23B5A"/>
    <w:rsid w:val="00B30391"/>
    <w:rsid w:val="00B3127D"/>
    <w:rsid w:val="00B331E1"/>
    <w:rsid w:val="00B334E7"/>
    <w:rsid w:val="00B34F39"/>
    <w:rsid w:val="00B37C89"/>
    <w:rsid w:val="00B417A8"/>
    <w:rsid w:val="00B41CA4"/>
    <w:rsid w:val="00B42B37"/>
    <w:rsid w:val="00B435CB"/>
    <w:rsid w:val="00B45BAE"/>
    <w:rsid w:val="00B52DF6"/>
    <w:rsid w:val="00B534A4"/>
    <w:rsid w:val="00B53998"/>
    <w:rsid w:val="00B61079"/>
    <w:rsid w:val="00B629F9"/>
    <w:rsid w:val="00B6381F"/>
    <w:rsid w:val="00B63D43"/>
    <w:rsid w:val="00B65A45"/>
    <w:rsid w:val="00B66200"/>
    <w:rsid w:val="00B67079"/>
    <w:rsid w:val="00B674BA"/>
    <w:rsid w:val="00B70391"/>
    <w:rsid w:val="00B71CE6"/>
    <w:rsid w:val="00B76A92"/>
    <w:rsid w:val="00B76C11"/>
    <w:rsid w:val="00B804E3"/>
    <w:rsid w:val="00B813DE"/>
    <w:rsid w:val="00B82F73"/>
    <w:rsid w:val="00B841EB"/>
    <w:rsid w:val="00B84FF1"/>
    <w:rsid w:val="00B9000F"/>
    <w:rsid w:val="00B90E56"/>
    <w:rsid w:val="00B91F04"/>
    <w:rsid w:val="00B935A6"/>
    <w:rsid w:val="00B94937"/>
    <w:rsid w:val="00B95337"/>
    <w:rsid w:val="00B95577"/>
    <w:rsid w:val="00B955F5"/>
    <w:rsid w:val="00B95C13"/>
    <w:rsid w:val="00B9626D"/>
    <w:rsid w:val="00B96F52"/>
    <w:rsid w:val="00BA08FA"/>
    <w:rsid w:val="00BA17C4"/>
    <w:rsid w:val="00BA1EA3"/>
    <w:rsid w:val="00BA5393"/>
    <w:rsid w:val="00BA5D92"/>
    <w:rsid w:val="00BA6882"/>
    <w:rsid w:val="00BA6934"/>
    <w:rsid w:val="00BA7770"/>
    <w:rsid w:val="00BB2A72"/>
    <w:rsid w:val="00BB4172"/>
    <w:rsid w:val="00BB771C"/>
    <w:rsid w:val="00BC0C3A"/>
    <w:rsid w:val="00BC0E76"/>
    <w:rsid w:val="00BC17E9"/>
    <w:rsid w:val="00BC3242"/>
    <w:rsid w:val="00BC5EC7"/>
    <w:rsid w:val="00BC766D"/>
    <w:rsid w:val="00BC76B7"/>
    <w:rsid w:val="00BD1344"/>
    <w:rsid w:val="00BD20F6"/>
    <w:rsid w:val="00BD2AE7"/>
    <w:rsid w:val="00BD3058"/>
    <w:rsid w:val="00BD620E"/>
    <w:rsid w:val="00BD6EBA"/>
    <w:rsid w:val="00BD7C93"/>
    <w:rsid w:val="00BD7E7B"/>
    <w:rsid w:val="00BE0864"/>
    <w:rsid w:val="00BE289B"/>
    <w:rsid w:val="00BE3C37"/>
    <w:rsid w:val="00BE611D"/>
    <w:rsid w:val="00BE73AD"/>
    <w:rsid w:val="00BF47BF"/>
    <w:rsid w:val="00BF6C20"/>
    <w:rsid w:val="00BF7891"/>
    <w:rsid w:val="00BF7F1A"/>
    <w:rsid w:val="00C0007C"/>
    <w:rsid w:val="00C012D9"/>
    <w:rsid w:val="00C01C24"/>
    <w:rsid w:val="00C01D21"/>
    <w:rsid w:val="00C0345C"/>
    <w:rsid w:val="00C05EAA"/>
    <w:rsid w:val="00C0676D"/>
    <w:rsid w:val="00C07463"/>
    <w:rsid w:val="00C12F0B"/>
    <w:rsid w:val="00C13343"/>
    <w:rsid w:val="00C13D18"/>
    <w:rsid w:val="00C14AC8"/>
    <w:rsid w:val="00C169E0"/>
    <w:rsid w:val="00C17514"/>
    <w:rsid w:val="00C1758C"/>
    <w:rsid w:val="00C2066D"/>
    <w:rsid w:val="00C219A6"/>
    <w:rsid w:val="00C225A8"/>
    <w:rsid w:val="00C22F08"/>
    <w:rsid w:val="00C232E2"/>
    <w:rsid w:val="00C23C99"/>
    <w:rsid w:val="00C25F65"/>
    <w:rsid w:val="00C30836"/>
    <w:rsid w:val="00C32497"/>
    <w:rsid w:val="00C324B1"/>
    <w:rsid w:val="00C33453"/>
    <w:rsid w:val="00C362EE"/>
    <w:rsid w:val="00C36D0E"/>
    <w:rsid w:val="00C377D4"/>
    <w:rsid w:val="00C4025E"/>
    <w:rsid w:val="00C42070"/>
    <w:rsid w:val="00C42865"/>
    <w:rsid w:val="00C42EF1"/>
    <w:rsid w:val="00C4400E"/>
    <w:rsid w:val="00C440D9"/>
    <w:rsid w:val="00C47211"/>
    <w:rsid w:val="00C47A51"/>
    <w:rsid w:val="00C47FE1"/>
    <w:rsid w:val="00C51C0B"/>
    <w:rsid w:val="00C527EA"/>
    <w:rsid w:val="00C52BA9"/>
    <w:rsid w:val="00C53769"/>
    <w:rsid w:val="00C53C8F"/>
    <w:rsid w:val="00C53F75"/>
    <w:rsid w:val="00C54293"/>
    <w:rsid w:val="00C54D38"/>
    <w:rsid w:val="00C6167D"/>
    <w:rsid w:val="00C6175A"/>
    <w:rsid w:val="00C64967"/>
    <w:rsid w:val="00C65534"/>
    <w:rsid w:val="00C6703F"/>
    <w:rsid w:val="00C679EA"/>
    <w:rsid w:val="00C7085D"/>
    <w:rsid w:val="00C7365E"/>
    <w:rsid w:val="00C74014"/>
    <w:rsid w:val="00C773B1"/>
    <w:rsid w:val="00C806C7"/>
    <w:rsid w:val="00C8365E"/>
    <w:rsid w:val="00C87B1E"/>
    <w:rsid w:val="00C87DAB"/>
    <w:rsid w:val="00C91BDE"/>
    <w:rsid w:val="00C96221"/>
    <w:rsid w:val="00C96B64"/>
    <w:rsid w:val="00C97E80"/>
    <w:rsid w:val="00CA0ADE"/>
    <w:rsid w:val="00CA0F53"/>
    <w:rsid w:val="00CA19B9"/>
    <w:rsid w:val="00CA1B18"/>
    <w:rsid w:val="00CA52D0"/>
    <w:rsid w:val="00CB3179"/>
    <w:rsid w:val="00CB4940"/>
    <w:rsid w:val="00CC090B"/>
    <w:rsid w:val="00CC2671"/>
    <w:rsid w:val="00CC29C8"/>
    <w:rsid w:val="00CC3E54"/>
    <w:rsid w:val="00CC46DA"/>
    <w:rsid w:val="00CC4CEB"/>
    <w:rsid w:val="00CC5C67"/>
    <w:rsid w:val="00CC6B80"/>
    <w:rsid w:val="00CC773C"/>
    <w:rsid w:val="00CD7592"/>
    <w:rsid w:val="00CE0CFC"/>
    <w:rsid w:val="00CE1D33"/>
    <w:rsid w:val="00CE352D"/>
    <w:rsid w:val="00CE3D8D"/>
    <w:rsid w:val="00CE44C2"/>
    <w:rsid w:val="00CE4EA8"/>
    <w:rsid w:val="00CE5E74"/>
    <w:rsid w:val="00CF0615"/>
    <w:rsid w:val="00CF1D5D"/>
    <w:rsid w:val="00CF388A"/>
    <w:rsid w:val="00CF4929"/>
    <w:rsid w:val="00CF51D0"/>
    <w:rsid w:val="00CF58A7"/>
    <w:rsid w:val="00D0181F"/>
    <w:rsid w:val="00D02E44"/>
    <w:rsid w:val="00D03100"/>
    <w:rsid w:val="00D03E19"/>
    <w:rsid w:val="00D047EE"/>
    <w:rsid w:val="00D05544"/>
    <w:rsid w:val="00D11508"/>
    <w:rsid w:val="00D11CA3"/>
    <w:rsid w:val="00D12D45"/>
    <w:rsid w:val="00D13364"/>
    <w:rsid w:val="00D14BB3"/>
    <w:rsid w:val="00D16303"/>
    <w:rsid w:val="00D234FD"/>
    <w:rsid w:val="00D23857"/>
    <w:rsid w:val="00D2415A"/>
    <w:rsid w:val="00D26A24"/>
    <w:rsid w:val="00D27B28"/>
    <w:rsid w:val="00D306D8"/>
    <w:rsid w:val="00D34F00"/>
    <w:rsid w:val="00D36509"/>
    <w:rsid w:val="00D4096A"/>
    <w:rsid w:val="00D42DD0"/>
    <w:rsid w:val="00D44C7B"/>
    <w:rsid w:val="00D45CB2"/>
    <w:rsid w:val="00D465FF"/>
    <w:rsid w:val="00D47064"/>
    <w:rsid w:val="00D47C97"/>
    <w:rsid w:val="00D47D5E"/>
    <w:rsid w:val="00D541A5"/>
    <w:rsid w:val="00D54840"/>
    <w:rsid w:val="00D54C8C"/>
    <w:rsid w:val="00D55290"/>
    <w:rsid w:val="00D56A9E"/>
    <w:rsid w:val="00D57BEE"/>
    <w:rsid w:val="00D57E37"/>
    <w:rsid w:val="00D62976"/>
    <w:rsid w:val="00D62F99"/>
    <w:rsid w:val="00D63B41"/>
    <w:rsid w:val="00D64BC0"/>
    <w:rsid w:val="00D71BFF"/>
    <w:rsid w:val="00D75A56"/>
    <w:rsid w:val="00D77564"/>
    <w:rsid w:val="00D82924"/>
    <w:rsid w:val="00D84092"/>
    <w:rsid w:val="00D84334"/>
    <w:rsid w:val="00D84F69"/>
    <w:rsid w:val="00D855E3"/>
    <w:rsid w:val="00D87413"/>
    <w:rsid w:val="00D87BC7"/>
    <w:rsid w:val="00D915C7"/>
    <w:rsid w:val="00D93002"/>
    <w:rsid w:val="00D93859"/>
    <w:rsid w:val="00D93CD8"/>
    <w:rsid w:val="00D940B1"/>
    <w:rsid w:val="00D95AE9"/>
    <w:rsid w:val="00D967EC"/>
    <w:rsid w:val="00D97796"/>
    <w:rsid w:val="00DA1115"/>
    <w:rsid w:val="00DA1E3B"/>
    <w:rsid w:val="00DA4988"/>
    <w:rsid w:val="00DA6EBF"/>
    <w:rsid w:val="00DA7D1F"/>
    <w:rsid w:val="00DB0F5E"/>
    <w:rsid w:val="00DB1D19"/>
    <w:rsid w:val="00DB236A"/>
    <w:rsid w:val="00DB3FB3"/>
    <w:rsid w:val="00DB4A5C"/>
    <w:rsid w:val="00DB6F3F"/>
    <w:rsid w:val="00DB7E3A"/>
    <w:rsid w:val="00DC018A"/>
    <w:rsid w:val="00DC0B23"/>
    <w:rsid w:val="00DC0B4B"/>
    <w:rsid w:val="00DC3FB6"/>
    <w:rsid w:val="00DC6220"/>
    <w:rsid w:val="00DD13E7"/>
    <w:rsid w:val="00DD29A0"/>
    <w:rsid w:val="00DD2BAB"/>
    <w:rsid w:val="00DD4BD5"/>
    <w:rsid w:val="00DD7E96"/>
    <w:rsid w:val="00DE3D9F"/>
    <w:rsid w:val="00DE4985"/>
    <w:rsid w:val="00DE5969"/>
    <w:rsid w:val="00DE5CEC"/>
    <w:rsid w:val="00DE73BE"/>
    <w:rsid w:val="00DF0134"/>
    <w:rsid w:val="00DF202E"/>
    <w:rsid w:val="00DF3AA7"/>
    <w:rsid w:val="00DF4395"/>
    <w:rsid w:val="00DF5783"/>
    <w:rsid w:val="00DF5F20"/>
    <w:rsid w:val="00DF7E7E"/>
    <w:rsid w:val="00E03B94"/>
    <w:rsid w:val="00E0774F"/>
    <w:rsid w:val="00E11B9A"/>
    <w:rsid w:val="00E127B7"/>
    <w:rsid w:val="00E12E47"/>
    <w:rsid w:val="00E134F6"/>
    <w:rsid w:val="00E151DD"/>
    <w:rsid w:val="00E151E3"/>
    <w:rsid w:val="00E163AF"/>
    <w:rsid w:val="00E212C8"/>
    <w:rsid w:val="00E21452"/>
    <w:rsid w:val="00E22004"/>
    <w:rsid w:val="00E244CC"/>
    <w:rsid w:val="00E245AD"/>
    <w:rsid w:val="00E24F92"/>
    <w:rsid w:val="00E2791E"/>
    <w:rsid w:val="00E30230"/>
    <w:rsid w:val="00E311A0"/>
    <w:rsid w:val="00E312F7"/>
    <w:rsid w:val="00E36910"/>
    <w:rsid w:val="00E37470"/>
    <w:rsid w:val="00E37B8D"/>
    <w:rsid w:val="00E4024F"/>
    <w:rsid w:val="00E47D39"/>
    <w:rsid w:val="00E50953"/>
    <w:rsid w:val="00E50C03"/>
    <w:rsid w:val="00E5186E"/>
    <w:rsid w:val="00E54F44"/>
    <w:rsid w:val="00E56384"/>
    <w:rsid w:val="00E56E40"/>
    <w:rsid w:val="00E57859"/>
    <w:rsid w:val="00E608D4"/>
    <w:rsid w:val="00E61A08"/>
    <w:rsid w:val="00E61F87"/>
    <w:rsid w:val="00E62CBC"/>
    <w:rsid w:val="00E63808"/>
    <w:rsid w:val="00E650C4"/>
    <w:rsid w:val="00E6673C"/>
    <w:rsid w:val="00E718DB"/>
    <w:rsid w:val="00E72C0E"/>
    <w:rsid w:val="00E75493"/>
    <w:rsid w:val="00E81C60"/>
    <w:rsid w:val="00E83060"/>
    <w:rsid w:val="00E83157"/>
    <w:rsid w:val="00E84849"/>
    <w:rsid w:val="00E84DDB"/>
    <w:rsid w:val="00E85D92"/>
    <w:rsid w:val="00E9019C"/>
    <w:rsid w:val="00E90D45"/>
    <w:rsid w:val="00E933C1"/>
    <w:rsid w:val="00E93E3D"/>
    <w:rsid w:val="00E95D60"/>
    <w:rsid w:val="00E97BBF"/>
    <w:rsid w:val="00EA1020"/>
    <w:rsid w:val="00EA26E1"/>
    <w:rsid w:val="00EA2965"/>
    <w:rsid w:val="00EA3004"/>
    <w:rsid w:val="00EA45C4"/>
    <w:rsid w:val="00EA58A9"/>
    <w:rsid w:val="00EB1163"/>
    <w:rsid w:val="00EB1D93"/>
    <w:rsid w:val="00EB2271"/>
    <w:rsid w:val="00EB244C"/>
    <w:rsid w:val="00EB2B8F"/>
    <w:rsid w:val="00EB40E6"/>
    <w:rsid w:val="00EB4916"/>
    <w:rsid w:val="00EB5922"/>
    <w:rsid w:val="00EB6303"/>
    <w:rsid w:val="00EB6370"/>
    <w:rsid w:val="00EB67C1"/>
    <w:rsid w:val="00EB6AE1"/>
    <w:rsid w:val="00EB7179"/>
    <w:rsid w:val="00EC092C"/>
    <w:rsid w:val="00EC0FDF"/>
    <w:rsid w:val="00EC1539"/>
    <w:rsid w:val="00EC19F1"/>
    <w:rsid w:val="00EC38C2"/>
    <w:rsid w:val="00EC3915"/>
    <w:rsid w:val="00EC3E1D"/>
    <w:rsid w:val="00EC5270"/>
    <w:rsid w:val="00EC7379"/>
    <w:rsid w:val="00ED1D5A"/>
    <w:rsid w:val="00ED2163"/>
    <w:rsid w:val="00ED2D77"/>
    <w:rsid w:val="00ED3258"/>
    <w:rsid w:val="00EE1119"/>
    <w:rsid w:val="00EE210A"/>
    <w:rsid w:val="00EE2B23"/>
    <w:rsid w:val="00EE6238"/>
    <w:rsid w:val="00EE79A9"/>
    <w:rsid w:val="00EF4B0A"/>
    <w:rsid w:val="00EF6297"/>
    <w:rsid w:val="00EF6792"/>
    <w:rsid w:val="00EF7E24"/>
    <w:rsid w:val="00F0041B"/>
    <w:rsid w:val="00F0265F"/>
    <w:rsid w:val="00F07FA2"/>
    <w:rsid w:val="00F11048"/>
    <w:rsid w:val="00F1417E"/>
    <w:rsid w:val="00F14BED"/>
    <w:rsid w:val="00F21A02"/>
    <w:rsid w:val="00F21AA1"/>
    <w:rsid w:val="00F228E0"/>
    <w:rsid w:val="00F25DF3"/>
    <w:rsid w:val="00F25ECB"/>
    <w:rsid w:val="00F26291"/>
    <w:rsid w:val="00F272B3"/>
    <w:rsid w:val="00F277AA"/>
    <w:rsid w:val="00F27CE4"/>
    <w:rsid w:val="00F3048E"/>
    <w:rsid w:val="00F325CB"/>
    <w:rsid w:val="00F3315B"/>
    <w:rsid w:val="00F335E9"/>
    <w:rsid w:val="00F3388F"/>
    <w:rsid w:val="00F353D6"/>
    <w:rsid w:val="00F41E33"/>
    <w:rsid w:val="00F428C8"/>
    <w:rsid w:val="00F4425C"/>
    <w:rsid w:val="00F512C2"/>
    <w:rsid w:val="00F51C2B"/>
    <w:rsid w:val="00F53272"/>
    <w:rsid w:val="00F54B79"/>
    <w:rsid w:val="00F551F5"/>
    <w:rsid w:val="00F55FFB"/>
    <w:rsid w:val="00F562CD"/>
    <w:rsid w:val="00F574A1"/>
    <w:rsid w:val="00F61480"/>
    <w:rsid w:val="00F61F20"/>
    <w:rsid w:val="00F62670"/>
    <w:rsid w:val="00F62A5C"/>
    <w:rsid w:val="00F62AF0"/>
    <w:rsid w:val="00F62CBF"/>
    <w:rsid w:val="00F63448"/>
    <w:rsid w:val="00F66C78"/>
    <w:rsid w:val="00F66F8E"/>
    <w:rsid w:val="00F67C0C"/>
    <w:rsid w:val="00F71814"/>
    <w:rsid w:val="00F72427"/>
    <w:rsid w:val="00F73791"/>
    <w:rsid w:val="00F74144"/>
    <w:rsid w:val="00F74FF5"/>
    <w:rsid w:val="00F75F50"/>
    <w:rsid w:val="00F84BC2"/>
    <w:rsid w:val="00F86907"/>
    <w:rsid w:val="00F9002E"/>
    <w:rsid w:val="00F90B77"/>
    <w:rsid w:val="00F9115D"/>
    <w:rsid w:val="00F92F72"/>
    <w:rsid w:val="00F95434"/>
    <w:rsid w:val="00F97C6A"/>
    <w:rsid w:val="00FA55F2"/>
    <w:rsid w:val="00FA64E0"/>
    <w:rsid w:val="00FA730C"/>
    <w:rsid w:val="00FB09F8"/>
    <w:rsid w:val="00FB19C0"/>
    <w:rsid w:val="00FB4F1D"/>
    <w:rsid w:val="00FB516B"/>
    <w:rsid w:val="00FB5C55"/>
    <w:rsid w:val="00FB63C4"/>
    <w:rsid w:val="00FB68AD"/>
    <w:rsid w:val="00FC083B"/>
    <w:rsid w:val="00FC2B44"/>
    <w:rsid w:val="00FC3CDF"/>
    <w:rsid w:val="00FD1A58"/>
    <w:rsid w:val="00FD2066"/>
    <w:rsid w:val="00FD3EA3"/>
    <w:rsid w:val="00FD400F"/>
    <w:rsid w:val="00FD5B7F"/>
    <w:rsid w:val="00FD6221"/>
    <w:rsid w:val="00FE0D56"/>
    <w:rsid w:val="00FE1192"/>
    <w:rsid w:val="00FE31E1"/>
    <w:rsid w:val="00FE3D24"/>
    <w:rsid w:val="00FE446E"/>
    <w:rsid w:val="00FE5BFA"/>
    <w:rsid w:val="00FE62DA"/>
    <w:rsid w:val="00FE6677"/>
    <w:rsid w:val="00FE6772"/>
    <w:rsid w:val="00FE7651"/>
    <w:rsid w:val="00FF4A78"/>
    <w:rsid w:val="00FF57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3EF5A"/>
  <w15:chartTrackingRefBased/>
  <w15:docId w15:val="{0E30A0BC-BD8D-446E-A87E-BBE914C47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0A51"/>
    <w:pPr>
      <w:spacing w:after="0" w:line="240" w:lineRule="auto"/>
    </w:pPr>
    <w:rPr>
      <w:rFonts w:eastAsia="Times New Roman"/>
      <w:szCs w:val="20"/>
    </w:rPr>
  </w:style>
  <w:style w:type="paragraph" w:styleId="Heading1">
    <w:name w:val="heading 1"/>
    <w:basedOn w:val="Normal"/>
    <w:next w:val="Normal"/>
    <w:link w:val="Heading1Char"/>
    <w:uiPriority w:val="9"/>
    <w:qFormat/>
    <w:rsid w:val="002A039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A12CF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A12CF8"/>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683A"/>
    <w:pPr>
      <w:tabs>
        <w:tab w:val="center" w:pos="4680"/>
        <w:tab w:val="right" w:pos="9360"/>
      </w:tabs>
    </w:pPr>
  </w:style>
  <w:style w:type="character" w:customStyle="1" w:styleId="HeaderChar">
    <w:name w:val="Header Char"/>
    <w:basedOn w:val="DefaultParagraphFont"/>
    <w:link w:val="Header"/>
    <w:uiPriority w:val="99"/>
    <w:rsid w:val="002D683A"/>
    <w:rPr>
      <w:rFonts w:eastAsia="Times New Roman"/>
      <w:szCs w:val="20"/>
    </w:rPr>
  </w:style>
  <w:style w:type="paragraph" w:styleId="Footer">
    <w:name w:val="footer"/>
    <w:basedOn w:val="Normal"/>
    <w:link w:val="FooterChar"/>
    <w:uiPriority w:val="99"/>
    <w:unhideWhenUsed/>
    <w:rsid w:val="002D683A"/>
    <w:pPr>
      <w:tabs>
        <w:tab w:val="center" w:pos="4680"/>
        <w:tab w:val="right" w:pos="9360"/>
      </w:tabs>
    </w:pPr>
  </w:style>
  <w:style w:type="character" w:customStyle="1" w:styleId="FooterChar">
    <w:name w:val="Footer Char"/>
    <w:basedOn w:val="DefaultParagraphFont"/>
    <w:link w:val="Footer"/>
    <w:uiPriority w:val="99"/>
    <w:rsid w:val="002D683A"/>
    <w:rPr>
      <w:rFonts w:eastAsia="Times New Roman"/>
      <w:szCs w:val="20"/>
    </w:rPr>
  </w:style>
  <w:style w:type="paragraph" w:styleId="BalloonText">
    <w:name w:val="Balloon Text"/>
    <w:basedOn w:val="Normal"/>
    <w:link w:val="BalloonTextChar"/>
    <w:uiPriority w:val="99"/>
    <w:semiHidden/>
    <w:unhideWhenUsed/>
    <w:rsid w:val="0011718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7184"/>
    <w:rPr>
      <w:rFonts w:ascii="Segoe UI" w:eastAsia="Times New Roman" w:hAnsi="Segoe UI" w:cs="Segoe UI"/>
      <w:sz w:val="18"/>
      <w:szCs w:val="18"/>
    </w:rPr>
  </w:style>
  <w:style w:type="character" w:styleId="FootnoteReference">
    <w:name w:val="footnote reference"/>
    <w:basedOn w:val="DefaultParagraphFont"/>
    <w:semiHidden/>
    <w:rsid w:val="000D4B9F"/>
    <w:rPr>
      <w:vertAlign w:val="superscript"/>
    </w:rPr>
  </w:style>
  <w:style w:type="paragraph" w:styleId="FootnoteText">
    <w:name w:val="footnote text"/>
    <w:basedOn w:val="Normal"/>
    <w:link w:val="FootnoteTextChar"/>
    <w:semiHidden/>
    <w:rsid w:val="000D4B9F"/>
    <w:pPr>
      <w:widowControl w:val="0"/>
    </w:pPr>
    <w:rPr>
      <w:sz w:val="20"/>
    </w:rPr>
  </w:style>
  <w:style w:type="character" w:customStyle="1" w:styleId="FootnoteTextChar">
    <w:name w:val="Footnote Text Char"/>
    <w:basedOn w:val="DefaultParagraphFont"/>
    <w:link w:val="FootnoteText"/>
    <w:semiHidden/>
    <w:rsid w:val="000D4B9F"/>
    <w:rPr>
      <w:rFonts w:eastAsia="Times New Roman"/>
      <w:sz w:val="20"/>
      <w:szCs w:val="20"/>
    </w:rPr>
  </w:style>
  <w:style w:type="paragraph" w:styleId="ListParagraph">
    <w:name w:val="List Paragraph"/>
    <w:basedOn w:val="Normal"/>
    <w:uiPriority w:val="34"/>
    <w:qFormat/>
    <w:rsid w:val="007D1565"/>
    <w:pPr>
      <w:ind w:left="720"/>
      <w:contextualSpacing/>
    </w:pPr>
  </w:style>
  <w:style w:type="character" w:styleId="Hyperlink">
    <w:name w:val="Hyperlink"/>
    <w:basedOn w:val="DefaultParagraphFont"/>
    <w:uiPriority w:val="99"/>
    <w:unhideWhenUsed/>
    <w:rsid w:val="002C1B52"/>
    <w:rPr>
      <w:color w:val="0000FF"/>
      <w:u w:val="single"/>
    </w:rPr>
  </w:style>
  <w:style w:type="character" w:styleId="UnresolvedMention">
    <w:name w:val="Unresolved Mention"/>
    <w:basedOn w:val="DefaultParagraphFont"/>
    <w:uiPriority w:val="99"/>
    <w:semiHidden/>
    <w:unhideWhenUsed/>
    <w:rsid w:val="000E2D4A"/>
    <w:rPr>
      <w:color w:val="605E5C"/>
      <w:shd w:val="clear" w:color="auto" w:fill="E1DFDD"/>
    </w:rPr>
  </w:style>
  <w:style w:type="table" w:styleId="TableGridLight">
    <w:name w:val="Grid Table Light"/>
    <w:basedOn w:val="TableNormal"/>
    <w:uiPriority w:val="40"/>
    <w:rsid w:val="003A795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2A039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A12CF8"/>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A12CF8"/>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5831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rquette.edu/polisci/faculty_swank.shtml" TargetMode="External"/><Relationship Id="rId18" Type="http://schemas.openxmlformats.org/officeDocument/2006/relationships/image" Target="media/image2.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isdatacenter.org/our-data/lis-database/" TargetMode="Externa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uane.swank@marquette.edu" TargetMode="External"/><Relationship Id="rId5" Type="http://schemas.openxmlformats.org/officeDocument/2006/relationships/numbering" Target="numbering.xml"/><Relationship Id="rId15" Type="http://schemas.openxmlformats.org/officeDocument/2006/relationships/hyperlink" Target="https://manifesto-project.wzb.e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neujobs.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77572F-25CA-4667-BE6E-A320D67A093F}">
  <ds:schemaRefs>
    <ds:schemaRef ds:uri="http://schemas.microsoft.com/office/2006/documentManagement/types"/>
    <ds:schemaRef ds:uri="1dc5a16d-a9e1-4107-81af-b56e13c8526c"/>
    <ds:schemaRef ds:uri="http://schemas.microsoft.com/office/2006/metadata/properties"/>
    <ds:schemaRef ds:uri="http://www.w3.org/XML/1998/namespace"/>
    <ds:schemaRef ds:uri="http://schemas.openxmlformats.org/package/2006/metadata/core-properties"/>
    <ds:schemaRef ds:uri="http://purl.org/dc/elements/1.1/"/>
    <ds:schemaRef ds:uri="http://purl.org/dc/dcmitype/"/>
    <ds:schemaRef ds:uri="455b151d-75b8-4438-a72d-e06b314124a1"/>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5DC6190E-68AF-4723-938E-5AB222DA9E7E}">
  <ds:schemaRefs>
    <ds:schemaRef ds:uri="http://schemas.microsoft.com/sharepoint/v3/contenttype/forms"/>
  </ds:schemaRefs>
</ds:datastoreItem>
</file>

<file path=customXml/itemProps3.xml><?xml version="1.0" encoding="utf-8"?>
<ds:datastoreItem xmlns:ds="http://schemas.openxmlformats.org/officeDocument/2006/customXml" ds:itemID="{64E971A8-F0CC-4FA5-9D2D-0DC444C1C1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1EE52B-0117-430C-B157-410B5D6A4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8088</Words>
  <Characters>47806</Characters>
  <Application>Microsoft Office Word</Application>
  <DocSecurity>8</DocSecurity>
  <Lines>1292</Lines>
  <Paragraphs>707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Duane Swank</dc:creator>
  <cp:keywords/>
  <dc:description/>
  <cp:lastModifiedBy>Olson, Sharon</cp:lastModifiedBy>
  <cp:revision>7</cp:revision>
  <cp:lastPrinted>2019-01-26T03:08:00Z</cp:lastPrinted>
  <dcterms:created xsi:type="dcterms:W3CDTF">2019-08-02T13:56:00Z</dcterms:created>
  <dcterms:modified xsi:type="dcterms:W3CDTF">2019-08-02T15:04:00Z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