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5F50E94" w:rsidR="000A7622" w:rsidRPr="00C04F25" w:rsidRDefault="002300D0" w:rsidP="00D14423">
      <w:pPr>
        <w:autoSpaceDE w:val="0"/>
        <w:autoSpaceDN w:val="0"/>
        <w:adjustRightInd w:val="0"/>
        <w:rPr>
          <w:rFonts w:cstheme="minorHAnsi"/>
          <w:b/>
          <w:bCs/>
          <w:i/>
          <w:iCs/>
          <w:sz w:val="32"/>
          <w:szCs w:val="32"/>
        </w:rPr>
      </w:pPr>
      <w:r>
        <w:rPr>
          <w:rFonts w:cstheme="minorHAnsi"/>
          <w:b/>
          <w:bCs/>
          <w:i/>
          <w:iCs/>
          <w:sz w:val="32"/>
          <w:szCs w:val="32"/>
        </w:rPr>
        <w:t xml:space="preserve">Biomedical Engineering </w:t>
      </w:r>
      <w:r w:rsidR="000A7622" w:rsidRPr="00C04F25">
        <w:rPr>
          <w:rFonts w:cstheme="minorHAnsi"/>
          <w:b/>
          <w:bCs/>
          <w:i/>
          <w:iCs/>
          <w:sz w:val="32"/>
          <w:szCs w:val="32"/>
        </w:rPr>
        <w:t>Faculty Research and Publications/</w:t>
      </w:r>
      <w:r w:rsidR="001E124C">
        <w:rPr>
          <w:rFonts w:cstheme="minorHAnsi"/>
          <w:b/>
          <w:bCs/>
          <w:i/>
          <w:iCs/>
          <w:sz w:val="32"/>
          <w:szCs w:val="32"/>
        </w:rPr>
        <w:t>College</w:t>
      </w:r>
      <w:r w:rsidR="009732A9">
        <w:rPr>
          <w:rFonts w:cstheme="minorHAnsi"/>
          <w:b/>
          <w:bCs/>
          <w:i/>
          <w:iCs/>
          <w:sz w:val="32"/>
          <w:szCs w:val="32"/>
        </w:rPr>
        <w:t xml:space="preserv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19AA009" w:rsidR="000A7622" w:rsidRPr="00C04F25" w:rsidRDefault="00B71A24" w:rsidP="00D14423">
      <w:pPr>
        <w:rPr>
          <w:rFonts w:cstheme="minorHAnsi"/>
          <w:sz w:val="24"/>
          <w:szCs w:val="24"/>
        </w:rPr>
      </w:pPr>
      <w:r>
        <w:rPr>
          <w:rFonts w:cstheme="minorHAnsi"/>
          <w:i/>
          <w:sz w:val="24"/>
          <w:szCs w:val="24"/>
          <w:lang w:val="fr-FR"/>
        </w:rPr>
        <w:t>Journal of Nuclear Medicine</w:t>
      </w:r>
      <w:r w:rsidR="000A7622" w:rsidRPr="00C04F25">
        <w:rPr>
          <w:rFonts w:cstheme="minorHAnsi"/>
          <w:sz w:val="24"/>
          <w:szCs w:val="24"/>
          <w:lang w:val="fr-FR"/>
        </w:rPr>
        <w:t xml:space="preserve">, Vol. </w:t>
      </w:r>
      <w:r w:rsidR="00876AFF">
        <w:rPr>
          <w:rFonts w:cstheme="minorHAnsi"/>
          <w:sz w:val="24"/>
          <w:szCs w:val="24"/>
          <w:lang w:val="fr-FR"/>
        </w:rPr>
        <w:t>53</w:t>
      </w:r>
      <w:r w:rsidR="000A7622" w:rsidRPr="00C04F25">
        <w:rPr>
          <w:rFonts w:cstheme="minorHAnsi"/>
          <w:sz w:val="24"/>
          <w:szCs w:val="24"/>
          <w:lang w:val="fr-FR"/>
        </w:rPr>
        <w:t xml:space="preserve">, No. </w:t>
      </w:r>
      <w:r w:rsidR="00876AFF">
        <w:rPr>
          <w:rFonts w:cstheme="minorHAnsi"/>
          <w:sz w:val="24"/>
          <w:szCs w:val="24"/>
          <w:lang w:val="fr-FR"/>
        </w:rPr>
        <w:t xml:space="preserve">12 </w:t>
      </w:r>
      <w:r w:rsidR="000A7622" w:rsidRPr="00C04F25">
        <w:rPr>
          <w:rFonts w:cstheme="minorHAnsi"/>
          <w:sz w:val="24"/>
          <w:szCs w:val="24"/>
          <w:lang w:val="fr-FR"/>
        </w:rPr>
        <w:t>(</w:t>
      </w:r>
      <w:r w:rsidR="00876AFF">
        <w:rPr>
          <w:rFonts w:cstheme="minorHAnsi"/>
          <w:sz w:val="24"/>
          <w:szCs w:val="24"/>
          <w:lang w:val="fr-FR"/>
        </w:rPr>
        <w:t>December 2012</w:t>
      </w:r>
      <w:r w:rsidR="000A7622" w:rsidRPr="00C04F25">
        <w:rPr>
          <w:rFonts w:cstheme="minorHAnsi"/>
          <w:sz w:val="24"/>
          <w:szCs w:val="24"/>
          <w:lang w:val="fr-FR"/>
        </w:rPr>
        <w:t xml:space="preserve">): </w:t>
      </w:r>
      <w:r w:rsidR="00876AFF">
        <w:rPr>
          <w:rFonts w:cstheme="minorHAnsi"/>
          <w:sz w:val="24"/>
          <w:szCs w:val="24"/>
          <w:lang w:val="fr-FR"/>
        </w:rPr>
        <w:t>1984</w:t>
      </w:r>
      <w:r w:rsidR="000A7622" w:rsidRPr="00C04F25">
        <w:rPr>
          <w:rFonts w:cstheme="minorHAnsi"/>
          <w:sz w:val="24"/>
          <w:szCs w:val="24"/>
          <w:lang w:val="fr-FR"/>
        </w:rPr>
        <w:t>-</w:t>
      </w:r>
      <w:r w:rsidR="00876AFF">
        <w:rPr>
          <w:rFonts w:cstheme="minorHAnsi"/>
          <w:sz w:val="24"/>
          <w:szCs w:val="24"/>
          <w:lang w:val="fr-FR"/>
        </w:rPr>
        <w:t>1991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A35BD">
        <w:rPr>
          <w:rFonts w:cstheme="minorHAnsi"/>
          <w:sz w:val="24"/>
          <w:szCs w:val="24"/>
        </w:rPr>
        <w:t xml:space="preserve">Society of Nuclear Medicine and Molecular </w:t>
      </w:r>
      <w:r w:rsidR="00A3228E">
        <w:rPr>
          <w:rFonts w:cstheme="minorHAnsi"/>
          <w:sz w:val="24"/>
          <w:szCs w:val="24"/>
        </w:rPr>
        <w:t xml:space="preserve">Imaging </w:t>
      </w:r>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A3228E" w:rsidRPr="00A3228E">
        <w:rPr>
          <w:rFonts w:cstheme="minorHAnsi"/>
          <w:sz w:val="24"/>
          <w:szCs w:val="24"/>
        </w:rPr>
        <w:t xml:space="preserve">Society of Nuclear Medicine and Molecular Imaging </w:t>
      </w:r>
      <w:r w:rsidR="000A7622" w:rsidRPr="00C04F25">
        <w:rPr>
          <w:rFonts w:cstheme="minorHAnsi"/>
          <w:sz w:val="24"/>
          <w:szCs w:val="24"/>
        </w:rPr>
        <w:t xml:space="preserve">does not grant permission for this article to be further copied/distributed or hosted elsewhere without the express permission from </w:t>
      </w:r>
      <w:r w:rsidR="00A3228E" w:rsidRPr="00A3228E">
        <w:rPr>
          <w:rFonts w:cstheme="minorHAnsi"/>
          <w:sz w:val="24"/>
          <w:szCs w:val="24"/>
        </w:rPr>
        <w:t>Society of Nuclear Medicine and Molecular Imaging</w:t>
      </w:r>
      <w:r w:rsidR="00A3228E">
        <w:rPr>
          <w:rFonts w:cstheme="minorHAnsi"/>
          <w:sz w:val="24"/>
          <w:szCs w:val="24"/>
        </w:rPr>
        <w:t>.</w:t>
      </w:r>
    </w:p>
    <w:bookmarkEnd w:id="1"/>
    <w:p w14:paraId="5BC0075B" w14:textId="019C894F" w:rsidR="000A7622" w:rsidRDefault="000A7622" w:rsidP="000A7622">
      <w:pPr>
        <w:rPr>
          <w:rFonts w:cstheme="minorHAnsi"/>
        </w:rPr>
      </w:pPr>
    </w:p>
    <w:p w14:paraId="13850C40" w14:textId="778ABEC2" w:rsidR="00C31312" w:rsidRDefault="00C31312" w:rsidP="00F83A21">
      <w:pPr>
        <w:pStyle w:val="Title"/>
      </w:pPr>
      <w:r w:rsidRPr="00C31312">
        <w:t xml:space="preserve">Differential Lung Uptake of </w:t>
      </w:r>
      <w:r w:rsidRPr="00F83A21">
        <w:rPr>
          <w:vertAlign w:val="superscript"/>
        </w:rPr>
        <w:t>99m</w:t>
      </w:r>
      <w:r w:rsidRPr="00C31312">
        <w:t xml:space="preserve">Tc-Hexamethylpropyleneamine Oxime and </w:t>
      </w:r>
      <w:r w:rsidRPr="00F83A21">
        <w:rPr>
          <w:vertAlign w:val="superscript"/>
        </w:rPr>
        <w:t>99m</w:t>
      </w:r>
      <w:r w:rsidRPr="00C31312">
        <w:t>Tc-Duramycin in the Chronic Hyperoxia Rat Model</w:t>
      </w:r>
    </w:p>
    <w:p w14:paraId="776B96AF" w14:textId="77777777" w:rsidR="00C23319" w:rsidRPr="00C23319" w:rsidRDefault="00C23319" w:rsidP="00C23319"/>
    <w:p w14:paraId="0E2C40AF" w14:textId="77777777" w:rsidR="00384EE8" w:rsidRPr="00384EE8" w:rsidRDefault="0029779C" w:rsidP="00384EE8">
      <w:pPr>
        <w:pStyle w:val="NoSpacing"/>
        <w:rPr>
          <w:sz w:val="32"/>
          <w:szCs w:val="32"/>
        </w:rPr>
      </w:pPr>
      <w:r w:rsidRPr="00384EE8">
        <w:rPr>
          <w:sz w:val="32"/>
          <w:szCs w:val="32"/>
        </w:rPr>
        <w:t>Anne V. Clough</w:t>
      </w:r>
    </w:p>
    <w:p w14:paraId="6E50187B" w14:textId="394B05DA" w:rsidR="00C23319" w:rsidRPr="00384EE8" w:rsidRDefault="00C23319" w:rsidP="00384EE8">
      <w:pPr>
        <w:pStyle w:val="NoSpacing"/>
        <w:rPr>
          <w:sz w:val="24"/>
          <w:szCs w:val="24"/>
        </w:rPr>
      </w:pPr>
      <w:r w:rsidRPr="00384EE8">
        <w:rPr>
          <w:sz w:val="24"/>
          <w:szCs w:val="24"/>
        </w:rPr>
        <w:t>Department of Mathematics, Statistics and Computer Science, Marquette University, Milwaukee, Wisconsin</w:t>
      </w:r>
    </w:p>
    <w:p w14:paraId="11C8240B" w14:textId="3AE03ECC" w:rsidR="00C23319" w:rsidRPr="00384EE8" w:rsidRDefault="00C23319" w:rsidP="00384EE8">
      <w:pPr>
        <w:pStyle w:val="NoSpacing"/>
        <w:rPr>
          <w:sz w:val="24"/>
          <w:szCs w:val="24"/>
        </w:rPr>
      </w:pPr>
      <w:r w:rsidRPr="00384EE8">
        <w:rPr>
          <w:sz w:val="24"/>
          <w:szCs w:val="24"/>
        </w:rPr>
        <w:t>Pulmonary and Critical Care Division, Department of Medicine, Medical College of Wisconsin, Milwaukee, Wisconsin</w:t>
      </w:r>
    </w:p>
    <w:p w14:paraId="120271E2" w14:textId="581EA443" w:rsidR="0029779C" w:rsidRPr="00384EE8" w:rsidRDefault="00C23319" w:rsidP="00384EE8">
      <w:pPr>
        <w:pStyle w:val="NoSpacing"/>
        <w:rPr>
          <w:sz w:val="24"/>
          <w:szCs w:val="24"/>
        </w:rPr>
      </w:pPr>
      <w:proofErr w:type="spellStart"/>
      <w:r w:rsidRPr="00384EE8">
        <w:rPr>
          <w:sz w:val="24"/>
          <w:szCs w:val="24"/>
        </w:rPr>
        <w:t>Zablocki</w:t>
      </w:r>
      <w:proofErr w:type="spellEnd"/>
      <w:r w:rsidRPr="00384EE8">
        <w:rPr>
          <w:sz w:val="24"/>
          <w:szCs w:val="24"/>
        </w:rPr>
        <w:t xml:space="preserve"> VA Medical Center, Milwaukee, Wisconsin</w:t>
      </w:r>
    </w:p>
    <w:p w14:paraId="45B466E2" w14:textId="77777777" w:rsidR="00384EE8" w:rsidRPr="00384EE8" w:rsidRDefault="0029779C" w:rsidP="00384EE8">
      <w:pPr>
        <w:pStyle w:val="NoSpacing"/>
        <w:rPr>
          <w:sz w:val="32"/>
          <w:szCs w:val="32"/>
        </w:rPr>
      </w:pPr>
      <w:r w:rsidRPr="00384EE8">
        <w:rPr>
          <w:sz w:val="32"/>
          <w:szCs w:val="32"/>
        </w:rPr>
        <w:t>Said H. Audi</w:t>
      </w:r>
    </w:p>
    <w:p w14:paraId="75FC0A1D" w14:textId="69B7A7FC" w:rsidR="00FF2ABC" w:rsidRPr="00384EE8" w:rsidRDefault="00FF2ABC" w:rsidP="00384EE8">
      <w:pPr>
        <w:pStyle w:val="NoSpacing"/>
        <w:rPr>
          <w:sz w:val="24"/>
          <w:szCs w:val="24"/>
        </w:rPr>
      </w:pPr>
      <w:r w:rsidRPr="00384EE8">
        <w:rPr>
          <w:sz w:val="24"/>
          <w:szCs w:val="24"/>
        </w:rPr>
        <w:t>Pulmonary and Critical Care Division, Department of Medicine, Medical College of Wisconsin, Milwaukee, Wisconsin</w:t>
      </w:r>
    </w:p>
    <w:p w14:paraId="611CE8FA" w14:textId="21362CBB" w:rsidR="00FF2ABC" w:rsidRPr="00384EE8" w:rsidRDefault="00FF2ABC" w:rsidP="00384EE8">
      <w:pPr>
        <w:pStyle w:val="NoSpacing"/>
        <w:rPr>
          <w:sz w:val="24"/>
          <w:szCs w:val="24"/>
        </w:rPr>
      </w:pPr>
      <w:proofErr w:type="spellStart"/>
      <w:r w:rsidRPr="00384EE8">
        <w:rPr>
          <w:sz w:val="24"/>
          <w:szCs w:val="24"/>
        </w:rPr>
        <w:t>Zablocki</w:t>
      </w:r>
      <w:proofErr w:type="spellEnd"/>
      <w:r w:rsidRPr="00384EE8">
        <w:rPr>
          <w:sz w:val="24"/>
          <w:szCs w:val="24"/>
        </w:rPr>
        <w:t xml:space="preserve"> VA Medical Center, Milwaukee, Wisconsin</w:t>
      </w:r>
    </w:p>
    <w:p w14:paraId="28D3CF70" w14:textId="1D2679AD" w:rsidR="0029779C" w:rsidRPr="00384EE8" w:rsidRDefault="00FF2ABC" w:rsidP="00384EE8">
      <w:pPr>
        <w:pStyle w:val="NoSpacing"/>
        <w:rPr>
          <w:sz w:val="24"/>
          <w:szCs w:val="24"/>
        </w:rPr>
      </w:pPr>
      <w:r w:rsidRPr="00384EE8">
        <w:rPr>
          <w:sz w:val="24"/>
          <w:szCs w:val="24"/>
        </w:rPr>
        <w:t>Department of Biomedical Engineering, Marquette University, Milwaukee, Wisconsin</w:t>
      </w:r>
    </w:p>
    <w:p w14:paraId="3B4CEB73" w14:textId="77777777" w:rsidR="00384EE8" w:rsidRPr="00384EE8" w:rsidRDefault="0029779C" w:rsidP="00384EE8">
      <w:pPr>
        <w:pStyle w:val="NoSpacing"/>
        <w:rPr>
          <w:sz w:val="32"/>
          <w:szCs w:val="32"/>
        </w:rPr>
      </w:pPr>
      <w:r w:rsidRPr="00384EE8">
        <w:rPr>
          <w:sz w:val="32"/>
          <w:szCs w:val="32"/>
        </w:rPr>
        <w:lastRenderedPageBreak/>
        <w:t>Steven T. Haworth</w:t>
      </w:r>
    </w:p>
    <w:p w14:paraId="09D165B8" w14:textId="2139A3C8" w:rsidR="00883AB0" w:rsidRPr="00384EE8" w:rsidRDefault="00883AB0" w:rsidP="00384EE8">
      <w:pPr>
        <w:pStyle w:val="NoSpacing"/>
        <w:rPr>
          <w:sz w:val="24"/>
          <w:szCs w:val="24"/>
        </w:rPr>
      </w:pPr>
      <w:r w:rsidRPr="00384EE8">
        <w:rPr>
          <w:sz w:val="24"/>
          <w:szCs w:val="24"/>
        </w:rPr>
        <w:t>Pulmonary and Critical Care Division, Department of Medicine, Medical College of Wisconsin, Milwaukee, Wisconsin</w:t>
      </w:r>
    </w:p>
    <w:p w14:paraId="36710E7E" w14:textId="2A43C38B" w:rsidR="0029779C" w:rsidRPr="00384EE8" w:rsidRDefault="00883AB0" w:rsidP="00384EE8">
      <w:pPr>
        <w:pStyle w:val="NoSpacing"/>
        <w:rPr>
          <w:sz w:val="24"/>
          <w:szCs w:val="24"/>
        </w:rPr>
      </w:pPr>
      <w:proofErr w:type="spellStart"/>
      <w:r w:rsidRPr="00384EE8">
        <w:rPr>
          <w:sz w:val="24"/>
          <w:szCs w:val="24"/>
        </w:rPr>
        <w:t>Zablocki</w:t>
      </w:r>
      <w:proofErr w:type="spellEnd"/>
      <w:r w:rsidRPr="00384EE8">
        <w:rPr>
          <w:sz w:val="24"/>
          <w:szCs w:val="24"/>
        </w:rPr>
        <w:t xml:space="preserve"> VA Medical Center, Milwaukee, Wisconsin</w:t>
      </w:r>
    </w:p>
    <w:p w14:paraId="7E79CD69" w14:textId="77777777" w:rsidR="00384EE8" w:rsidRPr="00384EE8" w:rsidRDefault="0029779C" w:rsidP="00384EE8">
      <w:pPr>
        <w:pStyle w:val="NoSpacing"/>
        <w:rPr>
          <w:sz w:val="32"/>
          <w:szCs w:val="32"/>
        </w:rPr>
      </w:pPr>
      <w:r w:rsidRPr="00384EE8">
        <w:rPr>
          <w:sz w:val="32"/>
          <w:szCs w:val="32"/>
        </w:rPr>
        <w:t xml:space="preserve">David L. </w:t>
      </w:r>
      <w:proofErr w:type="spellStart"/>
      <w:r w:rsidRPr="00384EE8">
        <w:rPr>
          <w:sz w:val="32"/>
          <w:szCs w:val="32"/>
        </w:rPr>
        <w:t>Roerig</w:t>
      </w:r>
      <w:proofErr w:type="spellEnd"/>
    </w:p>
    <w:p w14:paraId="306DB396" w14:textId="4B3D01C5" w:rsidR="003B5215" w:rsidRPr="00384EE8" w:rsidRDefault="003B5215" w:rsidP="00384EE8">
      <w:pPr>
        <w:pStyle w:val="NoSpacing"/>
        <w:rPr>
          <w:sz w:val="24"/>
          <w:szCs w:val="24"/>
        </w:rPr>
      </w:pPr>
      <w:proofErr w:type="spellStart"/>
      <w:r w:rsidRPr="00384EE8">
        <w:rPr>
          <w:sz w:val="24"/>
          <w:szCs w:val="24"/>
        </w:rPr>
        <w:t>Zablocki</w:t>
      </w:r>
      <w:proofErr w:type="spellEnd"/>
      <w:r w:rsidRPr="00384EE8">
        <w:rPr>
          <w:sz w:val="24"/>
          <w:szCs w:val="24"/>
        </w:rPr>
        <w:t xml:space="preserve"> VA Medical Center, Milwaukee, Wisconsin</w:t>
      </w:r>
    </w:p>
    <w:p w14:paraId="7B8F485F" w14:textId="50068A0D" w:rsidR="003B5215" w:rsidRPr="00384EE8" w:rsidRDefault="003B5215" w:rsidP="00384EE8">
      <w:pPr>
        <w:pStyle w:val="NoSpacing"/>
        <w:rPr>
          <w:sz w:val="24"/>
          <w:szCs w:val="24"/>
        </w:rPr>
      </w:pPr>
      <w:r w:rsidRPr="00384EE8">
        <w:rPr>
          <w:sz w:val="24"/>
          <w:szCs w:val="24"/>
        </w:rPr>
        <w:t>Department of Anesthesiology, Medical College of Wisconsin, Milwaukee, Wisconsin</w:t>
      </w:r>
    </w:p>
    <w:p w14:paraId="7233ADB1" w14:textId="42D85E45" w:rsidR="00C31312" w:rsidRPr="00C31312" w:rsidRDefault="00C31312" w:rsidP="00C31312">
      <w:pPr>
        <w:rPr>
          <w:rFonts w:cstheme="minorHAnsi"/>
        </w:rPr>
      </w:pPr>
    </w:p>
    <w:p w14:paraId="0E0264F9" w14:textId="77777777" w:rsidR="00C31312" w:rsidRPr="00C31312" w:rsidRDefault="00C31312" w:rsidP="00384EE8">
      <w:pPr>
        <w:pStyle w:val="Heading1"/>
      </w:pPr>
      <w:r w:rsidRPr="00C31312">
        <w:t>Abstract</w:t>
      </w:r>
    </w:p>
    <w:p w14:paraId="495F938A" w14:textId="77777777" w:rsidR="00C31312" w:rsidRPr="00C31312" w:rsidRDefault="00C31312" w:rsidP="00C31312">
      <w:pPr>
        <w:rPr>
          <w:rFonts w:cstheme="minorHAnsi"/>
          <w:vanish/>
        </w:rPr>
      </w:pPr>
      <w:r w:rsidRPr="00C31312">
        <w:rPr>
          <w:rFonts w:cstheme="minorHAnsi"/>
          <w:vanish/>
        </w:rPr>
        <w:t>Top of Form</w:t>
      </w:r>
    </w:p>
    <w:p w14:paraId="72ABE41B" w14:textId="77777777" w:rsidR="00C31312" w:rsidRPr="00C31312" w:rsidRDefault="00C31312" w:rsidP="00C31312">
      <w:pPr>
        <w:rPr>
          <w:rFonts w:cstheme="minorHAnsi"/>
          <w:vanish/>
        </w:rPr>
      </w:pPr>
      <w:r w:rsidRPr="00C31312">
        <w:rPr>
          <w:rFonts w:cstheme="minorHAnsi"/>
          <w:vanish/>
        </w:rPr>
        <w:t>Bottom of Form</w:t>
      </w:r>
    </w:p>
    <w:p w14:paraId="475ACAE2" w14:textId="2266D56B" w:rsidR="00C31312" w:rsidRPr="00C31312" w:rsidRDefault="00C31312" w:rsidP="00C31312">
      <w:pPr>
        <w:rPr>
          <w:rFonts w:cstheme="minorHAnsi"/>
        </w:rPr>
      </w:pPr>
      <w:r w:rsidRPr="00C31312">
        <w:rPr>
          <w:rFonts w:cstheme="minorHAnsi"/>
        </w:rPr>
        <w:t xml:space="preserve">Noninvasive radionuclide imaging has the potential to identify and assess mechanisms involved in particular stages of lung injury that occur with acute respiratory distress syndrome, for example. Lung uptake of </w:t>
      </w:r>
      <w:r w:rsidRPr="00AC35DD">
        <w:rPr>
          <w:rFonts w:cstheme="minorHAnsi"/>
          <w:vertAlign w:val="superscript"/>
        </w:rPr>
        <w:t>99m</w:t>
      </w:r>
      <w:r w:rsidRPr="00C31312">
        <w:rPr>
          <w:rFonts w:cstheme="minorHAnsi"/>
        </w:rPr>
        <w:t xml:space="preserve">Tc-hexamethylpropyleneamine oxime (HMPAO) is reported to be partially dependent on the redox status of the lung tissue whereas </w:t>
      </w:r>
      <w:r w:rsidRPr="00D76C05">
        <w:rPr>
          <w:rFonts w:cstheme="minorHAnsi"/>
          <w:vertAlign w:val="superscript"/>
        </w:rPr>
        <w:t>99m</w:t>
      </w:r>
      <w:r w:rsidRPr="00C31312">
        <w:rPr>
          <w:rFonts w:cstheme="minorHAnsi"/>
        </w:rPr>
        <w:t>Tc-duramycin, a new marker of cell injury, senses cell death via apoptosis or necrosis. Thus, we investigated changes in lung uptake of these agents in rats exposed to hyperoxia for prolonged periods, a common model of acute lung injury. Methods: Male Sprague-Dawley rats were preexposed to either normoxia (21% O</w:t>
      </w:r>
      <w:r w:rsidRPr="00D76C05">
        <w:rPr>
          <w:rFonts w:cstheme="minorHAnsi"/>
          <w:vertAlign w:val="subscript"/>
        </w:rPr>
        <w:t>2</w:t>
      </w:r>
      <w:r w:rsidRPr="00C31312">
        <w:rPr>
          <w:rFonts w:cstheme="minorHAnsi"/>
        </w:rPr>
        <w:t>) or hyperoxia (85% O</w:t>
      </w:r>
      <w:r w:rsidRPr="00D76C05">
        <w:rPr>
          <w:rFonts w:cstheme="minorHAnsi"/>
          <w:vertAlign w:val="subscript"/>
        </w:rPr>
        <w:t>2</w:t>
      </w:r>
      <w:r w:rsidRPr="00C31312">
        <w:rPr>
          <w:rFonts w:cstheme="minorHAnsi"/>
        </w:rPr>
        <w:t xml:space="preserve">) for up to 21 d. For imaging, the rats were anesthetized and injected intravenously with either </w:t>
      </w:r>
      <w:r w:rsidRPr="00EB36C0">
        <w:rPr>
          <w:rFonts w:cstheme="minorHAnsi"/>
          <w:vertAlign w:val="superscript"/>
        </w:rPr>
        <w:t>99m</w:t>
      </w:r>
      <w:r w:rsidRPr="00C31312">
        <w:rPr>
          <w:rFonts w:cstheme="minorHAnsi"/>
        </w:rPr>
        <w:t xml:space="preserve">Tc-HMPAO or </w:t>
      </w:r>
      <w:r w:rsidRPr="00EB36C0">
        <w:rPr>
          <w:rFonts w:cstheme="minorHAnsi"/>
          <w:vertAlign w:val="superscript"/>
        </w:rPr>
        <w:t>99m</w:t>
      </w:r>
      <w:r w:rsidRPr="00C31312">
        <w:rPr>
          <w:rFonts w:cstheme="minorHAnsi"/>
        </w:rPr>
        <w:t xml:space="preserve">Tc-duramycin (both 37-74 MBq), and planar images were acquired using a high-sensitivity modular γ-camera. Subsequently, </w:t>
      </w:r>
      <w:r w:rsidRPr="00FF6903">
        <w:rPr>
          <w:rFonts w:cstheme="minorHAnsi"/>
          <w:vertAlign w:val="superscript"/>
        </w:rPr>
        <w:t>99m</w:t>
      </w:r>
      <w:r w:rsidRPr="00C31312">
        <w:rPr>
          <w:rFonts w:cstheme="minorHAnsi"/>
        </w:rPr>
        <w:t xml:space="preserve">Tc-macroagreggated albumin (37 MBq, diameter 10-40 µm) was injected intravenously, imaged, and used to define a lung region of interest. The lung-to-background ratio was used as a measure of lung uptake. Results: Hyperoxia exposure resulted in a 74% increase in </w:t>
      </w:r>
      <w:r w:rsidRPr="00FF6903">
        <w:rPr>
          <w:rFonts w:cstheme="minorHAnsi"/>
          <w:vertAlign w:val="superscript"/>
        </w:rPr>
        <w:t>99m</w:t>
      </w:r>
      <w:r w:rsidRPr="00C31312">
        <w:rPr>
          <w:rFonts w:cstheme="minorHAnsi"/>
        </w:rPr>
        <w:t xml:space="preserve">Tc-HMPAO lung uptake, which peaked at 7 d and persisted for the 21 d of exposure. </w:t>
      </w:r>
      <w:r w:rsidRPr="00FF6903">
        <w:rPr>
          <w:rFonts w:cstheme="minorHAnsi"/>
          <w:vertAlign w:val="superscript"/>
        </w:rPr>
        <w:t>99m</w:t>
      </w:r>
      <w:r w:rsidRPr="00C31312">
        <w:rPr>
          <w:rFonts w:cstheme="minorHAnsi"/>
        </w:rPr>
        <w:t xml:space="preserve">Tc-duramycin lung uptake was also maximal at 7 d of exposure but decreased to near control levels by 21 d. The sustained elevation of </w:t>
      </w:r>
      <w:r w:rsidRPr="00FF6903">
        <w:rPr>
          <w:rFonts w:cstheme="minorHAnsi"/>
          <w:vertAlign w:val="superscript"/>
        </w:rPr>
        <w:t>99m</w:t>
      </w:r>
      <w:r w:rsidRPr="00C31312">
        <w:rPr>
          <w:rFonts w:cstheme="minorHAnsi"/>
        </w:rPr>
        <w:t xml:space="preserve">Tc-HMPAO uptake suggests ongoing changes in lung redox status whereas cell death appears to have subsided by 21 d. Conclusion: These results suggest the potential use of </w:t>
      </w:r>
      <w:r w:rsidRPr="00A44B58">
        <w:rPr>
          <w:rFonts w:cstheme="minorHAnsi"/>
          <w:vertAlign w:val="superscript"/>
        </w:rPr>
        <w:t>99m</w:t>
      </w:r>
      <w:r w:rsidRPr="00C31312">
        <w:rPr>
          <w:rFonts w:cstheme="minorHAnsi"/>
        </w:rPr>
        <w:t xml:space="preserve">Tc-HMPAO and </w:t>
      </w:r>
      <w:r w:rsidRPr="00A44B58">
        <w:rPr>
          <w:rFonts w:cstheme="minorHAnsi"/>
          <w:vertAlign w:val="superscript"/>
        </w:rPr>
        <w:t>99m</w:t>
      </w:r>
      <w:r w:rsidRPr="00C31312">
        <w:rPr>
          <w:rFonts w:cstheme="minorHAnsi"/>
        </w:rPr>
        <w:t xml:space="preserve">Tc-duramycin as redox and cell-death imaging biomarkers, respectively, for the in vivo identification and assessment of different stages of lung injury. </w:t>
      </w:r>
    </w:p>
    <w:p w14:paraId="526BEAFD" w14:textId="0025901D" w:rsidR="00384EE8" w:rsidRDefault="00C31312" w:rsidP="00384EE8">
      <w:pPr>
        <w:pStyle w:val="Heading1"/>
      </w:pPr>
      <w:r w:rsidRPr="00C31312">
        <w:t>Key Words</w:t>
      </w:r>
    </w:p>
    <w:p w14:paraId="65C79328" w14:textId="7983DAC0" w:rsidR="00C31312" w:rsidRPr="00C31312" w:rsidRDefault="00C31312" w:rsidP="00C31312">
      <w:pPr>
        <w:rPr>
          <w:rFonts w:cstheme="minorHAnsi"/>
        </w:rPr>
      </w:pPr>
      <w:r w:rsidRPr="00C31312">
        <w:rPr>
          <w:rFonts w:cstheme="minorHAnsi"/>
        </w:rPr>
        <w:t xml:space="preserve">acute lung injury; apoptosis; oxidative stress </w:t>
      </w:r>
    </w:p>
    <w:p w14:paraId="0CEB3856" w14:textId="77777777" w:rsidR="00384EE8" w:rsidRDefault="00384EE8" w:rsidP="00C31312">
      <w:pPr>
        <w:rPr>
          <w:rFonts w:cstheme="minorHAnsi"/>
        </w:rPr>
      </w:pPr>
    </w:p>
    <w:p w14:paraId="3A71294F" w14:textId="23B25ECA" w:rsidR="00C31312" w:rsidRPr="00C31312" w:rsidRDefault="00C31312" w:rsidP="00C31312">
      <w:pPr>
        <w:rPr>
          <w:rFonts w:cstheme="minorHAnsi"/>
        </w:rPr>
      </w:pPr>
      <w:r w:rsidRPr="00C31312">
        <w:rPr>
          <w:rFonts w:cstheme="minorHAnsi"/>
        </w:rPr>
        <w:t>An essential and lifesaving treatment for hypoxemia in patients with pneumonia or acute respiratory distress syndrome is supplemental O</w:t>
      </w:r>
      <w:r w:rsidRPr="001D4119">
        <w:rPr>
          <w:rFonts w:cstheme="minorHAnsi"/>
          <w:vertAlign w:val="subscript"/>
        </w:rPr>
        <w:t>2</w:t>
      </w:r>
      <w:r w:rsidRPr="00C31312">
        <w:rPr>
          <w:rFonts w:cstheme="minorHAnsi"/>
        </w:rPr>
        <w:t xml:space="preserve"> therapy. However, prolonged exposure to high concentrations of O</w:t>
      </w:r>
      <w:r w:rsidRPr="001D4119">
        <w:rPr>
          <w:rFonts w:cstheme="minorHAnsi"/>
          <w:vertAlign w:val="subscript"/>
        </w:rPr>
        <w:t>2</w:t>
      </w:r>
      <w:r w:rsidRPr="00C31312">
        <w:rPr>
          <w:rFonts w:cstheme="minorHAnsi"/>
        </w:rPr>
        <w:t xml:space="preserve"> can be toxic to the lungs (1-3). Although the mechanisms leading to pulmonary hyperoxic injury are not fully understood, there is ample evidence that the deleterious effects of high O</w:t>
      </w:r>
      <w:r w:rsidRPr="001D4119">
        <w:rPr>
          <w:rFonts w:cstheme="minorHAnsi"/>
          <w:vertAlign w:val="subscript"/>
        </w:rPr>
        <w:t>2</w:t>
      </w:r>
      <w:r w:rsidRPr="00C31312">
        <w:rPr>
          <w:rFonts w:cstheme="minorHAnsi"/>
        </w:rPr>
        <w:t xml:space="preserve"> are the result of increased reactive oxygen species formation, predominantly via mitochondrial pathways (3,4). </w:t>
      </w:r>
    </w:p>
    <w:p w14:paraId="224A982A" w14:textId="77777777" w:rsidR="00C31312" w:rsidRPr="00C31312" w:rsidRDefault="00C31312" w:rsidP="00C31312">
      <w:pPr>
        <w:rPr>
          <w:rFonts w:cstheme="minorHAnsi"/>
        </w:rPr>
      </w:pPr>
      <w:r w:rsidRPr="00C31312">
        <w:rPr>
          <w:rFonts w:cstheme="minorHAnsi"/>
        </w:rPr>
        <w:t>The chronic hyperoxia rat model of lung injury mimics key functional aspects of lung O</w:t>
      </w:r>
      <w:r w:rsidRPr="001D4119">
        <w:rPr>
          <w:rFonts w:cstheme="minorHAnsi"/>
          <w:vertAlign w:val="subscript"/>
        </w:rPr>
        <w:t>2</w:t>
      </w:r>
      <w:r w:rsidRPr="00C31312">
        <w:rPr>
          <w:rFonts w:cstheme="minorHAnsi"/>
        </w:rPr>
        <w:t xml:space="preserve"> toxicity observed clinically (1,2,5-7). It is a well-documented acute lung injury model, especially for studies of oxidant-induced lung injury (2,5,6,8,9). Studies by Crapo et al. provide a detailed description of histologic and morphometric changes in the lungs of rats exposed to 85% O</w:t>
      </w:r>
      <w:r w:rsidRPr="001D4119">
        <w:rPr>
          <w:rFonts w:cstheme="minorHAnsi"/>
          <w:vertAlign w:val="subscript"/>
        </w:rPr>
        <w:t>2</w:t>
      </w:r>
      <w:r w:rsidRPr="00C31312">
        <w:rPr>
          <w:rFonts w:cstheme="minorHAnsi"/>
        </w:rPr>
        <w:t xml:space="preserve"> for up to 14 d (6). For the first 72 h of exposure, signs of histologic or morphometric changes are undetectable. By 5 d, there is approximately a 30% loss in capillary endothelial cells and cell surface, infiltration of phagocytic leukocytes and other cell types, and an increase in the thickness of air-blood barrier. By 7 d, the lungs have lost half of the capillary endothelial cells, but pleural effusion and respiratory function impairment have substantially subsided. Capillary endothelial cells that survive 7 d </w:t>
      </w:r>
      <w:r w:rsidRPr="00C31312">
        <w:rPr>
          <w:rFonts w:cstheme="minorHAnsi"/>
        </w:rPr>
        <w:lastRenderedPageBreak/>
        <w:t>experience significant morphometric changes including hypertrophy, with substantially less loss of these hypertrophied endothelial cells occurring between 7 and 14 d of exposure (6). These studies suggest that there may be critical biochemical changes in these hypertrophied capillary endothelial cells and reveal that the pulmonary capillary endothelium is a primary target of lung O</w:t>
      </w:r>
      <w:r w:rsidRPr="001D4119">
        <w:rPr>
          <w:rFonts w:cstheme="minorHAnsi"/>
          <w:vertAlign w:val="subscript"/>
        </w:rPr>
        <w:t>2</w:t>
      </w:r>
      <w:r w:rsidRPr="00C31312">
        <w:rPr>
          <w:rFonts w:cstheme="minorHAnsi"/>
        </w:rPr>
        <w:t xml:space="preserve"> toxicity. </w:t>
      </w:r>
    </w:p>
    <w:p w14:paraId="22BC3C48" w14:textId="77777777" w:rsidR="00C31312" w:rsidRPr="00C31312" w:rsidRDefault="00C31312" w:rsidP="00C31312">
      <w:pPr>
        <w:rPr>
          <w:rFonts w:cstheme="minorHAnsi"/>
        </w:rPr>
      </w:pPr>
      <w:r w:rsidRPr="00C31312">
        <w:rPr>
          <w:rFonts w:cstheme="minorHAnsi"/>
        </w:rPr>
        <w:t>This sensitivity of the pulmonary capillary endothelium to oxidative stress, and its large surface area and close apposition to blood-borne indicators, have led us and others to develop a range of probes to evaluate the effect of chronic hyperoxia on pulmonary endothelial mitochondrial and cytosolic redox functions (3-5,8,10-12). The utility of these probes is that their pulmonary disposition, metabolism, or redox status is altered after injury or adaptation to hyperoxia (5,8,12). We have developed the use of redoxactive probes that are lipophilic and cell permeant in their reduced form but when oxidized to a less membrane-permeable form become trapped in the cells or sequestered in subcellular organelles (5,811). The disposition of these redox probes in the lungs is dependent on the redox state of lung tissue. The redox reactions may occur on either the cell surface or intracellularly, with an end result that the probe is delayed on its passage through the lung vasculature, sequestered in the lung, or both (5,8,10,11). Generally, these experiments have relied on inflow-outflow experiments in isolated perfused lungs using probes that are not suitable for whole-animal experiments and not available in radiolabeled forms suitable for scintigraphy or SPECT. Thus, the overall goal of the present study is to investigate the use of SPECT biomarker imaging in an animal model to detect and delineate particular stages of lung O</w:t>
      </w:r>
      <w:r w:rsidRPr="001D4119">
        <w:rPr>
          <w:rFonts w:cstheme="minorHAnsi"/>
          <w:vertAlign w:val="subscript"/>
        </w:rPr>
        <w:t>2</w:t>
      </w:r>
      <w:r w:rsidRPr="00C31312">
        <w:rPr>
          <w:rFonts w:cstheme="minorHAnsi"/>
        </w:rPr>
        <w:t xml:space="preserve"> toxicity injury as a model of human acute lung injury. </w:t>
      </w:r>
    </w:p>
    <w:p w14:paraId="2A615266" w14:textId="77777777" w:rsidR="00C31312" w:rsidRPr="00C31312" w:rsidRDefault="00C31312" w:rsidP="00C31312">
      <w:pPr>
        <w:rPr>
          <w:rFonts w:cstheme="minorHAnsi"/>
        </w:rPr>
      </w:pPr>
      <w:r w:rsidRPr="006F197C">
        <w:rPr>
          <w:rFonts w:cstheme="minorHAnsi"/>
          <w:vertAlign w:val="superscript"/>
        </w:rPr>
        <w:t>99m</w:t>
      </w:r>
      <w:r w:rsidRPr="00C31312">
        <w:rPr>
          <w:rFonts w:cstheme="minorHAnsi"/>
        </w:rPr>
        <w:t>Tc-hexamethylpropyleneamineoxime (</w:t>
      </w:r>
      <w:r w:rsidRPr="006F197C">
        <w:rPr>
          <w:rFonts w:cstheme="minorHAnsi"/>
          <w:vertAlign w:val="superscript"/>
        </w:rPr>
        <w:t>99m</w:t>
      </w:r>
      <w:r w:rsidRPr="00C31312">
        <w:rPr>
          <w:rFonts w:cstheme="minorHAnsi"/>
        </w:rPr>
        <w:t xml:space="preserve">Tc-HMPAO) is a cerebral blood-flow SPECTagent that crosses the blood- brain barrier and is trapped within the brain parenchyma (13). Clinical reports in patients with brain disorders, including psychiatric and movement disorders (13-17) and stroke (18,19), have shown that HMPAO uptake is highly influenced not only by perfusion but also by the nature of the lesion (20,21), suggesting its utility as a biomarker of cell type-specific metabolism. In addition, increases in </w:t>
      </w:r>
      <w:r w:rsidRPr="006F197C">
        <w:rPr>
          <w:rFonts w:cstheme="minorHAnsi"/>
          <w:vertAlign w:val="superscript"/>
        </w:rPr>
        <w:t>99m</w:t>
      </w:r>
      <w:r w:rsidRPr="00C31312">
        <w:rPr>
          <w:rFonts w:cstheme="minorHAnsi"/>
        </w:rPr>
        <w:t xml:space="preserve">Tc-HMPAO uptake in the lungs have been reported in subclinical lung injury due to chemotherapy (22), diffuse infiltrative lung disease (23), irradiation lung injury (24,25), and inhalation and smoking injuries (26-28) in humans. Of particular note is the observation that increases were observed in patients generally showing no abnormal opacity on chest radiographs or findings on pulmonary function tests (22,24,27). Thus, the development of an improved methodology for identifying early lung injury before evidence of structural changes or indirect measures would be an important tool for clinicians treating critically ill patients. </w:t>
      </w:r>
    </w:p>
    <w:p w14:paraId="72A2EE64" w14:textId="77777777" w:rsidR="00C31312" w:rsidRPr="00C31312" w:rsidRDefault="00C31312" w:rsidP="00C31312">
      <w:pPr>
        <w:rPr>
          <w:rFonts w:cstheme="minorHAnsi"/>
        </w:rPr>
      </w:pPr>
      <w:r w:rsidRPr="00C31312">
        <w:rPr>
          <w:rFonts w:cstheme="minorHAnsi"/>
        </w:rPr>
        <w:t xml:space="preserve">Duramycin is a 19-amino-acid peptide produced by Streptoverticillium cinnamoneus. When labeled with </w:t>
      </w:r>
      <w:r w:rsidRPr="006F197C">
        <w:rPr>
          <w:rFonts w:cstheme="minorHAnsi"/>
          <w:vertAlign w:val="superscript"/>
        </w:rPr>
        <w:t>99m</w:t>
      </w:r>
      <w:r w:rsidRPr="00C31312">
        <w:rPr>
          <w:rFonts w:cstheme="minorHAnsi"/>
        </w:rPr>
        <w:t xml:space="preserve">Tc, duramycin acts as a molecular probe for phosphatidylethanolamine, a constituent of the inner leaflet of the plasma membrane (29-31). Generally, phosphatidylethanolamine has little presence on the surface of viable cells, but it becomes exposed with apoptosis, because of the redistribution of phospholipids across the bilayer (29). Duramycin also becomes accessible to the intracellular milieu with necrosis, because of the compromised plasma membrane integrity (29,30). Zhao et al. originally developed </w:t>
      </w:r>
      <w:r w:rsidRPr="006F197C">
        <w:rPr>
          <w:rFonts w:cstheme="minorHAnsi"/>
          <w:vertAlign w:val="superscript"/>
        </w:rPr>
        <w:t>99m</w:t>
      </w:r>
      <w:r w:rsidRPr="00C31312">
        <w:rPr>
          <w:rFonts w:cstheme="minorHAnsi"/>
        </w:rPr>
        <w:t>Tc-duramycin as a biomarker for imaging acute cell death in myocardial ischemia/reperfusion injury (30). Rat exposure to 85% O</w:t>
      </w:r>
      <w:r w:rsidRPr="001D4119">
        <w:rPr>
          <w:rFonts w:cstheme="minorHAnsi"/>
          <w:vertAlign w:val="subscript"/>
        </w:rPr>
        <w:t>2</w:t>
      </w:r>
      <w:r w:rsidRPr="00C31312">
        <w:rPr>
          <w:rFonts w:cstheme="minorHAnsi"/>
        </w:rPr>
        <w:t xml:space="preserve"> has been reported to result in a significant loss of endothelial cells by 7 d via apoptosis or necrosis as measured by histology (6,32). Such a loss of endothelial cells is consistent with the significant decrease in lung angiotensin-converting enzyme activity, an index of perfused vascular surface area that we have measured in lungs of rats exposed to hyperoxia and used as a measure of change in perfused lung surface area (8). One goal of the present study was to examine the potential for the early detection of oxidative injury to the pulmonary endothelium using the apoptosis-necrosis biomarker </w:t>
      </w:r>
      <w:r w:rsidRPr="006F197C">
        <w:rPr>
          <w:rFonts w:cstheme="minorHAnsi"/>
          <w:vertAlign w:val="superscript"/>
        </w:rPr>
        <w:t>99m</w:t>
      </w:r>
      <w:r w:rsidRPr="00C31312">
        <w:rPr>
          <w:rFonts w:cstheme="minorHAnsi"/>
        </w:rPr>
        <w:t xml:space="preserve">Tc-duramycin. Thus, the aims of this study were to determine the lung uptake of </w:t>
      </w:r>
      <w:r w:rsidRPr="006F197C">
        <w:rPr>
          <w:rFonts w:cstheme="minorHAnsi"/>
          <w:vertAlign w:val="superscript"/>
        </w:rPr>
        <w:t>99m</w:t>
      </w:r>
      <w:r w:rsidRPr="00C31312">
        <w:rPr>
          <w:rFonts w:cstheme="minorHAnsi"/>
        </w:rPr>
        <w:t xml:space="preserve">Tc-HMPAO and </w:t>
      </w:r>
      <w:r w:rsidRPr="006F197C">
        <w:rPr>
          <w:rFonts w:cstheme="minorHAnsi"/>
          <w:vertAlign w:val="superscript"/>
        </w:rPr>
        <w:t>99m</w:t>
      </w:r>
      <w:r w:rsidRPr="00C31312">
        <w:rPr>
          <w:rFonts w:cstheme="minorHAnsi"/>
        </w:rPr>
        <w:t xml:space="preserve">Tc-duramycin in the chronic hyperoxia rat model and to evaluate their potential for the early detection of oxidative lung injury. </w:t>
      </w:r>
    </w:p>
    <w:p w14:paraId="6FA05C46" w14:textId="77777777" w:rsidR="00C31312" w:rsidRPr="00C31312" w:rsidRDefault="00C31312" w:rsidP="004D266D">
      <w:pPr>
        <w:pStyle w:val="Heading1"/>
      </w:pPr>
      <w:r w:rsidRPr="00C31312">
        <w:lastRenderedPageBreak/>
        <w:t xml:space="preserve">MATERIALS AND METHODS </w:t>
      </w:r>
    </w:p>
    <w:p w14:paraId="7600E3A2" w14:textId="77777777" w:rsidR="00C31312" w:rsidRPr="00C31312" w:rsidRDefault="00C31312" w:rsidP="004D266D">
      <w:pPr>
        <w:pStyle w:val="Heading2"/>
      </w:pPr>
      <w:r w:rsidRPr="00C31312">
        <w:t xml:space="preserve">Animals </w:t>
      </w:r>
    </w:p>
    <w:p w14:paraId="1B29C7F2" w14:textId="77777777" w:rsidR="00C31312" w:rsidRPr="00C31312" w:rsidRDefault="00C31312" w:rsidP="00C31312">
      <w:pPr>
        <w:rPr>
          <w:rFonts w:cstheme="minorHAnsi"/>
        </w:rPr>
      </w:pPr>
      <w:r w:rsidRPr="00C31312">
        <w:rPr>
          <w:rFonts w:cstheme="minorHAnsi"/>
        </w:rPr>
        <w:t>All procedures were approved by the Institutional Animal Care and Use Committees of the Zablocki Veterans Affairs Medical Center. For control animal studies, adult male Sprague- Dawley rats (Charles River Laboratories; n 5 14; mean body weight 6 SD, 361.8 6 25.4 g) were exposed to room air with free access to food and water. For the hyperoxic animal studies, weight-matched rats were housed in a sealed, temperature-controlled (22°C 6 2°C) acrylic chamber (33.0 . 58.3 . 30.5 cm) maintained at approximately 85% O</w:t>
      </w:r>
      <w:r w:rsidRPr="001D4119">
        <w:rPr>
          <w:rFonts w:cstheme="minorHAnsi"/>
          <w:vertAlign w:val="subscript"/>
        </w:rPr>
        <w:t>2</w:t>
      </w:r>
      <w:r w:rsidRPr="00C31312">
        <w:rPr>
          <w:rFonts w:cstheme="minorHAnsi"/>
        </w:rPr>
        <w:t>, with the balance N2; free access to food and water; and a 12-h light-dark cycle as previously described (5,8). Bedding, food, and water were changed every other day and the body weight recorded. The total gas flow was approximately 3.5 L/min, and the chamber CO</w:t>
      </w:r>
      <w:r w:rsidRPr="001D4119">
        <w:rPr>
          <w:rFonts w:cstheme="minorHAnsi"/>
          <w:vertAlign w:val="subscript"/>
        </w:rPr>
        <w:t>2</w:t>
      </w:r>
      <w:r w:rsidRPr="00C31312">
        <w:rPr>
          <w:rFonts w:cstheme="minorHAnsi"/>
        </w:rPr>
        <w:t xml:space="preserve"> was less than 0.5%. The animals were then studied after 2 (n 5 7), 4 (n 5 9), 7 (n 5 9), 14 (n 5 7), and 21 (n 5 10) days of hyperoxia exposure. </w:t>
      </w:r>
    </w:p>
    <w:p w14:paraId="2CE85FC3" w14:textId="77777777" w:rsidR="00C31312" w:rsidRPr="00C31312" w:rsidRDefault="00C31312" w:rsidP="004D266D">
      <w:pPr>
        <w:pStyle w:val="Heading2"/>
      </w:pPr>
      <w:r w:rsidRPr="00C31312">
        <w:t xml:space="preserve">Imaging </w:t>
      </w:r>
    </w:p>
    <w:p w14:paraId="69AE954D" w14:textId="77777777" w:rsidR="00C31312" w:rsidRPr="00C31312" w:rsidRDefault="00C31312" w:rsidP="00C31312">
      <w:pPr>
        <w:rPr>
          <w:rFonts w:cstheme="minorHAnsi"/>
        </w:rPr>
      </w:pPr>
      <w:r w:rsidRPr="00C31312">
        <w:rPr>
          <w:rFonts w:cstheme="minorHAnsi"/>
        </w:rPr>
        <w:t xml:space="preserve">Control normoxic rats and those exposed to chronic hyperoxia were imaged as described below. The rat was anesthetized (pentobarbital sodium [40-50 mg/kg] intraperitoneally), and the leftfemoral vein was exposed and cannulated with PE-10 tubing attached to an injection syringe containing saline plus heparin (25 units/mL). The rat was then placed supine on an acrylic plate (4 mm) positioned directly on the face of a parallel-hole collimator (hole diameter, 2 mm; depth, 2.54 cm [1 in]) attached to a modular miniaturized g-camera (Radiation Sensors, LLC) with list-mode electronics. Either </w:t>
      </w:r>
      <w:r w:rsidRPr="006F197C">
        <w:rPr>
          <w:rFonts w:cstheme="minorHAnsi"/>
          <w:vertAlign w:val="superscript"/>
        </w:rPr>
        <w:t>99m</w:t>
      </w:r>
      <w:r w:rsidRPr="00C31312">
        <w:rPr>
          <w:rFonts w:cstheme="minorHAnsi"/>
        </w:rPr>
        <w:t xml:space="preserve">Tc-HMPAO (Ceretec; GE Healthcare) or </w:t>
      </w:r>
      <w:r w:rsidRPr="006F197C">
        <w:rPr>
          <w:rFonts w:cstheme="minorHAnsi"/>
          <w:vertAlign w:val="superscript"/>
        </w:rPr>
        <w:t>99m</w:t>
      </w:r>
      <w:r w:rsidRPr="00C31312">
        <w:rPr>
          <w:rFonts w:cstheme="minorHAnsi"/>
        </w:rPr>
        <w:t xml:space="preserve">Tc-durmaycin (30) (37-74 MBq), prepared according to kit directions, was then injected via the cannula. The injected dose was calculated from the difference between the pre- and postinjection activity within the syringe using a dose calibrator. Dynamic planar images were acquired every second for the first minute and every minute thereafter for up to 1 h. </w:t>
      </w:r>
    </w:p>
    <w:p w14:paraId="69A2A687" w14:textId="77777777" w:rsidR="00C31312" w:rsidRPr="00C31312" w:rsidRDefault="00C31312" w:rsidP="00C31312">
      <w:pPr>
        <w:rPr>
          <w:rFonts w:cstheme="minorHAnsi"/>
        </w:rPr>
      </w:pPr>
      <w:r w:rsidRPr="00C31312">
        <w:rPr>
          <w:rFonts w:cstheme="minorHAnsi"/>
        </w:rPr>
        <w:t xml:space="preserve">Subsequently, without relocation of the animal, an injection of </w:t>
      </w:r>
      <w:r w:rsidRPr="006F197C">
        <w:rPr>
          <w:rFonts w:cstheme="minorHAnsi"/>
          <w:vertAlign w:val="superscript"/>
        </w:rPr>
        <w:t>99m</w:t>
      </w:r>
      <w:r w:rsidRPr="00C31312">
        <w:rPr>
          <w:rFonts w:cstheme="minorHAnsi"/>
        </w:rPr>
        <w:t>Tc-macroaggregated albumin (</w:t>
      </w:r>
      <w:r w:rsidRPr="006F197C">
        <w:rPr>
          <w:rFonts w:cstheme="minorHAnsi"/>
          <w:vertAlign w:val="superscript"/>
        </w:rPr>
        <w:t>99m</w:t>
      </w:r>
      <w:r w:rsidRPr="00C31312">
        <w:rPr>
          <w:rFonts w:cstheme="minorHAnsi"/>
        </w:rPr>
        <w:t xml:space="preserve">Tc-MAA) (18-37 MBq; particle size, 10-40 mm; Cardinal Health) was made via the same cannula. The 0.5-mL of </w:t>
      </w:r>
      <w:r w:rsidRPr="006F197C">
        <w:rPr>
          <w:rFonts w:cstheme="minorHAnsi"/>
          <w:vertAlign w:val="superscript"/>
        </w:rPr>
        <w:t>99m</w:t>
      </w:r>
      <w:r w:rsidRPr="00C31312">
        <w:rPr>
          <w:rFonts w:cstheme="minorHAnsi"/>
        </w:rPr>
        <w:t xml:space="preserve">Tc-MAA injectate consisted of 2.5 mg of aggregated human albumin, 5.0 mg of human albumin, 0.06 mg of stannous chloride, and 1.2 mg of sodium chloride. Ninety-five percent of the </w:t>
      </w:r>
      <w:r w:rsidRPr="006F197C">
        <w:rPr>
          <w:rFonts w:cstheme="minorHAnsi"/>
          <w:vertAlign w:val="superscript"/>
        </w:rPr>
        <w:t>99m</w:t>
      </w:r>
      <w:r w:rsidRPr="00C31312">
        <w:rPr>
          <w:rFonts w:cstheme="minorHAnsi"/>
        </w:rPr>
        <w:t xml:space="preserve">Tc was bound to the MAA. Images were then obtained at 1 frame per minute for 15 min. Because more than 95% of MAA lodges in the lungs in proportion to flow, </w:t>
      </w:r>
      <w:r w:rsidRPr="006F197C">
        <w:rPr>
          <w:rFonts w:cstheme="minorHAnsi"/>
          <w:vertAlign w:val="superscript"/>
        </w:rPr>
        <w:t>99m</w:t>
      </w:r>
      <w:r w:rsidRPr="00C31312">
        <w:rPr>
          <w:rFonts w:cstheme="minorHAnsi"/>
        </w:rPr>
        <w:t xml:space="preserve">Tc- MAA is used commonly as a pulmonary perfusion marker (33). However, in these studies, the purpose of the </w:t>
      </w:r>
      <w:r w:rsidRPr="006F197C">
        <w:rPr>
          <w:rFonts w:cstheme="minorHAnsi"/>
          <w:vertAlign w:val="superscript"/>
        </w:rPr>
        <w:t>99m</w:t>
      </w:r>
      <w:r w:rsidRPr="00C31312">
        <w:rPr>
          <w:rFonts w:cstheme="minorHAnsi"/>
        </w:rPr>
        <w:t xml:space="preserve">Tc-MAA injection was to provide rat thorax images in which the lung boundaries could be clearly identified in the planar images. After imaging, the animals were euthanized with an overdose of pentobarbital sodium. </w:t>
      </w:r>
    </w:p>
    <w:p w14:paraId="1FDB770A" w14:textId="77777777" w:rsidR="00C31312" w:rsidRPr="00C31312" w:rsidRDefault="00C31312" w:rsidP="00C31312">
      <w:pPr>
        <w:rPr>
          <w:rFonts w:cstheme="minorHAnsi"/>
        </w:rPr>
      </w:pPr>
      <w:r w:rsidRPr="00C31312">
        <w:rPr>
          <w:rFonts w:cstheme="minorHAnsi"/>
        </w:rPr>
        <w:t xml:space="preserve">To determine whether lung uptake of either biomarker is saturable within the amounts used in our study, 4 sequential injections of either </w:t>
      </w:r>
      <w:r w:rsidRPr="006F197C">
        <w:rPr>
          <w:rFonts w:cstheme="minorHAnsi"/>
          <w:vertAlign w:val="superscript"/>
        </w:rPr>
        <w:t>99m</w:t>
      </w:r>
      <w:r w:rsidRPr="00C31312">
        <w:rPr>
          <w:rFonts w:cstheme="minorHAnsi"/>
        </w:rPr>
        <w:t xml:space="preserve">Tc-HMPAO (;37 MBq/injection) or </w:t>
      </w:r>
      <w:r w:rsidRPr="006F197C">
        <w:rPr>
          <w:rFonts w:cstheme="minorHAnsi"/>
          <w:vertAlign w:val="superscript"/>
        </w:rPr>
        <w:t>99m</w:t>
      </w:r>
      <w:r w:rsidRPr="00C31312">
        <w:rPr>
          <w:rFonts w:cstheme="minorHAnsi"/>
        </w:rPr>
        <w:t xml:space="preserve">Tc-durmaycin (;15 MBq/injection) were administered to the same control animal and subsequently imaged for 3 min after each injection. </w:t>
      </w:r>
    </w:p>
    <w:p w14:paraId="417286FC" w14:textId="77777777" w:rsidR="00C31312" w:rsidRPr="00C31312" w:rsidRDefault="00C31312" w:rsidP="009A30C6">
      <w:pPr>
        <w:pStyle w:val="Heading2"/>
      </w:pPr>
      <w:r w:rsidRPr="00C31312">
        <w:t xml:space="preserve">Image Analysis </w:t>
      </w:r>
    </w:p>
    <w:p w14:paraId="61B14EE8" w14:textId="77777777" w:rsidR="00C31312" w:rsidRPr="00C31312" w:rsidRDefault="00C31312" w:rsidP="00C31312">
      <w:pPr>
        <w:rPr>
          <w:rFonts w:cstheme="minorHAnsi"/>
        </w:rPr>
      </w:pPr>
      <w:r w:rsidRPr="00C31312">
        <w:rPr>
          <w:rFonts w:cstheme="minorHAnsi"/>
        </w:rPr>
        <w:t xml:space="preserve">First, the boundaries of the lungs were manually outlined in the high-sensitivity </w:t>
      </w:r>
      <w:r w:rsidRPr="006F197C">
        <w:rPr>
          <w:rFonts w:cstheme="minorHAnsi"/>
          <w:vertAlign w:val="superscript"/>
        </w:rPr>
        <w:t>99m</w:t>
      </w:r>
      <w:r w:rsidRPr="00C31312">
        <w:rPr>
          <w:rFonts w:cstheme="minorHAnsi"/>
        </w:rPr>
        <w:t xml:space="preserve">Tc-MAA images to determine a preliminary lung region of interest (ROI). Then, because HMPAO is taken up substantially by both the liver and the lungs, the lung ROI was truncated by drawing a horizontal boundary at the widest portion of the lung resulting in a lung ROI free of any liver contribution. This </w:t>
      </w:r>
      <w:r w:rsidRPr="006F197C">
        <w:rPr>
          <w:rFonts w:cstheme="minorHAnsi"/>
          <w:vertAlign w:val="superscript"/>
        </w:rPr>
        <w:t>99m</w:t>
      </w:r>
      <w:r w:rsidRPr="00C31312">
        <w:rPr>
          <w:rFonts w:cstheme="minorHAnsi"/>
        </w:rPr>
        <w:t>Tc-MAA lung ROI mask was then superimposed on the time sequence of biomarker (</w:t>
      </w:r>
      <w:r w:rsidRPr="006F197C">
        <w:rPr>
          <w:rFonts w:cstheme="minorHAnsi"/>
          <w:vertAlign w:val="superscript"/>
        </w:rPr>
        <w:t>99m</w:t>
      </w:r>
      <w:r w:rsidRPr="00C31312">
        <w:rPr>
          <w:rFonts w:cstheme="minorHAnsi"/>
        </w:rPr>
        <w:t xml:space="preserve">Tc-HMPAO or </w:t>
      </w:r>
      <w:r w:rsidRPr="006F197C">
        <w:rPr>
          <w:rFonts w:cstheme="minorHAnsi"/>
          <w:vertAlign w:val="superscript"/>
        </w:rPr>
        <w:t>99m</w:t>
      </w:r>
      <w:r w:rsidRPr="00C31312">
        <w:rPr>
          <w:rFonts w:cstheme="minorHAnsi"/>
        </w:rPr>
        <w:t xml:space="preserve">Tc-durmaycin) images, yielding lung biomarker ROIs. The resulting mean intraoperator variability in lung uptake measurements was 5.6%, using 4 repeated measurements on 5 different image sets. No registration was required because the animal was maintained in the same location for both the biomarker and the </w:t>
      </w:r>
      <w:r w:rsidRPr="006F197C">
        <w:rPr>
          <w:rFonts w:cstheme="minorHAnsi"/>
          <w:vertAlign w:val="superscript"/>
        </w:rPr>
        <w:t>99m</w:t>
      </w:r>
      <w:r w:rsidRPr="00C31312">
        <w:rPr>
          <w:rFonts w:cstheme="minorHAnsi"/>
        </w:rPr>
        <w:t xml:space="preserve">Tc-MAA imaging procedures. Background regions in the </w:t>
      </w:r>
      <w:r w:rsidRPr="00C31312">
        <w:rPr>
          <w:rFonts w:cstheme="minorHAnsi"/>
        </w:rPr>
        <w:lastRenderedPageBreak/>
        <w:t xml:space="preserve">upper forelimbs were also identified in the biomarker images to provide a normalization factor. Time-activity curves depicting mean counts per second per pixel per injected dose within the lung and forelimb-background ROIs were then acquired from the time sequence of biomarker images. The ratio of the lung and background ROI curves at each time point was calculated, and the average value over the 10- to 15-min postinjection time interval was used as the measure of lung tissue uptake for each rat (16). </w:t>
      </w:r>
    </w:p>
    <w:p w14:paraId="6A2D008E" w14:textId="77777777" w:rsidR="00C31312" w:rsidRPr="00C31312" w:rsidRDefault="00C31312" w:rsidP="00C31312">
      <w:pPr>
        <w:rPr>
          <w:rFonts w:cstheme="minorHAnsi"/>
        </w:rPr>
      </w:pPr>
      <w:r w:rsidRPr="00C31312">
        <w:rPr>
          <w:rFonts w:cstheme="minorHAnsi"/>
        </w:rPr>
        <w:t xml:space="preserve">The advantage of the in vivo planar imaging approach used in this study is that the equipment required is now readily available and affordable, and the experimental methods and analysis are straightforward and provide highly sensitive data. Moreover, the use of a subsequent injection of </w:t>
      </w:r>
      <w:r w:rsidRPr="006F197C">
        <w:rPr>
          <w:rFonts w:cstheme="minorHAnsi"/>
          <w:vertAlign w:val="superscript"/>
        </w:rPr>
        <w:t>99m</w:t>
      </w:r>
      <w:r w:rsidRPr="00C31312">
        <w:rPr>
          <w:rFonts w:cstheme="minorHAnsi"/>
        </w:rPr>
        <w:t xml:space="preserve">Tc-MAA to determine the lung boundaries, rather than the use of dual-modality imaging, is an efficient and effective approach that greatly reduces the amount of postprocessing required. The use of </w:t>
      </w:r>
      <w:r w:rsidRPr="006F197C">
        <w:rPr>
          <w:rFonts w:cstheme="minorHAnsi"/>
          <w:vertAlign w:val="superscript"/>
        </w:rPr>
        <w:t>99m</w:t>
      </w:r>
      <w:r w:rsidRPr="00C31312">
        <w:rPr>
          <w:rFonts w:cstheme="minorHAnsi"/>
        </w:rPr>
        <w:t xml:space="preserve">Tc-MAA also provides a unique means of studying regional pulmonary perfusion in models in which blood flow may be altered because of injury or disease. Finally, we acquired planar images throughout the time course of the dynamics of </w:t>
      </w:r>
      <w:r w:rsidRPr="006F197C">
        <w:rPr>
          <w:rFonts w:cstheme="minorHAnsi"/>
          <w:vertAlign w:val="superscript"/>
        </w:rPr>
        <w:t>99m</w:t>
      </w:r>
      <w:r w:rsidRPr="00C31312">
        <w:rPr>
          <w:rFonts w:cstheme="minorHAnsi"/>
        </w:rPr>
        <w:t xml:space="preserve">Tc-HMPAO and </w:t>
      </w:r>
      <w:r w:rsidRPr="006F197C">
        <w:rPr>
          <w:rFonts w:cstheme="minorHAnsi"/>
          <w:vertAlign w:val="superscript"/>
        </w:rPr>
        <w:t>99m</w:t>
      </w:r>
      <w:r w:rsidRPr="00C31312">
        <w:rPr>
          <w:rFonts w:cstheme="minorHAnsi"/>
        </w:rPr>
        <w:t xml:space="preserve">Tcduramycin lung uptake. Although only the steady-state values of the time-activity curves are reported here, in future studies the complete curve in conjunction with a pharmacokinetic model will be used to further investigate mechanisms involved in hyperoxic lung injury. </w:t>
      </w:r>
    </w:p>
    <w:p w14:paraId="5B7B4577" w14:textId="77777777" w:rsidR="00C31312" w:rsidRPr="00C31312" w:rsidRDefault="00C31312" w:rsidP="009A30C6">
      <w:pPr>
        <w:pStyle w:val="Heading1"/>
      </w:pPr>
      <w:r w:rsidRPr="00C31312">
        <w:t xml:space="preserve">RESULTS </w:t>
      </w:r>
    </w:p>
    <w:p w14:paraId="2324C611" w14:textId="77777777" w:rsidR="00C31312" w:rsidRDefault="00C31312" w:rsidP="00C31312">
      <w:pPr>
        <w:rPr>
          <w:rFonts w:cstheme="minorHAnsi"/>
        </w:rPr>
      </w:pPr>
      <w:r w:rsidRPr="00C31312">
        <w:rPr>
          <w:rFonts w:cstheme="minorHAnsi"/>
        </w:rPr>
        <w:t>Figure 1 shows the mean of rat body weights at the time of imaging as a percentage of preexposure body weight. Weight loss was greatest at 7 d of exposure to 85% O</w:t>
      </w:r>
      <w:r w:rsidRPr="001D4119">
        <w:rPr>
          <w:rFonts w:cstheme="minorHAnsi"/>
          <w:vertAlign w:val="subscript"/>
        </w:rPr>
        <w:t>2</w:t>
      </w:r>
      <w:r w:rsidRPr="00C31312">
        <w:rPr>
          <w:rFonts w:cstheme="minorHAnsi"/>
        </w:rPr>
        <w:t xml:space="preserve">, after which the animals began to gain weight. At 21 d of exposure, body weight was significantly higher than at 7 d. </w:t>
      </w:r>
    </w:p>
    <w:p w14:paraId="19D5BFB9" w14:textId="74A1979C" w:rsidR="00864941" w:rsidRDefault="00864941" w:rsidP="00697773">
      <w:pPr>
        <w:pStyle w:val="NoSpacing"/>
      </w:pPr>
      <w:r w:rsidRPr="00864941">
        <w:rPr>
          <w:noProof/>
        </w:rPr>
        <w:drawing>
          <wp:inline distT="0" distB="0" distL="0" distR="0" wp14:anchorId="08039F40" wp14:editId="19D08A98">
            <wp:extent cx="2743200" cy="2212848"/>
            <wp:effectExtent l="0" t="0" r="0" b="0"/>
            <wp:docPr id="1" name="Pictur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212848"/>
                    </a:xfrm>
                    <a:prstGeom prst="rect">
                      <a:avLst/>
                    </a:prstGeom>
                    <a:noFill/>
                    <a:ln>
                      <a:noFill/>
                    </a:ln>
                  </pic:spPr>
                </pic:pic>
              </a:graphicData>
            </a:graphic>
          </wp:inline>
        </w:drawing>
      </w:r>
    </w:p>
    <w:p w14:paraId="3B638D8B" w14:textId="597218B5" w:rsidR="00EA5E84" w:rsidRDefault="00EA5E84" w:rsidP="00697773">
      <w:pPr>
        <w:pStyle w:val="NoSpacing"/>
      </w:pPr>
      <w:r w:rsidRPr="00EA5E84">
        <w:t xml:space="preserve">FIGURE 1. Rat body weight at time of imaging study as percentage of preexposure body weight. Values are mean </w:t>
      </w:r>
      <w:r w:rsidR="00A66B31">
        <w:t xml:space="preserve">± </w:t>
      </w:r>
      <w:r w:rsidRPr="00EA5E84">
        <w:t xml:space="preserve">SE *Significantly different from control (normoxia), P </w:t>
      </w:r>
      <w:r w:rsidR="00591853">
        <w:t>&lt;</w:t>
      </w:r>
      <w:r w:rsidRPr="00EA5E84">
        <w:t xml:space="preserve"> 0.05. </w:t>
      </w:r>
      <w:r w:rsidRPr="00591853">
        <w:rPr>
          <w:vertAlign w:val="superscript"/>
        </w:rPr>
        <w:t>†</w:t>
      </w:r>
      <w:r w:rsidRPr="00EA5E84">
        <w:t xml:space="preserve">Significantly different from 7 d, P </w:t>
      </w:r>
      <w:r w:rsidR="00591853">
        <w:t>&lt;</w:t>
      </w:r>
      <w:r w:rsidRPr="00EA5E84">
        <w:t xml:space="preserve"> 0.05.</w:t>
      </w:r>
    </w:p>
    <w:p w14:paraId="6E600C54" w14:textId="77777777" w:rsidR="00697773" w:rsidRPr="00C31312" w:rsidRDefault="00697773" w:rsidP="00C31312">
      <w:pPr>
        <w:rPr>
          <w:rFonts w:cstheme="minorHAnsi"/>
        </w:rPr>
      </w:pPr>
    </w:p>
    <w:p w14:paraId="54CF39DD" w14:textId="77777777" w:rsidR="00C31312" w:rsidRDefault="00C31312" w:rsidP="00C31312">
      <w:pPr>
        <w:rPr>
          <w:rFonts w:cstheme="minorHAnsi"/>
        </w:rPr>
      </w:pPr>
      <w:r w:rsidRPr="00C31312">
        <w:rPr>
          <w:rFonts w:cstheme="minorHAnsi"/>
        </w:rPr>
        <w:t xml:space="preserve">A typical planar image of </w:t>
      </w:r>
      <w:r w:rsidRPr="006F197C">
        <w:rPr>
          <w:rFonts w:cstheme="minorHAnsi"/>
          <w:vertAlign w:val="superscript"/>
        </w:rPr>
        <w:t>99m</w:t>
      </w:r>
      <w:r w:rsidRPr="00C31312">
        <w:rPr>
          <w:rFonts w:cstheme="minorHAnsi"/>
        </w:rPr>
        <w:t xml:space="preserve">Tc-HMPAO distribution acquired 10 min after injection is shown in Figure 2A. Figure 2B is an image from the same animal after the </w:t>
      </w:r>
      <w:r w:rsidRPr="006F197C">
        <w:rPr>
          <w:rFonts w:cstheme="minorHAnsi"/>
          <w:vertAlign w:val="superscript"/>
        </w:rPr>
        <w:t>99m</w:t>
      </w:r>
      <w:r w:rsidRPr="00C31312">
        <w:rPr>
          <w:rFonts w:cstheme="minorHAnsi"/>
        </w:rPr>
        <w:t xml:space="preserve">Tc-MAA injection, where lung activity is sufficiently high for reliable identification of the lung boundaries. As described above, the lung ROI from the MAA image was superimposed on the corresponding </w:t>
      </w:r>
      <w:r w:rsidRPr="006F197C">
        <w:rPr>
          <w:rFonts w:cstheme="minorHAnsi"/>
          <w:vertAlign w:val="superscript"/>
        </w:rPr>
        <w:t>99m</w:t>
      </w:r>
      <w:r w:rsidRPr="00C31312">
        <w:rPr>
          <w:rFonts w:cstheme="minorHAnsi"/>
        </w:rPr>
        <w:t xml:space="preserve">Tc-HMPAO image, background ROIs and lung-only ROIs were drawn, and mean background and lung activity were determined. </w:t>
      </w:r>
    </w:p>
    <w:p w14:paraId="2C776CD4" w14:textId="750C44AF" w:rsidR="008C2838" w:rsidRDefault="008C2838" w:rsidP="00697773">
      <w:pPr>
        <w:pStyle w:val="NoSpacing"/>
      </w:pPr>
      <w:r w:rsidRPr="008C2838">
        <w:rPr>
          <w:noProof/>
        </w:rPr>
        <w:lastRenderedPageBreak/>
        <w:drawing>
          <wp:inline distT="0" distB="0" distL="0" distR="0" wp14:anchorId="20BA71EC" wp14:editId="5F3E11EB">
            <wp:extent cx="2743200" cy="2203704"/>
            <wp:effectExtent l="0" t="0" r="0" b="6350"/>
            <wp:docPr id="2" name="Picture 2"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203704"/>
                    </a:xfrm>
                    <a:prstGeom prst="rect">
                      <a:avLst/>
                    </a:prstGeom>
                    <a:noFill/>
                    <a:ln>
                      <a:noFill/>
                    </a:ln>
                  </pic:spPr>
                </pic:pic>
              </a:graphicData>
            </a:graphic>
          </wp:inline>
        </w:drawing>
      </w:r>
    </w:p>
    <w:p w14:paraId="1453B134" w14:textId="08D9250A" w:rsidR="008C2838" w:rsidRDefault="00ED2596" w:rsidP="00697773">
      <w:pPr>
        <w:pStyle w:val="NoSpacing"/>
      </w:pPr>
      <w:r w:rsidRPr="00ED2596">
        <w:t xml:space="preserve">FIGURE 2. Planar images of </w:t>
      </w:r>
      <w:r w:rsidRPr="00C452EF">
        <w:rPr>
          <w:vertAlign w:val="superscript"/>
        </w:rPr>
        <w:t>99m</w:t>
      </w:r>
      <w:r w:rsidRPr="00ED2596">
        <w:t xml:space="preserve">Tc-HMPAO (A) and </w:t>
      </w:r>
      <w:r w:rsidRPr="00C452EF">
        <w:rPr>
          <w:vertAlign w:val="superscript"/>
        </w:rPr>
        <w:t>99m</w:t>
      </w:r>
      <w:r w:rsidRPr="00ED2596">
        <w:t xml:space="preserve">Tc-MAA (B) distribution in control rat. Lung ROI is determined in </w:t>
      </w:r>
      <w:r w:rsidRPr="00C452EF">
        <w:rPr>
          <w:vertAlign w:val="superscript"/>
        </w:rPr>
        <w:t>99m</w:t>
      </w:r>
      <w:r w:rsidRPr="00ED2596">
        <w:t xml:space="preserve">Tc-MAA image and used to identify lung ROI in HMPAO image. Background regions are identified for subsequent calculation of lung-to-background ratio. Lung region above horizontal boundary of ROI is free of any liver contribution. Color indicates counts/s/pixel/MBq injected. BG </w:t>
      </w:r>
      <w:r w:rsidR="00C452EF">
        <w:t>=</w:t>
      </w:r>
      <w:r w:rsidRPr="00ED2596">
        <w:t xml:space="preserve"> background.</w:t>
      </w:r>
    </w:p>
    <w:p w14:paraId="6B5BA11E" w14:textId="77777777" w:rsidR="00697773" w:rsidRPr="00C31312" w:rsidRDefault="00697773" w:rsidP="00C31312">
      <w:pPr>
        <w:rPr>
          <w:rFonts w:cstheme="minorHAnsi"/>
        </w:rPr>
      </w:pPr>
    </w:p>
    <w:p w14:paraId="07156A9A" w14:textId="0D0D7589" w:rsidR="00ED2596" w:rsidRDefault="00C31312" w:rsidP="00C31312">
      <w:pPr>
        <w:rPr>
          <w:rFonts w:cstheme="minorHAnsi"/>
        </w:rPr>
      </w:pPr>
      <w:r w:rsidRPr="00C31312">
        <w:rPr>
          <w:rFonts w:cstheme="minorHAnsi"/>
        </w:rPr>
        <w:t xml:space="preserve">The time sequence of images acquired during repeated injections of either </w:t>
      </w:r>
      <w:r w:rsidRPr="006F197C">
        <w:rPr>
          <w:rFonts w:cstheme="minorHAnsi"/>
          <w:vertAlign w:val="superscript"/>
        </w:rPr>
        <w:t>99m</w:t>
      </w:r>
      <w:r w:rsidRPr="00C31312">
        <w:rPr>
          <w:rFonts w:cstheme="minorHAnsi"/>
        </w:rPr>
        <w:t xml:space="preserve">Tc-HMPAO or </w:t>
      </w:r>
      <w:r w:rsidRPr="006F197C">
        <w:rPr>
          <w:rFonts w:cstheme="minorHAnsi"/>
          <w:vertAlign w:val="superscript"/>
        </w:rPr>
        <w:t>99m</w:t>
      </w:r>
      <w:r w:rsidRPr="00C31312">
        <w:rPr>
          <w:rFonts w:cstheme="minorHAnsi"/>
        </w:rPr>
        <w:t xml:space="preserve">Tc-duramycin was analyzed by positioning ROIs over the upper lung and forelimb background regions and computing the difference between the mean lung and background signal at the end of each 3-min acquisition. Lung minus background activity of both </w:t>
      </w:r>
      <w:r w:rsidRPr="006F197C">
        <w:rPr>
          <w:rFonts w:cstheme="minorHAnsi"/>
          <w:vertAlign w:val="superscript"/>
        </w:rPr>
        <w:t>99m</w:t>
      </w:r>
      <w:r w:rsidRPr="00C31312">
        <w:rPr>
          <w:rFonts w:cstheme="minorHAnsi"/>
        </w:rPr>
        <w:t xml:space="preserve">Tc-HMPAO and </w:t>
      </w:r>
      <w:r w:rsidRPr="006F197C">
        <w:rPr>
          <w:rFonts w:cstheme="minorHAnsi"/>
          <w:vertAlign w:val="superscript"/>
        </w:rPr>
        <w:t>99m</w:t>
      </w:r>
      <w:r w:rsidRPr="00C31312">
        <w:rPr>
          <w:rFonts w:cstheme="minorHAnsi"/>
        </w:rPr>
        <w:t xml:space="preserve">Tc-duramycin increased linearly after repeated injections in a control rat (Fig. 3). This linear response indicates that lung uptake of either agent is not saturating and also that incoming photons are not saturating the detection camera or electronics. The linearity is consistent with the lung-to-background ratio being a constant value independent of dose, so that differences in administered </w:t>
      </w:r>
      <w:r w:rsidRPr="006F197C">
        <w:rPr>
          <w:rFonts w:cstheme="minorHAnsi"/>
          <w:vertAlign w:val="superscript"/>
        </w:rPr>
        <w:t>99m</w:t>
      </w:r>
      <w:r w:rsidRPr="00C31312">
        <w:rPr>
          <w:rFonts w:cstheme="minorHAnsi"/>
        </w:rPr>
        <w:t xml:space="preserve">Tc-HMPAO or </w:t>
      </w:r>
      <w:r w:rsidRPr="006F197C">
        <w:rPr>
          <w:rFonts w:cstheme="minorHAnsi"/>
          <w:vertAlign w:val="superscript"/>
        </w:rPr>
        <w:t>99m</w:t>
      </w:r>
      <w:r w:rsidRPr="00C31312">
        <w:rPr>
          <w:rFonts w:cstheme="minorHAnsi"/>
        </w:rPr>
        <w:t xml:space="preserve">Tc-duramycin dose between animals should have no significant effect on the lung-to-background measure of uptake. Lack of saturation with each biomarker within the dose range studied is important for future experiments in which it will be possible to increase the activity of each injection if necessary for adequate sensitivity and count statistics and suggests that when investigating acute responses to lung manipulations, an individual rat may serve as its own control with repeated injections. Furthermore, the protocol could be modified to include an initial injection of </w:t>
      </w:r>
      <w:r w:rsidRPr="006F197C">
        <w:rPr>
          <w:rFonts w:cstheme="minorHAnsi"/>
          <w:vertAlign w:val="superscript"/>
        </w:rPr>
        <w:t>99m</w:t>
      </w:r>
      <w:r w:rsidRPr="00C31312">
        <w:rPr>
          <w:rFonts w:cstheme="minorHAnsi"/>
        </w:rPr>
        <w:t xml:space="preserve">Tc-HMPAO, followed by a subsequent injection of </w:t>
      </w:r>
      <w:r w:rsidRPr="006F197C">
        <w:rPr>
          <w:rFonts w:cstheme="minorHAnsi"/>
          <w:vertAlign w:val="superscript"/>
        </w:rPr>
        <w:t>99m</w:t>
      </w:r>
      <w:r w:rsidRPr="00C31312">
        <w:rPr>
          <w:rFonts w:cstheme="minorHAnsi"/>
        </w:rPr>
        <w:t xml:space="preserve">Tc-duramycin after waiting a sufficient amount of time for </w:t>
      </w:r>
      <w:r w:rsidRPr="006F197C">
        <w:rPr>
          <w:rFonts w:cstheme="minorHAnsi"/>
          <w:vertAlign w:val="superscript"/>
        </w:rPr>
        <w:t>99m</w:t>
      </w:r>
      <w:r w:rsidRPr="00C31312">
        <w:rPr>
          <w:rFonts w:cstheme="minorHAnsi"/>
        </w:rPr>
        <w:t xml:space="preserve">Tc-HMPAO in the lung to reach steady state (;15 min). </w:t>
      </w:r>
    </w:p>
    <w:p w14:paraId="39572153" w14:textId="7FBB359C" w:rsidR="00ED2596" w:rsidRDefault="00ED2596" w:rsidP="00697773">
      <w:pPr>
        <w:pStyle w:val="NoSpacing"/>
      </w:pPr>
      <w:r w:rsidRPr="00ED2596">
        <w:rPr>
          <w:noProof/>
        </w:rPr>
        <w:drawing>
          <wp:inline distT="0" distB="0" distL="0" distR="0" wp14:anchorId="112AE5DF" wp14:editId="6A8FB999">
            <wp:extent cx="2743200" cy="1508760"/>
            <wp:effectExtent l="0" t="0" r="0" b="0"/>
            <wp:docPr id="3" name="Picture 3"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508760"/>
                    </a:xfrm>
                    <a:prstGeom prst="rect">
                      <a:avLst/>
                    </a:prstGeom>
                    <a:noFill/>
                    <a:ln>
                      <a:noFill/>
                    </a:ln>
                  </pic:spPr>
                </pic:pic>
              </a:graphicData>
            </a:graphic>
          </wp:inline>
        </w:drawing>
      </w:r>
    </w:p>
    <w:p w14:paraId="5F01A2C6" w14:textId="2DAB340A" w:rsidR="00ED2596" w:rsidRDefault="00753989" w:rsidP="00697773">
      <w:pPr>
        <w:pStyle w:val="NoSpacing"/>
      </w:pPr>
      <w:r w:rsidRPr="00753989">
        <w:t xml:space="preserve">FIGURE 3. Lung (corrected for background) activity measured from images obtained after repeated biomarker injections approximately 3 min apart in control rats. (A) Injections of </w:t>
      </w:r>
      <w:r w:rsidRPr="00727972">
        <w:rPr>
          <w:vertAlign w:val="superscript"/>
        </w:rPr>
        <w:t>99m</w:t>
      </w:r>
      <w:r w:rsidRPr="00753989">
        <w:t>Tc-HMPAO (</w:t>
      </w:r>
      <w:r w:rsidR="00727972">
        <w:t>~</w:t>
      </w:r>
      <w:r w:rsidRPr="00753989">
        <w:t xml:space="preserve">37 MBq; n </w:t>
      </w:r>
      <w:r w:rsidR="006C3073">
        <w:t>=</w:t>
      </w:r>
      <w:r w:rsidRPr="00753989">
        <w:t xml:space="preserve"> 2, r</w:t>
      </w:r>
      <w:r w:rsidRPr="006C3073">
        <w:rPr>
          <w:vertAlign w:val="superscript"/>
        </w:rPr>
        <w:t>2</w:t>
      </w:r>
      <w:r w:rsidR="006C3073">
        <w:t xml:space="preserve"> =</w:t>
      </w:r>
      <w:r w:rsidRPr="00753989">
        <w:t xml:space="preserve"> 0.99). (B) Injections of </w:t>
      </w:r>
      <w:r w:rsidRPr="006C3073">
        <w:rPr>
          <w:vertAlign w:val="superscript"/>
        </w:rPr>
        <w:t>99m</w:t>
      </w:r>
      <w:r w:rsidRPr="00753989">
        <w:t>Tc-duramycin (</w:t>
      </w:r>
      <w:r w:rsidR="006C3073">
        <w:t>~</w:t>
      </w:r>
      <w:r w:rsidRPr="00753989">
        <w:t xml:space="preserve">15 MBq; n </w:t>
      </w:r>
      <w:r w:rsidR="006C3073">
        <w:t xml:space="preserve">= </w:t>
      </w:r>
      <w:r w:rsidRPr="00753989">
        <w:t>1).</w:t>
      </w:r>
    </w:p>
    <w:p w14:paraId="185D9B82" w14:textId="77777777" w:rsidR="00697773" w:rsidRPr="00C31312" w:rsidRDefault="00697773" w:rsidP="00C31312">
      <w:pPr>
        <w:rPr>
          <w:rFonts w:cstheme="minorHAnsi"/>
        </w:rPr>
      </w:pPr>
    </w:p>
    <w:p w14:paraId="6AA21C2C" w14:textId="77777777" w:rsidR="00C31312" w:rsidRDefault="00C31312" w:rsidP="00C31312">
      <w:pPr>
        <w:rPr>
          <w:rFonts w:cstheme="minorHAnsi"/>
        </w:rPr>
      </w:pPr>
      <w:r w:rsidRPr="00C31312">
        <w:rPr>
          <w:rFonts w:cstheme="minorHAnsi"/>
        </w:rPr>
        <w:t xml:space="preserve">Figure 4 shows typical </w:t>
      </w:r>
      <w:r w:rsidRPr="006F197C">
        <w:rPr>
          <w:rFonts w:cstheme="minorHAnsi"/>
          <w:vertAlign w:val="superscript"/>
        </w:rPr>
        <w:t>99m</w:t>
      </w:r>
      <w:r w:rsidRPr="00C31312">
        <w:rPr>
          <w:rFonts w:cstheme="minorHAnsi"/>
        </w:rPr>
        <w:t xml:space="preserve">Tc-HMPAO (Fig. 4A) and </w:t>
      </w:r>
      <w:r w:rsidRPr="006F197C">
        <w:rPr>
          <w:rFonts w:cstheme="minorHAnsi"/>
          <w:vertAlign w:val="superscript"/>
        </w:rPr>
        <w:t>99m</w:t>
      </w:r>
      <w:r w:rsidRPr="00C31312">
        <w:rPr>
          <w:rFonts w:cstheme="minorHAnsi"/>
        </w:rPr>
        <w:t xml:space="preserve">Tc-duramycin (Fig. 4B) lung and background time-activity curves obtained from images of control rats. For each biomarker, the first approximately 20 s depict the initial </w:t>
      </w:r>
      <w:r w:rsidRPr="00C31312">
        <w:rPr>
          <w:rFonts w:cstheme="minorHAnsi"/>
        </w:rPr>
        <w:lastRenderedPageBreak/>
        <w:t xml:space="preserve">passage and distribution of the agent in the lung. Figures 4C and 4D depict the ratio of the lung-to-background curves (i.e., lung uptake) at each time point for the data in Figures 4A and 4B, respectively. </w:t>
      </w:r>
    </w:p>
    <w:p w14:paraId="61A28E9D" w14:textId="1F63C013" w:rsidR="00753989" w:rsidRDefault="00753989" w:rsidP="00861665">
      <w:pPr>
        <w:pStyle w:val="NoSpacing"/>
      </w:pPr>
      <w:r w:rsidRPr="00753989">
        <w:rPr>
          <w:noProof/>
        </w:rPr>
        <w:drawing>
          <wp:inline distT="0" distB="0" distL="0" distR="0" wp14:anchorId="438419B9" wp14:editId="55CADE6E">
            <wp:extent cx="2743200" cy="2606040"/>
            <wp:effectExtent l="0" t="0" r="0" b="3810"/>
            <wp:docPr id="4" name="Picture 4"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606040"/>
                    </a:xfrm>
                    <a:prstGeom prst="rect">
                      <a:avLst/>
                    </a:prstGeom>
                    <a:noFill/>
                    <a:ln>
                      <a:noFill/>
                    </a:ln>
                  </pic:spPr>
                </pic:pic>
              </a:graphicData>
            </a:graphic>
          </wp:inline>
        </w:drawing>
      </w:r>
    </w:p>
    <w:p w14:paraId="70ED1D27" w14:textId="7845C749" w:rsidR="00753989" w:rsidRDefault="00352C1C" w:rsidP="00861665">
      <w:pPr>
        <w:pStyle w:val="NoSpacing"/>
      </w:pPr>
      <w:r w:rsidRPr="00352C1C">
        <w:t xml:space="preserve">FIGURE 4. Representative time–activity curves acquired from lung and background (upper forelimb) regions of </w:t>
      </w:r>
      <w:r w:rsidRPr="006C3073">
        <w:rPr>
          <w:vertAlign w:val="superscript"/>
        </w:rPr>
        <w:t>99m</w:t>
      </w:r>
      <w:r w:rsidRPr="00352C1C">
        <w:t xml:space="preserve">Tc-HMPAO (A) and </w:t>
      </w:r>
      <w:r w:rsidRPr="006C3073">
        <w:rPr>
          <w:vertAlign w:val="superscript"/>
        </w:rPr>
        <w:t>99m</w:t>
      </w:r>
      <w:r w:rsidRPr="00352C1C">
        <w:t xml:space="preserve">Tc-duramycin (B) planar images of control rats. </w:t>
      </w:r>
      <w:r w:rsidRPr="006C3073">
        <w:rPr>
          <w:vertAlign w:val="superscript"/>
        </w:rPr>
        <w:t>99m</w:t>
      </w:r>
      <w:r w:rsidRPr="00352C1C">
        <w:t xml:space="preserve">Tc-HMPAO (C) and </w:t>
      </w:r>
      <w:r w:rsidRPr="006C3073">
        <w:rPr>
          <w:vertAlign w:val="superscript"/>
        </w:rPr>
        <w:t>99m</w:t>
      </w:r>
      <w:r w:rsidRPr="00352C1C">
        <w:t>Tcduramycin (D) lung uptake calculated as lung-to-background ratio for data in A and B.</w:t>
      </w:r>
    </w:p>
    <w:p w14:paraId="163A9B25" w14:textId="77777777" w:rsidR="00861665" w:rsidRPr="00C31312" w:rsidRDefault="00861665" w:rsidP="00C31312">
      <w:pPr>
        <w:rPr>
          <w:rFonts w:cstheme="minorHAnsi"/>
        </w:rPr>
      </w:pPr>
    </w:p>
    <w:p w14:paraId="681FA8E9" w14:textId="77777777" w:rsidR="00C31312" w:rsidRDefault="00C31312" w:rsidP="00C31312">
      <w:pPr>
        <w:rPr>
          <w:rFonts w:cstheme="minorHAnsi"/>
        </w:rPr>
      </w:pPr>
      <w:r w:rsidRPr="00C31312">
        <w:rPr>
          <w:rFonts w:cstheme="minorHAnsi"/>
        </w:rPr>
        <w:t xml:space="preserve">Representative images from a control (normoxic) and 7-d hyperoxic rat imaged with </w:t>
      </w:r>
      <w:r w:rsidRPr="006F197C">
        <w:rPr>
          <w:rFonts w:cstheme="minorHAnsi"/>
          <w:vertAlign w:val="superscript"/>
        </w:rPr>
        <w:t>99m</w:t>
      </w:r>
      <w:r w:rsidRPr="00C31312">
        <w:rPr>
          <w:rFonts w:cstheme="minorHAnsi"/>
        </w:rPr>
        <w:t xml:space="preserve">Tc-HMPAO and </w:t>
      </w:r>
      <w:r w:rsidRPr="006F197C">
        <w:rPr>
          <w:rFonts w:cstheme="minorHAnsi"/>
          <w:vertAlign w:val="superscript"/>
        </w:rPr>
        <w:t>99m</w:t>
      </w:r>
      <w:r w:rsidRPr="00C31312">
        <w:rPr>
          <w:rFonts w:cstheme="minorHAnsi"/>
        </w:rPr>
        <w:t xml:space="preserve">Tcduramycin are shown in Figure 5. Increased uptake of both agents can be observed in the hyperoxic rats. A summary of results of lung uptake for </w:t>
      </w:r>
      <w:r w:rsidRPr="006F197C">
        <w:rPr>
          <w:rFonts w:cstheme="minorHAnsi"/>
          <w:vertAlign w:val="superscript"/>
        </w:rPr>
        <w:t>99m</w:t>
      </w:r>
      <w:r w:rsidRPr="00C31312">
        <w:rPr>
          <w:rFonts w:cstheme="minorHAnsi"/>
        </w:rPr>
        <w:t xml:space="preserve">Tc-HMPAO or </w:t>
      </w:r>
      <w:r w:rsidRPr="006F197C">
        <w:rPr>
          <w:rFonts w:cstheme="minorHAnsi"/>
          <w:vertAlign w:val="superscript"/>
        </w:rPr>
        <w:t>99m</w:t>
      </w:r>
      <w:r w:rsidRPr="00C31312">
        <w:rPr>
          <w:rFonts w:cstheme="minorHAnsi"/>
        </w:rPr>
        <w:t xml:space="preserve">Tc-duramycin for each hyperoxia treatment group as a function of the duration of hyperoxia exposure (number of days) is given in Table 1. Figure 6 shows lung uptake plotted as the percentage change from control as a function of the number days of exposure. Lung uptake of both </w:t>
      </w:r>
      <w:r w:rsidRPr="006F197C">
        <w:rPr>
          <w:rFonts w:cstheme="minorHAnsi"/>
          <w:vertAlign w:val="superscript"/>
        </w:rPr>
        <w:t>99m</w:t>
      </w:r>
      <w:r w:rsidRPr="00C31312">
        <w:rPr>
          <w:rFonts w:cstheme="minorHAnsi"/>
        </w:rPr>
        <w:t xml:space="preserve">Tc-HMPAO and </w:t>
      </w:r>
      <w:r w:rsidRPr="006F197C">
        <w:rPr>
          <w:rFonts w:cstheme="minorHAnsi"/>
          <w:vertAlign w:val="superscript"/>
        </w:rPr>
        <w:t>99m</w:t>
      </w:r>
      <w:r w:rsidRPr="00C31312">
        <w:rPr>
          <w:rFonts w:cstheme="minorHAnsi"/>
        </w:rPr>
        <w:t xml:space="preserve">Tc-duramycin increased significantly up to day 7 of hyperoxia (74% and 51%, respectively). Thereafter, </w:t>
      </w:r>
      <w:r w:rsidRPr="006F197C">
        <w:rPr>
          <w:rFonts w:cstheme="minorHAnsi"/>
          <w:vertAlign w:val="superscript"/>
        </w:rPr>
        <w:t>99m</w:t>
      </w:r>
      <w:r w:rsidRPr="00C31312">
        <w:rPr>
          <w:rFonts w:cstheme="minorHAnsi"/>
        </w:rPr>
        <w:t xml:space="preserve">Tc- HMPAO uptake leveled offwhereas </w:t>
      </w:r>
      <w:r w:rsidRPr="006F197C">
        <w:rPr>
          <w:rFonts w:cstheme="minorHAnsi"/>
          <w:vertAlign w:val="superscript"/>
        </w:rPr>
        <w:t>99m</w:t>
      </w:r>
      <w:r w:rsidRPr="00C31312">
        <w:rPr>
          <w:rFonts w:cstheme="minorHAnsi"/>
        </w:rPr>
        <w:t xml:space="preserve">Tc-duramycin accumulation decreased and reached its preexposure value by 21 d. These differences in lung uptake of </w:t>
      </w:r>
      <w:r w:rsidRPr="006F197C">
        <w:rPr>
          <w:rFonts w:cstheme="minorHAnsi"/>
          <w:vertAlign w:val="superscript"/>
        </w:rPr>
        <w:t>99m</w:t>
      </w:r>
      <w:r w:rsidRPr="00C31312">
        <w:rPr>
          <w:rFonts w:cstheme="minorHAnsi"/>
        </w:rPr>
        <w:t xml:space="preserve">Tc-HMPAO and </w:t>
      </w:r>
      <w:r w:rsidRPr="006F197C">
        <w:rPr>
          <w:rFonts w:cstheme="minorHAnsi"/>
          <w:vertAlign w:val="superscript"/>
        </w:rPr>
        <w:t>99m</w:t>
      </w:r>
      <w:r w:rsidRPr="00C31312">
        <w:rPr>
          <w:rFonts w:cstheme="minorHAnsi"/>
        </w:rPr>
        <w:t xml:space="preserve">Tc-duramycin during the course of hyperoxic lung injury may suggest cellular mechanisms involved in both initial injury and subsequent accommodation to the injury. </w:t>
      </w:r>
    </w:p>
    <w:p w14:paraId="79FA07EB" w14:textId="77777777" w:rsidR="00352C1C" w:rsidRDefault="00352C1C" w:rsidP="00C31312">
      <w:pPr>
        <w:rPr>
          <w:rFonts w:cstheme="minorHAnsi"/>
        </w:rPr>
      </w:pPr>
    </w:p>
    <w:p w14:paraId="35B65C55" w14:textId="6D66B7F3" w:rsidR="00352C1C" w:rsidRDefault="00352C1C" w:rsidP="00861665">
      <w:pPr>
        <w:pStyle w:val="NoSpacing"/>
      </w:pPr>
      <w:r w:rsidRPr="00352C1C">
        <w:rPr>
          <w:noProof/>
        </w:rPr>
        <w:lastRenderedPageBreak/>
        <w:drawing>
          <wp:inline distT="0" distB="0" distL="0" distR="0" wp14:anchorId="3787D2CC" wp14:editId="3AE9FDCC">
            <wp:extent cx="2743200" cy="2816352"/>
            <wp:effectExtent l="0" t="0" r="0" b="3175"/>
            <wp:docPr id="5" name="Picture 5" descr="FIG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816352"/>
                    </a:xfrm>
                    <a:prstGeom prst="rect">
                      <a:avLst/>
                    </a:prstGeom>
                    <a:noFill/>
                    <a:ln>
                      <a:noFill/>
                    </a:ln>
                  </pic:spPr>
                </pic:pic>
              </a:graphicData>
            </a:graphic>
          </wp:inline>
        </w:drawing>
      </w:r>
    </w:p>
    <w:p w14:paraId="2E9ECB15" w14:textId="51E11B7D" w:rsidR="00562A8A" w:rsidRDefault="00562A8A" w:rsidP="00861665">
      <w:pPr>
        <w:pStyle w:val="NoSpacing"/>
      </w:pPr>
      <w:r w:rsidRPr="00562A8A">
        <w:t xml:space="preserve">FIGURE 5. Planar images of representative </w:t>
      </w:r>
      <w:r w:rsidRPr="007672A6">
        <w:rPr>
          <w:vertAlign w:val="superscript"/>
        </w:rPr>
        <w:t>99m</w:t>
      </w:r>
      <w:r w:rsidRPr="00562A8A">
        <w:t xml:space="preserve">Tc-HMPAO and </w:t>
      </w:r>
      <w:r w:rsidRPr="007672A6">
        <w:rPr>
          <w:vertAlign w:val="superscript"/>
        </w:rPr>
        <w:t>99m</w:t>
      </w:r>
      <w:r w:rsidRPr="00562A8A">
        <w:t xml:space="preserve">Tc-duramycin distribution in rats. Images were obtained from control (normoxia) and 7-d hyperoxic rats. Lung boundaries were identified using corresponding </w:t>
      </w:r>
      <w:r w:rsidRPr="007672A6">
        <w:rPr>
          <w:vertAlign w:val="superscript"/>
        </w:rPr>
        <w:t>99m</w:t>
      </w:r>
      <w:r w:rsidRPr="00562A8A">
        <w:t>Tc-MAA image. Lung region above horizontal boundary of ROI is free of any liver contribution.</w:t>
      </w:r>
    </w:p>
    <w:p w14:paraId="5E8588AE" w14:textId="2B0D8A30" w:rsidR="00A9352F" w:rsidRDefault="00A9352F" w:rsidP="00861665">
      <w:pPr>
        <w:pStyle w:val="NoSpacing"/>
      </w:pPr>
      <w:r w:rsidRPr="00A9352F">
        <w:rPr>
          <w:noProof/>
        </w:rPr>
        <w:drawing>
          <wp:inline distT="0" distB="0" distL="0" distR="0" wp14:anchorId="2B08BBDC" wp14:editId="6E52F49E">
            <wp:extent cx="2743200" cy="2432304"/>
            <wp:effectExtent l="0" t="0" r="0" b="6350"/>
            <wp:docPr id="6" name="Picture 6" descr="FIG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2432304"/>
                    </a:xfrm>
                    <a:prstGeom prst="rect">
                      <a:avLst/>
                    </a:prstGeom>
                    <a:noFill/>
                    <a:ln>
                      <a:noFill/>
                    </a:ln>
                  </pic:spPr>
                </pic:pic>
              </a:graphicData>
            </a:graphic>
          </wp:inline>
        </w:drawing>
      </w:r>
    </w:p>
    <w:p w14:paraId="2B7595C6" w14:textId="04D5D7F1" w:rsidR="00A9352F" w:rsidRDefault="001E34A9" w:rsidP="00861665">
      <w:pPr>
        <w:pStyle w:val="NoSpacing"/>
      </w:pPr>
      <w:r w:rsidRPr="001E34A9">
        <w:t xml:space="preserve">FIGURE 6. Percentage increase from control (normoxia) in </w:t>
      </w:r>
      <w:r w:rsidRPr="007672A6">
        <w:rPr>
          <w:vertAlign w:val="superscript"/>
        </w:rPr>
        <w:t>99m</w:t>
      </w:r>
      <w:r w:rsidRPr="001E34A9">
        <w:t xml:space="preserve">TcHMPAO and </w:t>
      </w:r>
      <w:r w:rsidRPr="007672A6">
        <w:rPr>
          <w:vertAlign w:val="superscript"/>
        </w:rPr>
        <w:t>99m</w:t>
      </w:r>
      <w:r w:rsidRPr="001E34A9">
        <w:t>Tc-duramycin lung uptake in rats exposed to 85% O</w:t>
      </w:r>
      <w:r w:rsidRPr="007672A6">
        <w:rPr>
          <w:vertAlign w:val="subscript"/>
        </w:rPr>
        <w:t>2</w:t>
      </w:r>
      <w:r w:rsidRPr="001E34A9">
        <w:t xml:space="preserve"> for up to 21 d. Values are means </w:t>
      </w:r>
      <w:r w:rsidR="00493230">
        <w:t>±</w:t>
      </w:r>
      <w:r w:rsidRPr="001E34A9">
        <w:t xml:space="preserve"> SE. *Significantly different from control, P </w:t>
      </w:r>
      <w:r w:rsidR="00493230">
        <w:t>&lt;</w:t>
      </w:r>
      <w:r w:rsidRPr="001E34A9">
        <w:t xml:space="preserve"> 0.05. DU </w:t>
      </w:r>
      <w:r w:rsidR="00493230">
        <w:t>=</w:t>
      </w:r>
      <w:r w:rsidRPr="001E34A9">
        <w:t xml:space="preserve"> duramycin; BG </w:t>
      </w:r>
      <w:r w:rsidR="00493230">
        <w:t>=</w:t>
      </w:r>
      <w:r w:rsidRPr="001E34A9">
        <w:t xml:space="preserve"> background; LU </w:t>
      </w:r>
      <w:r w:rsidR="00493230">
        <w:t>=</w:t>
      </w:r>
      <w:r w:rsidRPr="001E34A9">
        <w:t xml:space="preserve"> lung.</w:t>
      </w:r>
    </w:p>
    <w:p w14:paraId="52C08ED0" w14:textId="77777777" w:rsidR="00861665" w:rsidRDefault="00861665" w:rsidP="00C31312">
      <w:pPr>
        <w:rPr>
          <w:rFonts w:cstheme="minorHAnsi"/>
        </w:rPr>
      </w:pPr>
    </w:p>
    <w:p w14:paraId="3A710B80" w14:textId="05CEB603" w:rsidR="006E0E48" w:rsidRDefault="00146880" w:rsidP="00C31312">
      <w:pPr>
        <w:rPr>
          <w:rFonts w:cstheme="minorHAnsi"/>
        </w:rPr>
      </w:pPr>
      <w:r w:rsidRPr="00146880">
        <w:rPr>
          <w:rFonts w:cstheme="minorHAnsi"/>
          <w:b/>
          <w:bCs/>
        </w:rPr>
        <w:t>TABLE 1</w:t>
      </w:r>
      <w:r w:rsidR="00861665">
        <w:rPr>
          <w:rFonts w:cstheme="minorHAnsi"/>
          <w:b/>
          <w:bCs/>
        </w:rPr>
        <w:t xml:space="preserve"> </w:t>
      </w:r>
      <w:r w:rsidRPr="00146880">
        <w:rPr>
          <w:rFonts w:cstheme="minorHAnsi"/>
        </w:rPr>
        <w:t>Effect of Hyperoxia on Lung Uptake (Lung-to–Background Ratio)</w:t>
      </w:r>
    </w:p>
    <w:tbl>
      <w:tblPr>
        <w:tblStyle w:val="TableGrid"/>
        <w:tblW w:w="0" w:type="auto"/>
        <w:tblLook w:val="04A0" w:firstRow="1" w:lastRow="0" w:firstColumn="1" w:lastColumn="0" w:noHBand="0" w:noVBand="1"/>
      </w:tblPr>
      <w:tblGrid>
        <w:gridCol w:w="1477"/>
        <w:gridCol w:w="1448"/>
        <w:gridCol w:w="1353"/>
        <w:gridCol w:w="1448"/>
        <w:gridCol w:w="1448"/>
        <w:gridCol w:w="1448"/>
        <w:gridCol w:w="1448"/>
      </w:tblGrid>
      <w:tr w:rsidR="00146880" w14:paraId="4B3C205E" w14:textId="77777777" w:rsidTr="00861665">
        <w:tc>
          <w:tcPr>
            <w:tcW w:w="0" w:type="auto"/>
          </w:tcPr>
          <w:p w14:paraId="2FC81916" w14:textId="05DA168B" w:rsidR="00146880" w:rsidRPr="00146880" w:rsidRDefault="00146880" w:rsidP="00C31312">
            <w:pPr>
              <w:rPr>
                <w:rFonts w:cstheme="minorHAnsi"/>
              </w:rPr>
            </w:pPr>
            <w:r w:rsidRPr="00146880">
              <w:rPr>
                <w:rFonts w:cstheme="minorHAnsi"/>
              </w:rPr>
              <w:t>Tracer</w:t>
            </w:r>
          </w:p>
        </w:tc>
        <w:tc>
          <w:tcPr>
            <w:tcW w:w="0" w:type="auto"/>
          </w:tcPr>
          <w:p w14:paraId="2A77204F" w14:textId="4DDD053B" w:rsidR="00146880" w:rsidRDefault="00146880" w:rsidP="00C31312">
            <w:pPr>
              <w:rPr>
                <w:rFonts w:cstheme="minorHAnsi"/>
              </w:rPr>
            </w:pPr>
            <w:r w:rsidRPr="00146880">
              <w:rPr>
                <w:rFonts w:cstheme="minorHAnsi"/>
              </w:rPr>
              <w:t>Control</w:t>
            </w:r>
            <w:r w:rsidRPr="00146880">
              <w:rPr>
                <w:rFonts w:cstheme="minorHAnsi"/>
              </w:rPr>
              <w:tab/>
            </w:r>
          </w:p>
        </w:tc>
        <w:tc>
          <w:tcPr>
            <w:tcW w:w="0" w:type="auto"/>
          </w:tcPr>
          <w:p w14:paraId="371F3CD5" w14:textId="05C3F2F3" w:rsidR="00146880" w:rsidRPr="00211728" w:rsidRDefault="00211728" w:rsidP="00C31312">
            <w:pPr>
              <w:rPr>
                <w:rFonts w:cstheme="minorHAnsi"/>
              </w:rPr>
            </w:pPr>
            <w:r w:rsidRPr="00211728">
              <w:rPr>
                <w:rFonts w:cstheme="minorHAnsi"/>
              </w:rPr>
              <w:t>2 Days</w:t>
            </w:r>
          </w:p>
        </w:tc>
        <w:tc>
          <w:tcPr>
            <w:tcW w:w="0" w:type="auto"/>
          </w:tcPr>
          <w:p w14:paraId="446D91D1" w14:textId="46CF82CC" w:rsidR="00146880" w:rsidRDefault="00211728" w:rsidP="00C31312">
            <w:pPr>
              <w:rPr>
                <w:rFonts w:cstheme="minorHAnsi"/>
              </w:rPr>
            </w:pPr>
            <w:r w:rsidRPr="00211728">
              <w:rPr>
                <w:rFonts w:cstheme="minorHAnsi"/>
              </w:rPr>
              <w:t>4 Days</w:t>
            </w:r>
          </w:p>
        </w:tc>
        <w:tc>
          <w:tcPr>
            <w:tcW w:w="0" w:type="auto"/>
          </w:tcPr>
          <w:p w14:paraId="3A7FE1FB" w14:textId="11200D8B" w:rsidR="00146880" w:rsidRDefault="00211728" w:rsidP="00C31312">
            <w:pPr>
              <w:rPr>
                <w:rFonts w:cstheme="minorHAnsi"/>
              </w:rPr>
            </w:pPr>
            <w:r w:rsidRPr="00211728">
              <w:rPr>
                <w:rFonts w:cstheme="minorHAnsi"/>
              </w:rPr>
              <w:t>7 Days</w:t>
            </w:r>
          </w:p>
        </w:tc>
        <w:tc>
          <w:tcPr>
            <w:tcW w:w="0" w:type="auto"/>
          </w:tcPr>
          <w:p w14:paraId="570D38F8" w14:textId="198E04E2" w:rsidR="00146880" w:rsidRDefault="00211728" w:rsidP="00C31312">
            <w:pPr>
              <w:rPr>
                <w:rFonts w:cstheme="minorHAnsi"/>
              </w:rPr>
            </w:pPr>
            <w:r w:rsidRPr="00211728">
              <w:rPr>
                <w:rFonts w:cstheme="minorHAnsi"/>
              </w:rPr>
              <w:t>14 Days</w:t>
            </w:r>
          </w:p>
        </w:tc>
        <w:tc>
          <w:tcPr>
            <w:tcW w:w="0" w:type="auto"/>
          </w:tcPr>
          <w:p w14:paraId="314F5351" w14:textId="108409FF" w:rsidR="00146880" w:rsidRDefault="00211728" w:rsidP="00C31312">
            <w:pPr>
              <w:rPr>
                <w:rFonts w:cstheme="minorHAnsi"/>
              </w:rPr>
            </w:pPr>
            <w:r w:rsidRPr="00211728">
              <w:rPr>
                <w:rFonts w:cstheme="minorHAnsi"/>
              </w:rPr>
              <w:t>21 Days</w:t>
            </w:r>
          </w:p>
        </w:tc>
      </w:tr>
      <w:tr w:rsidR="00146880" w14:paraId="3EC9197C" w14:textId="77777777" w:rsidTr="00861665">
        <w:tc>
          <w:tcPr>
            <w:tcW w:w="0" w:type="auto"/>
          </w:tcPr>
          <w:p w14:paraId="5CB29D19" w14:textId="78637CF1" w:rsidR="00146880" w:rsidRDefault="003C28C6" w:rsidP="003C28C6">
            <w:pPr>
              <w:rPr>
                <w:rFonts w:cstheme="minorHAnsi"/>
              </w:rPr>
            </w:pPr>
            <w:r w:rsidRPr="003C28C6">
              <w:rPr>
                <w:rFonts w:cstheme="minorHAnsi"/>
                <w:vertAlign w:val="superscript"/>
              </w:rPr>
              <w:t>99m</w:t>
            </w:r>
            <w:r w:rsidRPr="003C28C6">
              <w:rPr>
                <w:rFonts w:cstheme="minorHAnsi"/>
              </w:rPr>
              <w:t>Tc-HMPAO</w:t>
            </w:r>
          </w:p>
        </w:tc>
        <w:tc>
          <w:tcPr>
            <w:tcW w:w="0" w:type="auto"/>
          </w:tcPr>
          <w:p w14:paraId="4B41B7F3" w14:textId="4B7DFF0F" w:rsidR="00146880" w:rsidRDefault="003C28C6" w:rsidP="00C31312">
            <w:pPr>
              <w:rPr>
                <w:rFonts w:cstheme="minorHAnsi"/>
              </w:rPr>
            </w:pPr>
            <w:r w:rsidRPr="003C28C6">
              <w:rPr>
                <w:rFonts w:cstheme="minorHAnsi"/>
              </w:rPr>
              <w:t>3.79 ± 0.28 (</w:t>
            </w:r>
            <w:r w:rsidRPr="003C28C6">
              <w:rPr>
                <w:rFonts w:cstheme="minorHAnsi"/>
                <w:i/>
                <w:iCs/>
              </w:rPr>
              <w:t>n</w:t>
            </w:r>
            <w:r w:rsidRPr="003C28C6">
              <w:rPr>
                <w:rFonts w:cstheme="minorHAnsi"/>
              </w:rPr>
              <w:t> = 8)</w:t>
            </w:r>
          </w:p>
        </w:tc>
        <w:tc>
          <w:tcPr>
            <w:tcW w:w="0" w:type="auto"/>
          </w:tcPr>
          <w:p w14:paraId="333AC663" w14:textId="28CAD13A" w:rsidR="00146880" w:rsidRDefault="003C28C6" w:rsidP="00C31312">
            <w:pPr>
              <w:rPr>
                <w:rFonts w:cstheme="minorHAnsi"/>
              </w:rPr>
            </w:pPr>
            <w:r w:rsidRPr="003C28C6">
              <w:rPr>
                <w:rFonts w:cstheme="minorHAnsi"/>
              </w:rPr>
              <w:t>4.56 ± 0.35 (</w:t>
            </w:r>
            <w:r w:rsidRPr="003C28C6">
              <w:rPr>
                <w:rFonts w:cstheme="minorHAnsi"/>
                <w:i/>
                <w:iCs/>
              </w:rPr>
              <w:t>n</w:t>
            </w:r>
            <w:r w:rsidRPr="003C28C6">
              <w:rPr>
                <w:rFonts w:cstheme="minorHAnsi"/>
              </w:rPr>
              <w:t> = 3)</w:t>
            </w:r>
          </w:p>
        </w:tc>
        <w:tc>
          <w:tcPr>
            <w:tcW w:w="0" w:type="auto"/>
          </w:tcPr>
          <w:p w14:paraId="70D98706" w14:textId="0621D24F" w:rsidR="00146880" w:rsidRDefault="004B4C56" w:rsidP="00C31312">
            <w:pPr>
              <w:rPr>
                <w:rFonts w:cstheme="minorHAnsi"/>
              </w:rPr>
            </w:pPr>
            <w:r w:rsidRPr="004B4C56">
              <w:rPr>
                <w:rFonts w:cstheme="minorHAnsi"/>
              </w:rPr>
              <w:t>5.32 ± 0.30* (</w:t>
            </w:r>
            <w:r w:rsidRPr="004B4C56">
              <w:rPr>
                <w:rFonts w:cstheme="minorHAnsi"/>
                <w:i/>
                <w:iCs/>
              </w:rPr>
              <w:t>n</w:t>
            </w:r>
            <w:r w:rsidRPr="004B4C56">
              <w:rPr>
                <w:rFonts w:cstheme="minorHAnsi"/>
              </w:rPr>
              <w:t> = 4)</w:t>
            </w:r>
          </w:p>
        </w:tc>
        <w:tc>
          <w:tcPr>
            <w:tcW w:w="0" w:type="auto"/>
          </w:tcPr>
          <w:p w14:paraId="641DE0D2" w14:textId="6879D4C0" w:rsidR="00146880" w:rsidRDefault="004B4C56" w:rsidP="00C31312">
            <w:pPr>
              <w:rPr>
                <w:rFonts w:cstheme="minorHAnsi"/>
              </w:rPr>
            </w:pPr>
            <w:r w:rsidRPr="004B4C56">
              <w:rPr>
                <w:rFonts w:cstheme="minorHAnsi"/>
              </w:rPr>
              <w:t>6.59 ± 0.49* (</w:t>
            </w:r>
            <w:r w:rsidRPr="004B4C56">
              <w:rPr>
                <w:rFonts w:cstheme="minorHAnsi"/>
                <w:i/>
                <w:iCs/>
              </w:rPr>
              <w:t>n</w:t>
            </w:r>
            <w:r w:rsidRPr="004B4C56">
              <w:rPr>
                <w:rFonts w:cstheme="minorHAnsi"/>
              </w:rPr>
              <w:t> = 5)</w:t>
            </w:r>
          </w:p>
        </w:tc>
        <w:tc>
          <w:tcPr>
            <w:tcW w:w="0" w:type="auto"/>
          </w:tcPr>
          <w:p w14:paraId="6946CB01" w14:textId="2F096FF1" w:rsidR="00146880" w:rsidRDefault="004B4C56" w:rsidP="00C31312">
            <w:pPr>
              <w:rPr>
                <w:rFonts w:cstheme="minorHAnsi"/>
              </w:rPr>
            </w:pPr>
            <w:r w:rsidRPr="004B4C56">
              <w:rPr>
                <w:rFonts w:cstheme="minorHAnsi"/>
              </w:rPr>
              <w:t>6.31 ± 0.81* (</w:t>
            </w:r>
            <w:r w:rsidRPr="004B4C56">
              <w:rPr>
                <w:rFonts w:cstheme="minorHAnsi"/>
                <w:i/>
                <w:iCs/>
              </w:rPr>
              <w:t>n</w:t>
            </w:r>
            <w:r w:rsidRPr="004B4C56">
              <w:rPr>
                <w:rFonts w:cstheme="minorHAnsi"/>
              </w:rPr>
              <w:t> = 4)</w:t>
            </w:r>
          </w:p>
        </w:tc>
        <w:tc>
          <w:tcPr>
            <w:tcW w:w="0" w:type="auto"/>
          </w:tcPr>
          <w:p w14:paraId="5BE6C2B9" w14:textId="2630253B" w:rsidR="00146880" w:rsidRDefault="004B4C56" w:rsidP="00C31312">
            <w:pPr>
              <w:rPr>
                <w:rFonts w:cstheme="minorHAnsi"/>
              </w:rPr>
            </w:pPr>
            <w:r w:rsidRPr="004B4C56">
              <w:rPr>
                <w:rFonts w:cstheme="minorHAnsi"/>
              </w:rPr>
              <w:t>6.55 ± 0.51* (</w:t>
            </w:r>
            <w:r w:rsidRPr="004B4C56">
              <w:rPr>
                <w:rFonts w:cstheme="minorHAnsi"/>
                <w:i/>
                <w:iCs/>
              </w:rPr>
              <w:t>n</w:t>
            </w:r>
            <w:r w:rsidRPr="004B4C56">
              <w:rPr>
                <w:rFonts w:cstheme="minorHAnsi"/>
              </w:rPr>
              <w:t> = 8)</w:t>
            </w:r>
          </w:p>
        </w:tc>
      </w:tr>
      <w:tr w:rsidR="00146880" w14:paraId="56E9FB48" w14:textId="77777777" w:rsidTr="00861665">
        <w:tc>
          <w:tcPr>
            <w:tcW w:w="0" w:type="auto"/>
          </w:tcPr>
          <w:p w14:paraId="43E38190" w14:textId="551717D1" w:rsidR="00146880" w:rsidRDefault="004B4C56" w:rsidP="00C31312">
            <w:pPr>
              <w:rPr>
                <w:rFonts w:cstheme="minorHAnsi"/>
              </w:rPr>
            </w:pPr>
            <w:r w:rsidRPr="004B4C56">
              <w:rPr>
                <w:rFonts w:cstheme="minorHAnsi"/>
                <w:vertAlign w:val="superscript"/>
              </w:rPr>
              <w:t>99m</w:t>
            </w:r>
            <w:r w:rsidRPr="004B4C56">
              <w:rPr>
                <w:rFonts w:cstheme="minorHAnsi"/>
              </w:rPr>
              <w:t>Tc-duramycin</w:t>
            </w:r>
          </w:p>
        </w:tc>
        <w:tc>
          <w:tcPr>
            <w:tcW w:w="0" w:type="auto"/>
          </w:tcPr>
          <w:p w14:paraId="09EE5126" w14:textId="31331B6B" w:rsidR="00146880" w:rsidRDefault="004B4C56" w:rsidP="00C31312">
            <w:pPr>
              <w:rPr>
                <w:rFonts w:cstheme="minorHAnsi"/>
              </w:rPr>
            </w:pPr>
            <w:r w:rsidRPr="004B4C56">
              <w:rPr>
                <w:rFonts w:cstheme="minorHAnsi"/>
              </w:rPr>
              <w:t>3.21 ± 0.12 (</w:t>
            </w:r>
            <w:r w:rsidRPr="004B4C56">
              <w:rPr>
                <w:rFonts w:cstheme="minorHAnsi"/>
                <w:i/>
                <w:iCs/>
              </w:rPr>
              <w:t>n</w:t>
            </w:r>
            <w:r w:rsidRPr="004B4C56">
              <w:rPr>
                <w:rFonts w:cstheme="minorHAnsi"/>
              </w:rPr>
              <w:t> = 6)</w:t>
            </w:r>
          </w:p>
        </w:tc>
        <w:tc>
          <w:tcPr>
            <w:tcW w:w="0" w:type="auto"/>
          </w:tcPr>
          <w:p w14:paraId="16ABDE7F" w14:textId="105CEE15" w:rsidR="00146880" w:rsidRDefault="0021468B" w:rsidP="00C31312">
            <w:pPr>
              <w:rPr>
                <w:rFonts w:cstheme="minorHAnsi"/>
              </w:rPr>
            </w:pPr>
            <w:r w:rsidRPr="0021468B">
              <w:rPr>
                <w:rFonts w:cstheme="minorHAnsi"/>
              </w:rPr>
              <w:t>3.37 ± 0.14 (</w:t>
            </w:r>
            <w:r w:rsidRPr="0021468B">
              <w:rPr>
                <w:rFonts w:cstheme="minorHAnsi"/>
                <w:i/>
                <w:iCs/>
              </w:rPr>
              <w:t>n</w:t>
            </w:r>
            <w:r w:rsidRPr="0021468B">
              <w:rPr>
                <w:rFonts w:cstheme="minorHAnsi"/>
              </w:rPr>
              <w:t> = 4)</w:t>
            </w:r>
          </w:p>
        </w:tc>
        <w:tc>
          <w:tcPr>
            <w:tcW w:w="0" w:type="auto"/>
          </w:tcPr>
          <w:p w14:paraId="5A8370BF" w14:textId="54EC7479" w:rsidR="00146880" w:rsidRDefault="0021468B" w:rsidP="00C31312">
            <w:pPr>
              <w:rPr>
                <w:rFonts w:cstheme="minorHAnsi"/>
              </w:rPr>
            </w:pPr>
            <w:r w:rsidRPr="0021468B">
              <w:rPr>
                <w:rFonts w:cstheme="minorHAnsi"/>
              </w:rPr>
              <w:t>4.63 ± 0.12* (</w:t>
            </w:r>
            <w:r w:rsidRPr="0021468B">
              <w:rPr>
                <w:rFonts w:cstheme="minorHAnsi"/>
                <w:i/>
                <w:iCs/>
              </w:rPr>
              <w:t>n</w:t>
            </w:r>
            <w:r w:rsidRPr="0021468B">
              <w:rPr>
                <w:rFonts w:cstheme="minorHAnsi"/>
              </w:rPr>
              <w:t> = 5)</w:t>
            </w:r>
          </w:p>
        </w:tc>
        <w:tc>
          <w:tcPr>
            <w:tcW w:w="0" w:type="auto"/>
          </w:tcPr>
          <w:p w14:paraId="7F893B94" w14:textId="716783B9" w:rsidR="00146880" w:rsidRDefault="0021468B" w:rsidP="00C31312">
            <w:pPr>
              <w:rPr>
                <w:rFonts w:cstheme="minorHAnsi"/>
              </w:rPr>
            </w:pPr>
            <w:r w:rsidRPr="0021468B">
              <w:rPr>
                <w:rFonts w:cstheme="minorHAnsi"/>
              </w:rPr>
              <w:t>4.86 ± 0.12* (</w:t>
            </w:r>
            <w:r w:rsidRPr="0021468B">
              <w:rPr>
                <w:rFonts w:cstheme="minorHAnsi"/>
                <w:i/>
                <w:iCs/>
              </w:rPr>
              <w:t>n</w:t>
            </w:r>
            <w:r w:rsidRPr="0021468B">
              <w:rPr>
                <w:rFonts w:cstheme="minorHAnsi"/>
              </w:rPr>
              <w:t> = 4)</w:t>
            </w:r>
          </w:p>
        </w:tc>
        <w:tc>
          <w:tcPr>
            <w:tcW w:w="0" w:type="auto"/>
          </w:tcPr>
          <w:p w14:paraId="4EBFA80F" w14:textId="713087E2" w:rsidR="00146880" w:rsidRDefault="0021468B" w:rsidP="00C31312">
            <w:pPr>
              <w:rPr>
                <w:rFonts w:cstheme="minorHAnsi"/>
              </w:rPr>
            </w:pPr>
            <w:r w:rsidRPr="0021468B">
              <w:rPr>
                <w:rFonts w:cstheme="minorHAnsi"/>
              </w:rPr>
              <w:t>4.02 ± 0.11* (</w:t>
            </w:r>
            <w:r w:rsidRPr="0021468B">
              <w:rPr>
                <w:rFonts w:cstheme="minorHAnsi"/>
                <w:i/>
                <w:iCs/>
              </w:rPr>
              <w:t>n</w:t>
            </w:r>
            <w:r w:rsidRPr="0021468B">
              <w:rPr>
                <w:rFonts w:cstheme="minorHAnsi"/>
              </w:rPr>
              <w:t> = 3)</w:t>
            </w:r>
          </w:p>
        </w:tc>
        <w:tc>
          <w:tcPr>
            <w:tcW w:w="0" w:type="auto"/>
          </w:tcPr>
          <w:p w14:paraId="299F14B4" w14:textId="12D785CA" w:rsidR="00146880" w:rsidRDefault="0021468B" w:rsidP="00C31312">
            <w:pPr>
              <w:rPr>
                <w:rFonts w:cstheme="minorHAnsi"/>
              </w:rPr>
            </w:pPr>
            <w:r w:rsidRPr="0021468B">
              <w:rPr>
                <w:rFonts w:cstheme="minorHAnsi"/>
              </w:rPr>
              <w:t>3.35 ± 0.15 (</w:t>
            </w:r>
            <w:r w:rsidRPr="0021468B">
              <w:rPr>
                <w:rFonts w:cstheme="minorHAnsi"/>
                <w:i/>
                <w:iCs/>
              </w:rPr>
              <w:t>n</w:t>
            </w:r>
            <w:r w:rsidRPr="0021468B">
              <w:rPr>
                <w:rFonts w:cstheme="minorHAnsi"/>
              </w:rPr>
              <w:t> = 2)</w:t>
            </w:r>
          </w:p>
        </w:tc>
      </w:tr>
    </w:tbl>
    <w:p w14:paraId="7B37E6F3" w14:textId="77777777" w:rsidR="0021468B" w:rsidRPr="0021468B" w:rsidRDefault="0021468B" w:rsidP="007F5AF6">
      <w:pPr>
        <w:pStyle w:val="NoSpacing"/>
      </w:pPr>
      <w:r w:rsidRPr="0021468B">
        <w:t>*</w:t>
      </w:r>
      <w:r w:rsidRPr="0021468B">
        <w:rPr>
          <w:i/>
          <w:iCs/>
        </w:rPr>
        <w:t>P</w:t>
      </w:r>
      <w:r w:rsidRPr="0021468B">
        <w:t> &lt; 0.05 when compared with control value.</w:t>
      </w:r>
    </w:p>
    <w:p w14:paraId="2AA3EDD7" w14:textId="77777777" w:rsidR="0021468B" w:rsidRPr="0021468B" w:rsidRDefault="0021468B" w:rsidP="007F5AF6">
      <w:pPr>
        <w:pStyle w:val="NoSpacing"/>
      </w:pPr>
      <w:r w:rsidRPr="0021468B">
        <w:t>All data are mean ± SE.</w:t>
      </w:r>
    </w:p>
    <w:p w14:paraId="411E6530" w14:textId="77777777" w:rsidR="006E0E48" w:rsidRPr="00C31312" w:rsidRDefault="006E0E48" w:rsidP="00C31312">
      <w:pPr>
        <w:rPr>
          <w:rFonts w:cstheme="minorHAnsi"/>
        </w:rPr>
      </w:pPr>
    </w:p>
    <w:p w14:paraId="219FE630" w14:textId="77777777" w:rsidR="00C31312" w:rsidRPr="00C31312" w:rsidRDefault="00C31312" w:rsidP="009A30C6">
      <w:pPr>
        <w:pStyle w:val="Heading1"/>
      </w:pPr>
      <w:r w:rsidRPr="00C31312">
        <w:lastRenderedPageBreak/>
        <w:t xml:space="preserve">DISCUSSION </w:t>
      </w:r>
    </w:p>
    <w:p w14:paraId="0E4E765D" w14:textId="77777777" w:rsidR="00C31312" w:rsidRPr="00C31312" w:rsidRDefault="00C31312" w:rsidP="00C31312">
      <w:pPr>
        <w:rPr>
          <w:rFonts w:cstheme="minorHAnsi"/>
        </w:rPr>
      </w:pPr>
      <w:r w:rsidRPr="00C31312">
        <w:rPr>
          <w:rFonts w:cstheme="minorHAnsi"/>
        </w:rPr>
        <w:t xml:space="preserve">Although there is a vast amount of literature on histologic and biochemical changes with hyperoxia lung injury (3,4,6,8), this is the first study, to our knowledge, to evaluate the progression of such lung injury in the hyperoxic rat model using noninvasive in vivo imaging of </w:t>
      </w:r>
      <w:r w:rsidRPr="006F197C">
        <w:rPr>
          <w:rFonts w:cstheme="minorHAnsi"/>
          <w:vertAlign w:val="superscript"/>
        </w:rPr>
        <w:t>99m</w:t>
      </w:r>
      <w:r w:rsidRPr="00C31312">
        <w:rPr>
          <w:rFonts w:cstheme="minorHAnsi"/>
        </w:rPr>
        <w:t xml:space="preserve">Tc-HMPAO or </w:t>
      </w:r>
      <w:r w:rsidRPr="006F197C">
        <w:rPr>
          <w:rFonts w:cstheme="minorHAnsi"/>
          <w:vertAlign w:val="superscript"/>
        </w:rPr>
        <w:t>99m</w:t>
      </w:r>
      <w:r w:rsidRPr="00C31312">
        <w:rPr>
          <w:rFonts w:cstheme="minorHAnsi"/>
        </w:rPr>
        <w:t xml:space="preserve">Tcduramycin distribution. The hyperoxia-induced increase in </w:t>
      </w:r>
      <w:r w:rsidRPr="006F197C">
        <w:rPr>
          <w:rFonts w:cstheme="minorHAnsi"/>
          <w:vertAlign w:val="superscript"/>
        </w:rPr>
        <w:t>99m</w:t>
      </w:r>
      <w:r w:rsidRPr="00C31312">
        <w:rPr>
          <w:rFonts w:cstheme="minorHAnsi"/>
        </w:rPr>
        <w:t xml:space="preserve">Tc-HMPAO lung uptake measured here is consistent with previous results, which also demonstrate an increase in </w:t>
      </w:r>
      <w:r w:rsidRPr="006F197C">
        <w:rPr>
          <w:rFonts w:cstheme="minorHAnsi"/>
          <w:vertAlign w:val="superscript"/>
        </w:rPr>
        <w:t>99m</w:t>
      </w:r>
      <w:r w:rsidRPr="00C31312">
        <w:rPr>
          <w:rFonts w:cstheme="minorHAnsi"/>
        </w:rPr>
        <w:t xml:space="preserve">Tc- HMPAO uptake in response to pulmonary oxidative stress (oxidant injury), including irradiation lung injury (22,25), inhalation injury (26,27), and cigarette smoking (28). Moreover, this is the first study that we know to report on the pulmonary uptake of </w:t>
      </w:r>
      <w:r w:rsidRPr="006F197C">
        <w:rPr>
          <w:rFonts w:cstheme="minorHAnsi"/>
          <w:vertAlign w:val="superscript"/>
        </w:rPr>
        <w:t>99m</w:t>
      </w:r>
      <w:r w:rsidRPr="00C31312">
        <w:rPr>
          <w:rFonts w:cstheme="minorHAnsi"/>
        </w:rPr>
        <w:t xml:space="preserve">Tc-duramycin in an animal model of disease or injury. The observed changes in the uptake of </w:t>
      </w:r>
      <w:r w:rsidRPr="006F197C">
        <w:rPr>
          <w:rFonts w:cstheme="minorHAnsi"/>
          <w:vertAlign w:val="superscript"/>
        </w:rPr>
        <w:t>99m</w:t>
      </w:r>
      <w:r w:rsidRPr="00C31312">
        <w:rPr>
          <w:rFonts w:cstheme="minorHAnsi"/>
        </w:rPr>
        <w:t xml:space="preserve">Tc-duramycin in this hyperoxia model suggest its potential utility as an in vivo marker of lung cell death. </w:t>
      </w:r>
    </w:p>
    <w:p w14:paraId="731F86BA" w14:textId="77777777" w:rsidR="00C31312" w:rsidRPr="00C31312" w:rsidRDefault="00C31312" w:rsidP="00C31312">
      <w:pPr>
        <w:rPr>
          <w:rFonts w:cstheme="minorHAnsi"/>
        </w:rPr>
      </w:pPr>
      <w:r w:rsidRPr="00C31312">
        <w:rPr>
          <w:rFonts w:cstheme="minorHAnsi"/>
        </w:rPr>
        <w:t xml:space="preserve">Rat exposure to chronic hyperoxia resulted in increased lung uptake of both </w:t>
      </w:r>
      <w:r w:rsidRPr="006F197C">
        <w:rPr>
          <w:rFonts w:cstheme="minorHAnsi"/>
          <w:vertAlign w:val="superscript"/>
        </w:rPr>
        <w:t>99m</w:t>
      </w:r>
      <w:r w:rsidRPr="00C31312">
        <w:rPr>
          <w:rFonts w:cstheme="minorHAnsi"/>
        </w:rPr>
        <w:t xml:space="preserve">Tc-HMPAO and </w:t>
      </w:r>
      <w:r w:rsidRPr="006F197C">
        <w:rPr>
          <w:rFonts w:cstheme="minorHAnsi"/>
          <w:vertAlign w:val="superscript"/>
        </w:rPr>
        <w:t>99m</w:t>
      </w:r>
      <w:r w:rsidRPr="00C31312">
        <w:rPr>
          <w:rFonts w:cstheme="minorHAnsi"/>
        </w:rPr>
        <w:t xml:space="preserve">Tc-duramycin; however, and most importantly, the time course of the increase was different for the 2 agents. </w:t>
      </w:r>
      <w:r w:rsidRPr="006F197C">
        <w:rPr>
          <w:rFonts w:cstheme="minorHAnsi"/>
          <w:vertAlign w:val="superscript"/>
        </w:rPr>
        <w:t>99m</w:t>
      </w:r>
      <w:r w:rsidRPr="00C31312">
        <w:rPr>
          <w:rFonts w:cstheme="minorHAnsi"/>
        </w:rPr>
        <w:t xml:space="preserve">Tc-HMPAO uptake in the lung reached a maximum by day 7 and remained elevated out to day 21. </w:t>
      </w:r>
      <w:r w:rsidRPr="006F197C">
        <w:rPr>
          <w:rFonts w:cstheme="minorHAnsi"/>
          <w:vertAlign w:val="superscript"/>
        </w:rPr>
        <w:t>99m</w:t>
      </w:r>
      <w:r w:rsidRPr="00C31312">
        <w:rPr>
          <w:rFonts w:cstheme="minorHAnsi"/>
        </w:rPr>
        <w:t>Tc-duramycin uptake also reached a maximum value at day 7 but then decreased at day 14 and returned to a near control level by day 21. These results are consistent with the extensive evidence that 85% O</w:t>
      </w:r>
      <w:r w:rsidRPr="001D4119">
        <w:rPr>
          <w:rFonts w:cstheme="minorHAnsi"/>
          <w:vertAlign w:val="subscript"/>
        </w:rPr>
        <w:t>2</w:t>
      </w:r>
      <w:r w:rsidRPr="00C31312">
        <w:rPr>
          <w:rFonts w:cstheme="minorHAnsi"/>
        </w:rPr>
        <w:t xml:space="preserve"> hyperoxic injury involves an early inflammatory phase (,7 d of exposure) characterized by significant loss of capillary endothelial cells, followed by a subsequent adaptation period (6). Thus, the pattern of uptake of these 2 biomarkers has the potential to identify the inflammatory phase of the injury and to provide information on biochemical and structural changes occurring within the lung over the time of exposure to high O</w:t>
      </w:r>
      <w:r w:rsidRPr="001D4119">
        <w:rPr>
          <w:rFonts w:cstheme="minorHAnsi"/>
          <w:vertAlign w:val="subscript"/>
        </w:rPr>
        <w:t>2</w:t>
      </w:r>
      <w:r w:rsidRPr="00C31312">
        <w:rPr>
          <w:rFonts w:cstheme="minorHAnsi"/>
        </w:rPr>
        <w:t xml:space="preserve"> levels. </w:t>
      </w:r>
    </w:p>
    <w:p w14:paraId="1B808F93" w14:textId="77777777" w:rsidR="00C31312" w:rsidRPr="00C31312" w:rsidRDefault="00C31312" w:rsidP="00C31312">
      <w:pPr>
        <w:rPr>
          <w:rFonts w:cstheme="minorHAnsi"/>
        </w:rPr>
      </w:pPr>
      <w:r w:rsidRPr="00C31312">
        <w:rPr>
          <w:rFonts w:cstheme="minorHAnsi"/>
        </w:rPr>
        <w:t>The mechanisms that determine the lung tissue uptake of HMPAO are still not fully understood (14,19,21,34,35). HMPAO exists in 2 forms, lipophilic and hydrophilic. The more membrane-permeable lipo-form readily diffuses into cells, where it either is sequestered in the cell by conversion to the hydro-nondiffusible form or diffuses back out to the vasculature region. The relative importance of each of these processes to lung tissue uptake of HMPAO remains an open question. Jacquier-Sarlin et al. examined HMPAO retention in several brain cell lines (35). Using D,L-buthionine-sulfoximine and Nacethyl cysteine, chemical agents that decrease or increase, respectively, glutathione content, they showed that the cellular uptake of HMPAO was dependent in part on intracellular glutathione content and thus cell redox status (35). Our previous study demonstrated that rat exposure to 85% O</w:t>
      </w:r>
      <w:r w:rsidRPr="001D4119">
        <w:rPr>
          <w:rFonts w:cstheme="minorHAnsi"/>
          <w:vertAlign w:val="subscript"/>
        </w:rPr>
        <w:t>2</w:t>
      </w:r>
      <w:r w:rsidRPr="00C31312">
        <w:rPr>
          <w:rFonts w:cstheme="minorHAnsi"/>
        </w:rPr>
        <w:t xml:space="preserve"> for 7 d does increase total glutathione content (8). There is also evidence that mitochondrial damage, by reducing metabolic activity, may influence cellular uptake of HMPAO (14,23,34). Our previous studies have also demonstrated a decrease in mitochondrial complex I activity and an increase in mitochondrial complex III and IV activity with hyperoxia exposure (5,8). In addition, studies in brain and muscle cells suggest that the extracellular environment, by modifying the amount of lipophilic HMPAO available to lung cells either by systemic uptake or by conversion of the lipo- to the hydro-form of HMPAO extracellularly, may influence HMPAO cellular uptake (14,35-37). </w:t>
      </w:r>
    </w:p>
    <w:p w14:paraId="2E10B393" w14:textId="77777777" w:rsidR="00C31312" w:rsidRPr="00C31312" w:rsidRDefault="00C31312" w:rsidP="00C31312">
      <w:pPr>
        <w:rPr>
          <w:rFonts w:cstheme="minorHAnsi"/>
        </w:rPr>
      </w:pPr>
      <w:r w:rsidRPr="00C31312">
        <w:rPr>
          <w:rFonts w:cstheme="minorHAnsi"/>
        </w:rPr>
        <w:t xml:space="preserve">Another factor that must be recognized when interpreting changes in lung uptake of HMPAO in this hyperoxia model is the significant loss of endothelial cells over the time of exposure-that is, capillary surface area is decreased to approximately 50% and 60% of the control value at 7 and 14 d of exposure, respectively (6). Although our results cannot determine the type of cells that account for the lung tissue uptake of HMPAO, the pulmonary capillary endothelium with its large surface area and direct contact with the blood must certainly play a key role in HMPAO uptake. In addition, imaging measures of uptake are dependent on both the number of cells that take up HMPAO and the amount of HMPAO retained within the cell. Thus, at 7 d of exposure, for example, given the approximately 75% increase in HMPAO lung uptake reported here, and an approximately 50% decrease in capillary surface, it appears that cellular uptake of HMPAO increased by a factor of 3.5, compared with control lungs. </w:t>
      </w:r>
    </w:p>
    <w:p w14:paraId="51C5D895" w14:textId="77777777" w:rsidR="00C31312" w:rsidRPr="00C31312" w:rsidRDefault="00C31312" w:rsidP="00C31312">
      <w:pPr>
        <w:rPr>
          <w:rFonts w:cstheme="minorHAnsi"/>
        </w:rPr>
      </w:pPr>
      <w:r w:rsidRPr="00C31312">
        <w:rPr>
          <w:rFonts w:cstheme="minorHAnsi"/>
        </w:rPr>
        <w:lastRenderedPageBreak/>
        <w:t>Duramycin binds the head group of phosphatidylethanolamine with high affinity at a molar ratio of 1:1. Phosphatidylethanolamine is available for binding in apoptotic cells because of externalization and in necrotic cells when the plasma membrane is compromised (29,31). Using cultured lymphocytes, Zhao et al. demonstrated a 32 times greater uptake of duramycin in apoptotic cells than in control cells (30). Previous biodistribution studies in the rat showed slight but measurable uptake of duramycin in the lungs of healthy control animals (30), which is consistent with the data presented here. Duramycin uptake in the lungs of hyperoxic rats increased out to 7 d of hyperoxia exposure similar to HMPAO. However, in contrast to HMPAO, duramycin uptake then decreased and was the same as that measured in control animals by 21 d of exposure. In vivo lung uptake of duramycin reported in this study likely reflects overall cell death (32). In fact, the time course of increased duramycin uptake during the hyperoxic lung injury observed here (Fig. 5) appears to parallel the rate of loss of endothelial cells reported previously by Crapo et al. (6) and the loss of body weight of the animals in this study (Fig. 1). Our proposed interpretation of these results is that out to 7 d both HMPAO and duramycin lung uptake in hyperoxic rats increase because of increases in the redox status and apoptosis or necrosis, respectively. After 7 d, the redox status remains high because of the continued high O</w:t>
      </w:r>
      <w:r w:rsidRPr="001D4119">
        <w:rPr>
          <w:rFonts w:cstheme="minorHAnsi"/>
          <w:vertAlign w:val="subscript"/>
        </w:rPr>
        <w:t>2</w:t>
      </w:r>
      <w:r w:rsidRPr="00C31312">
        <w:rPr>
          <w:rFonts w:cstheme="minorHAnsi"/>
        </w:rPr>
        <w:t xml:space="preserve"> exposure (high HMPAO uptake), whereas apoptosis or necrosis and the rate of endothelial cell loss decrease (low duramycin uptake). In essence, imaging with these 2 agents has the potential to distinguish both the extent and the different stages of the lung injury. </w:t>
      </w:r>
    </w:p>
    <w:p w14:paraId="2E129F3A" w14:textId="77777777" w:rsidR="00C31312" w:rsidRPr="00C31312" w:rsidRDefault="00C31312" w:rsidP="00C31312">
      <w:pPr>
        <w:rPr>
          <w:rFonts w:cstheme="minorHAnsi"/>
        </w:rPr>
      </w:pPr>
      <w:r w:rsidRPr="00C31312">
        <w:rPr>
          <w:rFonts w:cstheme="minorHAnsi"/>
        </w:rPr>
        <w:t xml:space="preserve">In this study, we opted to use in vivo planar imaging with a single modular g-camera. The advantage of this approach over full 3-dimensional SPECT is that the equipment required is readily available and affordable and the experimental methods and analysis are straightforward. Moreover, hyperoxic lung injury is thought to be a relatively homogeneous injury throughout the lung so that SPECT would not be expected to provide any additional information about total HMPAO or duramycin retention within the lung. Nonetheless, future studies using 3- dimensional SPECT will facilitate delineation of the entire lung without concern for liver contribution and regional analysis within the lung. </w:t>
      </w:r>
    </w:p>
    <w:p w14:paraId="1B733868" w14:textId="77777777" w:rsidR="00C31312" w:rsidRPr="00C31312" w:rsidRDefault="00C31312" w:rsidP="00E722B7">
      <w:pPr>
        <w:pStyle w:val="Heading1"/>
      </w:pPr>
      <w:r w:rsidRPr="00C31312">
        <w:t xml:space="preserve">CONCLUSION </w:t>
      </w:r>
    </w:p>
    <w:p w14:paraId="2E47BA6F" w14:textId="77777777" w:rsidR="00C31312" w:rsidRPr="00C31312" w:rsidRDefault="00C31312" w:rsidP="00C31312">
      <w:pPr>
        <w:rPr>
          <w:rFonts w:cstheme="minorHAnsi"/>
        </w:rPr>
      </w:pPr>
      <w:r w:rsidRPr="00C31312">
        <w:rPr>
          <w:rFonts w:cstheme="minorHAnsi"/>
        </w:rPr>
        <w:t>In this study, the effect of hyperoxia on the lung uptake of radiolabeled HMPAO and duramycin was evaluated in vivo. The results suggest that the pattern of the change in biomarker uptake could be useful for differentiating the early inflammatory phase from the subsequent adapted phase of this lung injury model. This delineation is important because patients requiring high O</w:t>
      </w:r>
      <w:r w:rsidRPr="001D4119">
        <w:rPr>
          <w:rFonts w:cstheme="minorHAnsi"/>
          <w:vertAlign w:val="subscript"/>
        </w:rPr>
        <w:t>2</w:t>
      </w:r>
      <w:r w:rsidRPr="00C31312">
        <w:rPr>
          <w:rFonts w:cstheme="minorHAnsi"/>
        </w:rPr>
        <w:t xml:space="preserve"> come with differing tolerances of hyperoxia based on genetics, preconditioning, or other factors; real-time information that would permit clinicians to determine which patients are developing O</w:t>
      </w:r>
      <w:r w:rsidRPr="001D4119">
        <w:rPr>
          <w:rFonts w:cstheme="minorHAnsi"/>
          <w:vertAlign w:val="subscript"/>
        </w:rPr>
        <w:t>2</w:t>
      </w:r>
      <w:r w:rsidRPr="00C31312">
        <w:rPr>
          <w:rFonts w:cstheme="minorHAnsi"/>
        </w:rPr>
        <w:t xml:space="preserve"> toxicity or tolerance could be of significant value. The results of this study demonstrate substantial uptake of these agents in both normal and injured lung tissue, suggesting their potential clinical utility as pulmonary injury biomarkers. Finally, the approach taken here may be applicable for evaluating the utility of other SPECT biomarkers for assessing lung injury. </w:t>
      </w:r>
    </w:p>
    <w:p w14:paraId="10C80733" w14:textId="77777777" w:rsidR="00C31312" w:rsidRPr="00C31312" w:rsidRDefault="00C31312" w:rsidP="00E722B7">
      <w:pPr>
        <w:pStyle w:val="Heading1"/>
      </w:pPr>
      <w:r w:rsidRPr="00C31312">
        <w:t xml:space="preserve">DISCLOSURE STATEMENT </w:t>
      </w:r>
    </w:p>
    <w:p w14:paraId="64C8DEF4" w14:textId="77777777" w:rsidR="00C31312" w:rsidRPr="00C31312" w:rsidRDefault="00C31312" w:rsidP="00C31312">
      <w:pPr>
        <w:rPr>
          <w:rFonts w:cstheme="minorHAnsi"/>
        </w:rPr>
      </w:pPr>
      <w:r w:rsidRPr="00C31312">
        <w:rPr>
          <w:rFonts w:cstheme="minorHAnsi"/>
        </w:rPr>
        <w:t xml:space="preserve">The costs of publication of this article were defrayed in part by the payment of page charges. Therefore, and solely to indicate this fact, this article is hereby marked "advertisement" in accordance with 18 USC section 1734. </w:t>
      </w:r>
    </w:p>
    <w:p w14:paraId="091E3606" w14:textId="77777777" w:rsidR="00C31312" w:rsidRPr="00C31312" w:rsidRDefault="00C31312" w:rsidP="00E722B7">
      <w:pPr>
        <w:pStyle w:val="Heading1"/>
      </w:pPr>
      <w:r w:rsidRPr="00C31312">
        <w:t xml:space="preserve">ACKNOWLEDGMENTS </w:t>
      </w:r>
    </w:p>
    <w:p w14:paraId="670B2F90" w14:textId="77777777" w:rsidR="00C31312" w:rsidRPr="00C31312" w:rsidRDefault="00C31312" w:rsidP="00C31312">
      <w:pPr>
        <w:rPr>
          <w:rFonts w:cstheme="minorHAnsi"/>
        </w:rPr>
      </w:pPr>
      <w:r w:rsidRPr="00C31312">
        <w:rPr>
          <w:rFonts w:cstheme="minorHAnsi"/>
        </w:rPr>
        <w:t xml:space="preserve">We are grateful to Dr. Ming Zhao (Northwestern University) for producing the duramycin kits and to Drs. Harrison H. Barrett and Lars R. Furenlid (University of Arizona) for providing extensive technical assistance with </w:t>
      </w:r>
      <w:r w:rsidRPr="00C31312">
        <w:rPr>
          <w:rFonts w:cstheme="minorHAnsi"/>
        </w:rPr>
        <w:lastRenderedPageBreak/>
        <w:t xml:space="preserve">the camera hardware and software. This work was supported in part by NIH UL1RR031973, NHLBI 24349, and the Department of Veterans Affairs. No other potential conflict of interest relevant to this article was reported. </w:t>
      </w:r>
    </w:p>
    <w:p w14:paraId="332C87AC" w14:textId="77777777" w:rsidR="00C31312" w:rsidRPr="00C31312" w:rsidRDefault="00C31312" w:rsidP="00E722B7">
      <w:pPr>
        <w:pStyle w:val="Heading1"/>
      </w:pPr>
      <w:r w:rsidRPr="00C31312">
        <w:t>References</w:t>
      </w:r>
    </w:p>
    <w:p w14:paraId="7826BBFB" w14:textId="77777777" w:rsidR="00C31312" w:rsidRPr="00C31312" w:rsidRDefault="00C31312" w:rsidP="007F5AF6">
      <w:pPr>
        <w:pStyle w:val="NoSpacing"/>
        <w:ind w:left="720" w:hanging="720"/>
      </w:pPr>
      <w:r w:rsidRPr="00C31312">
        <w:t xml:space="preserve">1. Capellier G, Maupoil V, Boussat S, Laurent E, Neidhardt A. Oxygen toxicity and tolerance. Minerva Anestesiol. </w:t>
      </w:r>
      <w:proofErr w:type="gramStart"/>
      <w:r w:rsidRPr="00C31312">
        <w:t>1999;65:388</w:t>
      </w:r>
      <w:proofErr w:type="gramEnd"/>
      <w:r w:rsidRPr="00C31312">
        <w:t xml:space="preserve">-392. </w:t>
      </w:r>
    </w:p>
    <w:p w14:paraId="01067B02" w14:textId="77777777" w:rsidR="00C31312" w:rsidRPr="00C31312" w:rsidRDefault="00C31312" w:rsidP="007F5AF6">
      <w:pPr>
        <w:pStyle w:val="NoSpacing"/>
        <w:ind w:left="720" w:hanging="720"/>
      </w:pPr>
      <w:r w:rsidRPr="00C31312">
        <w:t>2. Fisher AB and Beers MF. Hyperoxia and acute lung injury. Am J Physiol Lung Cell Mol Physiol. 2008;</w:t>
      </w:r>
      <w:proofErr w:type="gramStart"/>
      <w:r w:rsidRPr="00C31312">
        <w:t>295:L</w:t>
      </w:r>
      <w:proofErr w:type="gramEnd"/>
      <w:r w:rsidRPr="00C31312">
        <w:t xml:space="preserve">1066; author reply L1067. </w:t>
      </w:r>
    </w:p>
    <w:p w14:paraId="70A9A1B6" w14:textId="77777777" w:rsidR="00C31312" w:rsidRPr="00C31312" w:rsidRDefault="00C31312" w:rsidP="007F5AF6">
      <w:pPr>
        <w:pStyle w:val="NoSpacing"/>
        <w:ind w:left="720" w:hanging="720"/>
      </w:pPr>
      <w:r w:rsidRPr="00C31312">
        <w:t xml:space="preserve">3. Fisher AB, Forman HJ, Glass M. Mechanisms of pulmonary oxygen toxicity. Lung. </w:t>
      </w:r>
      <w:proofErr w:type="gramStart"/>
      <w:r w:rsidRPr="00C31312">
        <w:t>1984;162:255</w:t>
      </w:r>
      <w:proofErr w:type="gramEnd"/>
      <w:r w:rsidRPr="00C31312">
        <w:t xml:space="preserve">-259. </w:t>
      </w:r>
    </w:p>
    <w:p w14:paraId="36ADC6D8" w14:textId="77777777" w:rsidR="00C31312" w:rsidRPr="00C31312" w:rsidRDefault="00C31312" w:rsidP="007F5AF6">
      <w:pPr>
        <w:pStyle w:val="NoSpacing"/>
        <w:ind w:left="720" w:hanging="720"/>
      </w:pPr>
      <w:r w:rsidRPr="00C31312">
        <w:t xml:space="preserve">4. Brueckl C, Kaestle S, Kerem A, et al. Hyperoxia-induced reactive oxygen species formation in pulmonary capillary endothelial cells in situ. Am J Respir Cell Mol Biol. </w:t>
      </w:r>
      <w:proofErr w:type="gramStart"/>
      <w:r w:rsidRPr="00C31312">
        <w:t>2006;34:453</w:t>
      </w:r>
      <w:proofErr w:type="gramEnd"/>
      <w:r w:rsidRPr="00C31312">
        <w:t xml:space="preserve">-463. </w:t>
      </w:r>
    </w:p>
    <w:p w14:paraId="43B217EC" w14:textId="77777777" w:rsidR="00C31312" w:rsidRPr="00C31312" w:rsidRDefault="00C31312" w:rsidP="007F5AF6">
      <w:pPr>
        <w:pStyle w:val="NoSpacing"/>
        <w:ind w:left="720" w:hanging="720"/>
      </w:pPr>
      <w:r w:rsidRPr="00C31312">
        <w:t xml:space="preserve">5. Audi SH, Merker MP, Krenz GS, Ahuja T, Roerig DL, Bongard RD. Coenzyme Q1 redox metabolism during passage through the rat pulmonary circulation and the effect of hyperoxia. J Appl Physiol. </w:t>
      </w:r>
      <w:proofErr w:type="gramStart"/>
      <w:r w:rsidRPr="00C31312">
        <w:t>2008;105:1114</w:t>
      </w:r>
      <w:proofErr w:type="gramEnd"/>
      <w:r w:rsidRPr="00C31312">
        <w:t xml:space="preserve">-1126. </w:t>
      </w:r>
    </w:p>
    <w:p w14:paraId="224C8F34" w14:textId="77777777" w:rsidR="00C31312" w:rsidRPr="00C31312" w:rsidRDefault="00C31312" w:rsidP="007F5AF6">
      <w:pPr>
        <w:pStyle w:val="NoSpacing"/>
        <w:ind w:left="720" w:hanging="720"/>
      </w:pPr>
      <w:r w:rsidRPr="00C31312">
        <w:t xml:space="preserve">6. Crapo JD, Barry BE, Foscue HA, Shelburne J. Structural and biochemical changes in rat lungs occurring during exposures to lethal and adaptive doses of oxygen. Am Rev Respir Dis. </w:t>
      </w:r>
      <w:proofErr w:type="gramStart"/>
      <w:r w:rsidRPr="00C31312">
        <w:t>1980;122:123</w:t>
      </w:r>
      <w:proofErr w:type="gramEnd"/>
      <w:r w:rsidRPr="00C31312">
        <w:t xml:space="preserve">-143. </w:t>
      </w:r>
    </w:p>
    <w:p w14:paraId="6E1E88E4" w14:textId="77777777" w:rsidR="00C31312" w:rsidRPr="00C31312" w:rsidRDefault="00C31312" w:rsidP="007F5AF6">
      <w:pPr>
        <w:pStyle w:val="NoSpacing"/>
        <w:ind w:left="720" w:hanging="720"/>
      </w:pPr>
      <w:r w:rsidRPr="00C31312">
        <w:t>7. Matute-Bello G, Frevert CW, Martin TR. Animal models of acute lung injury. Am J Physiol Lung Cell Mol Physiol. 2008;</w:t>
      </w:r>
      <w:proofErr w:type="gramStart"/>
      <w:r w:rsidRPr="00C31312">
        <w:t>295:L</w:t>
      </w:r>
      <w:proofErr w:type="gramEnd"/>
      <w:r w:rsidRPr="00C31312">
        <w:t xml:space="preserve">379-L399. </w:t>
      </w:r>
    </w:p>
    <w:p w14:paraId="24768C37" w14:textId="77777777" w:rsidR="00C31312" w:rsidRPr="00C31312" w:rsidRDefault="00C31312" w:rsidP="007F5AF6">
      <w:pPr>
        <w:pStyle w:val="NoSpacing"/>
        <w:ind w:left="720" w:hanging="720"/>
      </w:pPr>
      <w:r w:rsidRPr="00C31312">
        <w:t xml:space="preserve">8. Gan Z, Roerig DL, Clough AV, Audi SH. Differential responses of targeted lung redox enzymes to rat exposure to 60 or 85% oxygen. J Appl Physiol. </w:t>
      </w:r>
      <w:proofErr w:type="gramStart"/>
      <w:r w:rsidRPr="00C31312">
        <w:t>2011;111:95</w:t>
      </w:r>
      <w:proofErr w:type="gramEnd"/>
      <w:r w:rsidRPr="00C31312">
        <w:t xml:space="preserve">-107. </w:t>
      </w:r>
    </w:p>
    <w:p w14:paraId="72EDD758" w14:textId="77777777" w:rsidR="00C31312" w:rsidRPr="00C31312" w:rsidRDefault="00C31312" w:rsidP="007F5AF6">
      <w:pPr>
        <w:pStyle w:val="NoSpacing"/>
        <w:ind w:left="720" w:hanging="720"/>
      </w:pPr>
      <w:r w:rsidRPr="00C31312">
        <w:t xml:space="preserve">9. Ramakrishna M, Gan Z, Clough AV, Molthen RC, Roerig DL, Audi SH. Distribution of capillary transit times in isolated lungs of oxygen-tolerant rats. Ann Biomed Eng. </w:t>
      </w:r>
      <w:proofErr w:type="gramStart"/>
      <w:r w:rsidRPr="00C31312">
        <w:t>2010;38:3449</w:t>
      </w:r>
      <w:proofErr w:type="gramEnd"/>
      <w:r w:rsidRPr="00C31312">
        <w:t xml:space="preserve">-3465. </w:t>
      </w:r>
    </w:p>
    <w:p w14:paraId="296B421B" w14:textId="77777777" w:rsidR="00C31312" w:rsidRPr="00C31312" w:rsidRDefault="00C31312" w:rsidP="007F5AF6">
      <w:pPr>
        <w:pStyle w:val="NoSpacing"/>
        <w:ind w:left="720" w:hanging="720"/>
      </w:pPr>
      <w:r w:rsidRPr="00C31312">
        <w:t xml:space="preserve">10. Audi SH, Olson LE, Bongard RD, Roerig DL, Schulte ML, Dawson CA. Toluidine blue O and methylene blue as endothelial redox probes in the intact lung. Am J Physiol Heart Circ Physiol. 2000;278:H137-H150. </w:t>
      </w:r>
    </w:p>
    <w:p w14:paraId="12D3D875" w14:textId="77777777" w:rsidR="00C31312" w:rsidRPr="00C31312" w:rsidRDefault="00C31312" w:rsidP="007F5AF6">
      <w:pPr>
        <w:pStyle w:val="NoSpacing"/>
        <w:ind w:left="720" w:hanging="720"/>
      </w:pPr>
      <w:r w:rsidRPr="00C31312">
        <w:t>11. Audi SH, Bongard RD, Dawson CA, Siegel D, Roerig DL, Merker MP. Duroquinone reduction during passage through the pulmonary circulation. Am J Physiol Lung Cell Mol Physiol. 2003;</w:t>
      </w:r>
      <w:proofErr w:type="gramStart"/>
      <w:r w:rsidRPr="00C31312">
        <w:t>285:L</w:t>
      </w:r>
      <w:proofErr w:type="gramEnd"/>
      <w:r w:rsidRPr="00C31312">
        <w:t xml:space="preserve">1116-L1131. </w:t>
      </w:r>
    </w:p>
    <w:p w14:paraId="6423C164" w14:textId="77777777" w:rsidR="00C31312" w:rsidRPr="00C31312" w:rsidRDefault="00C31312" w:rsidP="007F5AF6">
      <w:pPr>
        <w:pStyle w:val="NoSpacing"/>
        <w:ind w:left="720" w:hanging="720"/>
      </w:pPr>
      <w:r w:rsidRPr="00C31312">
        <w:t>12. Audi SH, Bongard RD, Krenz GS, et al. Effect of chronic hyperoxic exposure on duroquinone reduction in adult rat lungs. Am J Physiol Lung Cell Mol Physiol. 2005;</w:t>
      </w:r>
      <w:proofErr w:type="gramStart"/>
      <w:r w:rsidRPr="00C31312">
        <w:t>289:L</w:t>
      </w:r>
      <w:proofErr w:type="gramEnd"/>
      <w:r w:rsidRPr="00C31312">
        <w:t xml:space="preserve">788-L797. </w:t>
      </w:r>
    </w:p>
    <w:p w14:paraId="4ABEFEB5" w14:textId="77777777" w:rsidR="00C31312" w:rsidRPr="00C31312" w:rsidRDefault="00C31312" w:rsidP="007F5AF6">
      <w:pPr>
        <w:pStyle w:val="NoSpacing"/>
        <w:ind w:left="720" w:hanging="720"/>
      </w:pPr>
      <w:r w:rsidRPr="00C31312">
        <w:t xml:space="preserve">13. Catafau AM. Brain SPECT in clinical practice part I: perfusion. J Nucl Med. </w:t>
      </w:r>
      <w:proofErr w:type="gramStart"/>
      <w:r w:rsidRPr="00C31312">
        <w:t>2001;42:259</w:t>
      </w:r>
      <w:proofErr w:type="gramEnd"/>
      <w:r w:rsidRPr="00C31312">
        <w:t xml:space="preserve">-271. </w:t>
      </w:r>
    </w:p>
    <w:p w14:paraId="1C3E3661" w14:textId="77777777" w:rsidR="00C31312" w:rsidRPr="00C31312" w:rsidRDefault="00C31312" w:rsidP="007F5AF6">
      <w:pPr>
        <w:pStyle w:val="NoSpacing"/>
        <w:ind w:left="720" w:hanging="720"/>
      </w:pPr>
      <w:r w:rsidRPr="00C31312">
        <w:t xml:space="preserve">14. Gardner A, Pagani M, Beier H, Jacobsson H, Larsson S, Hallstrom T. </w:t>
      </w:r>
      <w:r w:rsidRPr="006F197C">
        <w:rPr>
          <w:vertAlign w:val="superscript"/>
        </w:rPr>
        <w:t>99m</w:t>
      </w:r>
      <w:r w:rsidRPr="00C31312">
        <w:t xml:space="preserve">Tc- HMPAO distribution at SPECT is associated with succinate-cytochrome c reductase (SCR) activity in subjects with psychiatric disorders. Nucl Med Biol. </w:t>
      </w:r>
      <w:proofErr w:type="gramStart"/>
      <w:r w:rsidRPr="00C31312">
        <w:t>2004;31:277</w:t>
      </w:r>
      <w:proofErr w:type="gramEnd"/>
      <w:r w:rsidRPr="00C31312">
        <w:t xml:space="preserve">-282. </w:t>
      </w:r>
    </w:p>
    <w:p w14:paraId="19B8EBCD" w14:textId="77777777" w:rsidR="00C31312" w:rsidRPr="00C31312" w:rsidRDefault="00C31312" w:rsidP="007F5AF6">
      <w:pPr>
        <w:pStyle w:val="NoSpacing"/>
        <w:ind w:left="720" w:hanging="720"/>
      </w:pPr>
      <w:r w:rsidRPr="00C31312">
        <w:t xml:space="preserve">15. Habert MO, Horn JF, Sarazin M, et al. Brain perfusion SPECT with an automated quantitative tool can identify prodromal Alzheimer's disease among patients with mild cognitive impairment. Neurobiol Aging. </w:t>
      </w:r>
      <w:proofErr w:type="gramStart"/>
      <w:r w:rsidRPr="00C31312">
        <w:t>2011;32:15</w:t>
      </w:r>
      <w:proofErr w:type="gramEnd"/>
      <w:r w:rsidRPr="00C31312">
        <w:t xml:space="preserve">-23. </w:t>
      </w:r>
    </w:p>
    <w:p w14:paraId="663AD2AA" w14:textId="77777777" w:rsidR="00C31312" w:rsidRPr="00C31312" w:rsidRDefault="00C31312" w:rsidP="007F5AF6">
      <w:pPr>
        <w:pStyle w:val="NoSpacing"/>
        <w:ind w:left="720" w:hanging="720"/>
      </w:pPr>
      <w:r w:rsidRPr="00C31312">
        <w:t>16. Kaya GC, Ertay T, Tuna B, et al. Technetium-</w:t>
      </w:r>
      <w:r w:rsidRPr="006F197C">
        <w:rPr>
          <w:vertAlign w:val="superscript"/>
        </w:rPr>
        <w:t>99m</w:t>
      </w:r>
      <w:r w:rsidRPr="00C31312">
        <w:t xml:space="preserve"> hexamethylpropylene amine oxime lung scintigraphy findings in low-dose amiodarone therapy. Lung. </w:t>
      </w:r>
      <w:proofErr w:type="gramStart"/>
      <w:r w:rsidRPr="00C31312">
        <w:t>2006;184:57</w:t>
      </w:r>
      <w:proofErr w:type="gramEnd"/>
      <w:r w:rsidRPr="00C31312">
        <w:t xml:space="preserve">-61. </w:t>
      </w:r>
    </w:p>
    <w:p w14:paraId="79B0B0A0" w14:textId="77777777" w:rsidR="00C31312" w:rsidRPr="00C31312" w:rsidRDefault="00C31312" w:rsidP="007F5AF6">
      <w:pPr>
        <w:pStyle w:val="NoSpacing"/>
        <w:ind w:left="720" w:hanging="720"/>
      </w:pPr>
      <w:r w:rsidRPr="00C31312">
        <w:t xml:space="preserve">17. Nobili F, Koulibaly PM, Rodriguez G, et al. </w:t>
      </w:r>
      <w:r w:rsidRPr="006F197C">
        <w:rPr>
          <w:vertAlign w:val="superscript"/>
        </w:rPr>
        <w:t>99m</w:t>
      </w:r>
      <w:r w:rsidRPr="00C31312">
        <w:t xml:space="preserve">Tc-HMPAO and </w:t>
      </w:r>
      <w:r w:rsidRPr="006F197C">
        <w:rPr>
          <w:vertAlign w:val="superscript"/>
        </w:rPr>
        <w:t>99m</w:t>
      </w:r>
      <w:r w:rsidRPr="00C31312">
        <w:t xml:space="preserve">Tc-ECD brain uptake correlates of verbal memory in Alzheimer's disease. Q J Nucl Med Mol Imaging. </w:t>
      </w:r>
      <w:proofErr w:type="gramStart"/>
      <w:r w:rsidRPr="00C31312">
        <w:t>2007;51:357</w:t>
      </w:r>
      <w:proofErr w:type="gramEnd"/>
      <w:r w:rsidRPr="00C31312">
        <w:t xml:space="preserve">-363. </w:t>
      </w:r>
    </w:p>
    <w:p w14:paraId="0A74E769" w14:textId="77777777" w:rsidR="00C31312" w:rsidRPr="00C31312" w:rsidRDefault="00C31312" w:rsidP="007F5AF6">
      <w:pPr>
        <w:pStyle w:val="NoSpacing"/>
        <w:ind w:left="720" w:hanging="720"/>
      </w:pPr>
      <w:r w:rsidRPr="00C31312">
        <w:t xml:space="preserve">18. Eicker SO, Turowski B, Heiroth HJ, Steiger HJ, Hänggi D. A comparative study of perfusion CT and </w:t>
      </w:r>
      <w:r w:rsidRPr="006F197C">
        <w:rPr>
          <w:vertAlign w:val="superscript"/>
        </w:rPr>
        <w:t>99m</w:t>
      </w:r>
      <w:r w:rsidRPr="00C31312">
        <w:t xml:space="preserve"> Tc-HMPAO SPECT measurement to assess cerebrovascular reserve capacity in patients with internal carotid artery occlusion. Eur J Med Res. </w:t>
      </w:r>
      <w:proofErr w:type="gramStart"/>
      <w:r w:rsidRPr="00C31312">
        <w:t>2011;16:484</w:t>
      </w:r>
      <w:proofErr w:type="gramEnd"/>
      <w:r w:rsidRPr="00C31312">
        <w:t xml:space="preserve">-490. </w:t>
      </w:r>
    </w:p>
    <w:p w14:paraId="41DE4F3B" w14:textId="77777777" w:rsidR="00C31312" w:rsidRPr="00C31312" w:rsidRDefault="00C31312" w:rsidP="007F5AF6">
      <w:pPr>
        <w:pStyle w:val="NoSpacing"/>
        <w:ind w:left="720" w:hanging="720"/>
      </w:pPr>
      <w:r w:rsidRPr="00C31312">
        <w:t xml:space="preserve">19. Oku N, Kashiwagi K, Hatazawa J. Nuclear neuroimaging in acute and subacute ischemic stroke. Ann Nucl Med. </w:t>
      </w:r>
      <w:proofErr w:type="gramStart"/>
      <w:r w:rsidRPr="00C31312">
        <w:t>2010;24:629</w:t>
      </w:r>
      <w:proofErr w:type="gramEnd"/>
      <w:r w:rsidRPr="00C31312">
        <w:t xml:space="preserve">-638. </w:t>
      </w:r>
    </w:p>
    <w:p w14:paraId="08926B18" w14:textId="77777777" w:rsidR="00C31312" w:rsidRPr="00C31312" w:rsidRDefault="00C31312" w:rsidP="007F5AF6">
      <w:pPr>
        <w:pStyle w:val="NoSpacing"/>
        <w:ind w:left="720" w:hanging="720"/>
      </w:pPr>
      <w:r w:rsidRPr="00C31312">
        <w:t>20. Andersen AR, Friberg H, Knudsen KBM, et al. Extraction of [</w:t>
      </w:r>
      <w:r w:rsidRPr="006F197C">
        <w:rPr>
          <w:vertAlign w:val="superscript"/>
        </w:rPr>
        <w:t>99m</w:t>
      </w:r>
      <w:r w:rsidRPr="00C31312">
        <w:t>Tc]-</w:t>
      </w:r>
      <w:proofErr w:type="gramStart"/>
      <w:r w:rsidRPr="00C31312">
        <w:t>d,l</w:t>
      </w:r>
      <w:proofErr w:type="gramEnd"/>
      <w:r w:rsidRPr="00C31312">
        <w:t>-HMPAO across the blood-brain barrier. J Cereb Blood Flow Metab. 1988;</w:t>
      </w:r>
      <w:proofErr w:type="gramStart"/>
      <w:r w:rsidRPr="00C31312">
        <w:t>8:S</w:t>
      </w:r>
      <w:proofErr w:type="gramEnd"/>
      <w:r w:rsidRPr="00C31312">
        <w:t xml:space="preserve">44-S51. </w:t>
      </w:r>
    </w:p>
    <w:p w14:paraId="74233754" w14:textId="77777777" w:rsidR="00C31312" w:rsidRPr="00C31312" w:rsidRDefault="00C31312" w:rsidP="007F5AF6">
      <w:pPr>
        <w:pStyle w:val="NoSpacing"/>
        <w:ind w:left="720" w:hanging="720"/>
      </w:pPr>
      <w:r w:rsidRPr="00C31312">
        <w:t xml:space="preserve">21. Inoue K, Nakagawa M, Goto R, et al. </w:t>
      </w:r>
      <w:proofErr w:type="gramStart"/>
      <w:r w:rsidRPr="00C31312">
        <w:t>Regional</w:t>
      </w:r>
      <w:proofErr w:type="gramEnd"/>
      <w:r w:rsidRPr="00C31312">
        <w:t xml:space="preserve"> differences between </w:t>
      </w:r>
      <w:r w:rsidRPr="006F197C">
        <w:rPr>
          <w:vertAlign w:val="superscript"/>
        </w:rPr>
        <w:t>99m</w:t>
      </w:r>
      <w:r w:rsidRPr="00C31312">
        <w:t xml:space="preserve">Tc-ECD and </w:t>
      </w:r>
      <w:r w:rsidRPr="006F197C">
        <w:rPr>
          <w:vertAlign w:val="superscript"/>
        </w:rPr>
        <w:t>99m</w:t>
      </w:r>
      <w:r w:rsidRPr="00C31312">
        <w:t xml:space="preserve">Tc-HMPAO SPET in perfusion changes with age and gender in healthy adults. Eur J Nucl Med Mol Imaging. </w:t>
      </w:r>
      <w:proofErr w:type="gramStart"/>
      <w:r w:rsidRPr="00C31312">
        <w:t>2003;30:1489</w:t>
      </w:r>
      <w:proofErr w:type="gramEnd"/>
      <w:r w:rsidRPr="00C31312">
        <w:t xml:space="preserve">-1497. </w:t>
      </w:r>
    </w:p>
    <w:p w14:paraId="060E99E4" w14:textId="77777777" w:rsidR="00C31312" w:rsidRPr="00C31312" w:rsidRDefault="00C31312" w:rsidP="007F5AF6">
      <w:pPr>
        <w:pStyle w:val="NoSpacing"/>
        <w:ind w:left="720" w:hanging="720"/>
      </w:pPr>
      <w:r w:rsidRPr="00C31312">
        <w:lastRenderedPageBreak/>
        <w:t xml:space="preserve">22. Liu FY, Shian YC, Huang WT, Kao CH. Usefulness of technetium-99m hexamethylpropylene amine oxime lung scan to detect sub-clinical lung injury of patients with breast cancer after chemotherapy. Anticancer Res. </w:t>
      </w:r>
      <w:proofErr w:type="gramStart"/>
      <w:r w:rsidRPr="00C31312">
        <w:t>2003;23:3505</w:t>
      </w:r>
      <w:proofErr w:type="gramEnd"/>
      <w:r w:rsidRPr="00C31312">
        <w:t xml:space="preserve">-3507. </w:t>
      </w:r>
    </w:p>
    <w:p w14:paraId="7932636A" w14:textId="77777777" w:rsidR="00C31312" w:rsidRPr="00C31312" w:rsidRDefault="00C31312" w:rsidP="007F5AF6">
      <w:pPr>
        <w:pStyle w:val="NoSpacing"/>
        <w:ind w:left="720" w:hanging="720"/>
      </w:pPr>
      <w:r w:rsidRPr="00C31312">
        <w:t xml:space="preserve">23. Hang LW, Shiau YC, Hsu WH, Tsai JJ, Yeh JJ, Kao A. Increased lung uptake of technetium-99m hexamethylpropylene amine oxime in diffuse infiltrative lung disease. Respiration. </w:t>
      </w:r>
      <w:proofErr w:type="gramStart"/>
      <w:r w:rsidRPr="00C31312">
        <w:t>2003;70:479</w:t>
      </w:r>
      <w:proofErr w:type="gramEnd"/>
      <w:r w:rsidRPr="00C31312">
        <w:t xml:space="preserve">-483. </w:t>
      </w:r>
    </w:p>
    <w:p w14:paraId="1D1CE46D" w14:textId="77777777" w:rsidR="00C31312" w:rsidRPr="00C31312" w:rsidRDefault="00C31312" w:rsidP="007F5AF6">
      <w:pPr>
        <w:pStyle w:val="NoSpacing"/>
        <w:ind w:left="720" w:hanging="720"/>
      </w:pPr>
      <w:r w:rsidRPr="00C31312">
        <w:t xml:space="preserve">24. Suga K, Uchisako H, Nishigauchi K, et al. Technetium-99m-HMPAO as a marker of chemical and irradiation lung injury: experimental and clinical investigations. J Nucl Med. </w:t>
      </w:r>
      <w:proofErr w:type="gramStart"/>
      <w:r w:rsidRPr="00C31312">
        <w:t>1994;35:1520</w:t>
      </w:r>
      <w:proofErr w:type="gramEnd"/>
      <w:r w:rsidRPr="00C31312">
        <w:t xml:space="preserve">-1527. </w:t>
      </w:r>
    </w:p>
    <w:p w14:paraId="7873FA71" w14:textId="77777777" w:rsidR="00C31312" w:rsidRPr="00C31312" w:rsidRDefault="00C31312" w:rsidP="007F5AF6">
      <w:pPr>
        <w:pStyle w:val="NoSpacing"/>
        <w:ind w:left="720" w:hanging="720"/>
      </w:pPr>
      <w:r w:rsidRPr="00C31312">
        <w:t xml:space="preserve">25. Kuo SJ, Yang KT, Chen DR. </w:t>
      </w:r>
      <w:proofErr w:type="gramStart"/>
      <w:r w:rsidRPr="00C31312">
        <w:t>Objective</w:t>
      </w:r>
      <w:proofErr w:type="gramEnd"/>
      <w:r w:rsidRPr="00C31312">
        <w:t xml:space="preserve"> and noninvasive detection of sub-clinical lung injury in breast cancer patients after radiotherapy. Eur J Surg Oncol. 2005; 31:954-957. </w:t>
      </w:r>
    </w:p>
    <w:p w14:paraId="145BC0E2" w14:textId="77777777" w:rsidR="00C31312" w:rsidRPr="00C31312" w:rsidRDefault="00C31312" w:rsidP="007F5AF6">
      <w:pPr>
        <w:pStyle w:val="NoSpacing"/>
        <w:ind w:left="720" w:hanging="720"/>
      </w:pPr>
      <w:r w:rsidRPr="00C31312">
        <w:t xml:space="preserve">26. Hung CJ, Liu FY, Shaiu YC, Kao A, Lin CC, Lee CC. Assessing transient pulmonary injury induced by volatile anesthetics by increased lung uptake of technetium-99m hexamethylpropylene amine oxime. Lung. </w:t>
      </w:r>
      <w:proofErr w:type="gramStart"/>
      <w:r w:rsidRPr="00C31312">
        <w:t>2003;181:1</w:t>
      </w:r>
      <w:proofErr w:type="gramEnd"/>
      <w:r w:rsidRPr="00C31312">
        <w:t xml:space="preserve">-7. </w:t>
      </w:r>
    </w:p>
    <w:p w14:paraId="1F034D15" w14:textId="77777777" w:rsidR="00C31312" w:rsidRPr="00C31312" w:rsidRDefault="00C31312" w:rsidP="007F5AF6">
      <w:pPr>
        <w:pStyle w:val="NoSpacing"/>
        <w:ind w:left="720" w:hanging="720"/>
      </w:pPr>
      <w:r w:rsidRPr="00C31312">
        <w:t xml:space="preserve">27. Shiau YC, Liu FY, Tsai JJ, Wang JJ, Ho ST, Kao A. Usefulness of technetium- 99m hexamethylpropylene amine oxime lung scan to detect inhalation lung injury of patients with pulmonary symptoms/signs but negative chest radiograph and pulmonary function test findings after a fire accident: a preliminary report. Ann Nucl Med. </w:t>
      </w:r>
      <w:proofErr w:type="gramStart"/>
      <w:r w:rsidRPr="00C31312">
        <w:t>2003;17:435</w:t>
      </w:r>
      <w:proofErr w:type="gramEnd"/>
      <w:r w:rsidRPr="00C31312">
        <w:t xml:space="preserve">-438. </w:t>
      </w:r>
    </w:p>
    <w:p w14:paraId="5CB0F432" w14:textId="77777777" w:rsidR="00C31312" w:rsidRPr="00C31312" w:rsidRDefault="00C31312" w:rsidP="007F5AF6">
      <w:pPr>
        <w:pStyle w:val="NoSpacing"/>
        <w:ind w:left="720" w:hanging="720"/>
      </w:pPr>
      <w:r w:rsidRPr="00C31312">
        <w:t xml:space="preserve">28. ShihWJ, Rehm SR, Grunwald F, et al. Lung uptake of Tc-99m HMPAO in cigarette smokers expressed by lung/liver activity ratio. Clin Nucl Med. </w:t>
      </w:r>
      <w:proofErr w:type="gramStart"/>
      <w:r w:rsidRPr="00C31312">
        <w:t>1993;18:227</w:t>
      </w:r>
      <w:proofErr w:type="gramEnd"/>
      <w:r w:rsidRPr="00C31312">
        <w:t xml:space="preserve">-230. </w:t>
      </w:r>
    </w:p>
    <w:p w14:paraId="0B950CA4" w14:textId="77777777" w:rsidR="00C31312" w:rsidRPr="00C31312" w:rsidRDefault="00C31312" w:rsidP="007F5AF6">
      <w:pPr>
        <w:pStyle w:val="NoSpacing"/>
        <w:ind w:left="720" w:hanging="720"/>
      </w:pPr>
      <w:r w:rsidRPr="00C31312">
        <w:t xml:space="preserve">29. Emoto K, Toyama-Sorimachi N, Karasuyama H, Inoue K, Umeda M. Exposure of phosphatidylethanolamine on the surface of apoptotic cells. Exp Cell Res. </w:t>
      </w:r>
      <w:proofErr w:type="gramStart"/>
      <w:r w:rsidRPr="00C31312">
        <w:t>1997;232:430</w:t>
      </w:r>
      <w:proofErr w:type="gramEnd"/>
      <w:r w:rsidRPr="00C31312">
        <w:t xml:space="preserve">-434. </w:t>
      </w:r>
    </w:p>
    <w:p w14:paraId="7012A752" w14:textId="77777777" w:rsidR="00C31312" w:rsidRPr="00C31312" w:rsidRDefault="00C31312" w:rsidP="007F5AF6">
      <w:pPr>
        <w:pStyle w:val="NoSpacing"/>
        <w:ind w:left="720" w:hanging="720"/>
      </w:pPr>
      <w:r w:rsidRPr="00C31312">
        <w:t xml:space="preserve">30. Zhao M, Li Z, Bugenhangen S. </w:t>
      </w:r>
      <w:r w:rsidRPr="0036783E">
        <w:rPr>
          <w:vertAlign w:val="superscript"/>
        </w:rPr>
        <w:t>99m</w:t>
      </w:r>
      <w:r w:rsidRPr="00C31312">
        <w:t xml:space="preserve">Tc-labeled duramycin as a novel phosphatidylethanolamine- binding molecular probe. J Nucl Med. </w:t>
      </w:r>
      <w:proofErr w:type="gramStart"/>
      <w:r w:rsidRPr="00C31312">
        <w:t>2008;49:1345</w:t>
      </w:r>
      <w:proofErr w:type="gramEnd"/>
      <w:r w:rsidRPr="00C31312">
        <w:t xml:space="preserve">-1352. </w:t>
      </w:r>
    </w:p>
    <w:p w14:paraId="16A9FA64" w14:textId="77777777" w:rsidR="00C31312" w:rsidRPr="00C31312" w:rsidRDefault="00C31312" w:rsidP="007F5AF6">
      <w:pPr>
        <w:pStyle w:val="NoSpacing"/>
        <w:ind w:left="720" w:hanging="720"/>
      </w:pPr>
      <w:r w:rsidRPr="00C31312">
        <w:t xml:space="preserve">31. Zhao M. Lantibiotics as probes for phosphatidylethanolamine. Amino Acids. </w:t>
      </w:r>
      <w:proofErr w:type="gramStart"/>
      <w:r w:rsidRPr="00C31312">
        <w:t>2011;41:1071</w:t>
      </w:r>
      <w:proofErr w:type="gramEnd"/>
      <w:r w:rsidRPr="00C31312">
        <w:t xml:space="preserve">-1079. </w:t>
      </w:r>
    </w:p>
    <w:p w14:paraId="11F77CB6" w14:textId="77777777" w:rsidR="00C31312" w:rsidRPr="00C31312" w:rsidRDefault="00C31312" w:rsidP="007F5AF6">
      <w:pPr>
        <w:pStyle w:val="NoSpacing"/>
        <w:ind w:left="720" w:hanging="720"/>
      </w:pPr>
      <w:r w:rsidRPr="00C31312">
        <w:t xml:space="preserve">32. Mantell LL, Horowitz S, Davis JM, Kazzaz JA. Hyperoxia-induced cell death in the lung: the correlation of apoptosis, necrosis, and inflammation. Ann N Y Acad Sci. </w:t>
      </w:r>
      <w:proofErr w:type="gramStart"/>
      <w:r w:rsidRPr="00C31312">
        <w:t>1999;887:171</w:t>
      </w:r>
      <w:proofErr w:type="gramEnd"/>
      <w:r w:rsidRPr="00C31312">
        <w:t xml:space="preserve">-180. </w:t>
      </w:r>
    </w:p>
    <w:p w14:paraId="5E78164D" w14:textId="77777777" w:rsidR="00C31312" w:rsidRPr="00C31312" w:rsidRDefault="00C31312" w:rsidP="007F5AF6">
      <w:pPr>
        <w:pStyle w:val="NoSpacing"/>
        <w:ind w:left="720" w:hanging="720"/>
      </w:pPr>
      <w:r w:rsidRPr="00C31312">
        <w:t xml:space="preserve">33. Bajc M, Neilly JB, Miniati M, Schuemichen C, Meignan M, Jonson B. EANM Committee. EANM guidelines for ventilation/perfusion scintigraphy: Part 1. Pulmonary imaging with ventilation/perfusion single photon emission tomography. Eur J Nucl Med Mol Imaging. </w:t>
      </w:r>
      <w:proofErr w:type="gramStart"/>
      <w:r w:rsidRPr="00C31312">
        <w:t>2009;36:1356</w:t>
      </w:r>
      <w:proofErr w:type="gramEnd"/>
      <w:r w:rsidRPr="00C31312">
        <w:t xml:space="preserve">-1370. </w:t>
      </w:r>
    </w:p>
    <w:p w14:paraId="3FFC6D0D" w14:textId="77777777" w:rsidR="00C31312" w:rsidRPr="00C31312" w:rsidRDefault="00C31312" w:rsidP="007F5AF6">
      <w:pPr>
        <w:pStyle w:val="NoSpacing"/>
        <w:ind w:left="720" w:hanging="720"/>
      </w:pPr>
      <w:r w:rsidRPr="00C31312">
        <w:t xml:space="preserve">34. Fujibayashi Y, Taniudhi </w:t>
      </w:r>
      <w:proofErr w:type="gramStart"/>
      <w:r w:rsidRPr="00C31312">
        <w:t>H,Waki</w:t>
      </w:r>
      <w:proofErr w:type="gramEnd"/>
      <w:r w:rsidRPr="00C31312">
        <w:t xml:space="preserve"> A, Yokoyama A, Ishii Y, Yonekura Y. Intracellular mechanism of </w:t>
      </w:r>
      <w:r w:rsidRPr="0036783E">
        <w:rPr>
          <w:vertAlign w:val="superscript"/>
        </w:rPr>
        <w:t>99m</w:t>
      </w:r>
      <w:r w:rsidRPr="00C31312">
        <w:t xml:space="preserve">Tc-d,l-HMPAO in vitro: a basic approach for understanding the hyperfixation mechanism in damaged brain. Nucl Med Biol. </w:t>
      </w:r>
      <w:proofErr w:type="gramStart"/>
      <w:r w:rsidRPr="00C31312">
        <w:t>1998;25:375</w:t>
      </w:r>
      <w:proofErr w:type="gramEnd"/>
      <w:r w:rsidRPr="00C31312">
        <w:t xml:space="preserve">-378. </w:t>
      </w:r>
    </w:p>
    <w:p w14:paraId="51F066D6" w14:textId="77777777" w:rsidR="00C31312" w:rsidRPr="00C31312" w:rsidRDefault="00C31312" w:rsidP="007F5AF6">
      <w:pPr>
        <w:pStyle w:val="NoSpacing"/>
        <w:ind w:left="720" w:hanging="720"/>
      </w:pPr>
      <w:r w:rsidRPr="00C31312">
        <w:t xml:space="preserve">35. Jacquier-Sarlin MR, Polla BS, Slosman DO. Cellular basis of ECD brain retention. J Nucl Med. </w:t>
      </w:r>
      <w:proofErr w:type="gramStart"/>
      <w:r w:rsidRPr="00C31312">
        <w:t>1996;37:1694</w:t>
      </w:r>
      <w:proofErr w:type="gramEnd"/>
      <w:r w:rsidRPr="00C31312">
        <w:t xml:space="preserve">-1697. </w:t>
      </w:r>
    </w:p>
    <w:p w14:paraId="0EA5F4CA" w14:textId="77777777" w:rsidR="00C31312" w:rsidRPr="00C31312" w:rsidRDefault="00C31312" w:rsidP="007F5AF6">
      <w:pPr>
        <w:pStyle w:val="NoSpacing"/>
        <w:ind w:left="720" w:hanging="720"/>
      </w:pPr>
      <w:r w:rsidRPr="00C31312">
        <w:t xml:space="preserve">36. Sasaki T, Toyama H, Oda K, Ogihara-Umeda I, Nishigori H, Senda M. Assessment of antioxidative ability in brain: Tc-99m-meso-HMPAO as an imaging agent for glutathione localization. J Nucl Med. </w:t>
      </w:r>
      <w:proofErr w:type="gramStart"/>
      <w:r w:rsidRPr="00C31312">
        <w:t>1996;37:1698</w:t>
      </w:r>
      <w:proofErr w:type="gramEnd"/>
      <w:r w:rsidRPr="00C31312">
        <w:t xml:space="preserve">-1701. </w:t>
      </w:r>
    </w:p>
    <w:p w14:paraId="0FACA315" w14:textId="77777777" w:rsidR="00C31312" w:rsidRPr="00C31312" w:rsidRDefault="00C31312" w:rsidP="007F5AF6">
      <w:pPr>
        <w:pStyle w:val="NoSpacing"/>
        <w:ind w:left="720" w:hanging="720"/>
      </w:pPr>
      <w:r w:rsidRPr="00C31312">
        <w:t xml:space="preserve">37. Shimura N, Musya A, Hashimoto T, Kojima S, Kuboder A, Sasaki T. Usefulness of </w:t>
      </w:r>
      <w:r w:rsidRPr="004D266D">
        <w:rPr>
          <w:vertAlign w:val="superscript"/>
        </w:rPr>
        <w:t>99m</w:t>
      </w:r>
      <w:r w:rsidRPr="00C31312">
        <w:t>Tc-</w:t>
      </w:r>
      <w:proofErr w:type="gramStart"/>
      <w:r w:rsidRPr="00C31312">
        <w:t>d,l</w:t>
      </w:r>
      <w:proofErr w:type="gramEnd"/>
      <w:r w:rsidRPr="00C31312">
        <w:t xml:space="preserve">-HMPAO for estimation of GSH content in tumor tissues. Nucl Med Biol. </w:t>
      </w:r>
      <w:proofErr w:type="gramStart"/>
      <w:r w:rsidRPr="00C31312">
        <w:t>2000;27:577</w:t>
      </w:r>
      <w:proofErr w:type="gramEnd"/>
      <w:r w:rsidRPr="00C31312">
        <w:t xml:space="preserve">-580. </w:t>
      </w:r>
    </w:p>
    <w:p w14:paraId="6D4C42CF" w14:textId="77777777" w:rsidR="00B61EEA" w:rsidRDefault="00B61EEA" w:rsidP="000A7622">
      <w:pPr>
        <w:rPr>
          <w:rFonts w:cstheme="minorHAnsi"/>
        </w:rPr>
      </w:pPr>
    </w:p>
    <w:sectPr w:rsidR="00B61EE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D028D"/>
    <w:multiLevelType w:val="multilevel"/>
    <w:tmpl w:val="F37A3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620A47"/>
    <w:multiLevelType w:val="multilevel"/>
    <w:tmpl w:val="0D921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090572"/>
    <w:multiLevelType w:val="multilevel"/>
    <w:tmpl w:val="4588E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1555746"/>
    <w:multiLevelType w:val="multilevel"/>
    <w:tmpl w:val="ACF0F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A3D7EB6"/>
    <w:multiLevelType w:val="multilevel"/>
    <w:tmpl w:val="B8866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254367"/>
    <w:multiLevelType w:val="multilevel"/>
    <w:tmpl w:val="FBC20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3180864">
    <w:abstractNumId w:val="5"/>
  </w:num>
  <w:num w:numId="2" w16cid:durableId="1740900408">
    <w:abstractNumId w:val="1"/>
  </w:num>
  <w:num w:numId="3" w16cid:durableId="1104686511">
    <w:abstractNumId w:val="4"/>
  </w:num>
  <w:num w:numId="4" w16cid:durableId="1627000731">
    <w:abstractNumId w:val="0"/>
  </w:num>
  <w:num w:numId="5" w16cid:durableId="1142889214">
    <w:abstractNumId w:val="2"/>
  </w:num>
  <w:num w:numId="6" w16cid:durableId="11081557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yXatoTayGzJ/Q4z1dTEhQ2ZIm29D7UmF21C1JWTQAK1ZJu44COJkUwbGNaPuqw8dNCMx7riBFYCpgMyM90sg8w==" w:salt="JUpswsw5wEwuFBXtR3Ttm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136"/>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880"/>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4119"/>
    <w:rsid w:val="001D58D3"/>
    <w:rsid w:val="001D776C"/>
    <w:rsid w:val="001D7BCC"/>
    <w:rsid w:val="001E124C"/>
    <w:rsid w:val="001E18FE"/>
    <w:rsid w:val="001E34A9"/>
    <w:rsid w:val="001F70BC"/>
    <w:rsid w:val="001F7FBE"/>
    <w:rsid w:val="002016B1"/>
    <w:rsid w:val="00201875"/>
    <w:rsid w:val="00201AFD"/>
    <w:rsid w:val="00201FDC"/>
    <w:rsid w:val="002022D8"/>
    <w:rsid w:val="00206486"/>
    <w:rsid w:val="00206CC8"/>
    <w:rsid w:val="00211422"/>
    <w:rsid w:val="00211728"/>
    <w:rsid w:val="00212109"/>
    <w:rsid w:val="0021468B"/>
    <w:rsid w:val="00224240"/>
    <w:rsid w:val="00226FA2"/>
    <w:rsid w:val="002300D0"/>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9779C"/>
    <w:rsid w:val="002A0668"/>
    <w:rsid w:val="002A6B8B"/>
    <w:rsid w:val="002A7FBB"/>
    <w:rsid w:val="002B1ED8"/>
    <w:rsid w:val="002B45EC"/>
    <w:rsid w:val="002B62C6"/>
    <w:rsid w:val="002C17A7"/>
    <w:rsid w:val="002C2DA5"/>
    <w:rsid w:val="002C4714"/>
    <w:rsid w:val="002C4785"/>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36C8F"/>
    <w:rsid w:val="00340617"/>
    <w:rsid w:val="00340B13"/>
    <w:rsid w:val="00340CDB"/>
    <w:rsid w:val="003427C6"/>
    <w:rsid w:val="00343472"/>
    <w:rsid w:val="003455AA"/>
    <w:rsid w:val="00347634"/>
    <w:rsid w:val="00351E90"/>
    <w:rsid w:val="00352C1C"/>
    <w:rsid w:val="00360206"/>
    <w:rsid w:val="003624EE"/>
    <w:rsid w:val="003632E1"/>
    <w:rsid w:val="00363CD3"/>
    <w:rsid w:val="003656A9"/>
    <w:rsid w:val="00366852"/>
    <w:rsid w:val="0036783E"/>
    <w:rsid w:val="003706EF"/>
    <w:rsid w:val="00370BE4"/>
    <w:rsid w:val="00371D56"/>
    <w:rsid w:val="0037755D"/>
    <w:rsid w:val="00381F0E"/>
    <w:rsid w:val="00384EE8"/>
    <w:rsid w:val="0038549B"/>
    <w:rsid w:val="0038628A"/>
    <w:rsid w:val="0038634F"/>
    <w:rsid w:val="00391C48"/>
    <w:rsid w:val="00394337"/>
    <w:rsid w:val="003A437A"/>
    <w:rsid w:val="003A503E"/>
    <w:rsid w:val="003A6039"/>
    <w:rsid w:val="003B2E40"/>
    <w:rsid w:val="003B47FA"/>
    <w:rsid w:val="003B5215"/>
    <w:rsid w:val="003B6208"/>
    <w:rsid w:val="003B7F8F"/>
    <w:rsid w:val="003C28C6"/>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30"/>
    <w:rsid w:val="004932A8"/>
    <w:rsid w:val="00497E47"/>
    <w:rsid w:val="004A0368"/>
    <w:rsid w:val="004A2715"/>
    <w:rsid w:val="004A2894"/>
    <w:rsid w:val="004A2B41"/>
    <w:rsid w:val="004A3B3E"/>
    <w:rsid w:val="004B2226"/>
    <w:rsid w:val="004B4C56"/>
    <w:rsid w:val="004B6BED"/>
    <w:rsid w:val="004B77C2"/>
    <w:rsid w:val="004C0B3D"/>
    <w:rsid w:val="004C2D7B"/>
    <w:rsid w:val="004C45D2"/>
    <w:rsid w:val="004C5EEF"/>
    <w:rsid w:val="004D118A"/>
    <w:rsid w:val="004D1CB9"/>
    <w:rsid w:val="004D21C9"/>
    <w:rsid w:val="004D266D"/>
    <w:rsid w:val="004E34F8"/>
    <w:rsid w:val="004E3C84"/>
    <w:rsid w:val="004E528B"/>
    <w:rsid w:val="004F146C"/>
    <w:rsid w:val="004F1F3C"/>
    <w:rsid w:val="004F657B"/>
    <w:rsid w:val="0050408D"/>
    <w:rsid w:val="00504C6A"/>
    <w:rsid w:val="00510364"/>
    <w:rsid w:val="005116C9"/>
    <w:rsid w:val="00511BEE"/>
    <w:rsid w:val="005175E9"/>
    <w:rsid w:val="005200B5"/>
    <w:rsid w:val="00520368"/>
    <w:rsid w:val="0052658A"/>
    <w:rsid w:val="00533270"/>
    <w:rsid w:val="00540146"/>
    <w:rsid w:val="00543C22"/>
    <w:rsid w:val="0054405B"/>
    <w:rsid w:val="0054567F"/>
    <w:rsid w:val="00546B44"/>
    <w:rsid w:val="00553291"/>
    <w:rsid w:val="005546FF"/>
    <w:rsid w:val="00556B72"/>
    <w:rsid w:val="005605E4"/>
    <w:rsid w:val="00562A8A"/>
    <w:rsid w:val="00563D7B"/>
    <w:rsid w:val="00563E3B"/>
    <w:rsid w:val="005643C8"/>
    <w:rsid w:val="005673D1"/>
    <w:rsid w:val="00570F38"/>
    <w:rsid w:val="00573955"/>
    <w:rsid w:val="00580E33"/>
    <w:rsid w:val="00583225"/>
    <w:rsid w:val="0058724D"/>
    <w:rsid w:val="00591853"/>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53A6"/>
    <w:rsid w:val="00666FD4"/>
    <w:rsid w:val="00667217"/>
    <w:rsid w:val="006702C6"/>
    <w:rsid w:val="006769E6"/>
    <w:rsid w:val="00676C63"/>
    <w:rsid w:val="00682333"/>
    <w:rsid w:val="006844CA"/>
    <w:rsid w:val="006871E0"/>
    <w:rsid w:val="00693B53"/>
    <w:rsid w:val="00697377"/>
    <w:rsid w:val="00697773"/>
    <w:rsid w:val="006A1F61"/>
    <w:rsid w:val="006A533C"/>
    <w:rsid w:val="006A5E52"/>
    <w:rsid w:val="006A712D"/>
    <w:rsid w:val="006A7B71"/>
    <w:rsid w:val="006B20FD"/>
    <w:rsid w:val="006B3B2B"/>
    <w:rsid w:val="006C024E"/>
    <w:rsid w:val="006C3073"/>
    <w:rsid w:val="006C7ED1"/>
    <w:rsid w:val="006D75E1"/>
    <w:rsid w:val="006D7670"/>
    <w:rsid w:val="006E0E48"/>
    <w:rsid w:val="006E10F4"/>
    <w:rsid w:val="006E10FD"/>
    <w:rsid w:val="006E2996"/>
    <w:rsid w:val="006E2EEC"/>
    <w:rsid w:val="006E471E"/>
    <w:rsid w:val="006E4859"/>
    <w:rsid w:val="006F197C"/>
    <w:rsid w:val="006F24E3"/>
    <w:rsid w:val="007065D3"/>
    <w:rsid w:val="007071B1"/>
    <w:rsid w:val="00707EC1"/>
    <w:rsid w:val="00710582"/>
    <w:rsid w:val="00714EE9"/>
    <w:rsid w:val="007246B0"/>
    <w:rsid w:val="007258CB"/>
    <w:rsid w:val="00727972"/>
    <w:rsid w:val="00730E29"/>
    <w:rsid w:val="00732FF6"/>
    <w:rsid w:val="00735393"/>
    <w:rsid w:val="00745E32"/>
    <w:rsid w:val="007466F7"/>
    <w:rsid w:val="00753989"/>
    <w:rsid w:val="00757D89"/>
    <w:rsid w:val="0076194B"/>
    <w:rsid w:val="00763676"/>
    <w:rsid w:val="007672A6"/>
    <w:rsid w:val="00772776"/>
    <w:rsid w:val="00776E56"/>
    <w:rsid w:val="00781619"/>
    <w:rsid w:val="0079146B"/>
    <w:rsid w:val="00791DD5"/>
    <w:rsid w:val="00796875"/>
    <w:rsid w:val="0079756E"/>
    <w:rsid w:val="007A1233"/>
    <w:rsid w:val="007A258F"/>
    <w:rsid w:val="007A3B3A"/>
    <w:rsid w:val="007B0BBA"/>
    <w:rsid w:val="007B74E0"/>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5AF6"/>
    <w:rsid w:val="007F7A0B"/>
    <w:rsid w:val="0080037D"/>
    <w:rsid w:val="008061E0"/>
    <w:rsid w:val="0080711D"/>
    <w:rsid w:val="00813292"/>
    <w:rsid w:val="00813E40"/>
    <w:rsid w:val="00816489"/>
    <w:rsid w:val="00817C16"/>
    <w:rsid w:val="00820049"/>
    <w:rsid w:val="0082013E"/>
    <w:rsid w:val="00821D33"/>
    <w:rsid w:val="00822617"/>
    <w:rsid w:val="00824B15"/>
    <w:rsid w:val="008322E3"/>
    <w:rsid w:val="00834DF7"/>
    <w:rsid w:val="00836F01"/>
    <w:rsid w:val="008406F5"/>
    <w:rsid w:val="00841F1E"/>
    <w:rsid w:val="00842203"/>
    <w:rsid w:val="00850E3E"/>
    <w:rsid w:val="00861665"/>
    <w:rsid w:val="00864432"/>
    <w:rsid w:val="00864941"/>
    <w:rsid w:val="008649A3"/>
    <w:rsid w:val="0086670A"/>
    <w:rsid w:val="00870BA1"/>
    <w:rsid w:val="00873CDE"/>
    <w:rsid w:val="00874421"/>
    <w:rsid w:val="00875997"/>
    <w:rsid w:val="00876AFF"/>
    <w:rsid w:val="0087796C"/>
    <w:rsid w:val="00880932"/>
    <w:rsid w:val="008825B5"/>
    <w:rsid w:val="00883AB0"/>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2838"/>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0C6"/>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28E"/>
    <w:rsid w:val="00A32FCB"/>
    <w:rsid w:val="00A3561C"/>
    <w:rsid w:val="00A400BC"/>
    <w:rsid w:val="00A40701"/>
    <w:rsid w:val="00A42169"/>
    <w:rsid w:val="00A424F1"/>
    <w:rsid w:val="00A426B2"/>
    <w:rsid w:val="00A44B58"/>
    <w:rsid w:val="00A45EE8"/>
    <w:rsid w:val="00A465FC"/>
    <w:rsid w:val="00A47B50"/>
    <w:rsid w:val="00A50459"/>
    <w:rsid w:val="00A506CB"/>
    <w:rsid w:val="00A52369"/>
    <w:rsid w:val="00A52A88"/>
    <w:rsid w:val="00A55701"/>
    <w:rsid w:val="00A56ED1"/>
    <w:rsid w:val="00A648A4"/>
    <w:rsid w:val="00A650B2"/>
    <w:rsid w:val="00A66B31"/>
    <w:rsid w:val="00A7290A"/>
    <w:rsid w:val="00A75006"/>
    <w:rsid w:val="00A80FCC"/>
    <w:rsid w:val="00A81E28"/>
    <w:rsid w:val="00A82932"/>
    <w:rsid w:val="00A82D07"/>
    <w:rsid w:val="00A868FB"/>
    <w:rsid w:val="00A915ED"/>
    <w:rsid w:val="00A91CF2"/>
    <w:rsid w:val="00A9352F"/>
    <w:rsid w:val="00A93BA4"/>
    <w:rsid w:val="00A9416E"/>
    <w:rsid w:val="00AA35BD"/>
    <w:rsid w:val="00AA493D"/>
    <w:rsid w:val="00AB4807"/>
    <w:rsid w:val="00AB4813"/>
    <w:rsid w:val="00AC0052"/>
    <w:rsid w:val="00AC04D6"/>
    <w:rsid w:val="00AC35DD"/>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1EEA"/>
    <w:rsid w:val="00B6351D"/>
    <w:rsid w:val="00B64203"/>
    <w:rsid w:val="00B6519E"/>
    <w:rsid w:val="00B66AF1"/>
    <w:rsid w:val="00B70245"/>
    <w:rsid w:val="00B703C2"/>
    <w:rsid w:val="00B71A24"/>
    <w:rsid w:val="00B7264B"/>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3319"/>
    <w:rsid w:val="00C27AEF"/>
    <w:rsid w:val="00C3110E"/>
    <w:rsid w:val="00C31312"/>
    <w:rsid w:val="00C3466C"/>
    <w:rsid w:val="00C355FF"/>
    <w:rsid w:val="00C41A64"/>
    <w:rsid w:val="00C452EF"/>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3FEA"/>
    <w:rsid w:val="00CF53EE"/>
    <w:rsid w:val="00D01E5B"/>
    <w:rsid w:val="00D02378"/>
    <w:rsid w:val="00D02BE9"/>
    <w:rsid w:val="00D101DD"/>
    <w:rsid w:val="00D14423"/>
    <w:rsid w:val="00D15F27"/>
    <w:rsid w:val="00D162A6"/>
    <w:rsid w:val="00D17394"/>
    <w:rsid w:val="00D17B7F"/>
    <w:rsid w:val="00D21541"/>
    <w:rsid w:val="00D2361C"/>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6C05"/>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22B7"/>
    <w:rsid w:val="00E747D9"/>
    <w:rsid w:val="00E75D5D"/>
    <w:rsid w:val="00E766CA"/>
    <w:rsid w:val="00E81F85"/>
    <w:rsid w:val="00E8413D"/>
    <w:rsid w:val="00E84C2A"/>
    <w:rsid w:val="00E90CA1"/>
    <w:rsid w:val="00E91D25"/>
    <w:rsid w:val="00E95F4D"/>
    <w:rsid w:val="00E97067"/>
    <w:rsid w:val="00EA5E84"/>
    <w:rsid w:val="00EA6E8E"/>
    <w:rsid w:val="00EA7978"/>
    <w:rsid w:val="00EA7D19"/>
    <w:rsid w:val="00EB36C0"/>
    <w:rsid w:val="00EB7F70"/>
    <w:rsid w:val="00EC4C2A"/>
    <w:rsid w:val="00EC6764"/>
    <w:rsid w:val="00EC726F"/>
    <w:rsid w:val="00EC7743"/>
    <w:rsid w:val="00EC7B8C"/>
    <w:rsid w:val="00ED2540"/>
    <w:rsid w:val="00ED2596"/>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3A21"/>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ABC"/>
    <w:rsid w:val="00FF2B49"/>
    <w:rsid w:val="00FF3001"/>
    <w:rsid w:val="00FF5582"/>
    <w:rsid w:val="00FF69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3A6"/>
  </w:style>
  <w:style w:type="paragraph" w:styleId="Heading1">
    <w:name w:val="heading 1"/>
    <w:basedOn w:val="Normal"/>
    <w:next w:val="Normal"/>
    <w:link w:val="Heading1Char"/>
    <w:uiPriority w:val="9"/>
    <w:qFormat/>
    <w:rsid w:val="006653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653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653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653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6653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6653A6"/>
    <w:pPr>
      <w:keepNext/>
      <w:keepLines/>
      <w:spacing w:before="40" w:after="0"/>
      <w:outlineLvl w:val="5"/>
    </w:pPr>
  </w:style>
  <w:style w:type="paragraph" w:styleId="Heading7">
    <w:name w:val="heading 7"/>
    <w:basedOn w:val="Normal"/>
    <w:next w:val="Normal"/>
    <w:link w:val="Heading7Char"/>
    <w:uiPriority w:val="9"/>
    <w:semiHidden/>
    <w:unhideWhenUsed/>
    <w:qFormat/>
    <w:rsid w:val="006653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653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653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53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653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653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653A6"/>
    <w:rPr>
      <w:i/>
      <w:iCs/>
    </w:rPr>
  </w:style>
  <w:style w:type="character" w:customStyle="1" w:styleId="Heading5Char">
    <w:name w:val="Heading 5 Char"/>
    <w:basedOn w:val="DefaultParagraphFont"/>
    <w:link w:val="Heading5"/>
    <w:uiPriority w:val="9"/>
    <w:semiHidden/>
    <w:rsid w:val="006653A6"/>
    <w:rPr>
      <w:color w:val="404040" w:themeColor="text1" w:themeTint="BF"/>
    </w:rPr>
  </w:style>
  <w:style w:type="character" w:customStyle="1" w:styleId="Heading6Char">
    <w:name w:val="Heading 6 Char"/>
    <w:basedOn w:val="DefaultParagraphFont"/>
    <w:link w:val="Heading6"/>
    <w:uiPriority w:val="9"/>
    <w:semiHidden/>
    <w:rsid w:val="006653A6"/>
  </w:style>
  <w:style w:type="character" w:customStyle="1" w:styleId="Heading7Char">
    <w:name w:val="Heading 7 Char"/>
    <w:basedOn w:val="DefaultParagraphFont"/>
    <w:link w:val="Heading7"/>
    <w:uiPriority w:val="9"/>
    <w:semiHidden/>
    <w:rsid w:val="006653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653A6"/>
    <w:rPr>
      <w:color w:val="262626" w:themeColor="text1" w:themeTint="D9"/>
      <w:sz w:val="21"/>
      <w:szCs w:val="21"/>
    </w:rPr>
  </w:style>
  <w:style w:type="character" w:customStyle="1" w:styleId="Heading9Char">
    <w:name w:val="Heading 9 Char"/>
    <w:basedOn w:val="DefaultParagraphFont"/>
    <w:link w:val="Heading9"/>
    <w:uiPriority w:val="9"/>
    <w:semiHidden/>
    <w:rsid w:val="006653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653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653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653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653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653A6"/>
    <w:rPr>
      <w:color w:val="5A5A5A" w:themeColor="text1" w:themeTint="A5"/>
      <w:spacing w:val="15"/>
    </w:rPr>
  </w:style>
  <w:style w:type="character" w:styleId="Strong">
    <w:name w:val="Strong"/>
    <w:basedOn w:val="DefaultParagraphFont"/>
    <w:uiPriority w:val="22"/>
    <w:qFormat/>
    <w:rsid w:val="006653A6"/>
    <w:rPr>
      <w:b/>
      <w:bCs/>
      <w:color w:val="auto"/>
    </w:rPr>
  </w:style>
  <w:style w:type="character" w:styleId="Emphasis">
    <w:name w:val="Emphasis"/>
    <w:basedOn w:val="DefaultParagraphFont"/>
    <w:uiPriority w:val="20"/>
    <w:qFormat/>
    <w:rsid w:val="006653A6"/>
    <w:rPr>
      <w:i/>
      <w:iCs/>
      <w:color w:val="auto"/>
    </w:rPr>
  </w:style>
  <w:style w:type="paragraph" w:styleId="NoSpacing">
    <w:name w:val="No Spacing"/>
    <w:uiPriority w:val="1"/>
    <w:qFormat/>
    <w:rsid w:val="006653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653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653A6"/>
    <w:rPr>
      <w:i/>
      <w:iCs/>
      <w:color w:val="404040" w:themeColor="text1" w:themeTint="BF"/>
    </w:rPr>
  </w:style>
  <w:style w:type="paragraph" w:styleId="IntenseQuote">
    <w:name w:val="Intense Quote"/>
    <w:basedOn w:val="Normal"/>
    <w:next w:val="Normal"/>
    <w:link w:val="IntenseQuoteChar"/>
    <w:uiPriority w:val="30"/>
    <w:qFormat/>
    <w:rsid w:val="006653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653A6"/>
    <w:rPr>
      <w:i/>
      <w:iCs/>
      <w:color w:val="404040" w:themeColor="text1" w:themeTint="BF"/>
    </w:rPr>
  </w:style>
  <w:style w:type="character" w:styleId="SubtleEmphasis">
    <w:name w:val="Subtle Emphasis"/>
    <w:basedOn w:val="DefaultParagraphFont"/>
    <w:uiPriority w:val="19"/>
    <w:qFormat/>
    <w:rsid w:val="006653A6"/>
    <w:rPr>
      <w:i/>
      <w:iCs/>
      <w:color w:val="404040" w:themeColor="text1" w:themeTint="BF"/>
    </w:rPr>
  </w:style>
  <w:style w:type="character" w:styleId="IntenseEmphasis">
    <w:name w:val="Intense Emphasis"/>
    <w:basedOn w:val="DefaultParagraphFont"/>
    <w:uiPriority w:val="21"/>
    <w:qFormat/>
    <w:rsid w:val="006653A6"/>
    <w:rPr>
      <w:b/>
      <w:bCs/>
      <w:i/>
      <w:iCs/>
      <w:color w:val="auto"/>
    </w:rPr>
  </w:style>
  <w:style w:type="character" w:styleId="SubtleReference">
    <w:name w:val="Subtle Reference"/>
    <w:basedOn w:val="DefaultParagraphFont"/>
    <w:uiPriority w:val="31"/>
    <w:qFormat/>
    <w:rsid w:val="006653A6"/>
    <w:rPr>
      <w:smallCaps/>
      <w:color w:val="404040" w:themeColor="text1" w:themeTint="BF"/>
    </w:rPr>
  </w:style>
  <w:style w:type="character" w:styleId="IntenseReference">
    <w:name w:val="Intense Reference"/>
    <w:basedOn w:val="DefaultParagraphFont"/>
    <w:uiPriority w:val="32"/>
    <w:qFormat/>
    <w:rsid w:val="006653A6"/>
    <w:rPr>
      <w:b/>
      <w:bCs/>
      <w:smallCaps/>
      <w:color w:val="404040" w:themeColor="text1" w:themeTint="BF"/>
      <w:spacing w:val="5"/>
    </w:rPr>
  </w:style>
  <w:style w:type="character" w:styleId="BookTitle">
    <w:name w:val="Book Title"/>
    <w:basedOn w:val="DefaultParagraphFont"/>
    <w:uiPriority w:val="33"/>
    <w:qFormat/>
    <w:rsid w:val="006653A6"/>
    <w:rPr>
      <w:b/>
      <w:bCs/>
      <w:i/>
      <w:iCs/>
      <w:spacing w:val="5"/>
    </w:rPr>
  </w:style>
  <w:style w:type="paragraph" w:styleId="TOCHeading">
    <w:name w:val="TOC Heading"/>
    <w:basedOn w:val="Heading1"/>
    <w:next w:val="Normal"/>
    <w:uiPriority w:val="39"/>
    <w:semiHidden/>
    <w:unhideWhenUsed/>
    <w:qFormat/>
    <w:rsid w:val="006653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7264B"/>
    <w:rPr>
      <w:color w:val="0563C1" w:themeColor="hyperlink"/>
      <w:u w:val="single"/>
    </w:rPr>
  </w:style>
  <w:style w:type="character" w:styleId="UnresolvedMention">
    <w:name w:val="Unresolved Mention"/>
    <w:basedOn w:val="DefaultParagraphFont"/>
    <w:uiPriority w:val="99"/>
    <w:semiHidden/>
    <w:unhideWhenUsed/>
    <w:rsid w:val="00B7264B"/>
    <w:rPr>
      <w:color w:val="605E5C"/>
      <w:shd w:val="clear" w:color="auto" w:fill="E1DFDD"/>
    </w:rPr>
  </w:style>
  <w:style w:type="paragraph" w:customStyle="1" w:styleId="msonormal0">
    <w:name w:val="msonormal"/>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B2E40"/>
    <w:rPr>
      <w:color w:val="800080"/>
      <w:u w:val="single"/>
    </w:rPr>
  </w:style>
  <w:style w:type="character" w:customStyle="1" w:styleId="author-information-subsection-header">
    <w:name w:val="author-information-subsection-header"/>
    <w:basedOn w:val="DefaultParagraphFont"/>
    <w:rsid w:val="003B2E40"/>
  </w:style>
  <w:style w:type="character" w:customStyle="1" w:styleId="hlfld-contribauthor">
    <w:name w:val="hlfld-contribauthor"/>
    <w:basedOn w:val="DefaultParagraphFont"/>
    <w:rsid w:val="003B2E40"/>
  </w:style>
  <w:style w:type="character" w:customStyle="1" w:styleId="hlfld-affiliation">
    <w:name w:val="hlfld-affiliation"/>
    <w:basedOn w:val="DefaultParagraphFont"/>
    <w:rsid w:val="003B2E40"/>
  </w:style>
  <w:style w:type="character" w:customStyle="1" w:styleId="author-email">
    <w:name w:val="author-email"/>
    <w:basedOn w:val="DefaultParagraphFont"/>
    <w:rsid w:val="003B2E40"/>
  </w:style>
  <w:style w:type="paragraph" w:styleId="NormalWeb">
    <w:name w:val="Normal (Web)"/>
    <w:basedOn w:val="Normal"/>
    <w:uiPriority w:val="99"/>
    <w:semiHidden/>
    <w:unhideWhenUsed/>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unt">
    <w:name w:val="references-coun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3B2E40"/>
  </w:style>
  <w:style w:type="character" w:customStyle="1" w:styleId="nlmx">
    <w:name w:val="nlm_x"/>
    <w:basedOn w:val="DefaultParagraphFont"/>
    <w:rsid w:val="003B2E40"/>
  </w:style>
  <w:style w:type="character" w:customStyle="1" w:styleId="nlmyear">
    <w:name w:val="nlm_year"/>
    <w:basedOn w:val="DefaultParagraphFont"/>
    <w:rsid w:val="003B2E40"/>
  </w:style>
  <w:style w:type="character" w:customStyle="1" w:styleId="nlmarticle-title">
    <w:name w:val="nlm_article-title"/>
    <w:basedOn w:val="DefaultParagraphFont"/>
    <w:rsid w:val="003B2E40"/>
  </w:style>
  <w:style w:type="character" w:customStyle="1" w:styleId="citationsource-book">
    <w:name w:val="citation_source-book"/>
    <w:basedOn w:val="DefaultParagraphFont"/>
    <w:rsid w:val="003B2E40"/>
  </w:style>
  <w:style w:type="character" w:customStyle="1" w:styleId="nlmfpage">
    <w:name w:val="nlm_fpage"/>
    <w:basedOn w:val="DefaultParagraphFont"/>
    <w:rsid w:val="003B2E40"/>
  </w:style>
  <w:style w:type="character" w:customStyle="1" w:styleId="nlmlpage">
    <w:name w:val="nlm_lpage"/>
    <w:basedOn w:val="DefaultParagraphFont"/>
    <w:rsid w:val="003B2E40"/>
  </w:style>
  <w:style w:type="character" w:customStyle="1" w:styleId="nlmpublisher-name">
    <w:name w:val="nlm_publisher-name"/>
    <w:basedOn w:val="DefaultParagraphFont"/>
    <w:rsid w:val="003B2E40"/>
  </w:style>
  <w:style w:type="character" w:customStyle="1" w:styleId="nlmpublisher-loc">
    <w:name w:val="nlm_publisher-loc"/>
    <w:basedOn w:val="DefaultParagraphFont"/>
    <w:rsid w:val="003B2E40"/>
  </w:style>
  <w:style w:type="character" w:customStyle="1" w:styleId="citationsource-journal">
    <w:name w:val="citation_source-journal"/>
    <w:basedOn w:val="DefaultParagraphFont"/>
    <w:rsid w:val="003B2E40"/>
  </w:style>
  <w:style w:type="character" w:customStyle="1" w:styleId="nlmvolume">
    <w:name w:val="nlm_volume"/>
    <w:basedOn w:val="DefaultParagraphFont"/>
    <w:rsid w:val="003B2E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814834">
      <w:bodyDiv w:val="1"/>
      <w:marLeft w:val="0"/>
      <w:marRight w:val="0"/>
      <w:marTop w:val="0"/>
      <w:marBottom w:val="0"/>
      <w:divBdr>
        <w:top w:val="none" w:sz="0" w:space="0" w:color="auto"/>
        <w:left w:val="none" w:sz="0" w:space="0" w:color="auto"/>
        <w:bottom w:val="none" w:sz="0" w:space="0" w:color="auto"/>
        <w:right w:val="none" w:sz="0" w:space="0" w:color="auto"/>
      </w:divBdr>
      <w:divsChild>
        <w:div w:id="2059087493">
          <w:marLeft w:val="0"/>
          <w:marRight w:val="0"/>
          <w:marTop w:val="0"/>
          <w:marBottom w:val="0"/>
          <w:divBdr>
            <w:top w:val="none" w:sz="0" w:space="0" w:color="auto"/>
            <w:left w:val="none" w:sz="0" w:space="0" w:color="auto"/>
            <w:bottom w:val="none" w:sz="0" w:space="0" w:color="auto"/>
            <w:right w:val="none" w:sz="0" w:space="0" w:color="auto"/>
          </w:divBdr>
          <w:divsChild>
            <w:div w:id="1732996423">
              <w:marLeft w:val="0"/>
              <w:marRight w:val="0"/>
              <w:marTop w:val="0"/>
              <w:marBottom w:val="0"/>
              <w:divBdr>
                <w:top w:val="none" w:sz="0" w:space="0" w:color="auto"/>
                <w:left w:val="none" w:sz="0" w:space="0" w:color="auto"/>
                <w:bottom w:val="none" w:sz="0" w:space="0" w:color="auto"/>
                <w:right w:val="none" w:sz="0" w:space="0" w:color="auto"/>
              </w:divBdr>
              <w:divsChild>
                <w:div w:id="1736246065">
                  <w:marLeft w:val="0"/>
                  <w:marRight w:val="0"/>
                  <w:marTop w:val="0"/>
                  <w:marBottom w:val="0"/>
                  <w:divBdr>
                    <w:top w:val="none" w:sz="0" w:space="0" w:color="auto"/>
                    <w:left w:val="none" w:sz="0" w:space="0" w:color="auto"/>
                    <w:bottom w:val="none" w:sz="0" w:space="0" w:color="auto"/>
                    <w:right w:val="none" w:sz="0" w:space="0" w:color="auto"/>
                  </w:divBdr>
                  <w:divsChild>
                    <w:div w:id="205995107">
                      <w:marLeft w:val="0"/>
                      <w:marRight w:val="0"/>
                      <w:marTop w:val="0"/>
                      <w:marBottom w:val="0"/>
                      <w:divBdr>
                        <w:top w:val="none" w:sz="0" w:space="0" w:color="auto"/>
                        <w:left w:val="none" w:sz="0" w:space="0" w:color="auto"/>
                        <w:bottom w:val="none" w:sz="0" w:space="0" w:color="auto"/>
                        <w:right w:val="none" w:sz="0" w:space="0" w:color="auto"/>
                      </w:divBdr>
                    </w:div>
                    <w:div w:id="634793373">
                      <w:marLeft w:val="0"/>
                      <w:marRight w:val="0"/>
                      <w:marTop w:val="0"/>
                      <w:marBottom w:val="0"/>
                      <w:divBdr>
                        <w:top w:val="none" w:sz="0" w:space="0" w:color="auto"/>
                        <w:left w:val="none" w:sz="0" w:space="0" w:color="auto"/>
                        <w:bottom w:val="none" w:sz="0" w:space="0" w:color="auto"/>
                        <w:right w:val="none" w:sz="0" w:space="0" w:color="auto"/>
                      </w:divBdr>
                      <w:divsChild>
                        <w:div w:id="88791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0914">
              <w:marLeft w:val="0"/>
              <w:marRight w:val="0"/>
              <w:marTop w:val="0"/>
              <w:marBottom w:val="0"/>
              <w:divBdr>
                <w:top w:val="none" w:sz="0" w:space="0" w:color="auto"/>
                <w:left w:val="none" w:sz="0" w:space="0" w:color="auto"/>
                <w:bottom w:val="none" w:sz="0" w:space="0" w:color="auto"/>
                <w:right w:val="none" w:sz="0" w:space="0" w:color="auto"/>
              </w:divBdr>
            </w:div>
            <w:div w:id="1431125407">
              <w:marLeft w:val="0"/>
              <w:marRight w:val="0"/>
              <w:marTop w:val="0"/>
              <w:marBottom w:val="0"/>
              <w:divBdr>
                <w:top w:val="none" w:sz="0" w:space="0" w:color="auto"/>
                <w:left w:val="none" w:sz="0" w:space="0" w:color="auto"/>
                <w:bottom w:val="none" w:sz="0" w:space="0" w:color="auto"/>
                <w:right w:val="none" w:sz="0" w:space="0" w:color="auto"/>
              </w:divBdr>
            </w:div>
            <w:div w:id="180170929">
              <w:marLeft w:val="0"/>
              <w:marRight w:val="0"/>
              <w:marTop w:val="0"/>
              <w:marBottom w:val="0"/>
              <w:divBdr>
                <w:top w:val="none" w:sz="0" w:space="0" w:color="auto"/>
                <w:left w:val="none" w:sz="0" w:space="0" w:color="auto"/>
                <w:bottom w:val="none" w:sz="0" w:space="0" w:color="auto"/>
                <w:right w:val="none" w:sz="0" w:space="0" w:color="auto"/>
              </w:divBdr>
            </w:div>
          </w:divsChild>
        </w:div>
        <w:div w:id="184054431">
          <w:marLeft w:val="0"/>
          <w:marRight w:val="0"/>
          <w:marTop w:val="0"/>
          <w:marBottom w:val="0"/>
          <w:divBdr>
            <w:top w:val="none" w:sz="0" w:space="0" w:color="auto"/>
            <w:left w:val="none" w:sz="0" w:space="0" w:color="auto"/>
            <w:bottom w:val="none" w:sz="0" w:space="0" w:color="auto"/>
            <w:right w:val="none" w:sz="0" w:space="0" w:color="auto"/>
          </w:divBdr>
          <w:divsChild>
            <w:div w:id="1409956431">
              <w:marLeft w:val="0"/>
              <w:marRight w:val="0"/>
              <w:marTop w:val="0"/>
              <w:marBottom w:val="0"/>
              <w:divBdr>
                <w:top w:val="none" w:sz="0" w:space="0" w:color="auto"/>
                <w:left w:val="none" w:sz="0" w:space="0" w:color="auto"/>
                <w:bottom w:val="none" w:sz="0" w:space="0" w:color="auto"/>
                <w:right w:val="none" w:sz="0" w:space="0" w:color="auto"/>
              </w:divBdr>
              <w:divsChild>
                <w:div w:id="887569574">
                  <w:marLeft w:val="0"/>
                  <w:marRight w:val="0"/>
                  <w:marTop w:val="0"/>
                  <w:marBottom w:val="0"/>
                  <w:divBdr>
                    <w:top w:val="none" w:sz="0" w:space="0" w:color="auto"/>
                    <w:left w:val="none" w:sz="0" w:space="0" w:color="auto"/>
                    <w:bottom w:val="none" w:sz="0" w:space="0" w:color="auto"/>
                    <w:right w:val="none" w:sz="0" w:space="0" w:color="auto"/>
                  </w:divBdr>
                  <w:divsChild>
                    <w:div w:id="1254976845">
                      <w:marLeft w:val="0"/>
                      <w:marRight w:val="0"/>
                      <w:marTop w:val="0"/>
                      <w:marBottom w:val="0"/>
                      <w:divBdr>
                        <w:top w:val="none" w:sz="0" w:space="0" w:color="auto"/>
                        <w:left w:val="none" w:sz="0" w:space="0" w:color="auto"/>
                        <w:bottom w:val="none" w:sz="0" w:space="0" w:color="auto"/>
                        <w:right w:val="none" w:sz="0" w:space="0" w:color="auto"/>
                      </w:divBdr>
                    </w:div>
                    <w:div w:id="1026906103">
                      <w:marLeft w:val="0"/>
                      <w:marRight w:val="0"/>
                      <w:marTop w:val="0"/>
                      <w:marBottom w:val="0"/>
                      <w:divBdr>
                        <w:top w:val="none" w:sz="0" w:space="0" w:color="auto"/>
                        <w:left w:val="none" w:sz="0" w:space="0" w:color="auto"/>
                        <w:bottom w:val="none" w:sz="0" w:space="0" w:color="auto"/>
                        <w:right w:val="none" w:sz="0" w:space="0" w:color="auto"/>
                      </w:divBdr>
                      <w:divsChild>
                        <w:div w:id="95375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789450">
          <w:marLeft w:val="0"/>
          <w:marRight w:val="0"/>
          <w:marTop w:val="0"/>
          <w:marBottom w:val="0"/>
          <w:divBdr>
            <w:top w:val="none" w:sz="0" w:space="0" w:color="auto"/>
            <w:left w:val="none" w:sz="0" w:space="0" w:color="auto"/>
            <w:bottom w:val="none" w:sz="0" w:space="0" w:color="auto"/>
            <w:right w:val="none" w:sz="0" w:space="0" w:color="auto"/>
          </w:divBdr>
          <w:divsChild>
            <w:div w:id="970673469">
              <w:marLeft w:val="0"/>
              <w:marRight w:val="0"/>
              <w:marTop w:val="0"/>
              <w:marBottom w:val="0"/>
              <w:divBdr>
                <w:top w:val="none" w:sz="0" w:space="0" w:color="auto"/>
                <w:left w:val="none" w:sz="0" w:space="0" w:color="auto"/>
                <w:bottom w:val="none" w:sz="0" w:space="0" w:color="auto"/>
                <w:right w:val="none" w:sz="0" w:space="0" w:color="auto"/>
              </w:divBdr>
              <w:divsChild>
                <w:div w:id="1558393274">
                  <w:marLeft w:val="0"/>
                  <w:marRight w:val="0"/>
                  <w:marTop w:val="0"/>
                  <w:marBottom w:val="0"/>
                  <w:divBdr>
                    <w:top w:val="none" w:sz="0" w:space="0" w:color="auto"/>
                    <w:left w:val="none" w:sz="0" w:space="0" w:color="auto"/>
                    <w:bottom w:val="none" w:sz="0" w:space="0" w:color="auto"/>
                    <w:right w:val="none" w:sz="0" w:space="0" w:color="auto"/>
                  </w:divBdr>
                  <w:divsChild>
                    <w:div w:id="935089460">
                      <w:marLeft w:val="0"/>
                      <w:marRight w:val="0"/>
                      <w:marTop w:val="0"/>
                      <w:marBottom w:val="0"/>
                      <w:divBdr>
                        <w:top w:val="none" w:sz="0" w:space="0" w:color="auto"/>
                        <w:left w:val="none" w:sz="0" w:space="0" w:color="auto"/>
                        <w:bottom w:val="none" w:sz="0" w:space="0" w:color="auto"/>
                        <w:right w:val="none" w:sz="0" w:space="0" w:color="auto"/>
                      </w:divBdr>
                      <w:divsChild>
                        <w:div w:id="1703745061">
                          <w:marLeft w:val="0"/>
                          <w:marRight w:val="0"/>
                          <w:marTop w:val="0"/>
                          <w:marBottom w:val="0"/>
                          <w:divBdr>
                            <w:top w:val="none" w:sz="0" w:space="0" w:color="auto"/>
                            <w:left w:val="none" w:sz="0" w:space="0" w:color="auto"/>
                            <w:bottom w:val="none" w:sz="0" w:space="0" w:color="auto"/>
                            <w:right w:val="none" w:sz="0" w:space="0" w:color="auto"/>
                          </w:divBdr>
                        </w:div>
                        <w:div w:id="1094472441">
                          <w:marLeft w:val="0"/>
                          <w:marRight w:val="0"/>
                          <w:marTop w:val="0"/>
                          <w:marBottom w:val="0"/>
                          <w:divBdr>
                            <w:top w:val="none" w:sz="0" w:space="0" w:color="auto"/>
                            <w:left w:val="none" w:sz="0" w:space="0" w:color="auto"/>
                            <w:bottom w:val="none" w:sz="0" w:space="0" w:color="auto"/>
                            <w:right w:val="none" w:sz="0" w:space="0" w:color="auto"/>
                          </w:divBdr>
                          <w:divsChild>
                            <w:div w:id="56645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6949689">
          <w:marLeft w:val="0"/>
          <w:marRight w:val="0"/>
          <w:marTop w:val="0"/>
          <w:marBottom w:val="0"/>
          <w:divBdr>
            <w:top w:val="none" w:sz="0" w:space="0" w:color="auto"/>
            <w:left w:val="none" w:sz="0" w:space="0" w:color="auto"/>
            <w:bottom w:val="none" w:sz="0" w:space="0" w:color="auto"/>
            <w:right w:val="none" w:sz="0" w:space="0" w:color="auto"/>
          </w:divBdr>
          <w:divsChild>
            <w:div w:id="1786195159">
              <w:marLeft w:val="0"/>
              <w:marRight w:val="0"/>
              <w:marTop w:val="0"/>
              <w:marBottom w:val="0"/>
              <w:divBdr>
                <w:top w:val="none" w:sz="0" w:space="0" w:color="auto"/>
                <w:left w:val="none" w:sz="0" w:space="0" w:color="auto"/>
                <w:bottom w:val="none" w:sz="0" w:space="0" w:color="auto"/>
                <w:right w:val="none" w:sz="0" w:space="0" w:color="auto"/>
              </w:divBdr>
              <w:divsChild>
                <w:div w:id="1941182769">
                  <w:marLeft w:val="0"/>
                  <w:marRight w:val="0"/>
                  <w:marTop w:val="0"/>
                  <w:marBottom w:val="0"/>
                  <w:divBdr>
                    <w:top w:val="none" w:sz="0" w:space="0" w:color="auto"/>
                    <w:left w:val="none" w:sz="0" w:space="0" w:color="auto"/>
                    <w:bottom w:val="none" w:sz="0" w:space="0" w:color="auto"/>
                    <w:right w:val="none" w:sz="0" w:space="0" w:color="auto"/>
                  </w:divBdr>
                  <w:divsChild>
                    <w:div w:id="1704285650">
                      <w:marLeft w:val="0"/>
                      <w:marRight w:val="0"/>
                      <w:marTop w:val="0"/>
                      <w:marBottom w:val="0"/>
                      <w:divBdr>
                        <w:top w:val="none" w:sz="0" w:space="0" w:color="auto"/>
                        <w:left w:val="none" w:sz="0" w:space="0" w:color="auto"/>
                        <w:bottom w:val="none" w:sz="0" w:space="0" w:color="auto"/>
                        <w:right w:val="none" w:sz="0" w:space="0" w:color="auto"/>
                      </w:divBdr>
                    </w:div>
                    <w:div w:id="1352340978">
                      <w:marLeft w:val="0"/>
                      <w:marRight w:val="0"/>
                      <w:marTop w:val="0"/>
                      <w:marBottom w:val="0"/>
                      <w:divBdr>
                        <w:top w:val="none" w:sz="0" w:space="0" w:color="auto"/>
                        <w:left w:val="none" w:sz="0" w:space="0" w:color="auto"/>
                        <w:bottom w:val="none" w:sz="0" w:space="0" w:color="auto"/>
                        <w:right w:val="none" w:sz="0" w:space="0" w:color="auto"/>
                      </w:divBdr>
                      <w:divsChild>
                        <w:div w:id="1328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850879">
          <w:marLeft w:val="0"/>
          <w:marRight w:val="0"/>
          <w:marTop w:val="0"/>
          <w:marBottom w:val="0"/>
          <w:divBdr>
            <w:top w:val="none" w:sz="0" w:space="0" w:color="auto"/>
            <w:left w:val="none" w:sz="0" w:space="0" w:color="auto"/>
            <w:bottom w:val="none" w:sz="0" w:space="0" w:color="auto"/>
            <w:right w:val="none" w:sz="0" w:space="0" w:color="auto"/>
          </w:divBdr>
          <w:divsChild>
            <w:div w:id="260336466">
              <w:marLeft w:val="0"/>
              <w:marRight w:val="0"/>
              <w:marTop w:val="0"/>
              <w:marBottom w:val="0"/>
              <w:divBdr>
                <w:top w:val="none" w:sz="0" w:space="0" w:color="auto"/>
                <w:left w:val="none" w:sz="0" w:space="0" w:color="auto"/>
                <w:bottom w:val="none" w:sz="0" w:space="0" w:color="auto"/>
                <w:right w:val="none" w:sz="0" w:space="0" w:color="auto"/>
              </w:divBdr>
              <w:divsChild>
                <w:div w:id="181102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960811">
          <w:marLeft w:val="0"/>
          <w:marRight w:val="0"/>
          <w:marTop w:val="0"/>
          <w:marBottom w:val="0"/>
          <w:divBdr>
            <w:top w:val="none" w:sz="0" w:space="0" w:color="auto"/>
            <w:left w:val="none" w:sz="0" w:space="0" w:color="auto"/>
            <w:bottom w:val="none" w:sz="0" w:space="0" w:color="auto"/>
            <w:right w:val="none" w:sz="0" w:space="0" w:color="auto"/>
          </w:divBdr>
          <w:divsChild>
            <w:div w:id="469134669">
              <w:marLeft w:val="0"/>
              <w:marRight w:val="0"/>
              <w:marTop w:val="0"/>
              <w:marBottom w:val="0"/>
              <w:divBdr>
                <w:top w:val="none" w:sz="0" w:space="0" w:color="auto"/>
                <w:left w:val="none" w:sz="0" w:space="0" w:color="auto"/>
                <w:bottom w:val="none" w:sz="0" w:space="0" w:color="auto"/>
                <w:right w:val="none" w:sz="0" w:space="0" w:color="auto"/>
              </w:divBdr>
              <w:divsChild>
                <w:div w:id="150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132652">
          <w:marLeft w:val="0"/>
          <w:marRight w:val="0"/>
          <w:marTop w:val="0"/>
          <w:marBottom w:val="0"/>
          <w:divBdr>
            <w:top w:val="none" w:sz="0" w:space="0" w:color="auto"/>
            <w:left w:val="none" w:sz="0" w:space="0" w:color="auto"/>
            <w:bottom w:val="none" w:sz="0" w:space="0" w:color="auto"/>
            <w:right w:val="none" w:sz="0" w:space="0" w:color="auto"/>
          </w:divBdr>
          <w:divsChild>
            <w:div w:id="1185511907">
              <w:marLeft w:val="0"/>
              <w:marRight w:val="0"/>
              <w:marTop w:val="0"/>
              <w:marBottom w:val="0"/>
              <w:divBdr>
                <w:top w:val="none" w:sz="0" w:space="0" w:color="auto"/>
                <w:left w:val="none" w:sz="0" w:space="0" w:color="auto"/>
                <w:bottom w:val="none" w:sz="0" w:space="0" w:color="auto"/>
                <w:right w:val="none" w:sz="0" w:space="0" w:color="auto"/>
              </w:divBdr>
              <w:divsChild>
                <w:div w:id="78022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90673">
          <w:marLeft w:val="0"/>
          <w:marRight w:val="0"/>
          <w:marTop w:val="0"/>
          <w:marBottom w:val="0"/>
          <w:divBdr>
            <w:top w:val="none" w:sz="0" w:space="0" w:color="auto"/>
            <w:left w:val="none" w:sz="0" w:space="0" w:color="auto"/>
            <w:bottom w:val="none" w:sz="0" w:space="0" w:color="auto"/>
            <w:right w:val="none" w:sz="0" w:space="0" w:color="auto"/>
          </w:divBdr>
          <w:divsChild>
            <w:div w:id="727996863">
              <w:marLeft w:val="0"/>
              <w:marRight w:val="0"/>
              <w:marTop w:val="0"/>
              <w:marBottom w:val="0"/>
              <w:divBdr>
                <w:top w:val="none" w:sz="0" w:space="0" w:color="auto"/>
                <w:left w:val="none" w:sz="0" w:space="0" w:color="auto"/>
                <w:bottom w:val="none" w:sz="0" w:space="0" w:color="auto"/>
                <w:right w:val="none" w:sz="0" w:space="0" w:color="auto"/>
              </w:divBdr>
              <w:divsChild>
                <w:div w:id="34474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78968">
          <w:marLeft w:val="0"/>
          <w:marRight w:val="0"/>
          <w:marTop w:val="0"/>
          <w:marBottom w:val="0"/>
          <w:divBdr>
            <w:top w:val="none" w:sz="0" w:space="0" w:color="auto"/>
            <w:left w:val="none" w:sz="0" w:space="0" w:color="auto"/>
            <w:bottom w:val="none" w:sz="0" w:space="0" w:color="auto"/>
            <w:right w:val="none" w:sz="0" w:space="0" w:color="auto"/>
          </w:divBdr>
          <w:divsChild>
            <w:div w:id="413669986">
              <w:marLeft w:val="0"/>
              <w:marRight w:val="0"/>
              <w:marTop w:val="0"/>
              <w:marBottom w:val="0"/>
              <w:divBdr>
                <w:top w:val="none" w:sz="0" w:space="0" w:color="auto"/>
                <w:left w:val="none" w:sz="0" w:space="0" w:color="auto"/>
                <w:bottom w:val="none" w:sz="0" w:space="0" w:color="auto"/>
                <w:right w:val="none" w:sz="0" w:space="0" w:color="auto"/>
              </w:divBdr>
              <w:divsChild>
                <w:div w:id="111008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330712">
          <w:marLeft w:val="0"/>
          <w:marRight w:val="0"/>
          <w:marTop w:val="0"/>
          <w:marBottom w:val="0"/>
          <w:divBdr>
            <w:top w:val="none" w:sz="0" w:space="0" w:color="auto"/>
            <w:left w:val="none" w:sz="0" w:space="0" w:color="auto"/>
            <w:bottom w:val="none" w:sz="0" w:space="0" w:color="auto"/>
            <w:right w:val="none" w:sz="0" w:space="0" w:color="auto"/>
          </w:divBdr>
          <w:divsChild>
            <w:div w:id="2140221428">
              <w:marLeft w:val="0"/>
              <w:marRight w:val="0"/>
              <w:marTop w:val="0"/>
              <w:marBottom w:val="0"/>
              <w:divBdr>
                <w:top w:val="none" w:sz="0" w:space="0" w:color="auto"/>
                <w:left w:val="none" w:sz="0" w:space="0" w:color="auto"/>
                <w:bottom w:val="none" w:sz="0" w:space="0" w:color="auto"/>
                <w:right w:val="none" w:sz="0" w:space="0" w:color="auto"/>
              </w:divBdr>
              <w:divsChild>
                <w:div w:id="110881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963500">
          <w:marLeft w:val="0"/>
          <w:marRight w:val="0"/>
          <w:marTop w:val="0"/>
          <w:marBottom w:val="0"/>
          <w:divBdr>
            <w:top w:val="none" w:sz="0" w:space="0" w:color="auto"/>
            <w:left w:val="none" w:sz="0" w:space="0" w:color="auto"/>
            <w:bottom w:val="none" w:sz="0" w:space="0" w:color="auto"/>
            <w:right w:val="none" w:sz="0" w:space="0" w:color="auto"/>
          </w:divBdr>
          <w:divsChild>
            <w:div w:id="415126558">
              <w:marLeft w:val="0"/>
              <w:marRight w:val="0"/>
              <w:marTop w:val="0"/>
              <w:marBottom w:val="0"/>
              <w:divBdr>
                <w:top w:val="none" w:sz="0" w:space="0" w:color="auto"/>
                <w:left w:val="none" w:sz="0" w:space="0" w:color="auto"/>
                <w:bottom w:val="none" w:sz="0" w:space="0" w:color="auto"/>
                <w:right w:val="none" w:sz="0" w:space="0" w:color="auto"/>
              </w:divBdr>
              <w:divsChild>
                <w:div w:id="110896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87907">
          <w:marLeft w:val="0"/>
          <w:marRight w:val="0"/>
          <w:marTop w:val="0"/>
          <w:marBottom w:val="0"/>
          <w:divBdr>
            <w:top w:val="none" w:sz="0" w:space="0" w:color="auto"/>
            <w:left w:val="none" w:sz="0" w:space="0" w:color="auto"/>
            <w:bottom w:val="none" w:sz="0" w:space="0" w:color="auto"/>
            <w:right w:val="none" w:sz="0" w:space="0" w:color="auto"/>
          </w:divBdr>
          <w:divsChild>
            <w:div w:id="1568610579">
              <w:marLeft w:val="0"/>
              <w:marRight w:val="0"/>
              <w:marTop w:val="0"/>
              <w:marBottom w:val="0"/>
              <w:divBdr>
                <w:top w:val="none" w:sz="0" w:space="0" w:color="auto"/>
                <w:left w:val="none" w:sz="0" w:space="0" w:color="auto"/>
                <w:bottom w:val="none" w:sz="0" w:space="0" w:color="auto"/>
                <w:right w:val="none" w:sz="0" w:space="0" w:color="auto"/>
              </w:divBdr>
              <w:divsChild>
                <w:div w:id="47607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52414">
          <w:marLeft w:val="0"/>
          <w:marRight w:val="0"/>
          <w:marTop w:val="0"/>
          <w:marBottom w:val="0"/>
          <w:divBdr>
            <w:top w:val="none" w:sz="0" w:space="0" w:color="auto"/>
            <w:left w:val="none" w:sz="0" w:space="0" w:color="auto"/>
            <w:bottom w:val="none" w:sz="0" w:space="0" w:color="auto"/>
            <w:right w:val="none" w:sz="0" w:space="0" w:color="auto"/>
          </w:divBdr>
          <w:divsChild>
            <w:div w:id="1396932277">
              <w:marLeft w:val="0"/>
              <w:marRight w:val="0"/>
              <w:marTop w:val="0"/>
              <w:marBottom w:val="0"/>
              <w:divBdr>
                <w:top w:val="none" w:sz="0" w:space="0" w:color="auto"/>
                <w:left w:val="none" w:sz="0" w:space="0" w:color="auto"/>
                <w:bottom w:val="none" w:sz="0" w:space="0" w:color="auto"/>
                <w:right w:val="none" w:sz="0" w:space="0" w:color="auto"/>
              </w:divBdr>
              <w:divsChild>
                <w:div w:id="4752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541022">
          <w:marLeft w:val="0"/>
          <w:marRight w:val="0"/>
          <w:marTop w:val="0"/>
          <w:marBottom w:val="0"/>
          <w:divBdr>
            <w:top w:val="none" w:sz="0" w:space="0" w:color="auto"/>
            <w:left w:val="none" w:sz="0" w:space="0" w:color="auto"/>
            <w:bottom w:val="none" w:sz="0" w:space="0" w:color="auto"/>
            <w:right w:val="none" w:sz="0" w:space="0" w:color="auto"/>
          </w:divBdr>
          <w:divsChild>
            <w:div w:id="1497187777">
              <w:marLeft w:val="0"/>
              <w:marRight w:val="0"/>
              <w:marTop w:val="0"/>
              <w:marBottom w:val="0"/>
              <w:divBdr>
                <w:top w:val="none" w:sz="0" w:space="0" w:color="auto"/>
                <w:left w:val="none" w:sz="0" w:space="0" w:color="auto"/>
                <w:bottom w:val="none" w:sz="0" w:space="0" w:color="auto"/>
                <w:right w:val="none" w:sz="0" w:space="0" w:color="auto"/>
              </w:divBdr>
              <w:divsChild>
                <w:div w:id="182354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08657">
          <w:marLeft w:val="0"/>
          <w:marRight w:val="0"/>
          <w:marTop w:val="0"/>
          <w:marBottom w:val="0"/>
          <w:divBdr>
            <w:top w:val="none" w:sz="0" w:space="0" w:color="auto"/>
            <w:left w:val="none" w:sz="0" w:space="0" w:color="auto"/>
            <w:bottom w:val="none" w:sz="0" w:space="0" w:color="auto"/>
            <w:right w:val="none" w:sz="0" w:space="0" w:color="auto"/>
          </w:divBdr>
          <w:divsChild>
            <w:div w:id="1791706920">
              <w:marLeft w:val="0"/>
              <w:marRight w:val="0"/>
              <w:marTop w:val="0"/>
              <w:marBottom w:val="0"/>
              <w:divBdr>
                <w:top w:val="none" w:sz="0" w:space="0" w:color="auto"/>
                <w:left w:val="none" w:sz="0" w:space="0" w:color="auto"/>
                <w:bottom w:val="none" w:sz="0" w:space="0" w:color="auto"/>
                <w:right w:val="none" w:sz="0" w:space="0" w:color="auto"/>
              </w:divBdr>
              <w:divsChild>
                <w:div w:id="208503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93311">
          <w:marLeft w:val="0"/>
          <w:marRight w:val="0"/>
          <w:marTop w:val="0"/>
          <w:marBottom w:val="0"/>
          <w:divBdr>
            <w:top w:val="none" w:sz="0" w:space="0" w:color="auto"/>
            <w:left w:val="none" w:sz="0" w:space="0" w:color="auto"/>
            <w:bottom w:val="none" w:sz="0" w:space="0" w:color="auto"/>
            <w:right w:val="none" w:sz="0" w:space="0" w:color="auto"/>
          </w:divBdr>
          <w:divsChild>
            <w:div w:id="518130309">
              <w:marLeft w:val="0"/>
              <w:marRight w:val="0"/>
              <w:marTop w:val="0"/>
              <w:marBottom w:val="0"/>
              <w:divBdr>
                <w:top w:val="none" w:sz="0" w:space="0" w:color="auto"/>
                <w:left w:val="none" w:sz="0" w:space="0" w:color="auto"/>
                <w:bottom w:val="none" w:sz="0" w:space="0" w:color="auto"/>
                <w:right w:val="none" w:sz="0" w:space="0" w:color="auto"/>
              </w:divBdr>
              <w:divsChild>
                <w:div w:id="11746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476481">
          <w:marLeft w:val="0"/>
          <w:marRight w:val="0"/>
          <w:marTop w:val="0"/>
          <w:marBottom w:val="0"/>
          <w:divBdr>
            <w:top w:val="none" w:sz="0" w:space="0" w:color="auto"/>
            <w:left w:val="none" w:sz="0" w:space="0" w:color="auto"/>
            <w:bottom w:val="none" w:sz="0" w:space="0" w:color="auto"/>
            <w:right w:val="none" w:sz="0" w:space="0" w:color="auto"/>
          </w:divBdr>
          <w:divsChild>
            <w:div w:id="1879855468">
              <w:marLeft w:val="0"/>
              <w:marRight w:val="0"/>
              <w:marTop w:val="0"/>
              <w:marBottom w:val="0"/>
              <w:divBdr>
                <w:top w:val="none" w:sz="0" w:space="0" w:color="auto"/>
                <w:left w:val="none" w:sz="0" w:space="0" w:color="auto"/>
                <w:bottom w:val="none" w:sz="0" w:space="0" w:color="auto"/>
                <w:right w:val="none" w:sz="0" w:space="0" w:color="auto"/>
              </w:divBdr>
              <w:divsChild>
                <w:div w:id="120417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7615">
          <w:marLeft w:val="0"/>
          <w:marRight w:val="0"/>
          <w:marTop w:val="0"/>
          <w:marBottom w:val="0"/>
          <w:divBdr>
            <w:top w:val="none" w:sz="0" w:space="0" w:color="auto"/>
            <w:left w:val="none" w:sz="0" w:space="0" w:color="auto"/>
            <w:bottom w:val="none" w:sz="0" w:space="0" w:color="auto"/>
            <w:right w:val="none" w:sz="0" w:space="0" w:color="auto"/>
          </w:divBdr>
          <w:divsChild>
            <w:div w:id="1218592034">
              <w:marLeft w:val="0"/>
              <w:marRight w:val="0"/>
              <w:marTop w:val="0"/>
              <w:marBottom w:val="0"/>
              <w:divBdr>
                <w:top w:val="none" w:sz="0" w:space="0" w:color="auto"/>
                <w:left w:val="none" w:sz="0" w:space="0" w:color="auto"/>
                <w:bottom w:val="none" w:sz="0" w:space="0" w:color="auto"/>
                <w:right w:val="none" w:sz="0" w:space="0" w:color="auto"/>
              </w:divBdr>
              <w:divsChild>
                <w:div w:id="66332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375472">
          <w:marLeft w:val="0"/>
          <w:marRight w:val="0"/>
          <w:marTop w:val="0"/>
          <w:marBottom w:val="0"/>
          <w:divBdr>
            <w:top w:val="none" w:sz="0" w:space="0" w:color="auto"/>
            <w:left w:val="none" w:sz="0" w:space="0" w:color="auto"/>
            <w:bottom w:val="none" w:sz="0" w:space="0" w:color="auto"/>
            <w:right w:val="none" w:sz="0" w:space="0" w:color="auto"/>
          </w:divBdr>
          <w:divsChild>
            <w:div w:id="958726198">
              <w:marLeft w:val="0"/>
              <w:marRight w:val="0"/>
              <w:marTop w:val="0"/>
              <w:marBottom w:val="0"/>
              <w:divBdr>
                <w:top w:val="none" w:sz="0" w:space="0" w:color="auto"/>
                <w:left w:val="none" w:sz="0" w:space="0" w:color="auto"/>
                <w:bottom w:val="none" w:sz="0" w:space="0" w:color="auto"/>
                <w:right w:val="none" w:sz="0" w:space="0" w:color="auto"/>
              </w:divBdr>
              <w:divsChild>
                <w:div w:id="202185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27747">
          <w:marLeft w:val="0"/>
          <w:marRight w:val="0"/>
          <w:marTop w:val="0"/>
          <w:marBottom w:val="0"/>
          <w:divBdr>
            <w:top w:val="none" w:sz="0" w:space="0" w:color="auto"/>
            <w:left w:val="none" w:sz="0" w:space="0" w:color="auto"/>
            <w:bottom w:val="none" w:sz="0" w:space="0" w:color="auto"/>
            <w:right w:val="none" w:sz="0" w:space="0" w:color="auto"/>
          </w:divBdr>
          <w:divsChild>
            <w:div w:id="1055934099">
              <w:marLeft w:val="0"/>
              <w:marRight w:val="0"/>
              <w:marTop w:val="0"/>
              <w:marBottom w:val="0"/>
              <w:divBdr>
                <w:top w:val="none" w:sz="0" w:space="0" w:color="auto"/>
                <w:left w:val="none" w:sz="0" w:space="0" w:color="auto"/>
                <w:bottom w:val="none" w:sz="0" w:space="0" w:color="auto"/>
                <w:right w:val="none" w:sz="0" w:space="0" w:color="auto"/>
              </w:divBdr>
              <w:divsChild>
                <w:div w:id="88009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468194">
          <w:marLeft w:val="0"/>
          <w:marRight w:val="0"/>
          <w:marTop w:val="0"/>
          <w:marBottom w:val="0"/>
          <w:divBdr>
            <w:top w:val="none" w:sz="0" w:space="0" w:color="auto"/>
            <w:left w:val="none" w:sz="0" w:space="0" w:color="auto"/>
            <w:bottom w:val="none" w:sz="0" w:space="0" w:color="auto"/>
            <w:right w:val="none" w:sz="0" w:space="0" w:color="auto"/>
          </w:divBdr>
          <w:divsChild>
            <w:div w:id="601573743">
              <w:marLeft w:val="0"/>
              <w:marRight w:val="0"/>
              <w:marTop w:val="0"/>
              <w:marBottom w:val="0"/>
              <w:divBdr>
                <w:top w:val="none" w:sz="0" w:space="0" w:color="auto"/>
                <w:left w:val="none" w:sz="0" w:space="0" w:color="auto"/>
                <w:bottom w:val="none" w:sz="0" w:space="0" w:color="auto"/>
                <w:right w:val="none" w:sz="0" w:space="0" w:color="auto"/>
              </w:divBdr>
              <w:divsChild>
                <w:div w:id="151788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038298">
          <w:marLeft w:val="0"/>
          <w:marRight w:val="0"/>
          <w:marTop w:val="0"/>
          <w:marBottom w:val="0"/>
          <w:divBdr>
            <w:top w:val="none" w:sz="0" w:space="0" w:color="auto"/>
            <w:left w:val="none" w:sz="0" w:space="0" w:color="auto"/>
            <w:bottom w:val="none" w:sz="0" w:space="0" w:color="auto"/>
            <w:right w:val="none" w:sz="0" w:space="0" w:color="auto"/>
          </w:divBdr>
          <w:divsChild>
            <w:div w:id="460344994">
              <w:marLeft w:val="0"/>
              <w:marRight w:val="0"/>
              <w:marTop w:val="0"/>
              <w:marBottom w:val="0"/>
              <w:divBdr>
                <w:top w:val="none" w:sz="0" w:space="0" w:color="auto"/>
                <w:left w:val="none" w:sz="0" w:space="0" w:color="auto"/>
                <w:bottom w:val="none" w:sz="0" w:space="0" w:color="auto"/>
                <w:right w:val="none" w:sz="0" w:space="0" w:color="auto"/>
              </w:divBdr>
              <w:divsChild>
                <w:div w:id="172051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158790">
          <w:marLeft w:val="0"/>
          <w:marRight w:val="0"/>
          <w:marTop w:val="0"/>
          <w:marBottom w:val="0"/>
          <w:divBdr>
            <w:top w:val="none" w:sz="0" w:space="0" w:color="auto"/>
            <w:left w:val="none" w:sz="0" w:space="0" w:color="auto"/>
            <w:bottom w:val="none" w:sz="0" w:space="0" w:color="auto"/>
            <w:right w:val="none" w:sz="0" w:space="0" w:color="auto"/>
          </w:divBdr>
          <w:divsChild>
            <w:div w:id="722481704">
              <w:marLeft w:val="0"/>
              <w:marRight w:val="0"/>
              <w:marTop w:val="0"/>
              <w:marBottom w:val="0"/>
              <w:divBdr>
                <w:top w:val="none" w:sz="0" w:space="0" w:color="auto"/>
                <w:left w:val="none" w:sz="0" w:space="0" w:color="auto"/>
                <w:bottom w:val="none" w:sz="0" w:space="0" w:color="auto"/>
                <w:right w:val="none" w:sz="0" w:space="0" w:color="auto"/>
              </w:divBdr>
              <w:divsChild>
                <w:div w:id="21115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009708">
          <w:marLeft w:val="0"/>
          <w:marRight w:val="0"/>
          <w:marTop w:val="0"/>
          <w:marBottom w:val="0"/>
          <w:divBdr>
            <w:top w:val="none" w:sz="0" w:space="0" w:color="auto"/>
            <w:left w:val="none" w:sz="0" w:space="0" w:color="auto"/>
            <w:bottom w:val="none" w:sz="0" w:space="0" w:color="auto"/>
            <w:right w:val="none" w:sz="0" w:space="0" w:color="auto"/>
          </w:divBdr>
          <w:divsChild>
            <w:div w:id="1445684908">
              <w:marLeft w:val="0"/>
              <w:marRight w:val="0"/>
              <w:marTop w:val="0"/>
              <w:marBottom w:val="0"/>
              <w:divBdr>
                <w:top w:val="none" w:sz="0" w:space="0" w:color="auto"/>
                <w:left w:val="none" w:sz="0" w:space="0" w:color="auto"/>
                <w:bottom w:val="none" w:sz="0" w:space="0" w:color="auto"/>
                <w:right w:val="none" w:sz="0" w:space="0" w:color="auto"/>
              </w:divBdr>
              <w:divsChild>
                <w:div w:id="118721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04450">
          <w:marLeft w:val="0"/>
          <w:marRight w:val="0"/>
          <w:marTop w:val="0"/>
          <w:marBottom w:val="0"/>
          <w:divBdr>
            <w:top w:val="none" w:sz="0" w:space="0" w:color="auto"/>
            <w:left w:val="none" w:sz="0" w:space="0" w:color="auto"/>
            <w:bottom w:val="none" w:sz="0" w:space="0" w:color="auto"/>
            <w:right w:val="none" w:sz="0" w:space="0" w:color="auto"/>
          </w:divBdr>
          <w:divsChild>
            <w:div w:id="1710832964">
              <w:marLeft w:val="0"/>
              <w:marRight w:val="0"/>
              <w:marTop w:val="0"/>
              <w:marBottom w:val="0"/>
              <w:divBdr>
                <w:top w:val="none" w:sz="0" w:space="0" w:color="auto"/>
                <w:left w:val="none" w:sz="0" w:space="0" w:color="auto"/>
                <w:bottom w:val="none" w:sz="0" w:space="0" w:color="auto"/>
                <w:right w:val="none" w:sz="0" w:space="0" w:color="auto"/>
              </w:divBdr>
              <w:divsChild>
                <w:div w:id="67287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345629">
          <w:marLeft w:val="0"/>
          <w:marRight w:val="0"/>
          <w:marTop w:val="0"/>
          <w:marBottom w:val="0"/>
          <w:divBdr>
            <w:top w:val="none" w:sz="0" w:space="0" w:color="auto"/>
            <w:left w:val="none" w:sz="0" w:space="0" w:color="auto"/>
            <w:bottom w:val="none" w:sz="0" w:space="0" w:color="auto"/>
            <w:right w:val="none" w:sz="0" w:space="0" w:color="auto"/>
          </w:divBdr>
          <w:divsChild>
            <w:div w:id="1325744277">
              <w:marLeft w:val="0"/>
              <w:marRight w:val="0"/>
              <w:marTop w:val="0"/>
              <w:marBottom w:val="0"/>
              <w:divBdr>
                <w:top w:val="none" w:sz="0" w:space="0" w:color="auto"/>
                <w:left w:val="none" w:sz="0" w:space="0" w:color="auto"/>
                <w:bottom w:val="none" w:sz="0" w:space="0" w:color="auto"/>
                <w:right w:val="none" w:sz="0" w:space="0" w:color="auto"/>
              </w:divBdr>
              <w:divsChild>
                <w:div w:id="106418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90061">
          <w:marLeft w:val="0"/>
          <w:marRight w:val="0"/>
          <w:marTop w:val="0"/>
          <w:marBottom w:val="0"/>
          <w:divBdr>
            <w:top w:val="none" w:sz="0" w:space="0" w:color="auto"/>
            <w:left w:val="none" w:sz="0" w:space="0" w:color="auto"/>
            <w:bottom w:val="none" w:sz="0" w:space="0" w:color="auto"/>
            <w:right w:val="none" w:sz="0" w:space="0" w:color="auto"/>
          </w:divBdr>
          <w:divsChild>
            <w:div w:id="1883059596">
              <w:marLeft w:val="0"/>
              <w:marRight w:val="0"/>
              <w:marTop w:val="0"/>
              <w:marBottom w:val="0"/>
              <w:divBdr>
                <w:top w:val="none" w:sz="0" w:space="0" w:color="auto"/>
                <w:left w:val="none" w:sz="0" w:space="0" w:color="auto"/>
                <w:bottom w:val="none" w:sz="0" w:space="0" w:color="auto"/>
                <w:right w:val="none" w:sz="0" w:space="0" w:color="auto"/>
              </w:divBdr>
              <w:divsChild>
                <w:div w:id="154320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7541">
          <w:marLeft w:val="0"/>
          <w:marRight w:val="0"/>
          <w:marTop w:val="0"/>
          <w:marBottom w:val="0"/>
          <w:divBdr>
            <w:top w:val="none" w:sz="0" w:space="0" w:color="auto"/>
            <w:left w:val="none" w:sz="0" w:space="0" w:color="auto"/>
            <w:bottom w:val="none" w:sz="0" w:space="0" w:color="auto"/>
            <w:right w:val="none" w:sz="0" w:space="0" w:color="auto"/>
          </w:divBdr>
          <w:divsChild>
            <w:div w:id="684328075">
              <w:marLeft w:val="0"/>
              <w:marRight w:val="0"/>
              <w:marTop w:val="0"/>
              <w:marBottom w:val="0"/>
              <w:divBdr>
                <w:top w:val="none" w:sz="0" w:space="0" w:color="auto"/>
                <w:left w:val="none" w:sz="0" w:space="0" w:color="auto"/>
                <w:bottom w:val="none" w:sz="0" w:space="0" w:color="auto"/>
                <w:right w:val="none" w:sz="0" w:space="0" w:color="auto"/>
              </w:divBdr>
              <w:divsChild>
                <w:div w:id="207843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341306">
          <w:marLeft w:val="0"/>
          <w:marRight w:val="0"/>
          <w:marTop w:val="0"/>
          <w:marBottom w:val="0"/>
          <w:divBdr>
            <w:top w:val="none" w:sz="0" w:space="0" w:color="auto"/>
            <w:left w:val="none" w:sz="0" w:space="0" w:color="auto"/>
            <w:bottom w:val="none" w:sz="0" w:space="0" w:color="auto"/>
            <w:right w:val="none" w:sz="0" w:space="0" w:color="auto"/>
          </w:divBdr>
          <w:divsChild>
            <w:div w:id="930159192">
              <w:marLeft w:val="0"/>
              <w:marRight w:val="0"/>
              <w:marTop w:val="0"/>
              <w:marBottom w:val="0"/>
              <w:divBdr>
                <w:top w:val="none" w:sz="0" w:space="0" w:color="auto"/>
                <w:left w:val="none" w:sz="0" w:space="0" w:color="auto"/>
                <w:bottom w:val="none" w:sz="0" w:space="0" w:color="auto"/>
                <w:right w:val="none" w:sz="0" w:space="0" w:color="auto"/>
              </w:divBdr>
              <w:divsChild>
                <w:div w:id="16702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463001">
          <w:marLeft w:val="0"/>
          <w:marRight w:val="0"/>
          <w:marTop w:val="0"/>
          <w:marBottom w:val="0"/>
          <w:divBdr>
            <w:top w:val="none" w:sz="0" w:space="0" w:color="auto"/>
            <w:left w:val="none" w:sz="0" w:space="0" w:color="auto"/>
            <w:bottom w:val="none" w:sz="0" w:space="0" w:color="auto"/>
            <w:right w:val="none" w:sz="0" w:space="0" w:color="auto"/>
          </w:divBdr>
          <w:divsChild>
            <w:div w:id="483863012">
              <w:marLeft w:val="0"/>
              <w:marRight w:val="0"/>
              <w:marTop w:val="0"/>
              <w:marBottom w:val="0"/>
              <w:divBdr>
                <w:top w:val="none" w:sz="0" w:space="0" w:color="auto"/>
                <w:left w:val="none" w:sz="0" w:space="0" w:color="auto"/>
                <w:bottom w:val="none" w:sz="0" w:space="0" w:color="auto"/>
                <w:right w:val="none" w:sz="0" w:space="0" w:color="auto"/>
              </w:divBdr>
              <w:divsChild>
                <w:div w:id="82208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409852">
          <w:marLeft w:val="0"/>
          <w:marRight w:val="0"/>
          <w:marTop w:val="0"/>
          <w:marBottom w:val="0"/>
          <w:divBdr>
            <w:top w:val="none" w:sz="0" w:space="0" w:color="auto"/>
            <w:left w:val="none" w:sz="0" w:space="0" w:color="auto"/>
            <w:bottom w:val="none" w:sz="0" w:space="0" w:color="auto"/>
            <w:right w:val="none" w:sz="0" w:space="0" w:color="auto"/>
          </w:divBdr>
          <w:divsChild>
            <w:div w:id="1368064668">
              <w:marLeft w:val="0"/>
              <w:marRight w:val="0"/>
              <w:marTop w:val="0"/>
              <w:marBottom w:val="0"/>
              <w:divBdr>
                <w:top w:val="none" w:sz="0" w:space="0" w:color="auto"/>
                <w:left w:val="none" w:sz="0" w:space="0" w:color="auto"/>
                <w:bottom w:val="none" w:sz="0" w:space="0" w:color="auto"/>
                <w:right w:val="none" w:sz="0" w:space="0" w:color="auto"/>
              </w:divBdr>
              <w:divsChild>
                <w:div w:id="155538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598833">
          <w:marLeft w:val="0"/>
          <w:marRight w:val="0"/>
          <w:marTop w:val="0"/>
          <w:marBottom w:val="0"/>
          <w:divBdr>
            <w:top w:val="none" w:sz="0" w:space="0" w:color="auto"/>
            <w:left w:val="none" w:sz="0" w:space="0" w:color="auto"/>
            <w:bottom w:val="none" w:sz="0" w:space="0" w:color="auto"/>
            <w:right w:val="none" w:sz="0" w:space="0" w:color="auto"/>
          </w:divBdr>
          <w:divsChild>
            <w:div w:id="108743435">
              <w:marLeft w:val="0"/>
              <w:marRight w:val="0"/>
              <w:marTop w:val="0"/>
              <w:marBottom w:val="0"/>
              <w:divBdr>
                <w:top w:val="none" w:sz="0" w:space="0" w:color="auto"/>
                <w:left w:val="none" w:sz="0" w:space="0" w:color="auto"/>
                <w:bottom w:val="none" w:sz="0" w:space="0" w:color="auto"/>
                <w:right w:val="none" w:sz="0" w:space="0" w:color="auto"/>
              </w:divBdr>
              <w:divsChild>
                <w:div w:id="199382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5363">
          <w:marLeft w:val="0"/>
          <w:marRight w:val="0"/>
          <w:marTop w:val="0"/>
          <w:marBottom w:val="0"/>
          <w:divBdr>
            <w:top w:val="none" w:sz="0" w:space="0" w:color="auto"/>
            <w:left w:val="none" w:sz="0" w:space="0" w:color="auto"/>
            <w:bottom w:val="none" w:sz="0" w:space="0" w:color="auto"/>
            <w:right w:val="none" w:sz="0" w:space="0" w:color="auto"/>
          </w:divBdr>
          <w:divsChild>
            <w:div w:id="1811820910">
              <w:marLeft w:val="0"/>
              <w:marRight w:val="0"/>
              <w:marTop w:val="0"/>
              <w:marBottom w:val="0"/>
              <w:divBdr>
                <w:top w:val="none" w:sz="0" w:space="0" w:color="auto"/>
                <w:left w:val="none" w:sz="0" w:space="0" w:color="auto"/>
                <w:bottom w:val="none" w:sz="0" w:space="0" w:color="auto"/>
                <w:right w:val="none" w:sz="0" w:space="0" w:color="auto"/>
              </w:divBdr>
              <w:divsChild>
                <w:div w:id="109983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019421">
          <w:marLeft w:val="0"/>
          <w:marRight w:val="0"/>
          <w:marTop w:val="0"/>
          <w:marBottom w:val="0"/>
          <w:divBdr>
            <w:top w:val="none" w:sz="0" w:space="0" w:color="auto"/>
            <w:left w:val="none" w:sz="0" w:space="0" w:color="auto"/>
            <w:bottom w:val="none" w:sz="0" w:space="0" w:color="auto"/>
            <w:right w:val="none" w:sz="0" w:space="0" w:color="auto"/>
          </w:divBdr>
          <w:divsChild>
            <w:div w:id="1788961634">
              <w:marLeft w:val="0"/>
              <w:marRight w:val="0"/>
              <w:marTop w:val="0"/>
              <w:marBottom w:val="0"/>
              <w:divBdr>
                <w:top w:val="none" w:sz="0" w:space="0" w:color="auto"/>
                <w:left w:val="none" w:sz="0" w:space="0" w:color="auto"/>
                <w:bottom w:val="none" w:sz="0" w:space="0" w:color="auto"/>
                <w:right w:val="none" w:sz="0" w:space="0" w:color="auto"/>
              </w:divBdr>
              <w:divsChild>
                <w:div w:id="199367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828">
          <w:marLeft w:val="0"/>
          <w:marRight w:val="0"/>
          <w:marTop w:val="0"/>
          <w:marBottom w:val="0"/>
          <w:divBdr>
            <w:top w:val="none" w:sz="0" w:space="0" w:color="auto"/>
            <w:left w:val="none" w:sz="0" w:space="0" w:color="auto"/>
            <w:bottom w:val="none" w:sz="0" w:space="0" w:color="auto"/>
            <w:right w:val="none" w:sz="0" w:space="0" w:color="auto"/>
          </w:divBdr>
          <w:divsChild>
            <w:div w:id="1590114945">
              <w:marLeft w:val="0"/>
              <w:marRight w:val="0"/>
              <w:marTop w:val="0"/>
              <w:marBottom w:val="0"/>
              <w:divBdr>
                <w:top w:val="none" w:sz="0" w:space="0" w:color="auto"/>
                <w:left w:val="none" w:sz="0" w:space="0" w:color="auto"/>
                <w:bottom w:val="none" w:sz="0" w:space="0" w:color="auto"/>
                <w:right w:val="none" w:sz="0" w:space="0" w:color="auto"/>
              </w:divBdr>
              <w:divsChild>
                <w:div w:id="5688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793303">
          <w:marLeft w:val="0"/>
          <w:marRight w:val="0"/>
          <w:marTop w:val="0"/>
          <w:marBottom w:val="0"/>
          <w:divBdr>
            <w:top w:val="none" w:sz="0" w:space="0" w:color="auto"/>
            <w:left w:val="none" w:sz="0" w:space="0" w:color="auto"/>
            <w:bottom w:val="none" w:sz="0" w:space="0" w:color="auto"/>
            <w:right w:val="none" w:sz="0" w:space="0" w:color="auto"/>
          </w:divBdr>
          <w:divsChild>
            <w:div w:id="692877861">
              <w:marLeft w:val="0"/>
              <w:marRight w:val="0"/>
              <w:marTop w:val="0"/>
              <w:marBottom w:val="0"/>
              <w:divBdr>
                <w:top w:val="none" w:sz="0" w:space="0" w:color="auto"/>
                <w:left w:val="none" w:sz="0" w:space="0" w:color="auto"/>
                <w:bottom w:val="none" w:sz="0" w:space="0" w:color="auto"/>
                <w:right w:val="none" w:sz="0" w:space="0" w:color="auto"/>
              </w:divBdr>
              <w:divsChild>
                <w:div w:id="168547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950301">
          <w:marLeft w:val="0"/>
          <w:marRight w:val="0"/>
          <w:marTop w:val="0"/>
          <w:marBottom w:val="0"/>
          <w:divBdr>
            <w:top w:val="none" w:sz="0" w:space="0" w:color="auto"/>
            <w:left w:val="none" w:sz="0" w:space="0" w:color="auto"/>
            <w:bottom w:val="none" w:sz="0" w:space="0" w:color="auto"/>
            <w:right w:val="none" w:sz="0" w:space="0" w:color="auto"/>
          </w:divBdr>
          <w:divsChild>
            <w:div w:id="109669810">
              <w:marLeft w:val="0"/>
              <w:marRight w:val="0"/>
              <w:marTop w:val="0"/>
              <w:marBottom w:val="0"/>
              <w:divBdr>
                <w:top w:val="none" w:sz="0" w:space="0" w:color="auto"/>
                <w:left w:val="none" w:sz="0" w:space="0" w:color="auto"/>
                <w:bottom w:val="none" w:sz="0" w:space="0" w:color="auto"/>
                <w:right w:val="none" w:sz="0" w:space="0" w:color="auto"/>
              </w:divBdr>
              <w:divsChild>
                <w:div w:id="85985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1570">
          <w:marLeft w:val="0"/>
          <w:marRight w:val="0"/>
          <w:marTop w:val="0"/>
          <w:marBottom w:val="0"/>
          <w:divBdr>
            <w:top w:val="none" w:sz="0" w:space="0" w:color="auto"/>
            <w:left w:val="none" w:sz="0" w:space="0" w:color="auto"/>
            <w:bottom w:val="none" w:sz="0" w:space="0" w:color="auto"/>
            <w:right w:val="none" w:sz="0" w:space="0" w:color="auto"/>
          </w:divBdr>
          <w:divsChild>
            <w:div w:id="530802739">
              <w:marLeft w:val="0"/>
              <w:marRight w:val="0"/>
              <w:marTop w:val="0"/>
              <w:marBottom w:val="0"/>
              <w:divBdr>
                <w:top w:val="none" w:sz="0" w:space="0" w:color="auto"/>
                <w:left w:val="none" w:sz="0" w:space="0" w:color="auto"/>
                <w:bottom w:val="none" w:sz="0" w:space="0" w:color="auto"/>
                <w:right w:val="none" w:sz="0" w:space="0" w:color="auto"/>
              </w:divBdr>
              <w:divsChild>
                <w:div w:id="13246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68204">
          <w:marLeft w:val="0"/>
          <w:marRight w:val="0"/>
          <w:marTop w:val="0"/>
          <w:marBottom w:val="0"/>
          <w:divBdr>
            <w:top w:val="none" w:sz="0" w:space="0" w:color="auto"/>
            <w:left w:val="none" w:sz="0" w:space="0" w:color="auto"/>
            <w:bottom w:val="none" w:sz="0" w:space="0" w:color="auto"/>
            <w:right w:val="none" w:sz="0" w:space="0" w:color="auto"/>
          </w:divBdr>
          <w:divsChild>
            <w:div w:id="1781217368">
              <w:marLeft w:val="0"/>
              <w:marRight w:val="0"/>
              <w:marTop w:val="0"/>
              <w:marBottom w:val="0"/>
              <w:divBdr>
                <w:top w:val="none" w:sz="0" w:space="0" w:color="auto"/>
                <w:left w:val="none" w:sz="0" w:space="0" w:color="auto"/>
                <w:bottom w:val="none" w:sz="0" w:space="0" w:color="auto"/>
                <w:right w:val="none" w:sz="0" w:space="0" w:color="auto"/>
              </w:divBdr>
              <w:divsChild>
                <w:div w:id="132042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032">
          <w:marLeft w:val="0"/>
          <w:marRight w:val="0"/>
          <w:marTop w:val="0"/>
          <w:marBottom w:val="0"/>
          <w:divBdr>
            <w:top w:val="none" w:sz="0" w:space="0" w:color="auto"/>
            <w:left w:val="none" w:sz="0" w:space="0" w:color="auto"/>
            <w:bottom w:val="none" w:sz="0" w:space="0" w:color="auto"/>
            <w:right w:val="none" w:sz="0" w:space="0" w:color="auto"/>
          </w:divBdr>
          <w:divsChild>
            <w:div w:id="1546256900">
              <w:marLeft w:val="0"/>
              <w:marRight w:val="0"/>
              <w:marTop w:val="0"/>
              <w:marBottom w:val="0"/>
              <w:divBdr>
                <w:top w:val="none" w:sz="0" w:space="0" w:color="auto"/>
                <w:left w:val="none" w:sz="0" w:space="0" w:color="auto"/>
                <w:bottom w:val="none" w:sz="0" w:space="0" w:color="auto"/>
                <w:right w:val="none" w:sz="0" w:space="0" w:color="auto"/>
              </w:divBdr>
              <w:divsChild>
                <w:div w:id="35056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18201">
          <w:marLeft w:val="0"/>
          <w:marRight w:val="0"/>
          <w:marTop w:val="0"/>
          <w:marBottom w:val="0"/>
          <w:divBdr>
            <w:top w:val="none" w:sz="0" w:space="0" w:color="auto"/>
            <w:left w:val="none" w:sz="0" w:space="0" w:color="auto"/>
            <w:bottom w:val="none" w:sz="0" w:space="0" w:color="auto"/>
            <w:right w:val="none" w:sz="0" w:space="0" w:color="auto"/>
          </w:divBdr>
          <w:divsChild>
            <w:div w:id="2068069485">
              <w:marLeft w:val="0"/>
              <w:marRight w:val="0"/>
              <w:marTop w:val="0"/>
              <w:marBottom w:val="0"/>
              <w:divBdr>
                <w:top w:val="none" w:sz="0" w:space="0" w:color="auto"/>
                <w:left w:val="none" w:sz="0" w:space="0" w:color="auto"/>
                <w:bottom w:val="none" w:sz="0" w:space="0" w:color="auto"/>
                <w:right w:val="none" w:sz="0" w:space="0" w:color="auto"/>
              </w:divBdr>
              <w:divsChild>
                <w:div w:id="9187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232323">
          <w:marLeft w:val="0"/>
          <w:marRight w:val="0"/>
          <w:marTop w:val="0"/>
          <w:marBottom w:val="0"/>
          <w:divBdr>
            <w:top w:val="none" w:sz="0" w:space="0" w:color="auto"/>
            <w:left w:val="none" w:sz="0" w:space="0" w:color="auto"/>
            <w:bottom w:val="none" w:sz="0" w:space="0" w:color="auto"/>
            <w:right w:val="none" w:sz="0" w:space="0" w:color="auto"/>
          </w:divBdr>
          <w:divsChild>
            <w:div w:id="869031327">
              <w:marLeft w:val="0"/>
              <w:marRight w:val="0"/>
              <w:marTop w:val="0"/>
              <w:marBottom w:val="0"/>
              <w:divBdr>
                <w:top w:val="none" w:sz="0" w:space="0" w:color="auto"/>
                <w:left w:val="none" w:sz="0" w:space="0" w:color="auto"/>
                <w:bottom w:val="none" w:sz="0" w:space="0" w:color="auto"/>
                <w:right w:val="none" w:sz="0" w:space="0" w:color="auto"/>
              </w:divBdr>
              <w:divsChild>
                <w:div w:id="34714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336071">
      <w:bodyDiv w:val="1"/>
      <w:marLeft w:val="0"/>
      <w:marRight w:val="0"/>
      <w:marTop w:val="0"/>
      <w:marBottom w:val="0"/>
      <w:divBdr>
        <w:top w:val="none" w:sz="0" w:space="0" w:color="auto"/>
        <w:left w:val="none" w:sz="0" w:space="0" w:color="auto"/>
        <w:bottom w:val="none" w:sz="0" w:space="0" w:color="auto"/>
        <w:right w:val="none" w:sz="0" w:space="0" w:color="auto"/>
      </w:divBdr>
      <w:divsChild>
        <w:div w:id="2014915920">
          <w:marLeft w:val="0"/>
          <w:marRight w:val="0"/>
          <w:marTop w:val="0"/>
          <w:marBottom w:val="0"/>
          <w:divBdr>
            <w:top w:val="none" w:sz="0" w:space="0" w:color="auto"/>
            <w:left w:val="none" w:sz="0" w:space="0" w:color="auto"/>
            <w:bottom w:val="none" w:sz="0" w:space="0" w:color="auto"/>
            <w:right w:val="none" w:sz="0" w:space="0" w:color="auto"/>
          </w:divBdr>
          <w:divsChild>
            <w:div w:id="1419909552">
              <w:marLeft w:val="0"/>
              <w:marRight w:val="0"/>
              <w:marTop w:val="0"/>
              <w:marBottom w:val="0"/>
              <w:divBdr>
                <w:top w:val="none" w:sz="0" w:space="0" w:color="auto"/>
                <w:left w:val="none" w:sz="0" w:space="0" w:color="auto"/>
                <w:bottom w:val="none" w:sz="0" w:space="0" w:color="auto"/>
                <w:right w:val="none" w:sz="0" w:space="0" w:color="auto"/>
              </w:divBdr>
              <w:divsChild>
                <w:div w:id="725032527">
                  <w:marLeft w:val="0"/>
                  <w:marRight w:val="0"/>
                  <w:marTop w:val="0"/>
                  <w:marBottom w:val="0"/>
                  <w:divBdr>
                    <w:top w:val="none" w:sz="0" w:space="0" w:color="auto"/>
                    <w:left w:val="none" w:sz="0" w:space="0" w:color="auto"/>
                    <w:bottom w:val="none" w:sz="0" w:space="0" w:color="auto"/>
                    <w:right w:val="none" w:sz="0" w:space="0" w:color="auto"/>
                  </w:divBdr>
                  <w:divsChild>
                    <w:div w:id="7098264">
                      <w:marLeft w:val="0"/>
                      <w:marRight w:val="0"/>
                      <w:marTop w:val="0"/>
                      <w:marBottom w:val="0"/>
                      <w:divBdr>
                        <w:top w:val="none" w:sz="0" w:space="0" w:color="auto"/>
                        <w:left w:val="none" w:sz="0" w:space="0" w:color="auto"/>
                        <w:bottom w:val="none" w:sz="0" w:space="0" w:color="auto"/>
                        <w:right w:val="none" w:sz="0" w:space="0" w:color="auto"/>
                      </w:divBdr>
                      <w:divsChild>
                        <w:div w:id="1189375634">
                          <w:marLeft w:val="0"/>
                          <w:marRight w:val="0"/>
                          <w:marTop w:val="0"/>
                          <w:marBottom w:val="0"/>
                          <w:divBdr>
                            <w:top w:val="none" w:sz="0" w:space="0" w:color="auto"/>
                            <w:left w:val="none" w:sz="0" w:space="0" w:color="auto"/>
                            <w:bottom w:val="none" w:sz="0" w:space="0" w:color="auto"/>
                            <w:right w:val="none" w:sz="0" w:space="0" w:color="auto"/>
                          </w:divBdr>
                          <w:divsChild>
                            <w:div w:id="561185531">
                              <w:marLeft w:val="0"/>
                              <w:marRight w:val="0"/>
                              <w:marTop w:val="0"/>
                              <w:marBottom w:val="0"/>
                              <w:divBdr>
                                <w:top w:val="none" w:sz="0" w:space="0" w:color="auto"/>
                                <w:left w:val="none" w:sz="0" w:space="0" w:color="auto"/>
                                <w:bottom w:val="none" w:sz="0" w:space="0" w:color="auto"/>
                                <w:right w:val="none" w:sz="0" w:space="0" w:color="auto"/>
                              </w:divBdr>
                              <w:divsChild>
                                <w:div w:id="890001224">
                                  <w:marLeft w:val="0"/>
                                  <w:marRight w:val="0"/>
                                  <w:marTop w:val="0"/>
                                  <w:marBottom w:val="0"/>
                                  <w:divBdr>
                                    <w:top w:val="none" w:sz="0" w:space="0" w:color="auto"/>
                                    <w:left w:val="none" w:sz="0" w:space="0" w:color="auto"/>
                                    <w:bottom w:val="none" w:sz="0" w:space="0" w:color="auto"/>
                                    <w:right w:val="none" w:sz="0" w:space="0" w:color="auto"/>
                                  </w:divBdr>
                                  <w:divsChild>
                                    <w:div w:id="2095583446">
                                      <w:marLeft w:val="0"/>
                                      <w:marRight w:val="0"/>
                                      <w:marTop w:val="0"/>
                                      <w:marBottom w:val="0"/>
                                      <w:divBdr>
                                        <w:top w:val="none" w:sz="0" w:space="0" w:color="auto"/>
                                        <w:left w:val="none" w:sz="0" w:space="0" w:color="auto"/>
                                        <w:bottom w:val="none" w:sz="0" w:space="0" w:color="auto"/>
                                        <w:right w:val="none" w:sz="0" w:space="0" w:color="auto"/>
                                      </w:divBdr>
                                    </w:div>
                                    <w:div w:id="1080297210">
                                      <w:marLeft w:val="0"/>
                                      <w:marRight w:val="0"/>
                                      <w:marTop w:val="0"/>
                                      <w:marBottom w:val="0"/>
                                      <w:divBdr>
                                        <w:top w:val="none" w:sz="0" w:space="0" w:color="auto"/>
                                        <w:left w:val="none" w:sz="0" w:space="0" w:color="auto"/>
                                        <w:bottom w:val="none" w:sz="0" w:space="0" w:color="auto"/>
                                        <w:right w:val="none" w:sz="0" w:space="0" w:color="auto"/>
                                      </w:divBdr>
                                      <w:divsChild>
                                        <w:div w:id="1740710710">
                                          <w:marLeft w:val="0"/>
                                          <w:marRight w:val="0"/>
                                          <w:marTop w:val="0"/>
                                          <w:marBottom w:val="0"/>
                                          <w:divBdr>
                                            <w:top w:val="none" w:sz="0" w:space="0" w:color="auto"/>
                                            <w:left w:val="none" w:sz="0" w:space="0" w:color="auto"/>
                                            <w:bottom w:val="none" w:sz="0" w:space="0" w:color="auto"/>
                                            <w:right w:val="none" w:sz="0" w:space="0" w:color="auto"/>
                                          </w:divBdr>
                                        </w:div>
                                        <w:div w:id="1848053052">
                                          <w:marLeft w:val="0"/>
                                          <w:marRight w:val="0"/>
                                          <w:marTop w:val="0"/>
                                          <w:marBottom w:val="0"/>
                                          <w:divBdr>
                                            <w:top w:val="none" w:sz="0" w:space="0" w:color="auto"/>
                                            <w:left w:val="none" w:sz="0" w:space="0" w:color="auto"/>
                                            <w:bottom w:val="none" w:sz="0" w:space="0" w:color="auto"/>
                                            <w:right w:val="none" w:sz="0" w:space="0" w:color="auto"/>
                                          </w:divBdr>
                                        </w:div>
                                        <w:div w:id="124433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92362">
                                  <w:marLeft w:val="0"/>
                                  <w:marRight w:val="0"/>
                                  <w:marTop w:val="0"/>
                                  <w:marBottom w:val="0"/>
                                  <w:divBdr>
                                    <w:top w:val="none" w:sz="0" w:space="0" w:color="auto"/>
                                    <w:left w:val="none" w:sz="0" w:space="0" w:color="auto"/>
                                    <w:bottom w:val="none" w:sz="0" w:space="0" w:color="auto"/>
                                    <w:right w:val="none" w:sz="0" w:space="0" w:color="auto"/>
                                  </w:divBdr>
                                  <w:divsChild>
                                    <w:div w:id="1152912379">
                                      <w:marLeft w:val="0"/>
                                      <w:marRight w:val="0"/>
                                      <w:marTop w:val="0"/>
                                      <w:marBottom w:val="0"/>
                                      <w:divBdr>
                                        <w:top w:val="none" w:sz="0" w:space="0" w:color="auto"/>
                                        <w:left w:val="none" w:sz="0" w:space="0" w:color="auto"/>
                                        <w:bottom w:val="none" w:sz="0" w:space="0" w:color="auto"/>
                                        <w:right w:val="none" w:sz="0" w:space="0" w:color="auto"/>
                                      </w:divBdr>
                                      <w:divsChild>
                                        <w:div w:id="1981760427">
                                          <w:marLeft w:val="0"/>
                                          <w:marRight w:val="0"/>
                                          <w:marTop w:val="0"/>
                                          <w:marBottom w:val="0"/>
                                          <w:divBdr>
                                            <w:top w:val="none" w:sz="0" w:space="0" w:color="auto"/>
                                            <w:left w:val="none" w:sz="0" w:space="0" w:color="auto"/>
                                            <w:bottom w:val="none" w:sz="0" w:space="0" w:color="auto"/>
                                            <w:right w:val="none" w:sz="0" w:space="0" w:color="auto"/>
                                          </w:divBdr>
                                        </w:div>
                                        <w:div w:id="113210439">
                                          <w:marLeft w:val="0"/>
                                          <w:marRight w:val="0"/>
                                          <w:marTop w:val="0"/>
                                          <w:marBottom w:val="0"/>
                                          <w:divBdr>
                                            <w:top w:val="none" w:sz="0" w:space="0" w:color="auto"/>
                                            <w:left w:val="none" w:sz="0" w:space="0" w:color="auto"/>
                                            <w:bottom w:val="none" w:sz="0" w:space="0" w:color="auto"/>
                                            <w:right w:val="none" w:sz="0" w:space="0" w:color="auto"/>
                                          </w:divBdr>
                                        </w:div>
                                        <w:div w:id="2054963874">
                                          <w:marLeft w:val="0"/>
                                          <w:marRight w:val="0"/>
                                          <w:marTop w:val="0"/>
                                          <w:marBottom w:val="0"/>
                                          <w:divBdr>
                                            <w:top w:val="none" w:sz="0" w:space="0" w:color="auto"/>
                                            <w:left w:val="none" w:sz="0" w:space="0" w:color="auto"/>
                                            <w:bottom w:val="none" w:sz="0" w:space="0" w:color="auto"/>
                                            <w:right w:val="none" w:sz="0" w:space="0" w:color="auto"/>
                                          </w:divBdr>
                                        </w:div>
                                        <w:div w:id="1371955226">
                                          <w:marLeft w:val="0"/>
                                          <w:marRight w:val="0"/>
                                          <w:marTop w:val="0"/>
                                          <w:marBottom w:val="0"/>
                                          <w:divBdr>
                                            <w:top w:val="none" w:sz="0" w:space="0" w:color="auto"/>
                                            <w:left w:val="none" w:sz="0" w:space="0" w:color="auto"/>
                                            <w:bottom w:val="none" w:sz="0" w:space="0" w:color="auto"/>
                                            <w:right w:val="none" w:sz="0" w:space="0" w:color="auto"/>
                                          </w:divBdr>
                                        </w:div>
                                        <w:div w:id="1957171468">
                                          <w:marLeft w:val="0"/>
                                          <w:marRight w:val="0"/>
                                          <w:marTop w:val="0"/>
                                          <w:marBottom w:val="0"/>
                                          <w:divBdr>
                                            <w:top w:val="none" w:sz="0" w:space="0" w:color="auto"/>
                                            <w:left w:val="none" w:sz="0" w:space="0" w:color="auto"/>
                                            <w:bottom w:val="none" w:sz="0" w:space="0" w:color="auto"/>
                                            <w:right w:val="none" w:sz="0" w:space="0" w:color="auto"/>
                                          </w:divBdr>
                                          <w:divsChild>
                                            <w:div w:id="2059864691">
                                              <w:marLeft w:val="0"/>
                                              <w:marRight w:val="0"/>
                                              <w:marTop w:val="0"/>
                                              <w:marBottom w:val="0"/>
                                              <w:divBdr>
                                                <w:top w:val="none" w:sz="0" w:space="0" w:color="auto"/>
                                                <w:left w:val="none" w:sz="0" w:space="0" w:color="auto"/>
                                                <w:bottom w:val="none" w:sz="0" w:space="0" w:color="auto"/>
                                                <w:right w:val="none" w:sz="0" w:space="0" w:color="auto"/>
                                              </w:divBdr>
                                              <w:divsChild>
                                                <w:div w:id="154405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569260">
                                          <w:marLeft w:val="0"/>
                                          <w:marRight w:val="0"/>
                                          <w:marTop w:val="0"/>
                                          <w:marBottom w:val="0"/>
                                          <w:divBdr>
                                            <w:top w:val="none" w:sz="0" w:space="0" w:color="auto"/>
                                            <w:left w:val="none" w:sz="0" w:space="0" w:color="auto"/>
                                            <w:bottom w:val="none" w:sz="0" w:space="0" w:color="auto"/>
                                            <w:right w:val="none" w:sz="0" w:space="0" w:color="auto"/>
                                          </w:divBdr>
                                          <w:divsChild>
                                            <w:div w:id="204763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04832">
                                      <w:marLeft w:val="0"/>
                                      <w:marRight w:val="0"/>
                                      <w:marTop w:val="0"/>
                                      <w:marBottom w:val="0"/>
                                      <w:divBdr>
                                        <w:top w:val="none" w:sz="0" w:space="0" w:color="auto"/>
                                        <w:left w:val="none" w:sz="0" w:space="0" w:color="auto"/>
                                        <w:bottom w:val="none" w:sz="0" w:space="0" w:color="auto"/>
                                        <w:right w:val="none" w:sz="0" w:space="0" w:color="auto"/>
                                      </w:divBdr>
                                      <w:divsChild>
                                        <w:div w:id="1927302415">
                                          <w:marLeft w:val="0"/>
                                          <w:marRight w:val="0"/>
                                          <w:marTop w:val="0"/>
                                          <w:marBottom w:val="0"/>
                                          <w:divBdr>
                                            <w:top w:val="none" w:sz="0" w:space="0" w:color="auto"/>
                                            <w:left w:val="none" w:sz="0" w:space="0" w:color="auto"/>
                                            <w:bottom w:val="none" w:sz="0" w:space="0" w:color="auto"/>
                                            <w:right w:val="none" w:sz="0" w:space="0" w:color="auto"/>
                                          </w:divBdr>
                                          <w:divsChild>
                                            <w:div w:id="1504321044">
                                              <w:marLeft w:val="0"/>
                                              <w:marRight w:val="0"/>
                                              <w:marTop w:val="0"/>
                                              <w:marBottom w:val="0"/>
                                              <w:divBdr>
                                                <w:top w:val="none" w:sz="0" w:space="0" w:color="auto"/>
                                                <w:left w:val="none" w:sz="0" w:space="0" w:color="auto"/>
                                                <w:bottom w:val="none" w:sz="0" w:space="0" w:color="auto"/>
                                                <w:right w:val="none" w:sz="0" w:space="0" w:color="auto"/>
                                              </w:divBdr>
                                              <w:divsChild>
                                                <w:div w:id="395906410">
                                                  <w:marLeft w:val="0"/>
                                                  <w:marRight w:val="0"/>
                                                  <w:marTop w:val="0"/>
                                                  <w:marBottom w:val="0"/>
                                                  <w:divBdr>
                                                    <w:top w:val="none" w:sz="0" w:space="0" w:color="auto"/>
                                                    <w:left w:val="none" w:sz="0" w:space="0" w:color="auto"/>
                                                    <w:bottom w:val="none" w:sz="0" w:space="0" w:color="auto"/>
                                                    <w:right w:val="none" w:sz="0" w:space="0" w:color="auto"/>
                                                  </w:divBdr>
                                                  <w:divsChild>
                                                    <w:div w:id="544027332">
                                                      <w:marLeft w:val="0"/>
                                                      <w:marRight w:val="0"/>
                                                      <w:marTop w:val="0"/>
                                                      <w:marBottom w:val="0"/>
                                                      <w:divBdr>
                                                        <w:top w:val="none" w:sz="0" w:space="0" w:color="auto"/>
                                                        <w:left w:val="none" w:sz="0" w:space="0" w:color="auto"/>
                                                        <w:bottom w:val="none" w:sz="0" w:space="0" w:color="auto"/>
                                                        <w:right w:val="none" w:sz="0" w:space="0" w:color="auto"/>
                                                      </w:divBdr>
                                                      <w:divsChild>
                                                        <w:div w:id="348796379">
                                                          <w:marLeft w:val="0"/>
                                                          <w:marRight w:val="0"/>
                                                          <w:marTop w:val="0"/>
                                                          <w:marBottom w:val="0"/>
                                                          <w:divBdr>
                                                            <w:top w:val="none" w:sz="0" w:space="0" w:color="auto"/>
                                                            <w:left w:val="none" w:sz="0" w:space="0" w:color="auto"/>
                                                            <w:bottom w:val="none" w:sz="0" w:space="0" w:color="auto"/>
                                                            <w:right w:val="none" w:sz="0" w:space="0" w:color="auto"/>
                                                          </w:divBdr>
                                                          <w:divsChild>
                                                            <w:div w:id="663361651">
                                                              <w:marLeft w:val="0"/>
                                                              <w:marRight w:val="0"/>
                                                              <w:marTop w:val="0"/>
                                                              <w:marBottom w:val="0"/>
                                                              <w:divBdr>
                                                                <w:top w:val="none" w:sz="0" w:space="0" w:color="auto"/>
                                                                <w:left w:val="none" w:sz="0" w:space="0" w:color="auto"/>
                                                                <w:bottom w:val="none" w:sz="0" w:space="0" w:color="auto"/>
                                                                <w:right w:val="none" w:sz="0" w:space="0" w:color="auto"/>
                                                              </w:divBdr>
                                                            </w:div>
                                                          </w:divsChild>
                                                        </w:div>
                                                        <w:div w:id="1064255227">
                                                          <w:marLeft w:val="0"/>
                                                          <w:marRight w:val="0"/>
                                                          <w:marTop w:val="0"/>
                                                          <w:marBottom w:val="0"/>
                                                          <w:divBdr>
                                                            <w:top w:val="none" w:sz="0" w:space="0" w:color="auto"/>
                                                            <w:left w:val="none" w:sz="0" w:space="0" w:color="auto"/>
                                                            <w:bottom w:val="none" w:sz="0" w:space="0" w:color="auto"/>
                                                            <w:right w:val="none" w:sz="0" w:space="0" w:color="auto"/>
                                                          </w:divBdr>
                                                          <w:divsChild>
                                                            <w:div w:id="659118932">
                                                              <w:marLeft w:val="0"/>
                                                              <w:marRight w:val="0"/>
                                                              <w:marTop w:val="0"/>
                                                              <w:marBottom w:val="0"/>
                                                              <w:divBdr>
                                                                <w:top w:val="none" w:sz="0" w:space="0" w:color="auto"/>
                                                                <w:left w:val="none" w:sz="0" w:space="0" w:color="auto"/>
                                                                <w:bottom w:val="none" w:sz="0" w:space="0" w:color="auto"/>
                                                                <w:right w:val="none" w:sz="0" w:space="0" w:color="auto"/>
                                                              </w:divBdr>
                                                            </w:div>
                                                          </w:divsChild>
                                                        </w:div>
                                                        <w:div w:id="1212617173">
                                                          <w:marLeft w:val="0"/>
                                                          <w:marRight w:val="0"/>
                                                          <w:marTop w:val="0"/>
                                                          <w:marBottom w:val="0"/>
                                                          <w:divBdr>
                                                            <w:top w:val="none" w:sz="0" w:space="0" w:color="auto"/>
                                                            <w:left w:val="none" w:sz="0" w:space="0" w:color="auto"/>
                                                            <w:bottom w:val="none" w:sz="0" w:space="0" w:color="auto"/>
                                                            <w:right w:val="none" w:sz="0" w:space="0" w:color="auto"/>
                                                          </w:divBdr>
                                                          <w:divsChild>
                                                            <w:div w:id="114034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823804">
                                                  <w:marLeft w:val="0"/>
                                                  <w:marRight w:val="0"/>
                                                  <w:marTop w:val="0"/>
                                                  <w:marBottom w:val="0"/>
                                                  <w:divBdr>
                                                    <w:top w:val="none" w:sz="0" w:space="0" w:color="auto"/>
                                                    <w:left w:val="none" w:sz="0" w:space="0" w:color="auto"/>
                                                    <w:bottom w:val="none" w:sz="0" w:space="0" w:color="auto"/>
                                                    <w:right w:val="none" w:sz="0" w:space="0" w:color="auto"/>
                                                  </w:divBdr>
                                                  <w:divsChild>
                                                    <w:div w:id="48602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993201">
                                      <w:marLeft w:val="0"/>
                                      <w:marRight w:val="0"/>
                                      <w:marTop w:val="0"/>
                                      <w:marBottom w:val="0"/>
                                      <w:divBdr>
                                        <w:top w:val="none" w:sz="0" w:space="0" w:color="auto"/>
                                        <w:left w:val="none" w:sz="0" w:space="0" w:color="auto"/>
                                        <w:bottom w:val="none" w:sz="0" w:space="0" w:color="auto"/>
                                        <w:right w:val="none" w:sz="0" w:space="0" w:color="auto"/>
                                      </w:divBdr>
                                      <w:divsChild>
                                        <w:div w:id="2019959402">
                                          <w:marLeft w:val="0"/>
                                          <w:marRight w:val="0"/>
                                          <w:marTop w:val="0"/>
                                          <w:marBottom w:val="0"/>
                                          <w:divBdr>
                                            <w:top w:val="none" w:sz="0" w:space="0" w:color="auto"/>
                                            <w:left w:val="none" w:sz="0" w:space="0" w:color="auto"/>
                                            <w:bottom w:val="none" w:sz="0" w:space="0" w:color="auto"/>
                                            <w:right w:val="none" w:sz="0" w:space="0" w:color="auto"/>
                                          </w:divBdr>
                                          <w:divsChild>
                                            <w:div w:id="736782196">
                                              <w:marLeft w:val="0"/>
                                              <w:marRight w:val="0"/>
                                              <w:marTop w:val="0"/>
                                              <w:marBottom w:val="0"/>
                                              <w:divBdr>
                                                <w:top w:val="none" w:sz="0" w:space="0" w:color="auto"/>
                                                <w:left w:val="none" w:sz="0" w:space="0" w:color="auto"/>
                                                <w:bottom w:val="none" w:sz="0" w:space="0" w:color="auto"/>
                                                <w:right w:val="none" w:sz="0" w:space="0" w:color="auto"/>
                                              </w:divBdr>
                                              <w:divsChild>
                                                <w:div w:id="4023708">
                                                  <w:marLeft w:val="0"/>
                                                  <w:marRight w:val="0"/>
                                                  <w:marTop w:val="0"/>
                                                  <w:marBottom w:val="0"/>
                                                  <w:divBdr>
                                                    <w:top w:val="none" w:sz="0" w:space="0" w:color="auto"/>
                                                    <w:left w:val="none" w:sz="0" w:space="0" w:color="auto"/>
                                                    <w:bottom w:val="none" w:sz="0" w:space="0" w:color="auto"/>
                                                    <w:right w:val="none" w:sz="0" w:space="0" w:color="auto"/>
                                                  </w:divBdr>
                                                  <w:divsChild>
                                                    <w:div w:id="2018462747">
                                                      <w:marLeft w:val="0"/>
                                                      <w:marRight w:val="0"/>
                                                      <w:marTop w:val="0"/>
                                                      <w:marBottom w:val="0"/>
                                                      <w:divBdr>
                                                        <w:top w:val="none" w:sz="0" w:space="0" w:color="auto"/>
                                                        <w:left w:val="none" w:sz="0" w:space="0" w:color="auto"/>
                                                        <w:bottom w:val="none" w:sz="0" w:space="0" w:color="auto"/>
                                                        <w:right w:val="none" w:sz="0" w:space="0" w:color="auto"/>
                                                      </w:divBdr>
                                                    </w:div>
                                                    <w:div w:id="1103912801">
                                                      <w:marLeft w:val="0"/>
                                                      <w:marRight w:val="0"/>
                                                      <w:marTop w:val="0"/>
                                                      <w:marBottom w:val="0"/>
                                                      <w:divBdr>
                                                        <w:top w:val="none" w:sz="0" w:space="0" w:color="auto"/>
                                                        <w:left w:val="none" w:sz="0" w:space="0" w:color="auto"/>
                                                        <w:bottom w:val="none" w:sz="0" w:space="0" w:color="auto"/>
                                                        <w:right w:val="none" w:sz="0" w:space="0" w:color="auto"/>
                                                      </w:divBdr>
                                                    </w:div>
                                                    <w:div w:id="106387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303827">
                                  <w:marLeft w:val="0"/>
                                  <w:marRight w:val="0"/>
                                  <w:marTop w:val="0"/>
                                  <w:marBottom w:val="0"/>
                                  <w:divBdr>
                                    <w:top w:val="none" w:sz="0" w:space="0" w:color="auto"/>
                                    <w:left w:val="none" w:sz="0" w:space="0" w:color="auto"/>
                                    <w:bottom w:val="none" w:sz="0" w:space="0" w:color="auto"/>
                                    <w:right w:val="none" w:sz="0" w:space="0" w:color="auto"/>
                                  </w:divBdr>
                                  <w:divsChild>
                                    <w:div w:id="667513320">
                                      <w:marLeft w:val="0"/>
                                      <w:marRight w:val="0"/>
                                      <w:marTop w:val="0"/>
                                      <w:marBottom w:val="0"/>
                                      <w:divBdr>
                                        <w:top w:val="none" w:sz="0" w:space="0" w:color="auto"/>
                                        <w:left w:val="none" w:sz="0" w:space="0" w:color="auto"/>
                                        <w:bottom w:val="none" w:sz="0" w:space="0" w:color="auto"/>
                                        <w:right w:val="none" w:sz="0" w:space="0" w:color="auto"/>
                                      </w:divBdr>
                                      <w:divsChild>
                                        <w:div w:id="1601789482">
                                          <w:marLeft w:val="0"/>
                                          <w:marRight w:val="0"/>
                                          <w:marTop w:val="0"/>
                                          <w:marBottom w:val="0"/>
                                          <w:divBdr>
                                            <w:top w:val="none" w:sz="0" w:space="0" w:color="auto"/>
                                            <w:left w:val="none" w:sz="0" w:space="0" w:color="auto"/>
                                            <w:bottom w:val="none" w:sz="0" w:space="0" w:color="auto"/>
                                            <w:right w:val="none" w:sz="0" w:space="0" w:color="auto"/>
                                          </w:divBdr>
                                        </w:div>
                                        <w:div w:id="655379579">
                                          <w:marLeft w:val="0"/>
                                          <w:marRight w:val="0"/>
                                          <w:marTop w:val="0"/>
                                          <w:marBottom w:val="0"/>
                                          <w:divBdr>
                                            <w:top w:val="none" w:sz="0" w:space="0" w:color="auto"/>
                                            <w:left w:val="none" w:sz="0" w:space="0" w:color="auto"/>
                                            <w:bottom w:val="none" w:sz="0" w:space="0" w:color="auto"/>
                                            <w:right w:val="none" w:sz="0" w:space="0" w:color="auto"/>
                                          </w:divBdr>
                                        </w:div>
                                      </w:divsChild>
                                    </w:div>
                                    <w:div w:id="2034185299">
                                      <w:marLeft w:val="0"/>
                                      <w:marRight w:val="0"/>
                                      <w:marTop w:val="0"/>
                                      <w:marBottom w:val="0"/>
                                      <w:divBdr>
                                        <w:top w:val="none" w:sz="0" w:space="0" w:color="auto"/>
                                        <w:left w:val="none" w:sz="0" w:space="0" w:color="auto"/>
                                        <w:bottom w:val="none" w:sz="0" w:space="0" w:color="auto"/>
                                        <w:right w:val="none" w:sz="0" w:space="0" w:color="auto"/>
                                      </w:divBdr>
                                      <w:divsChild>
                                        <w:div w:id="1885287844">
                                          <w:marLeft w:val="0"/>
                                          <w:marRight w:val="0"/>
                                          <w:marTop w:val="0"/>
                                          <w:marBottom w:val="0"/>
                                          <w:divBdr>
                                            <w:top w:val="none" w:sz="0" w:space="0" w:color="auto"/>
                                            <w:left w:val="none" w:sz="0" w:space="0" w:color="auto"/>
                                            <w:bottom w:val="none" w:sz="0" w:space="0" w:color="auto"/>
                                            <w:right w:val="none" w:sz="0" w:space="0" w:color="auto"/>
                                          </w:divBdr>
                                          <w:divsChild>
                                            <w:div w:id="1065034127">
                                              <w:marLeft w:val="0"/>
                                              <w:marRight w:val="0"/>
                                              <w:marTop w:val="0"/>
                                              <w:marBottom w:val="0"/>
                                              <w:divBdr>
                                                <w:top w:val="none" w:sz="0" w:space="0" w:color="auto"/>
                                                <w:left w:val="none" w:sz="0" w:space="0" w:color="auto"/>
                                                <w:bottom w:val="none" w:sz="0" w:space="0" w:color="auto"/>
                                                <w:right w:val="none" w:sz="0" w:space="0" w:color="auto"/>
                                              </w:divBdr>
                                              <w:divsChild>
                                                <w:div w:id="174221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260509">
                              <w:marLeft w:val="0"/>
                              <w:marRight w:val="0"/>
                              <w:marTop w:val="0"/>
                              <w:marBottom w:val="0"/>
                              <w:divBdr>
                                <w:top w:val="none" w:sz="0" w:space="0" w:color="auto"/>
                                <w:left w:val="none" w:sz="0" w:space="0" w:color="auto"/>
                                <w:bottom w:val="none" w:sz="0" w:space="0" w:color="auto"/>
                                <w:right w:val="none" w:sz="0" w:space="0" w:color="auto"/>
                              </w:divBdr>
                              <w:divsChild>
                                <w:div w:id="1680618870">
                                  <w:marLeft w:val="0"/>
                                  <w:marRight w:val="0"/>
                                  <w:marTop w:val="0"/>
                                  <w:marBottom w:val="0"/>
                                  <w:divBdr>
                                    <w:top w:val="none" w:sz="0" w:space="0" w:color="auto"/>
                                    <w:left w:val="none" w:sz="0" w:space="0" w:color="auto"/>
                                    <w:bottom w:val="none" w:sz="0" w:space="0" w:color="auto"/>
                                    <w:right w:val="none" w:sz="0" w:space="0" w:color="auto"/>
                                  </w:divBdr>
                                  <w:divsChild>
                                    <w:div w:id="1319991364">
                                      <w:marLeft w:val="0"/>
                                      <w:marRight w:val="0"/>
                                      <w:marTop w:val="0"/>
                                      <w:marBottom w:val="0"/>
                                      <w:divBdr>
                                        <w:top w:val="none" w:sz="0" w:space="0" w:color="auto"/>
                                        <w:left w:val="none" w:sz="0" w:space="0" w:color="auto"/>
                                        <w:bottom w:val="none" w:sz="0" w:space="0" w:color="auto"/>
                                        <w:right w:val="none" w:sz="0" w:space="0" w:color="auto"/>
                                      </w:divBdr>
                                      <w:divsChild>
                                        <w:div w:id="1734624506">
                                          <w:marLeft w:val="0"/>
                                          <w:marRight w:val="0"/>
                                          <w:marTop w:val="0"/>
                                          <w:marBottom w:val="0"/>
                                          <w:divBdr>
                                            <w:top w:val="none" w:sz="0" w:space="0" w:color="auto"/>
                                            <w:left w:val="none" w:sz="0" w:space="0" w:color="auto"/>
                                            <w:bottom w:val="none" w:sz="0" w:space="0" w:color="auto"/>
                                            <w:right w:val="none" w:sz="0" w:space="0" w:color="auto"/>
                                          </w:divBdr>
                                        </w:div>
                                      </w:divsChild>
                                    </w:div>
                                    <w:div w:id="209705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231859">
          <w:marLeft w:val="0"/>
          <w:marRight w:val="0"/>
          <w:marTop w:val="0"/>
          <w:marBottom w:val="0"/>
          <w:divBdr>
            <w:top w:val="none" w:sz="0" w:space="0" w:color="auto"/>
            <w:left w:val="none" w:sz="0" w:space="0" w:color="auto"/>
            <w:bottom w:val="none" w:sz="0" w:space="0" w:color="auto"/>
            <w:right w:val="none" w:sz="0" w:space="0" w:color="auto"/>
          </w:divBdr>
          <w:divsChild>
            <w:div w:id="1205482878">
              <w:marLeft w:val="0"/>
              <w:marRight w:val="0"/>
              <w:marTop w:val="0"/>
              <w:marBottom w:val="0"/>
              <w:divBdr>
                <w:top w:val="none" w:sz="0" w:space="0" w:color="auto"/>
                <w:left w:val="none" w:sz="0" w:space="0" w:color="auto"/>
                <w:bottom w:val="none" w:sz="0" w:space="0" w:color="auto"/>
                <w:right w:val="none" w:sz="0" w:space="0" w:color="auto"/>
              </w:divBdr>
              <w:divsChild>
                <w:div w:id="13655912">
                  <w:marLeft w:val="0"/>
                  <w:marRight w:val="0"/>
                  <w:marTop w:val="0"/>
                  <w:marBottom w:val="0"/>
                  <w:divBdr>
                    <w:top w:val="none" w:sz="0" w:space="0" w:color="auto"/>
                    <w:left w:val="none" w:sz="0" w:space="0" w:color="auto"/>
                    <w:bottom w:val="none" w:sz="0" w:space="0" w:color="auto"/>
                    <w:right w:val="none" w:sz="0" w:space="0" w:color="auto"/>
                  </w:divBdr>
                  <w:divsChild>
                    <w:div w:id="992493265">
                      <w:marLeft w:val="0"/>
                      <w:marRight w:val="0"/>
                      <w:marTop w:val="0"/>
                      <w:marBottom w:val="0"/>
                      <w:divBdr>
                        <w:top w:val="none" w:sz="0" w:space="0" w:color="auto"/>
                        <w:left w:val="none" w:sz="0" w:space="0" w:color="auto"/>
                        <w:bottom w:val="none" w:sz="0" w:space="0" w:color="auto"/>
                        <w:right w:val="none" w:sz="0" w:space="0" w:color="auto"/>
                      </w:divBdr>
                      <w:divsChild>
                        <w:div w:id="16645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11514">
          <w:marLeft w:val="0"/>
          <w:marRight w:val="0"/>
          <w:marTop w:val="0"/>
          <w:marBottom w:val="0"/>
          <w:divBdr>
            <w:top w:val="none" w:sz="0" w:space="0" w:color="auto"/>
            <w:left w:val="none" w:sz="0" w:space="0" w:color="auto"/>
            <w:bottom w:val="none" w:sz="0" w:space="0" w:color="auto"/>
            <w:right w:val="none" w:sz="0" w:space="0" w:color="auto"/>
          </w:divBdr>
          <w:divsChild>
            <w:div w:id="1259748763">
              <w:marLeft w:val="0"/>
              <w:marRight w:val="0"/>
              <w:marTop w:val="0"/>
              <w:marBottom w:val="0"/>
              <w:divBdr>
                <w:top w:val="none" w:sz="0" w:space="0" w:color="auto"/>
                <w:left w:val="none" w:sz="0" w:space="0" w:color="auto"/>
                <w:bottom w:val="none" w:sz="0" w:space="0" w:color="auto"/>
                <w:right w:val="none" w:sz="0" w:space="0" w:color="auto"/>
              </w:divBdr>
              <w:divsChild>
                <w:div w:id="1585065702">
                  <w:marLeft w:val="0"/>
                  <w:marRight w:val="0"/>
                  <w:marTop w:val="0"/>
                  <w:marBottom w:val="0"/>
                  <w:divBdr>
                    <w:top w:val="none" w:sz="0" w:space="0" w:color="auto"/>
                    <w:left w:val="none" w:sz="0" w:space="0" w:color="auto"/>
                    <w:bottom w:val="none" w:sz="0" w:space="0" w:color="auto"/>
                    <w:right w:val="none" w:sz="0" w:space="0" w:color="auto"/>
                  </w:divBdr>
                  <w:divsChild>
                    <w:div w:id="40594692">
                      <w:marLeft w:val="0"/>
                      <w:marRight w:val="0"/>
                      <w:marTop w:val="0"/>
                      <w:marBottom w:val="0"/>
                      <w:divBdr>
                        <w:top w:val="none" w:sz="0" w:space="0" w:color="auto"/>
                        <w:left w:val="none" w:sz="0" w:space="0" w:color="auto"/>
                        <w:bottom w:val="none" w:sz="0" w:space="0" w:color="auto"/>
                        <w:right w:val="none" w:sz="0" w:space="0" w:color="auto"/>
                      </w:divBdr>
                      <w:divsChild>
                        <w:div w:id="1192380451">
                          <w:marLeft w:val="0"/>
                          <w:marRight w:val="0"/>
                          <w:marTop w:val="0"/>
                          <w:marBottom w:val="0"/>
                          <w:divBdr>
                            <w:top w:val="none" w:sz="0" w:space="0" w:color="auto"/>
                            <w:left w:val="none" w:sz="0" w:space="0" w:color="auto"/>
                            <w:bottom w:val="none" w:sz="0" w:space="0" w:color="auto"/>
                            <w:right w:val="none" w:sz="0" w:space="0" w:color="auto"/>
                          </w:divBdr>
                          <w:divsChild>
                            <w:div w:id="2032413237">
                              <w:marLeft w:val="0"/>
                              <w:marRight w:val="0"/>
                              <w:marTop w:val="0"/>
                              <w:marBottom w:val="0"/>
                              <w:divBdr>
                                <w:top w:val="none" w:sz="0" w:space="0" w:color="auto"/>
                                <w:left w:val="none" w:sz="0" w:space="0" w:color="auto"/>
                                <w:bottom w:val="none" w:sz="0" w:space="0" w:color="auto"/>
                                <w:right w:val="none" w:sz="0" w:space="0" w:color="auto"/>
                              </w:divBdr>
                              <w:divsChild>
                                <w:div w:id="1488865064">
                                  <w:marLeft w:val="0"/>
                                  <w:marRight w:val="0"/>
                                  <w:marTop w:val="0"/>
                                  <w:marBottom w:val="0"/>
                                  <w:divBdr>
                                    <w:top w:val="none" w:sz="0" w:space="0" w:color="auto"/>
                                    <w:left w:val="none" w:sz="0" w:space="0" w:color="auto"/>
                                    <w:bottom w:val="none" w:sz="0" w:space="0" w:color="auto"/>
                                    <w:right w:val="none" w:sz="0" w:space="0" w:color="auto"/>
                                  </w:divBdr>
                                  <w:divsChild>
                                    <w:div w:id="779034855">
                                      <w:marLeft w:val="0"/>
                                      <w:marRight w:val="0"/>
                                      <w:marTop w:val="0"/>
                                      <w:marBottom w:val="0"/>
                                      <w:divBdr>
                                        <w:top w:val="none" w:sz="0" w:space="0" w:color="auto"/>
                                        <w:left w:val="none" w:sz="0" w:space="0" w:color="auto"/>
                                        <w:bottom w:val="none" w:sz="0" w:space="0" w:color="auto"/>
                                        <w:right w:val="none" w:sz="0" w:space="0" w:color="auto"/>
                                      </w:divBdr>
                                      <w:divsChild>
                                        <w:div w:id="144326391">
                                          <w:marLeft w:val="0"/>
                                          <w:marRight w:val="0"/>
                                          <w:marTop w:val="0"/>
                                          <w:marBottom w:val="0"/>
                                          <w:divBdr>
                                            <w:top w:val="none" w:sz="0" w:space="0" w:color="auto"/>
                                            <w:left w:val="none" w:sz="0" w:space="0" w:color="auto"/>
                                            <w:bottom w:val="none" w:sz="0" w:space="0" w:color="auto"/>
                                            <w:right w:val="none" w:sz="0" w:space="0" w:color="auto"/>
                                          </w:divBdr>
                                        </w:div>
                                        <w:div w:id="644546935">
                                          <w:marLeft w:val="0"/>
                                          <w:marRight w:val="0"/>
                                          <w:marTop w:val="0"/>
                                          <w:marBottom w:val="0"/>
                                          <w:divBdr>
                                            <w:top w:val="none" w:sz="0" w:space="0" w:color="auto"/>
                                            <w:left w:val="none" w:sz="0" w:space="0" w:color="auto"/>
                                            <w:bottom w:val="none" w:sz="0" w:space="0" w:color="auto"/>
                                            <w:right w:val="none" w:sz="0" w:space="0" w:color="auto"/>
                                          </w:divBdr>
                                        </w:div>
                                        <w:div w:id="1036925158">
                                          <w:marLeft w:val="0"/>
                                          <w:marRight w:val="0"/>
                                          <w:marTop w:val="0"/>
                                          <w:marBottom w:val="0"/>
                                          <w:divBdr>
                                            <w:top w:val="none" w:sz="0" w:space="0" w:color="auto"/>
                                            <w:left w:val="none" w:sz="0" w:space="0" w:color="auto"/>
                                            <w:bottom w:val="none" w:sz="0" w:space="0" w:color="auto"/>
                                            <w:right w:val="none" w:sz="0" w:space="0" w:color="auto"/>
                                          </w:divBdr>
                                        </w:div>
                                        <w:div w:id="1557469815">
                                          <w:marLeft w:val="0"/>
                                          <w:marRight w:val="0"/>
                                          <w:marTop w:val="0"/>
                                          <w:marBottom w:val="0"/>
                                          <w:divBdr>
                                            <w:top w:val="none" w:sz="0" w:space="0" w:color="auto"/>
                                            <w:left w:val="none" w:sz="0" w:space="0" w:color="auto"/>
                                            <w:bottom w:val="none" w:sz="0" w:space="0" w:color="auto"/>
                                            <w:right w:val="none" w:sz="0" w:space="0" w:color="auto"/>
                                          </w:divBdr>
                                        </w:div>
                                        <w:div w:id="1598127644">
                                          <w:marLeft w:val="0"/>
                                          <w:marRight w:val="0"/>
                                          <w:marTop w:val="0"/>
                                          <w:marBottom w:val="0"/>
                                          <w:divBdr>
                                            <w:top w:val="none" w:sz="0" w:space="0" w:color="auto"/>
                                            <w:left w:val="none" w:sz="0" w:space="0" w:color="auto"/>
                                            <w:bottom w:val="none" w:sz="0" w:space="0" w:color="auto"/>
                                            <w:right w:val="none" w:sz="0" w:space="0" w:color="auto"/>
                                          </w:divBdr>
                                        </w:div>
                                      </w:divsChild>
                                    </w:div>
                                    <w:div w:id="55669761">
                                      <w:marLeft w:val="0"/>
                                      <w:marRight w:val="0"/>
                                      <w:marTop w:val="0"/>
                                      <w:marBottom w:val="0"/>
                                      <w:divBdr>
                                        <w:top w:val="none" w:sz="0" w:space="0" w:color="auto"/>
                                        <w:left w:val="none" w:sz="0" w:space="0" w:color="auto"/>
                                        <w:bottom w:val="none" w:sz="0" w:space="0" w:color="auto"/>
                                        <w:right w:val="none" w:sz="0" w:space="0" w:color="auto"/>
                                      </w:divBdr>
                                      <w:divsChild>
                                        <w:div w:id="888304644">
                                          <w:marLeft w:val="0"/>
                                          <w:marRight w:val="0"/>
                                          <w:marTop w:val="0"/>
                                          <w:marBottom w:val="0"/>
                                          <w:divBdr>
                                            <w:top w:val="none" w:sz="0" w:space="0" w:color="auto"/>
                                            <w:left w:val="none" w:sz="0" w:space="0" w:color="auto"/>
                                            <w:bottom w:val="none" w:sz="0" w:space="0" w:color="auto"/>
                                            <w:right w:val="none" w:sz="0" w:space="0" w:color="auto"/>
                                          </w:divBdr>
                                          <w:divsChild>
                                            <w:div w:id="613634475">
                                              <w:marLeft w:val="0"/>
                                              <w:marRight w:val="0"/>
                                              <w:marTop w:val="0"/>
                                              <w:marBottom w:val="0"/>
                                              <w:divBdr>
                                                <w:top w:val="none" w:sz="0" w:space="0" w:color="auto"/>
                                                <w:left w:val="none" w:sz="0" w:space="0" w:color="auto"/>
                                                <w:bottom w:val="none" w:sz="0" w:space="0" w:color="auto"/>
                                                <w:right w:val="none" w:sz="0" w:space="0" w:color="auto"/>
                                              </w:divBdr>
                                              <w:divsChild>
                                                <w:div w:id="1512839214">
                                                  <w:marLeft w:val="0"/>
                                                  <w:marRight w:val="0"/>
                                                  <w:marTop w:val="0"/>
                                                  <w:marBottom w:val="0"/>
                                                  <w:divBdr>
                                                    <w:top w:val="none" w:sz="0" w:space="0" w:color="auto"/>
                                                    <w:left w:val="none" w:sz="0" w:space="0" w:color="auto"/>
                                                    <w:bottom w:val="none" w:sz="0" w:space="0" w:color="auto"/>
                                                    <w:right w:val="none" w:sz="0" w:space="0" w:color="auto"/>
                                                  </w:divBdr>
                                                </w:div>
                                                <w:div w:id="522524688">
                                                  <w:marLeft w:val="0"/>
                                                  <w:marRight w:val="0"/>
                                                  <w:marTop w:val="0"/>
                                                  <w:marBottom w:val="0"/>
                                                  <w:divBdr>
                                                    <w:top w:val="none" w:sz="0" w:space="0" w:color="auto"/>
                                                    <w:left w:val="none" w:sz="0" w:space="0" w:color="auto"/>
                                                    <w:bottom w:val="none" w:sz="0" w:space="0" w:color="auto"/>
                                                    <w:right w:val="none" w:sz="0" w:space="0" w:color="auto"/>
                                                  </w:divBdr>
                                                  <w:divsChild>
                                                    <w:div w:id="66540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654126">
                                          <w:marLeft w:val="0"/>
                                          <w:marRight w:val="0"/>
                                          <w:marTop w:val="0"/>
                                          <w:marBottom w:val="0"/>
                                          <w:divBdr>
                                            <w:top w:val="none" w:sz="0" w:space="0" w:color="auto"/>
                                            <w:left w:val="none" w:sz="0" w:space="0" w:color="auto"/>
                                            <w:bottom w:val="none" w:sz="0" w:space="0" w:color="auto"/>
                                            <w:right w:val="none" w:sz="0" w:space="0" w:color="auto"/>
                                          </w:divBdr>
                                        </w:div>
                                        <w:div w:id="234322071">
                                          <w:marLeft w:val="0"/>
                                          <w:marRight w:val="0"/>
                                          <w:marTop w:val="0"/>
                                          <w:marBottom w:val="0"/>
                                          <w:divBdr>
                                            <w:top w:val="none" w:sz="0" w:space="0" w:color="auto"/>
                                            <w:left w:val="none" w:sz="0" w:space="0" w:color="auto"/>
                                            <w:bottom w:val="none" w:sz="0" w:space="0" w:color="auto"/>
                                            <w:right w:val="none" w:sz="0" w:space="0" w:color="auto"/>
                                          </w:divBdr>
                                        </w:div>
                                        <w:div w:id="1460104273">
                                          <w:marLeft w:val="0"/>
                                          <w:marRight w:val="0"/>
                                          <w:marTop w:val="0"/>
                                          <w:marBottom w:val="0"/>
                                          <w:divBdr>
                                            <w:top w:val="none" w:sz="0" w:space="0" w:color="auto"/>
                                            <w:left w:val="none" w:sz="0" w:space="0" w:color="auto"/>
                                            <w:bottom w:val="none" w:sz="0" w:space="0" w:color="auto"/>
                                            <w:right w:val="none" w:sz="0" w:space="0" w:color="auto"/>
                                          </w:divBdr>
                                        </w:div>
                                        <w:div w:id="255134654">
                                          <w:marLeft w:val="0"/>
                                          <w:marRight w:val="0"/>
                                          <w:marTop w:val="0"/>
                                          <w:marBottom w:val="0"/>
                                          <w:divBdr>
                                            <w:top w:val="none" w:sz="0" w:space="0" w:color="auto"/>
                                            <w:left w:val="none" w:sz="0" w:space="0" w:color="auto"/>
                                            <w:bottom w:val="none" w:sz="0" w:space="0" w:color="auto"/>
                                            <w:right w:val="none" w:sz="0" w:space="0" w:color="auto"/>
                                          </w:divBdr>
                                        </w:div>
                                        <w:div w:id="205264259">
                                          <w:marLeft w:val="0"/>
                                          <w:marRight w:val="0"/>
                                          <w:marTop w:val="0"/>
                                          <w:marBottom w:val="0"/>
                                          <w:divBdr>
                                            <w:top w:val="none" w:sz="0" w:space="0" w:color="auto"/>
                                            <w:left w:val="none" w:sz="0" w:space="0" w:color="auto"/>
                                            <w:bottom w:val="none" w:sz="0" w:space="0" w:color="auto"/>
                                            <w:right w:val="none" w:sz="0" w:space="0" w:color="auto"/>
                                          </w:divBdr>
                                        </w:div>
                                        <w:div w:id="1240287648">
                                          <w:marLeft w:val="0"/>
                                          <w:marRight w:val="0"/>
                                          <w:marTop w:val="0"/>
                                          <w:marBottom w:val="0"/>
                                          <w:divBdr>
                                            <w:top w:val="none" w:sz="0" w:space="0" w:color="auto"/>
                                            <w:left w:val="none" w:sz="0" w:space="0" w:color="auto"/>
                                            <w:bottom w:val="none" w:sz="0" w:space="0" w:color="auto"/>
                                            <w:right w:val="none" w:sz="0" w:space="0" w:color="auto"/>
                                          </w:divBdr>
                                        </w:div>
                                        <w:div w:id="374890369">
                                          <w:marLeft w:val="0"/>
                                          <w:marRight w:val="0"/>
                                          <w:marTop w:val="0"/>
                                          <w:marBottom w:val="0"/>
                                          <w:divBdr>
                                            <w:top w:val="none" w:sz="0" w:space="0" w:color="auto"/>
                                            <w:left w:val="none" w:sz="0" w:space="0" w:color="auto"/>
                                            <w:bottom w:val="none" w:sz="0" w:space="0" w:color="auto"/>
                                            <w:right w:val="none" w:sz="0" w:space="0" w:color="auto"/>
                                          </w:divBdr>
                                        </w:div>
                                      </w:divsChild>
                                    </w:div>
                                    <w:div w:id="840586464">
                                      <w:marLeft w:val="0"/>
                                      <w:marRight w:val="0"/>
                                      <w:marTop w:val="0"/>
                                      <w:marBottom w:val="0"/>
                                      <w:divBdr>
                                        <w:top w:val="none" w:sz="0" w:space="0" w:color="auto"/>
                                        <w:left w:val="none" w:sz="0" w:space="0" w:color="auto"/>
                                        <w:bottom w:val="none" w:sz="0" w:space="0" w:color="auto"/>
                                        <w:right w:val="none" w:sz="0" w:space="0" w:color="auto"/>
                                      </w:divBdr>
                                      <w:divsChild>
                                        <w:div w:id="989410482">
                                          <w:marLeft w:val="0"/>
                                          <w:marRight w:val="0"/>
                                          <w:marTop w:val="0"/>
                                          <w:marBottom w:val="0"/>
                                          <w:divBdr>
                                            <w:top w:val="none" w:sz="0" w:space="0" w:color="auto"/>
                                            <w:left w:val="none" w:sz="0" w:space="0" w:color="auto"/>
                                            <w:bottom w:val="none" w:sz="0" w:space="0" w:color="auto"/>
                                            <w:right w:val="none" w:sz="0" w:space="0" w:color="auto"/>
                                          </w:divBdr>
                                          <w:divsChild>
                                            <w:div w:id="746074317">
                                              <w:marLeft w:val="0"/>
                                              <w:marRight w:val="0"/>
                                              <w:marTop w:val="0"/>
                                              <w:marBottom w:val="0"/>
                                              <w:divBdr>
                                                <w:top w:val="none" w:sz="0" w:space="0" w:color="auto"/>
                                                <w:left w:val="none" w:sz="0" w:space="0" w:color="auto"/>
                                                <w:bottom w:val="none" w:sz="0" w:space="0" w:color="auto"/>
                                                <w:right w:val="none" w:sz="0" w:space="0" w:color="auto"/>
                                              </w:divBdr>
                                              <w:divsChild>
                                                <w:div w:id="1804421290">
                                                  <w:marLeft w:val="0"/>
                                                  <w:marRight w:val="0"/>
                                                  <w:marTop w:val="0"/>
                                                  <w:marBottom w:val="0"/>
                                                  <w:divBdr>
                                                    <w:top w:val="none" w:sz="0" w:space="0" w:color="auto"/>
                                                    <w:left w:val="none" w:sz="0" w:space="0" w:color="auto"/>
                                                    <w:bottom w:val="none" w:sz="0" w:space="0" w:color="auto"/>
                                                    <w:right w:val="none" w:sz="0" w:space="0" w:color="auto"/>
                                                  </w:divBdr>
                                                </w:div>
                                                <w:div w:id="1982613310">
                                                  <w:marLeft w:val="0"/>
                                                  <w:marRight w:val="0"/>
                                                  <w:marTop w:val="0"/>
                                                  <w:marBottom w:val="0"/>
                                                  <w:divBdr>
                                                    <w:top w:val="none" w:sz="0" w:space="0" w:color="auto"/>
                                                    <w:left w:val="none" w:sz="0" w:space="0" w:color="auto"/>
                                                    <w:bottom w:val="none" w:sz="0" w:space="0" w:color="auto"/>
                                                    <w:right w:val="none" w:sz="0" w:space="0" w:color="auto"/>
                                                  </w:divBdr>
                                                  <w:divsChild>
                                                    <w:div w:id="117927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568475">
                                          <w:marLeft w:val="0"/>
                                          <w:marRight w:val="0"/>
                                          <w:marTop w:val="0"/>
                                          <w:marBottom w:val="0"/>
                                          <w:divBdr>
                                            <w:top w:val="none" w:sz="0" w:space="0" w:color="auto"/>
                                            <w:left w:val="none" w:sz="0" w:space="0" w:color="auto"/>
                                            <w:bottom w:val="none" w:sz="0" w:space="0" w:color="auto"/>
                                            <w:right w:val="none" w:sz="0" w:space="0" w:color="auto"/>
                                          </w:divBdr>
                                          <w:divsChild>
                                            <w:div w:id="465508007">
                                              <w:marLeft w:val="0"/>
                                              <w:marRight w:val="0"/>
                                              <w:marTop w:val="0"/>
                                              <w:marBottom w:val="0"/>
                                              <w:divBdr>
                                                <w:top w:val="none" w:sz="0" w:space="0" w:color="auto"/>
                                                <w:left w:val="none" w:sz="0" w:space="0" w:color="auto"/>
                                                <w:bottom w:val="none" w:sz="0" w:space="0" w:color="auto"/>
                                                <w:right w:val="none" w:sz="0" w:space="0" w:color="auto"/>
                                              </w:divBdr>
                                            </w:div>
                                          </w:divsChild>
                                        </w:div>
                                        <w:div w:id="1712194400">
                                          <w:marLeft w:val="0"/>
                                          <w:marRight w:val="0"/>
                                          <w:marTop w:val="0"/>
                                          <w:marBottom w:val="0"/>
                                          <w:divBdr>
                                            <w:top w:val="none" w:sz="0" w:space="0" w:color="auto"/>
                                            <w:left w:val="none" w:sz="0" w:space="0" w:color="auto"/>
                                            <w:bottom w:val="none" w:sz="0" w:space="0" w:color="auto"/>
                                            <w:right w:val="none" w:sz="0" w:space="0" w:color="auto"/>
                                          </w:divBdr>
                                          <w:divsChild>
                                            <w:div w:id="1117874646">
                                              <w:marLeft w:val="0"/>
                                              <w:marRight w:val="0"/>
                                              <w:marTop w:val="0"/>
                                              <w:marBottom w:val="0"/>
                                              <w:divBdr>
                                                <w:top w:val="none" w:sz="0" w:space="0" w:color="auto"/>
                                                <w:left w:val="none" w:sz="0" w:space="0" w:color="auto"/>
                                                <w:bottom w:val="none" w:sz="0" w:space="0" w:color="auto"/>
                                                <w:right w:val="none" w:sz="0" w:space="0" w:color="auto"/>
                                              </w:divBdr>
                                            </w:div>
                                            <w:div w:id="1783105840">
                                              <w:marLeft w:val="0"/>
                                              <w:marRight w:val="0"/>
                                              <w:marTop w:val="0"/>
                                              <w:marBottom w:val="0"/>
                                              <w:divBdr>
                                                <w:top w:val="none" w:sz="0" w:space="0" w:color="auto"/>
                                                <w:left w:val="none" w:sz="0" w:space="0" w:color="auto"/>
                                                <w:bottom w:val="none" w:sz="0" w:space="0" w:color="auto"/>
                                                <w:right w:val="none" w:sz="0" w:space="0" w:color="auto"/>
                                              </w:divBdr>
                                            </w:div>
                                            <w:div w:id="2083260283">
                                              <w:marLeft w:val="0"/>
                                              <w:marRight w:val="0"/>
                                              <w:marTop w:val="0"/>
                                              <w:marBottom w:val="0"/>
                                              <w:divBdr>
                                                <w:top w:val="none" w:sz="0" w:space="0" w:color="auto"/>
                                                <w:left w:val="none" w:sz="0" w:space="0" w:color="auto"/>
                                                <w:bottom w:val="none" w:sz="0" w:space="0" w:color="auto"/>
                                                <w:right w:val="none" w:sz="0" w:space="0" w:color="auto"/>
                                              </w:divBdr>
                                            </w:div>
                                            <w:div w:id="16395380">
                                              <w:marLeft w:val="0"/>
                                              <w:marRight w:val="0"/>
                                              <w:marTop w:val="0"/>
                                              <w:marBottom w:val="0"/>
                                              <w:divBdr>
                                                <w:top w:val="none" w:sz="0" w:space="0" w:color="auto"/>
                                                <w:left w:val="none" w:sz="0" w:space="0" w:color="auto"/>
                                                <w:bottom w:val="none" w:sz="0" w:space="0" w:color="auto"/>
                                                <w:right w:val="none" w:sz="0" w:space="0" w:color="auto"/>
                                              </w:divBdr>
                                            </w:div>
                                          </w:divsChild>
                                        </w:div>
                                        <w:div w:id="648091120">
                                          <w:marLeft w:val="0"/>
                                          <w:marRight w:val="0"/>
                                          <w:marTop w:val="0"/>
                                          <w:marBottom w:val="0"/>
                                          <w:divBdr>
                                            <w:top w:val="none" w:sz="0" w:space="0" w:color="auto"/>
                                            <w:left w:val="none" w:sz="0" w:space="0" w:color="auto"/>
                                            <w:bottom w:val="none" w:sz="0" w:space="0" w:color="auto"/>
                                            <w:right w:val="none" w:sz="0" w:space="0" w:color="auto"/>
                                          </w:divBdr>
                                          <w:divsChild>
                                            <w:div w:id="1934623775">
                                              <w:marLeft w:val="0"/>
                                              <w:marRight w:val="0"/>
                                              <w:marTop w:val="0"/>
                                              <w:marBottom w:val="0"/>
                                              <w:divBdr>
                                                <w:top w:val="none" w:sz="0" w:space="0" w:color="auto"/>
                                                <w:left w:val="none" w:sz="0" w:space="0" w:color="auto"/>
                                                <w:bottom w:val="none" w:sz="0" w:space="0" w:color="auto"/>
                                                <w:right w:val="none" w:sz="0" w:space="0" w:color="auto"/>
                                              </w:divBdr>
                                            </w:div>
                                            <w:div w:id="403071423">
                                              <w:marLeft w:val="0"/>
                                              <w:marRight w:val="0"/>
                                              <w:marTop w:val="0"/>
                                              <w:marBottom w:val="0"/>
                                              <w:divBdr>
                                                <w:top w:val="none" w:sz="0" w:space="0" w:color="auto"/>
                                                <w:left w:val="none" w:sz="0" w:space="0" w:color="auto"/>
                                                <w:bottom w:val="none" w:sz="0" w:space="0" w:color="auto"/>
                                                <w:right w:val="none" w:sz="0" w:space="0" w:color="auto"/>
                                              </w:divBdr>
                                            </w:div>
                                            <w:div w:id="2131242804">
                                              <w:marLeft w:val="0"/>
                                              <w:marRight w:val="0"/>
                                              <w:marTop w:val="0"/>
                                              <w:marBottom w:val="0"/>
                                              <w:divBdr>
                                                <w:top w:val="none" w:sz="0" w:space="0" w:color="auto"/>
                                                <w:left w:val="none" w:sz="0" w:space="0" w:color="auto"/>
                                                <w:bottom w:val="none" w:sz="0" w:space="0" w:color="auto"/>
                                                <w:right w:val="none" w:sz="0" w:space="0" w:color="auto"/>
                                              </w:divBdr>
                                            </w:div>
                                            <w:div w:id="386729888">
                                              <w:marLeft w:val="0"/>
                                              <w:marRight w:val="0"/>
                                              <w:marTop w:val="0"/>
                                              <w:marBottom w:val="0"/>
                                              <w:divBdr>
                                                <w:top w:val="none" w:sz="0" w:space="0" w:color="auto"/>
                                                <w:left w:val="none" w:sz="0" w:space="0" w:color="auto"/>
                                                <w:bottom w:val="none" w:sz="0" w:space="0" w:color="auto"/>
                                                <w:right w:val="none" w:sz="0" w:space="0" w:color="auto"/>
                                              </w:divBdr>
                                              <w:divsChild>
                                                <w:div w:id="1246770233">
                                                  <w:marLeft w:val="0"/>
                                                  <w:marRight w:val="0"/>
                                                  <w:marTop w:val="0"/>
                                                  <w:marBottom w:val="0"/>
                                                  <w:divBdr>
                                                    <w:top w:val="none" w:sz="0" w:space="0" w:color="auto"/>
                                                    <w:left w:val="none" w:sz="0" w:space="0" w:color="auto"/>
                                                    <w:bottom w:val="none" w:sz="0" w:space="0" w:color="auto"/>
                                                    <w:right w:val="none" w:sz="0" w:space="0" w:color="auto"/>
                                                  </w:divBdr>
                                                  <w:divsChild>
                                                    <w:div w:id="630600396">
                                                      <w:marLeft w:val="0"/>
                                                      <w:marRight w:val="0"/>
                                                      <w:marTop w:val="0"/>
                                                      <w:marBottom w:val="0"/>
                                                      <w:divBdr>
                                                        <w:top w:val="none" w:sz="0" w:space="0" w:color="auto"/>
                                                        <w:left w:val="none" w:sz="0" w:space="0" w:color="auto"/>
                                                        <w:bottom w:val="none" w:sz="0" w:space="0" w:color="auto"/>
                                                        <w:right w:val="none" w:sz="0" w:space="0" w:color="auto"/>
                                                      </w:divBdr>
                                                      <w:divsChild>
                                                        <w:div w:id="201452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024535">
                                                  <w:marLeft w:val="0"/>
                                                  <w:marRight w:val="0"/>
                                                  <w:marTop w:val="0"/>
                                                  <w:marBottom w:val="0"/>
                                                  <w:divBdr>
                                                    <w:top w:val="none" w:sz="0" w:space="0" w:color="auto"/>
                                                    <w:left w:val="none" w:sz="0" w:space="0" w:color="auto"/>
                                                    <w:bottom w:val="none" w:sz="0" w:space="0" w:color="auto"/>
                                                    <w:right w:val="none" w:sz="0" w:space="0" w:color="auto"/>
                                                  </w:divBdr>
                                                </w:div>
                                                <w:div w:id="584144325">
                                                  <w:marLeft w:val="0"/>
                                                  <w:marRight w:val="0"/>
                                                  <w:marTop w:val="0"/>
                                                  <w:marBottom w:val="0"/>
                                                  <w:divBdr>
                                                    <w:top w:val="none" w:sz="0" w:space="0" w:color="auto"/>
                                                    <w:left w:val="none" w:sz="0" w:space="0" w:color="auto"/>
                                                    <w:bottom w:val="none" w:sz="0" w:space="0" w:color="auto"/>
                                                    <w:right w:val="none" w:sz="0" w:space="0" w:color="auto"/>
                                                  </w:divBdr>
                                                  <w:divsChild>
                                                    <w:div w:id="108398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3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430681">
                                      <w:marLeft w:val="0"/>
                                      <w:marRight w:val="0"/>
                                      <w:marTop w:val="0"/>
                                      <w:marBottom w:val="0"/>
                                      <w:divBdr>
                                        <w:top w:val="none" w:sz="0" w:space="0" w:color="auto"/>
                                        <w:left w:val="none" w:sz="0" w:space="0" w:color="auto"/>
                                        <w:bottom w:val="none" w:sz="0" w:space="0" w:color="auto"/>
                                        <w:right w:val="none" w:sz="0" w:space="0" w:color="auto"/>
                                      </w:divBdr>
                                      <w:divsChild>
                                        <w:div w:id="1317875091">
                                          <w:marLeft w:val="0"/>
                                          <w:marRight w:val="0"/>
                                          <w:marTop w:val="0"/>
                                          <w:marBottom w:val="0"/>
                                          <w:divBdr>
                                            <w:top w:val="none" w:sz="0" w:space="0" w:color="auto"/>
                                            <w:left w:val="none" w:sz="0" w:space="0" w:color="auto"/>
                                            <w:bottom w:val="none" w:sz="0" w:space="0" w:color="auto"/>
                                            <w:right w:val="none" w:sz="0" w:space="0" w:color="auto"/>
                                          </w:divBdr>
                                          <w:divsChild>
                                            <w:div w:id="2054650433">
                                              <w:marLeft w:val="0"/>
                                              <w:marRight w:val="0"/>
                                              <w:marTop w:val="0"/>
                                              <w:marBottom w:val="0"/>
                                              <w:divBdr>
                                                <w:top w:val="none" w:sz="0" w:space="0" w:color="auto"/>
                                                <w:left w:val="none" w:sz="0" w:space="0" w:color="auto"/>
                                                <w:bottom w:val="none" w:sz="0" w:space="0" w:color="auto"/>
                                                <w:right w:val="none" w:sz="0" w:space="0" w:color="auto"/>
                                              </w:divBdr>
                                              <w:divsChild>
                                                <w:div w:id="1034965440">
                                                  <w:marLeft w:val="0"/>
                                                  <w:marRight w:val="0"/>
                                                  <w:marTop w:val="0"/>
                                                  <w:marBottom w:val="0"/>
                                                  <w:divBdr>
                                                    <w:top w:val="none" w:sz="0" w:space="0" w:color="auto"/>
                                                    <w:left w:val="none" w:sz="0" w:space="0" w:color="auto"/>
                                                    <w:bottom w:val="none" w:sz="0" w:space="0" w:color="auto"/>
                                                    <w:right w:val="none" w:sz="0" w:space="0" w:color="auto"/>
                                                  </w:divBdr>
                                                </w:div>
                                                <w:div w:id="323509728">
                                                  <w:marLeft w:val="0"/>
                                                  <w:marRight w:val="0"/>
                                                  <w:marTop w:val="0"/>
                                                  <w:marBottom w:val="0"/>
                                                  <w:divBdr>
                                                    <w:top w:val="none" w:sz="0" w:space="0" w:color="auto"/>
                                                    <w:left w:val="none" w:sz="0" w:space="0" w:color="auto"/>
                                                    <w:bottom w:val="none" w:sz="0" w:space="0" w:color="auto"/>
                                                    <w:right w:val="none" w:sz="0" w:space="0" w:color="auto"/>
                                                  </w:divBdr>
                                                  <w:divsChild>
                                                    <w:div w:id="125693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980802">
                                          <w:marLeft w:val="0"/>
                                          <w:marRight w:val="0"/>
                                          <w:marTop w:val="0"/>
                                          <w:marBottom w:val="0"/>
                                          <w:divBdr>
                                            <w:top w:val="none" w:sz="0" w:space="0" w:color="auto"/>
                                            <w:left w:val="none" w:sz="0" w:space="0" w:color="auto"/>
                                            <w:bottom w:val="none" w:sz="0" w:space="0" w:color="auto"/>
                                            <w:right w:val="none" w:sz="0" w:space="0" w:color="auto"/>
                                          </w:divBdr>
                                          <w:divsChild>
                                            <w:div w:id="1856117103">
                                              <w:marLeft w:val="0"/>
                                              <w:marRight w:val="0"/>
                                              <w:marTop w:val="0"/>
                                              <w:marBottom w:val="0"/>
                                              <w:divBdr>
                                                <w:top w:val="none" w:sz="0" w:space="0" w:color="auto"/>
                                                <w:left w:val="none" w:sz="0" w:space="0" w:color="auto"/>
                                                <w:bottom w:val="none" w:sz="0" w:space="0" w:color="auto"/>
                                                <w:right w:val="none" w:sz="0" w:space="0" w:color="auto"/>
                                              </w:divBdr>
                                            </w:div>
                                            <w:div w:id="1064185960">
                                              <w:marLeft w:val="0"/>
                                              <w:marRight w:val="0"/>
                                              <w:marTop w:val="0"/>
                                              <w:marBottom w:val="0"/>
                                              <w:divBdr>
                                                <w:top w:val="none" w:sz="0" w:space="0" w:color="auto"/>
                                                <w:left w:val="none" w:sz="0" w:space="0" w:color="auto"/>
                                                <w:bottom w:val="none" w:sz="0" w:space="0" w:color="auto"/>
                                                <w:right w:val="none" w:sz="0" w:space="0" w:color="auto"/>
                                              </w:divBdr>
                                            </w:div>
                                            <w:div w:id="546258117">
                                              <w:marLeft w:val="0"/>
                                              <w:marRight w:val="0"/>
                                              <w:marTop w:val="0"/>
                                              <w:marBottom w:val="0"/>
                                              <w:divBdr>
                                                <w:top w:val="none" w:sz="0" w:space="0" w:color="auto"/>
                                                <w:left w:val="none" w:sz="0" w:space="0" w:color="auto"/>
                                                <w:bottom w:val="none" w:sz="0" w:space="0" w:color="auto"/>
                                                <w:right w:val="none" w:sz="0" w:space="0" w:color="auto"/>
                                              </w:divBdr>
                                            </w:div>
                                          </w:divsChild>
                                        </w:div>
                                        <w:div w:id="134882737">
                                          <w:marLeft w:val="0"/>
                                          <w:marRight w:val="0"/>
                                          <w:marTop w:val="0"/>
                                          <w:marBottom w:val="0"/>
                                          <w:divBdr>
                                            <w:top w:val="none" w:sz="0" w:space="0" w:color="auto"/>
                                            <w:left w:val="none" w:sz="0" w:space="0" w:color="auto"/>
                                            <w:bottom w:val="none" w:sz="0" w:space="0" w:color="auto"/>
                                            <w:right w:val="none" w:sz="0" w:space="0" w:color="auto"/>
                                          </w:divBdr>
                                          <w:divsChild>
                                            <w:div w:id="1411462405">
                                              <w:marLeft w:val="0"/>
                                              <w:marRight w:val="0"/>
                                              <w:marTop w:val="0"/>
                                              <w:marBottom w:val="0"/>
                                              <w:divBdr>
                                                <w:top w:val="none" w:sz="0" w:space="0" w:color="auto"/>
                                                <w:left w:val="none" w:sz="0" w:space="0" w:color="auto"/>
                                                <w:bottom w:val="none" w:sz="0" w:space="0" w:color="auto"/>
                                                <w:right w:val="none" w:sz="0" w:space="0" w:color="auto"/>
                                              </w:divBdr>
                                            </w:div>
                                            <w:div w:id="478963185">
                                              <w:marLeft w:val="0"/>
                                              <w:marRight w:val="0"/>
                                              <w:marTop w:val="0"/>
                                              <w:marBottom w:val="0"/>
                                              <w:divBdr>
                                                <w:top w:val="none" w:sz="0" w:space="0" w:color="auto"/>
                                                <w:left w:val="none" w:sz="0" w:space="0" w:color="auto"/>
                                                <w:bottom w:val="none" w:sz="0" w:space="0" w:color="auto"/>
                                                <w:right w:val="none" w:sz="0" w:space="0" w:color="auto"/>
                                              </w:divBdr>
                                            </w:div>
                                          </w:divsChild>
                                        </w:div>
                                        <w:div w:id="1196624411">
                                          <w:marLeft w:val="0"/>
                                          <w:marRight w:val="0"/>
                                          <w:marTop w:val="0"/>
                                          <w:marBottom w:val="0"/>
                                          <w:divBdr>
                                            <w:top w:val="none" w:sz="0" w:space="0" w:color="auto"/>
                                            <w:left w:val="none" w:sz="0" w:space="0" w:color="auto"/>
                                            <w:bottom w:val="none" w:sz="0" w:space="0" w:color="auto"/>
                                            <w:right w:val="none" w:sz="0" w:space="0" w:color="auto"/>
                                          </w:divBdr>
                                          <w:divsChild>
                                            <w:div w:id="280454060">
                                              <w:marLeft w:val="0"/>
                                              <w:marRight w:val="0"/>
                                              <w:marTop w:val="0"/>
                                              <w:marBottom w:val="0"/>
                                              <w:divBdr>
                                                <w:top w:val="none" w:sz="0" w:space="0" w:color="auto"/>
                                                <w:left w:val="none" w:sz="0" w:space="0" w:color="auto"/>
                                                <w:bottom w:val="none" w:sz="0" w:space="0" w:color="auto"/>
                                                <w:right w:val="none" w:sz="0" w:space="0" w:color="auto"/>
                                              </w:divBdr>
                                            </w:div>
                                            <w:div w:id="1410498170">
                                              <w:marLeft w:val="0"/>
                                              <w:marRight w:val="0"/>
                                              <w:marTop w:val="0"/>
                                              <w:marBottom w:val="0"/>
                                              <w:divBdr>
                                                <w:top w:val="none" w:sz="0" w:space="0" w:color="auto"/>
                                                <w:left w:val="none" w:sz="0" w:space="0" w:color="auto"/>
                                                <w:bottom w:val="none" w:sz="0" w:space="0" w:color="auto"/>
                                                <w:right w:val="none" w:sz="0" w:space="0" w:color="auto"/>
                                              </w:divBdr>
                                            </w:div>
                                          </w:divsChild>
                                        </w:div>
                                        <w:div w:id="701439730">
                                          <w:marLeft w:val="0"/>
                                          <w:marRight w:val="0"/>
                                          <w:marTop w:val="0"/>
                                          <w:marBottom w:val="0"/>
                                          <w:divBdr>
                                            <w:top w:val="none" w:sz="0" w:space="0" w:color="auto"/>
                                            <w:left w:val="none" w:sz="0" w:space="0" w:color="auto"/>
                                            <w:bottom w:val="none" w:sz="0" w:space="0" w:color="auto"/>
                                            <w:right w:val="none" w:sz="0" w:space="0" w:color="auto"/>
                                          </w:divBdr>
                                          <w:divsChild>
                                            <w:div w:id="882062712">
                                              <w:marLeft w:val="0"/>
                                              <w:marRight w:val="0"/>
                                              <w:marTop w:val="0"/>
                                              <w:marBottom w:val="0"/>
                                              <w:divBdr>
                                                <w:top w:val="none" w:sz="0" w:space="0" w:color="auto"/>
                                                <w:left w:val="none" w:sz="0" w:space="0" w:color="auto"/>
                                                <w:bottom w:val="none" w:sz="0" w:space="0" w:color="auto"/>
                                                <w:right w:val="none" w:sz="0" w:space="0" w:color="auto"/>
                                              </w:divBdr>
                                            </w:div>
                                            <w:div w:id="1609578534">
                                              <w:marLeft w:val="0"/>
                                              <w:marRight w:val="0"/>
                                              <w:marTop w:val="0"/>
                                              <w:marBottom w:val="0"/>
                                              <w:divBdr>
                                                <w:top w:val="none" w:sz="0" w:space="0" w:color="auto"/>
                                                <w:left w:val="none" w:sz="0" w:space="0" w:color="auto"/>
                                                <w:bottom w:val="none" w:sz="0" w:space="0" w:color="auto"/>
                                                <w:right w:val="none" w:sz="0" w:space="0" w:color="auto"/>
                                              </w:divBdr>
                                            </w:div>
                                          </w:divsChild>
                                        </w:div>
                                        <w:div w:id="2139564560">
                                          <w:marLeft w:val="0"/>
                                          <w:marRight w:val="0"/>
                                          <w:marTop w:val="0"/>
                                          <w:marBottom w:val="0"/>
                                          <w:divBdr>
                                            <w:top w:val="none" w:sz="0" w:space="0" w:color="auto"/>
                                            <w:left w:val="none" w:sz="0" w:space="0" w:color="auto"/>
                                            <w:bottom w:val="none" w:sz="0" w:space="0" w:color="auto"/>
                                            <w:right w:val="none" w:sz="0" w:space="0" w:color="auto"/>
                                          </w:divBdr>
                                          <w:divsChild>
                                            <w:div w:id="1169714724">
                                              <w:marLeft w:val="0"/>
                                              <w:marRight w:val="0"/>
                                              <w:marTop w:val="0"/>
                                              <w:marBottom w:val="0"/>
                                              <w:divBdr>
                                                <w:top w:val="none" w:sz="0" w:space="0" w:color="auto"/>
                                                <w:left w:val="none" w:sz="0" w:space="0" w:color="auto"/>
                                                <w:bottom w:val="none" w:sz="0" w:space="0" w:color="auto"/>
                                                <w:right w:val="none" w:sz="0" w:space="0" w:color="auto"/>
                                              </w:divBdr>
                                            </w:div>
                                          </w:divsChild>
                                        </w:div>
                                        <w:div w:id="383140044">
                                          <w:marLeft w:val="0"/>
                                          <w:marRight w:val="0"/>
                                          <w:marTop w:val="0"/>
                                          <w:marBottom w:val="0"/>
                                          <w:divBdr>
                                            <w:top w:val="none" w:sz="0" w:space="0" w:color="auto"/>
                                            <w:left w:val="none" w:sz="0" w:space="0" w:color="auto"/>
                                            <w:bottom w:val="none" w:sz="0" w:space="0" w:color="auto"/>
                                            <w:right w:val="none" w:sz="0" w:space="0" w:color="auto"/>
                                          </w:divBdr>
                                          <w:divsChild>
                                            <w:div w:id="1308709447">
                                              <w:marLeft w:val="0"/>
                                              <w:marRight w:val="0"/>
                                              <w:marTop w:val="0"/>
                                              <w:marBottom w:val="0"/>
                                              <w:divBdr>
                                                <w:top w:val="none" w:sz="0" w:space="0" w:color="auto"/>
                                                <w:left w:val="none" w:sz="0" w:space="0" w:color="auto"/>
                                                <w:bottom w:val="none" w:sz="0" w:space="0" w:color="auto"/>
                                                <w:right w:val="none" w:sz="0" w:space="0" w:color="auto"/>
                                              </w:divBdr>
                                            </w:div>
                                            <w:div w:id="422455080">
                                              <w:marLeft w:val="0"/>
                                              <w:marRight w:val="0"/>
                                              <w:marTop w:val="0"/>
                                              <w:marBottom w:val="0"/>
                                              <w:divBdr>
                                                <w:top w:val="none" w:sz="0" w:space="0" w:color="auto"/>
                                                <w:left w:val="none" w:sz="0" w:space="0" w:color="auto"/>
                                                <w:bottom w:val="none" w:sz="0" w:space="0" w:color="auto"/>
                                                <w:right w:val="none" w:sz="0" w:space="0" w:color="auto"/>
                                              </w:divBdr>
                                            </w:div>
                                            <w:div w:id="779186404">
                                              <w:marLeft w:val="0"/>
                                              <w:marRight w:val="0"/>
                                              <w:marTop w:val="0"/>
                                              <w:marBottom w:val="0"/>
                                              <w:divBdr>
                                                <w:top w:val="none" w:sz="0" w:space="0" w:color="auto"/>
                                                <w:left w:val="none" w:sz="0" w:space="0" w:color="auto"/>
                                                <w:bottom w:val="none" w:sz="0" w:space="0" w:color="auto"/>
                                                <w:right w:val="none" w:sz="0" w:space="0" w:color="auto"/>
                                              </w:divBdr>
                                            </w:div>
                                          </w:divsChild>
                                        </w:div>
                                        <w:div w:id="1304775233">
                                          <w:marLeft w:val="0"/>
                                          <w:marRight w:val="0"/>
                                          <w:marTop w:val="0"/>
                                          <w:marBottom w:val="0"/>
                                          <w:divBdr>
                                            <w:top w:val="none" w:sz="0" w:space="0" w:color="auto"/>
                                            <w:left w:val="none" w:sz="0" w:space="0" w:color="auto"/>
                                            <w:bottom w:val="none" w:sz="0" w:space="0" w:color="auto"/>
                                            <w:right w:val="none" w:sz="0" w:space="0" w:color="auto"/>
                                          </w:divBdr>
                                          <w:divsChild>
                                            <w:div w:id="1606576010">
                                              <w:marLeft w:val="0"/>
                                              <w:marRight w:val="0"/>
                                              <w:marTop w:val="0"/>
                                              <w:marBottom w:val="0"/>
                                              <w:divBdr>
                                                <w:top w:val="none" w:sz="0" w:space="0" w:color="auto"/>
                                                <w:left w:val="none" w:sz="0" w:space="0" w:color="auto"/>
                                                <w:bottom w:val="none" w:sz="0" w:space="0" w:color="auto"/>
                                                <w:right w:val="none" w:sz="0" w:space="0" w:color="auto"/>
                                              </w:divBdr>
                                            </w:div>
                                            <w:div w:id="11346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584036">
                                      <w:marLeft w:val="0"/>
                                      <w:marRight w:val="0"/>
                                      <w:marTop w:val="0"/>
                                      <w:marBottom w:val="0"/>
                                      <w:divBdr>
                                        <w:top w:val="none" w:sz="0" w:space="0" w:color="auto"/>
                                        <w:left w:val="none" w:sz="0" w:space="0" w:color="auto"/>
                                        <w:bottom w:val="none" w:sz="0" w:space="0" w:color="auto"/>
                                        <w:right w:val="none" w:sz="0" w:space="0" w:color="auto"/>
                                      </w:divBdr>
                                      <w:divsChild>
                                        <w:div w:id="1617983523">
                                          <w:marLeft w:val="0"/>
                                          <w:marRight w:val="0"/>
                                          <w:marTop w:val="0"/>
                                          <w:marBottom w:val="0"/>
                                          <w:divBdr>
                                            <w:top w:val="none" w:sz="0" w:space="0" w:color="auto"/>
                                            <w:left w:val="none" w:sz="0" w:space="0" w:color="auto"/>
                                            <w:bottom w:val="none" w:sz="0" w:space="0" w:color="auto"/>
                                            <w:right w:val="none" w:sz="0" w:space="0" w:color="auto"/>
                                          </w:divBdr>
                                          <w:divsChild>
                                            <w:div w:id="58484379">
                                              <w:marLeft w:val="0"/>
                                              <w:marRight w:val="0"/>
                                              <w:marTop w:val="0"/>
                                              <w:marBottom w:val="0"/>
                                              <w:divBdr>
                                                <w:top w:val="none" w:sz="0" w:space="0" w:color="auto"/>
                                                <w:left w:val="none" w:sz="0" w:space="0" w:color="auto"/>
                                                <w:bottom w:val="none" w:sz="0" w:space="0" w:color="auto"/>
                                                <w:right w:val="none" w:sz="0" w:space="0" w:color="auto"/>
                                              </w:divBdr>
                                              <w:divsChild>
                                                <w:div w:id="850950263">
                                                  <w:marLeft w:val="0"/>
                                                  <w:marRight w:val="0"/>
                                                  <w:marTop w:val="0"/>
                                                  <w:marBottom w:val="0"/>
                                                  <w:divBdr>
                                                    <w:top w:val="none" w:sz="0" w:space="0" w:color="auto"/>
                                                    <w:left w:val="none" w:sz="0" w:space="0" w:color="auto"/>
                                                    <w:bottom w:val="none" w:sz="0" w:space="0" w:color="auto"/>
                                                    <w:right w:val="none" w:sz="0" w:space="0" w:color="auto"/>
                                                  </w:divBdr>
                                                </w:div>
                                                <w:div w:id="86777057">
                                                  <w:marLeft w:val="0"/>
                                                  <w:marRight w:val="0"/>
                                                  <w:marTop w:val="0"/>
                                                  <w:marBottom w:val="0"/>
                                                  <w:divBdr>
                                                    <w:top w:val="none" w:sz="0" w:space="0" w:color="auto"/>
                                                    <w:left w:val="none" w:sz="0" w:space="0" w:color="auto"/>
                                                    <w:bottom w:val="none" w:sz="0" w:space="0" w:color="auto"/>
                                                    <w:right w:val="none" w:sz="0" w:space="0" w:color="auto"/>
                                                  </w:divBdr>
                                                  <w:divsChild>
                                                    <w:div w:id="13757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24248">
                                          <w:marLeft w:val="0"/>
                                          <w:marRight w:val="0"/>
                                          <w:marTop w:val="0"/>
                                          <w:marBottom w:val="0"/>
                                          <w:divBdr>
                                            <w:top w:val="none" w:sz="0" w:space="0" w:color="auto"/>
                                            <w:left w:val="none" w:sz="0" w:space="0" w:color="auto"/>
                                            <w:bottom w:val="none" w:sz="0" w:space="0" w:color="auto"/>
                                            <w:right w:val="none" w:sz="0" w:space="0" w:color="auto"/>
                                          </w:divBdr>
                                        </w:div>
                                      </w:divsChild>
                                    </w:div>
                                    <w:div w:id="404887459">
                                      <w:marLeft w:val="0"/>
                                      <w:marRight w:val="0"/>
                                      <w:marTop w:val="0"/>
                                      <w:marBottom w:val="0"/>
                                      <w:divBdr>
                                        <w:top w:val="none" w:sz="0" w:space="0" w:color="auto"/>
                                        <w:left w:val="none" w:sz="0" w:space="0" w:color="auto"/>
                                        <w:bottom w:val="none" w:sz="0" w:space="0" w:color="auto"/>
                                        <w:right w:val="none" w:sz="0" w:space="0" w:color="auto"/>
                                      </w:divBdr>
                                      <w:divsChild>
                                        <w:div w:id="803348242">
                                          <w:marLeft w:val="0"/>
                                          <w:marRight w:val="0"/>
                                          <w:marTop w:val="0"/>
                                          <w:marBottom w:val="0"/>
                                          <w:divBdr>
                                            <w:top w:val="none" w:sz="0" w:space="0" w:color="auto"/>
                                            <w:left w:val="none" w:sz="0" w:space="0" w:color="auto"/>
                                            <w:bottom w:val="none" w:sz="0" w:space="0" w:color="auto"/>
                                            <w:right w:val="none" w:sz="0" w:space="0" w:color="auto"/>
                                          </w:divBdr>
                                          <w:divsChild>
                                            <w:div w:id="1386298423">
                                              <w:marLeft w:val="0"/>
                                              <w:marRight w:val="0"/>
                                              <w:marTop w:val="0"/>
                                              <w:marBottom w:val="0"/>
                                              <w:divBdr>
                                                <w:top w:val="none" w:sz="0" w:space="0" w:color="auto"/>
                                                <w:left w:val="none" w:sz="0" w:space="0" w:color="auto"/>
                                                <w:bottom w:val="none" w:sz="0" w:space="0" w:color="auto"/>
                                                <w:right w:val="none" w:sz="0" w:space="0" w:color="auto"/>
                                              </w:divBdr>
                                              <w:divsChild>
                                                <w:div w:id="1210461850">
                                                  <w:marLeft w:val="0"/>
                                                  <w:marRight w:val="0"/>
                                                  <w:marTop w:val="0"/>
                                                  <w:marBottom w:val="0"/>
                                                  <w:divBdr>
                                                    <w:top w:val="none" w:sz="0" w:space="0" w:color="auto"/>
                                                    <w:left w:val="none" w:sz="0" w:space="0" w:color="auto"/>
                                                    <w:bottom w:val="none" w:sz="0" w:space="0" w:color="auto"/>
                                                    <w:right w:val="none" w:sz="0" w:space="0" w:color="auto"/>
                                                  </w:divBdr>
                                                  <w:divsChild>
                                                    <w:div w:id="1186555174">
                                                      <w:marLeft w:val="0"/>
                                                      <w:marRight w:val="0"/>
                                                      <w:marTop w:val="0"/>
                                                      <w:marBottom w:val="0"/>
                                                      <w:divBdr>
                                                        <w:top w:val="none" w:sz="0" w:space="0" w:color="auto"/>
                                                        <w:left w:val="none" w:sz="0" w:space="0" w:color="auto"/>
                                                        <w:bottom w:val="none" w:sz="0" w:space="0" w:color="auto"/>
                                                        <w:right w:val="none" w:sz="0" w:space="0" w:color="auto"/>
                                                      </w:divBdr>
                                                    </w:div>
                                                    <w:div w:id="568542088">
                                                      <w:marLeft w:val="0"/>
                                                      <w:marRight w:val="0"/>
                                                      <w:marTop w:val="0"/>
                                                      <w:marBottom w:val="0"/>
                                                      <w:divBdr>
                                                        <w:top w:val="none" w:sz="0" w:space="0" w:color="auto"/>
                                                        <w:left w:val="none" w:sz="0" w:space="0" w:color="auto"/>
                                                        <w:bottom w:val="none" w:sz="0" w:space="0" w:color="auto"/>
                                                        <w:right w:val="none" w:sz="0" w:space="0" w:color="auto"/>
                                                      </w:divBdr>
                                                      <w:divsChild>
                                                        <w:div w:id="13719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24739134">
      <w:bodyDiv w:val="1"/>
      <w:marLeft w:val="0"/>
      <w:marRight w:val="0"/>
      <w:marTop w:val="0"/>
      <w:marBottom w:val="0"/>
      <w:divBdr>
        <w:top w:val="none" w:sz="0" w:space="0" w:color="auto"/>
        <w:left w:val="none" w:sz="0" w:space="0" w:color="auto"/>
        <w:bottom w:val="none" w:sz="0" w:space="0" w:color="auto"/>
        <w:right w:val="none" w:sz="0" w:space="0" w:color="auto"/>
      </w:divBdr>
    </w:div>
    <w:div w:id="1181117456">
      <w:bodyDiv w:val="1"/>
      <w:marLeft w:val="0"/>
      <w:marRight w:val="0"/>
      <w:marTop w:val="0"/>
      <w:marBottom w:val="0"/>
      <w:divBdr>
        <w:top w:val="none" w:sz="0" w:space="0" w:color="auto"/>
        <w:left w:val="none" w:sz="0" w:space="0" w:color="auto"/>
        <w:bottom w:val="none" w:sz="0" w:space="0" w:color="auto"/>
        <w:right w:val="none" w:sz="0" w:space="0" w:color="auto"/>
      </w:divBdr>
    </w:div>
    <w:div w:id="1190949749">
      <w:bodyDiv w:val="1"/>
      <w:marLeft w:val="0"/>
      <w:marRight w:val="0"/>
      <w:marTop w:val="0"/>
      <w:marBottom w:val="0"/>
      <w:divBdr>
        <w:top w:val="none" w:sz="0" w:space="0" w:color="auto"/>
        <w:left w:val="none" w:sz="0" w:space="0" w:color="auto"/>
        <w:bottom w:val="none" w:sz="0" w:space="0" w:color="auto"/>
        <w:right w:val="none" w:sz="0" w:space="0" w:color="auto"/>
      </w:divBdr>
    </w:div>
    <w:div w:id="1383558750">
      <w:bodyDiv w:val="1"/>
      <w:marLeft w:val="0"/>
      <w:marRight w:val="0"/>
      <w:marTop w:val="0"/>
      <w:marBottom w:val="0"/>
      <w:divBdr>
        <w:top w:val="none" w:sz="0" w:space="0" w:color="auto"/>
        <w:left w:val="none" w:sz="0" w:space="0" w:color="auto"/>
        <w:bottom w:val="none" w:sz="0" w:space="0" w:color="auto"/>
        <w:right w:val="none" w:sz="0" w:space="0" w:color="auto"/>
      </w:divBdr>
      <w:divsChild>
        <w:div w:id="350453033">
          <w:marLeft w:val="0"/>
          <w:marRight w:val="0"/>
          <w:marTop w:val="0"/>
          <w:marBottom w:val="0"/>
          <w:divBdr>
            <w:top w:val="none" w:sz="0" w:space="0" w:color="auto"/>
            <w:left w:val="none" w:sz="0" w:space="0" w:color="auto"/>
            <w:bottom w:val="none" w:sz="0" w:space="0" w:color="auto"/>
            <w:right w:val="none" w:sz="0" w:space="0" w:color="auto"/>
          </w:divBdr>
          <w:divsChild>
            <w:div w:id="208805494">
              <w:marLeft w:val="0"/>
              <w:marRight w:val="0"/>
              <w:marTop w:val="0"/>
              <w:marBottom w:val="0"/>
              <w:divBdr>
                <w:top w:val="none" w:sz="0" w:space="0" w:color="auto"/>
                <w:left w:val="none" w:sz="0" w:space="0" w:color="auto"/>
                <w:bottom w:val="none" w:sz="0" w:space="0" w:color="auto"/>
                <w:right w:val="none" w:sz="0" w:space="0" w:color="auto"/>
              </w:divBdr>
              <w:divsChild>
                <w:div w:id="1452631401">
                  <w:marLeft w:val="0"/>
                  <w:marRight w:val="0"/>
                  <w:marTop w:val="0"/>
                  <w:marBottom w:val="0"/>
                  <w:divBdr>
                    <w:top w:val="none" w:sz="0" w:space="0" w:color="auto"/>
                    <w:left w:val="none" w:sz="0" w:space="0" w:color="auto"/>
                    <w:bottom w:val="none" w:sz="0" w:space="0" w:color="auto"/>
                    <w:right w:val="none" w:sz="0" w:space="0" w:color="auto"/>
                  </w:divBdr>
                  <w:divsChild>
                    <w:div w:id="400568449">
                      <w:marLeft w:val="0"/>
                      <w:marRight w:val="0"/>
                      <w:marTop w:val="0"/>
                      <w:marBottom w:val="0"/>
                      <w:divBdr>
                        <w:top w:val="none" w:sz="0" w:space="0" w:color="auto"/>
                        <w:left w:val="none" w:sz="0" w:space="0" w:color="auto"/>
                        <w:bottom w:val="none" w:sz="0" w:space="0" w:color="auto"/>
                        <w:right w:val="none" w:sz="0" w:space="0" w:color="auto"/>
                      </w:divBdr>
                      <w:divsChild>
                        <w:div w:id="618493013">
                          <w:marLeft w:val="0"/>
                          <w:marRight w:val="0"/>
                          <w:marTop w:val="0"/>
                          <w:marBottom w:val="0"/>
                          <w:divBdr>
                            <w:top w:val="none" w:sz="0" w:space="0" w:color="auto"/>
                            <w:left w:val="none" w:sz="0" w:space="0" w:color="auto"/>
                            <w:bottom w:val="none" w:sz="0" w:space="0" w:color="auto"/>
                            <w:right w:val="none" w:sz="0" w:space="0" w:color="auto"/>
                          </w:divBdr>
                          <w:divsChild>
                            <w:div w:id="1553885299">
                              <w:marLeft w:val="0"/>
                              <w:marRight w:val="0"/>
                              <w:marTop w:val="0"/>
                              <w:marBottom w:val="0"/>
                              <w:divBdr>
                                <w:top w:val="none" w:sz="0" w:space="0" w:color="auto"/>
                                <w:left w:val="none" w:sz="0" w:space="0" w:color="auto"/>
                                <w:bottom w:val="none" w:sz="0" w:space="0" w:color="auto"/>
                                <w:right w:val="none" w:sz="0" w:space="0" w:color="auto"/>
                              </w:divBdr>
                              <w:divsChild>
                                <w:div w:id="1892113247">
                                  <w:marLeft w:val="0"/>
                                  <w:marRight w:val="0"/>
                                  <w:marTop w:val="0"/>
                                  <w:marBottom w:val="0"/>
                                  <w:divBdr>
                                    <w:top w:val="none" w:sz="0" w:space="0" w:color="auto"/>
                                    <w:left w:val="none" w:sz="0" w:space="0" w:color="auto"/>
                                    <w:bottom w:val="none" w:sz="0" w:space="0" w:color="auto"/>
                                    <w:right w:val="none" w:sz="0" w:space="0" w:color="auto"/>
                                  </w:divBdr>
                                  <w:divsChild>
                                    <w:div w:id="1934973086">
                                      <w:marLeft w:val="0"/>
                                      <w:marRight w:val="0"/>
                                      <w:marTop w:val="0"/>
                                      <w:marBottom w:val="0"/>
                                      <w:divBdr>
                                        <w:top w:val="none" w:sz="0" w:space="0" w:color="auto"/>
                                        <w:left w:val="none" w:sz="0" w:space="0" w:color="auto"/>
                                        <w:bottom w:val="none" w:sz="0" w:space="0" w:color="auto"/>
                                        <w:right w:val="none" w:sz="0" w:space="0" w:color="auto"/>
                                      </w:divBdr>
                                    </w:div>
                                    <w:div w:id="557009938">
                                      <w:marLeft w:val="0"/>
                                      <w:marRight w:val="0"/>
                                      <w:marTop w:val="0"/>
                                      <w:marBottom w:val="0"/>
                                      <w:divBdr>
                                        <w:top w:val="none" w:sz="0" w:space="0" w:color="auto"/>
                                        <w:left w:val="none" w:sz="0" w:space="0" w:color="auto"/>
                                        <w:bottom w:val="none" w:sz="0" w:space="0" w:color="auto"/>
                                        <w:right w:val="none" w:sz="0" w:space="0" w:color="auto"/>
                                      </w:divBdr>
                                      <w:divsChild>
                                        <w:div w:id="137411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391772">
                          <w:marLeft w:val="0"/>
                          <w:marRight w:val="0"/>
                          <w:marTop w:val="0"/>
                          <w:marBottom w:val="0"/>
                          <w:divBdr>
                            <w:top w:val="none" w:sz="0" w:space="0" w:color="auto"/>
                            <w:left w:val="none" w:sz="0" w:space="0" w:color="auto"/>
                            <w:bottom w:val="none" w:sz="0" w:space="0" w:color="auto"/>
                            <w:right w:val="none" w:sz="0" w:space="0" w:color="auto"/>
                          </w:divBdr>
                          <w:divsChild>
                            <w:div w:id="21851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9899879">
          <w:marLeft w:val="0"/>
          <w:marRight w:val="0"/>
          <w:marTop w:val="1905"/>
          <w:marBottom w:val="0"/>
          <w:divBdr>
            <w:top w:val="none" w:sz="0" w:space="0" w:color="auto"/>
            <w:left w:val="none" w:sz="0" w:space="0" w:color="auto"/>
            <w:bottom w:val="none" w:sz="0" w:space="0" w:color="auto"/>
            <w:right w:val="none" w:sz="0" w:space="0" w:color="auto"/>
          </w:divBdr>
          <w:divsChild>
            <w:div w:id="2044210417">
              <w:marLeft w:val="0"/>
              <w:marRight w:val="0"/>
              <w:marTop w:val="0"/>
              <w:marBottom w:val="0"/>
              <w:divBdr>
                <w:top w:val="none" w:sz="0" w:space="0" w:color="auto"/>
                <w:left w:val="none" w:sz="0" w:space="0" w:color="auto"/>
                <w:bottom w:val="none" w:sz="0" w:space="0" w:color="auto"/>
                <w:right w:val="none" w:sz="0" w:space="0" w:color="auto"/>
              </w:divBdr>
              <w:divsChild>
                <w:div w:id="1131366455">
                  <w:marLeft w:val="0"/>
                  <w:marRight w:val="0"/>
                  <w:marTop w:val="0"/>
                  <w:marBottom w:val="0"/>
                  <w:divBdr>
                    <w:top w:val="none" w:sz="0" w:space="0" w:color="auto"/>
                    <w:left w:val="none" w:sz="0" w:space="0" w:color="auto"/>
                    <w:bottom w:val="none" w:sz="0" w:space="0" w:color="auto"/>
                    <w:right w:val="none" w:sz="0" w:space="0" w:color="auto"/>
                  </w:divBdr>
                  <w:divsChild>
                    <w:div w:id="1309937256">
                      <w:marLeft w:val="0"/>
                      <w:marRight w:val="0"/>
                      <w:marTop w:val="0"/>
                      <w:marBottom w:val="0"/>
                      <w:divBdr>
                        <w:top w:val="none" w:sz="0" w:space="0" w:color="auto"/>
                        <w:left w:val="none" w:sz="0" w:space="0" w:color="auto"/>
                        <w:bottom w:val="none" w:sz="0" w:space="0" w:color="auto"/>
                        <w:right w:val="none" w:sz="0" w:space="0" w:color="auto"/>
                      </w:divBdr>
                      <w:divsChild>
                        <w:div w:id="1288505627">
                          <w:marLeft w:val="0"/>
                          <w:marRight w:val="0"/>
                          <w:marTop w:val="0"/>
                          <w:marBottom w:val="0"/>
                          <w:divBdr>
                            <w:top w:val="none" w:sz="0" w:space="0" w:color="auto"/>
                            <w:left w:val="none" w:sz="0" w:space="0" w:color="auto"/>
                            <w:bottom w:val="none" w:sz="0" w:space="0" w:color="auto"/>
                            <w:right w:val="none" w:sz="0" w:space="0" w:color="auto"/>
                          </w:divBdr>
                          <w:divsChild>
                            <w:div w:id="192487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138233">
                      <w:marLeft w:val="0"/>
                      <w:marRight w:val="0"/>
                      <w:marTop w:val="0"/>
                      <w:marBottom w:val="0"/>
                      <w:divBdr>
                        <w:top w:val="none" w:sz="0" w:space="0" w:color="auto"/>
                        <w:left w:val="none" w:sz="0" w:space="0" w:color="auto"/>
                        <w:bottom w:val="none" w:sz="0" w:space="0" w:color="auto"/>
                        <w:right w:val="none" w:sz="0" w:space="0" w:color="auto"/>
                      </w:divBdr>
                      <w:divsChild>
                        <w:div w:id="1002127042">
                          <w:marLeft w:val="0"/>
                          <w:marRight w:val="0"/>
                          <w:marTop w:val="0"/>
                          <w:marBottom w:val="0"/>
                          <w:divBdr>
                            <w:top w:val="none" w:sz="0" w:space="0" w:color="auto"/>
                            <w:left w:val="none" w:sz="0" w:space="0" w:color="auto"/>
                            <w:bottom w:val="none" w:sz="0" w:space="0" w:color="auto"/>
                            <w:right w:val="none" w:sz="0" w:space="0" w:color="auto"/>
                          </w:divBdr>
                          <w:divsChild>
                            <w:div w:id="92867026">
                              <w:marLeft w:val="0"/>
                              <w:marRight w:val="0"/>
                              <w:marTop w:val="0"/>
                              <w:marBottom w:val="0"/>
                              <w:divBdr>
                                <w:top w:val="none" w:sz="0" w:space="0" w:color="auto"/>
                                <w:left w:val="none" w:sz="0" w:space="0" w:color="auto"/>
                                <w:bottom w:val="none" w:sz="0" w:space="0" w:color="auto"/>
                                <w:right w:val="none" w:sz="0" w:space="0" w:color="auto"/>
                              </w:divBdr>
                              <w:divsChild>
                                <w:div w:id="275604864">
                                  <w:marLeft w:val="0"/>
                                  <w:marRight w:val="0"/>
                                  <w:marTop w:val="0"/>
                                  <w:marBottom w:val="0"/>
                                  <w:divBdr>
                                    <w:top w:val="none" w:sz="0" w:space="0" w:color="auto"/>
                                    <w:left w:val="none" w:sz="0" w:space="0" w:color="auto"/>
                                    <w:bottom w:val="none" w:sz="0" w:space="0" w:color="auto"/>
                                    <w:right w:val="none" w:sz="0" w:space="0" w:color="auto"/>
                                  </w:divBdr>
                                  <w:divsChild>
                                    <w:div w:id="1260338200">
                                      <w:marLeft w:val="0"/>
                                      <w:marRight w:val="0"/>
                                      <w:marTop w:val="0"/>
                                      <w:marBottom w:val="0"/>
                                      <w:divBdr>
                                        <w:top w:val="none" w:sz="0" w:space="0" w:color="auto"/>
                                        <w:left w:val="none" w:sz="0" w:space="0" w:color="auto"/>
                                        <w:bottom w:val="none" w:sz="0" w:space="0" w:color="auto"/>
                                        <w:right w:val="none" w:sz="0" w:space="0" w:color="auto"/>
                                      </w:divBdr>
                                      <w:divsChild>
                                        <w:div w:id="1025788171">
                                          <w:marLeft w:val="0"/>
                                          <w:marRight w:val="0"/>
                                          <w:marTop w:val="0"/>
                                          <w:marBottom w:val="0"/>
                                          <w:divBdr>
                                            <w:top w:val="none" w:sz="0" w:space="0" w:color="auto"/>
                                            <w:left w:val="none" w:sz="0" w:space="0" w:color="auto"/>
                                            <w:bottom w:val="none" w:sz="0" w:space="0" w:color="auto"/>
                                            <w:right w:val="none" w:sz="0" w:space="0" w:color="auto"/>
                                          </w:divBdr>
                                        </w:div>
                                        <w:div w:id="50346270">
                                          <w:marLeft w:val="0"/>
                                          <w:marRight w:val="0"/>
                                          <w:marTop w:val="0"/>
                                          <w:marBottom w:val="0"/>
                                          <w:divBdr>
                                            <w:top w:val="none" w:sz="0" w:space="0" w:color="auto"/>
                                            <w:left w:val="none" w:sz="0" w:space="0" w:color="auto"/>
                                            <w:bottom w:val="none" w:sz="0" w:space="0" w:color="auto"/>
                                            <w:right w:val="none" w:sz="0" w:space="0" w:color="auto"/>
                                          </w:divBdr>
                                          <w:divsChild>
                                            <w:div w:id="931547101">
                                              <w:marLeft w:val="0"/>
                                              <w:marRight w:val="0"/>
                                              <w:marTop w:val="0"/>
                                              <w:marBottom w:val="0"/>
                                              <w:divBdr>
                                                <w:top w:val="none" w:sz="0" w:space="0" w:color="auto"/>
                                                <w:left w:val="none" w:sz="0" w:space="0" w:color="auto"/>
                                                <w:bottom w:val="none" w:sz="0" w:space="0" w:color="auto"/>
                                                <w:right w:val="none" w:sz="0" w:space="0" w:color="auto"/>
                                              </w:divBdr>
                                            </w:div>
                                            <w:div w:id="42843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841043">
                                      <w:marLeft w:val="0"/>
                                      <w:marRight w:val="0"/>
                                      <w:marTop w:val="0"/>
                                      <w:marBottom w:val="0"/>
                                      <w:divBdr>
                                        <w:top w:val="none" w:sz="0" w:space="0" w:color="auto"/>
                                        <w:left w:val="none" w:sz="0" w:space="0" w:color="auto"/>
                                        <w:bottom w:val="none" w:sz="0" w:space="0" w:color="auto"/>
                                        <w:right w:val="none" w:sz="0" w:space="0" w:color="auto"/>
                                      </w:divBdr>
                                      <w:divsChild>
                                        <w:div w:id="1661419000">
                                          <w:marLeft w:val="0"/>
                                          <w:marRight w:val="0"/>
                                          <w:marTop w:val="0"/>
                                          <w:marBottom w:val="0"/>
                                          <w:divBdr>
                                            <w:top w:val="none" w:sz="0" w:space="0" w:color="auto"/>
                                            <w:left w:val="none" w:sz="0" w:space="0" w:color="auto"/>
                                            <w:bottom w:val="none" w:sz="0" w:space="0" w:color="auto"/>
                                            <w:right w:val="none" w:sz="0" w:space="0" w:color="auto"/>
                                          </w:divBdr>
                                          <w:divsChild>
                                            <w:div w:id="194637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215814">
                                  <w:marLeft w:val="0"/>
                                  <w:marRight w:val="0"/>
                                  <w:marTop w:val="0"/>
                                  <w:marBottom w:val="0"/>
                                  <w:divBdr>
                                    <w:top w:val="none" w:sz="0" w:space="0" w:color="auto"/>
                                    <w:left w:val="none" w:sz="0" w:space="0" w:color="auto"/>
                                    <w:bottom w:val="none" w:sz="0" w:space="0" w:color="auto"/>
                                    <w:right w:val="none" w:sz="0" w:space="0" w:color="auto"/>
                                  </w:divBdr>
                                  <w:divsChild>
                                    <w:div w:id="67509358">
                                      <w:marLeft w:val="0"/>
                                      <w:marRight w:val="0"/>
                                      <w:marTop w:val="0"/>
                                      <w:marBottom w:val="0"/>
                                      <w:divBdr>
                                        <w:top w:val="none" w:sz="0" w:space="0" w:color="auto"/>
                                        <w:left w:val="none" w:sz="0" w:space="0" w:color="auto"/>
                                        <w:bottom w:val="none" w:sz="0" w:space="0" w:color="auto"/>
                                        <w:right w:val="none" w:sz="0" w:space="0" w:color="auto"/>
                                      </w:divBdr>
                                    </w:div>
                                    <w:div w:id="1255671721">
                                      <w:marLeft w:val="0"/>
                                      <w:marRight w:val="0"/>
                                      <w:marTop w:val="0"/>
                                      <w:marBottom w:val="0"/>
                                      <w:divBdr>
                                        <w:top w:val="none" w:sz="0" w:space="0" w:color="auto"/>
                                        <w:left w:val="none" w:sz="0" w:space="0" w:color="auto"/>
                                        <w:bottom w:val="none" w:sz="0" w:space="0" w:color="auto"/>
                                        <w:right w:val="none" w:sz="0" w:space="0" w:color="auto"/>
                                      </w:divBdr>
                                      <w:divsChild>
                                        <w:div w:id="735863767">
                                          <w:marLeft w:val="0"/>
                                          <w:marRight w:val="0"/>
                                          <w:marTop w:val="0"/>
                                          <w:marBottom w:val="0"/>
                                          <w:divBdr>
                                            <w:top w:val="none" w:sz="0" w:space="0" w:color="auto"/>
                                            <w:left w:val="none" w:sz="0" w:space="0" w:color="auto"/>
                                            <w:bottom w:val="none" w:sz="0" w:space="0" w:color="auto"/>
                                            <w:right w:val="none" w:sz="0" w:space="0" w:color="auto"/>
                                          </w:divBdr>
                                          <w:divsChild>
                                            <w:div w:id="680593041">
                                              <w:marLeft w:val="0"/>
                                              <w:marRight w:val="0"/>
                                              <w:marTop w:val="0"/>
                                              <w:marBottom w:val="0"/>
                                              <w:divBdr>
                                                <w:top w:val="none" w:sz="0" w:space="0" w:color="auto"/>
                                                <w:left w:val="none" w:sz="0" w:space="0" w:color="auto"/>
                                                <w:bottom w:val="none" w:sz="0" w:space="0" w:color="auto"/>
                                                <w:right w:val="none" w:sz="0" w:space="0" w:color="auto"/>
                                              </w:divBdr>
                                            </w:div>
                                            <w:div w:id="189701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881977">
                                  <w:marLeft w:val="0"/>
                                  <w:marRight w:val="0"/>
                                  <w:marTop w:val="0"/>
                                  <w:marBottom w:val="0"/>
                                  <w:divBdr>
                                    <w:top w:val="none" w:sz="0" w:space="0" w:color="auto"/>
                                    <w:left w:val="none" w:sz="0" w:space="0" w:color="auto"/>
                                    <w:bottom w:val="none" w:sz="0" w:space="0" w:color="auto"/>
                                    <w:right w:val="none" w:sz="0" w:space="0" w:color="auto"/>
                                  </w:divBdr>
                                  <w:divsChild>
                                    <w:div w:id="973171069">
                                      <w:marLeft w:val="0"/>
                                      <w:marRight w:val="0"/>
                                      <w:marTop w:val="0"/>
                                      <w:marBottom w:val="0"/>
                                      <w:divBdr>
                                        <w:top w:val="none" w:sz="0" w:space="0" w:color="auto"/>
                                        <w:left w:val="none" w:sz="0" w:space="0" w:color="auto"/>
                                        <w:bottom w:val="none" w:sz="0" w:space="0" w:color="auto"/>
                                        <w:right w:val="none" w:sz="0" w:space="0" w:color="auto"/>
                                      </w:divBdr>
                                      <w:divsChild>
                                        <w:div w:id="1025714761">
                                          <w:marLeft w:val="0"/>
                                          <w:marRight w:val="0"/>
                                          <w:marTop w:val="0"/>
                                          <w:marBottom w:val="0"/>
                                          <w:divBdr>
                                            <w:top w:val="none" w:sz="0" w:space="0" w:color="auto"/>
                                            <w:left w:val="none" w:sz="0" w:space="0" w:color="auto"/>
                                            <w:bottom w:val="none" w:sz="0" w:space="0" w:color="auto"/>
                                            <w:right w:val="none" w:sz="0" w:space="0" w:color="auto"/>
                                          </w:divBdr>
                                          <w:divsChild>
                                            <w:div w:id="1908761749">
                                              <w:marLeft w:val="0"/>
                                              <w:marRight w:val="0"/>
                                              <w:marTop w:val="0"/>
                                              <w:marBottom w:val="0"/>
                                              <w:divBdr>
                                                <w:top w:val="none" w:sz="0" w:space="0" w:color="auto"/>
                                                <w:left w:val="none" w:sz="0" w:space="0" w:color="auto"/>
                                                <w:bottom w:val="none" w:sz="0" w:space="0" w:color="auto"/>
                                                <w:right w:val="none" w:sz="0" w:space="0" w:color="auto"/>
                                              </w:divBdr>
                                              <w:divsChild>
                                                <w:div w:id="1329792629">
                                                  <w:marLeft w:val="0"/>
                                                  <w:marRight w:val="0"/>
                                                  <w:marTop w:val="0"/>
                                                  <w:marBottom w:val="0"/>
                                                  <w:divBdr>
                                                    <w:top w:val="none" w:sz="0" w:space="0" w:color="auto"/>
                                                    <w:left w:val="none" w:sz="0" w:space="0" w:color="auto"/>
                                                    <w:bottom w:val="none" w:sz="0" w:space="0" w:color="auto"/>
                                                    <w:right w:val="none" w:sz="0" w:space="0" w:color="auto"/>
                                                  </w:divBdr>
                                                  <w:divsChild>
                                                    <w:div w:id="1037318166">
                                                      <w:marLeft w:val="0"/>
                                                      <w:marRight w:val="0"/>
                                                      <w:marTop w:val="0"/>
                                                      <w:marBottom w:val="0"/>
                                                      <w:divBdr>
                                                        <w:top w:val="none" w:sz="0" w:space="0" w:color="auto"/>
                                                        <w:left w:val="none" w:sz="0" w:space="0" w:color="auto"/>
                                                        <w:bottom w:val="none" w:sz="0" w:space="0" w:color="auto"/>
                                                        <w:right w:val="none" w:sz="0" w:space="0" w:color="auto"/>
                                                      </w:divBdr>
                                                    </w:div>
                                                    <w:div w:id="1366250464">
                                                      <w:marLeft w:val="0"/>
                                                      <w:marRight w:val="0"/>
                                                      <w:marTop w:val="0"/>
                                                      <w:marBottom w:val="0"/>
                                                      <w:divBdr>
                                                        <w:top w:val="none" w:sz="0" w:space="0" w:color="auto"/>
                                                        <w:left w:val="none" w:sz="0" w:space="0" w:color="auto"/>
                                                        <w:bottom w:val="none" w:sz="0" w:space="0" w:color="auto"/>
                                                        <w:right w:val="none" w:sz="0" w:space="0" w:color="auto"/>
                                                      </w:divBdr>
                                                      <w:divsChild>
                                                        <w:div w:id="132011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774045">
                                                  <w:marLeft w:val="0"/>
                                                  <w:marRight w:val="0"/>
                                                  <w:marTop w:val="0"/>
                                                  <w:marBottom w:val="0"/>
                                                  <w:divBdr>
                                                    <w:top w:val="none" w:sz="0" w:space="0" w:color="auto"/>
                                                    <w:left w:val="none" w:sz="0" w:space="0" w:color="auto"/>
                                                    <w:bottom w:val="none" w:sz="0" w:space="0" w:color="auto"/>
                                                    <w:right w:val="none" w:sz="0" w:space="0" w:color="auto"/>
                                                  </w:divBdr>
                                                  <w:divsChild>
                                                    <w:div w:id="1336882200">
                                                      <w:marLeft w:val="0"/>
                                                      <w:marRight w:val="0"/>
                                                      <w:marTop w:val="0"/>
                                                      <w:marBottom w:val="0"/>
                                                      <w:divBdr>
                                                        <w:top w:val="none" w:sz="0" w:space="0" w:color="auto"/>
                                                        <w:left w:val="none" w:sz="0" w:space="0" w:color="auto"/>
                                                        <w:bottom w:val="none" w:sz="0" w:space="0" w:color="auto"/>
                                                        <w:right w:val="none" w:sz="0" w:space="0" w:color="auto"/>
                                                      </w:divBdr>
                                                    </w:div>
                                                    <w:div w:id="594703336">
                                                      <w:marLeft w:val="0"/>
                                                      <w:marRight w:val="0"/>
                                                      <w:marTop w:val="0"/>
                                                      <w:marBottom w:val="0"/>
                                                      <w:divBdr>
                                                        <w:top w:val="none" w:sz="0" w:space="0" w:color="auto"/>
                                                        <w:left w:val="none" w:sz="0" w:space="0" w:color="auto"/>
                                                        <w:bottom w:val="none" w:sz="0" w:space="0" w:color="auto"/>
                                                        <w:right w:val="none" w:sz="0" w:space="0" w:color="auto"/>
                                                      </w:divBdr>
                                                      <w:divsChild>
                                                        <w:div w:id="15036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339749">
                                                  <w:marLeft w:val="0"/>
                                                  <w:marRight w:val="0"/>
                                                  <w:marTop w:val="0"/>
                                                  <w:marBottom w:val="0"/>
                                                  <w:divBdr>
                                                    <w:top w:val="none" w:sz="0" w:space="0" w:color="auto"/>
                                                    <w:left w:val="none" w:sz="0" w:space="0" w:color="auto"/>
                                                    <w:bottom w:val="none" w:sz="0" w:space="0" w:color="auto"/>
                                                    <w:right w:val="none" w:sz="0" w:space="0" w:color="auto"/>
                                                  </w:divBdr>
                                                  <w:divsChild>
                                                    <w:div w:id="64380805">
                                                      <w:marLeft w:val="0"/>
                                                      <w:marRight w:val="0"/>
                                                      <w:marTop w:val="0"/>
                                                      <w:marBottom w:val="0"/>
                                                      <w:divBdr>
                                                        <w:top w:val="none" w:sz="0" w:space="0" w:color="auto"/>
                                                        <w:left w:val="none" w:sz="0" w:space="0" w:color="auto"/>
                                                        <w:bottom w:val="none" w:sz="0" w:space="0" w:color="auto"/>
                                                        <w:right w:val="none" w:sz="0" w:space="0" w:color="auto"/>
                                                      </w:divBdr>
                                                    </w:div>
                                                    <w:div w:id="1223181015">
                                                      <w:marLeft w:val="0"/>
                                                      <w:marRight w:val="0"/>
                                                      <w:marTop w:val="0"/>
                                                      <w:marBottom w:val="0"/>
                                                      <w:divBdr>
                                                        <w:top w:val="none" w:sz="0" w:space="0" w:color="auto"/>
                                                        <w:left w:val="none" w:sz="0" w:space="0" w:color="auto"/>
                                                        <w:bottom w:val="none" w:sz="0" w:space="0" w:color="auto"/>
                                                        <w:right w:val="none" w:sz="0" w:space="0" w:color="auto"/>
                                                      </w:divBdr>
                                                      <w:divsChild>
                                                        <w:div w:id="18024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663583">
                                                  <w:marLeft w:val="0"/>
                                                  <w:marRight w:val="0"/>
                                                  <w:marTop w:val="0"/>
                                                  <w:marBottom w:val="0"/>
                                                  <w:divBdr>
                                                    <w:top w:val="none" w:sz="0" w:space="0" w:color="auto"/>
                                                    <w:left w:val="none" w:sz="0" w:space="0" w:color="auto"/>
                                                    <w:bottom w:val="none" w:sz="0" w:space="0" w:color="auto"/>
                                                    <w:right w:val="none" w:sz="0" w:space="0" w:color="auto"/>
                                                  </w:divBdr>
                                                  <w:divsChild>
                                                    <w:div w:id="487795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27794224">
      <w:bodyDiv w:val="1"/>
      <w:marLeft w:val="0"/>
      <w:marRight w:val="0"/>
      <w:marTop w:val="0"/>
      <w:marBottom w:val="0"/>
      <w:divBdr>
        <w:top w:val="none" w:sz="0" w:space="0" w:color="auto"/>
        <w:left w:val="none" w:sz="0" w:space="0" w:color="auto"/>
        <w:bottom w:val="none" w:sz="0" w:space="0" w:color="auto"/>
        <w:right w:val="none" w:sz="0" w:space="0" w:color="auto"/>
      </w:divBdr>
    </w:div>
    <w:div w:id="1846508055">
      <w:bodyDiv w:val="1"/>
      <w:marLeft w:val="0"/>
      <w:marRight w:val="0"/>
      <w:marTop w:val="0"/>
      <w:marBottom w:val="0"/>
      <w:divBdr>
        <w:top w:val="none" w:sz="0" w:space="0" w:color="auto"/>
        <w:left w:val="none" w:sz="0" w:space="0" w:color="auto"/>
        <w:bottom w:val="none" w:sz="0" w:space="0" w:color="auto"/>
        <w:right w:val="none" w:sz="0" w:space="0" w:color="auto"/>
      </w:divBdr>
    </w:div>
    <w:div w:id="1851286837">
      <w:bodyDiv w:val="1"/>
      <w:marLeft w:val="0"/>
      <w:marRight w:val="0"/>
      <w:marTop w:val="0"/>
      <w:marBottom w:val="0"/>
      <w:divBdr>
        <w:top w:val="none" w:sz="0" w:space="0" w:color="auto"/>
        <w:left w:val="none" w:sz="0" w:space="0" w:color="auto"/>
        <w:bottom w:val="none" w:sz="0" w:space="0" w:color="auto"/>
        <w:right w:val="none" w:sz="0" w:space="0" w:color="auto"/>
      </w:divBdr>
    </w:div>
    <w:div w:id="212437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967/jnumed.112.108498" TargetMode="External"/><Relationship Id="rId13" Type="http://schemas.openxmlformats.org/officeDocument/2006/relationships/image" Target="media/image4.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image" Target="media/image6.gif"/><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12</Pages>
  <Words>5470</Words>
  <Characters>31185</Characters>
  <Application>Microsoft Office Word</Application>
  <DocSecurity>8</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55</cp:revision>
  <dcterms:created xsi:type="dcterms:W3CDTF">2022-08-18T15:21:00Z</dcterms:created>
  <dcterms:modified xsi:type="dcterms:W3CDTF">2022-09-01T13:31:00Z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