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3E538636" w14:textId="551C1E04" w:rsidR="000A7622" w:rsidRPr="006F33A4" w:rsidRDefault="00F065D3" w:rsidP="00F065D3">
      <w:pPr>
        <w:autoSpaceDE w:val="0"/>
        <w:autoSpaceDN w:val="0"/>
        <w:adjustRightInd w:val="0"/>
        <w:rPr>
          <w:rFonts w:cstheme="minorHAnsi"/>
          <w:b/>
          <w:bCs/>
          <w:i/>
          <w:iCs/>
        </w:rPr>
      </w:pPr>
      <w:r>
        <w:rPr>
          <w:rFonts w:cstheme="minorHAnsi"/>
          <w:b/>
          <w:bCs/>
          <w:i/>
          <w:iCs/>
          <w:sz w:val="32"/>
          <w:szCs w:val="32"/>
        </w:rPr>
        <w:t xml:space="preserve">Library </w:t>
      </w:r>
      <w:r w:rsidR="000A7622" w:rsidRPr="00C04F25">
        <w:rPr>
          <w:rFonts w:cstheme="minorHAnsi"/>
          <w:b/>
          <w:bCs/>
          <w:i/>
          <w:iCs/>
          <w:sz w:val="32"/>
          <w:szCs w:val="32"/>
        </w:rPr>
        <w:t>Faculty Research and Publications/</w:t>
      </w:r>
      <w:bookmarkEnd w:id="0"/>
      <w:r w:rsidRPr="00F065D3">
        <w:rPr>
          <w:rFonts w:cstheme="minorHAnsi"/>
          <w:b/>
          <w:bCs/>
          <w:i/>
          <w:iCs/>
          <w:sz w:val="32"/>
          <w:szCs w:val="32"/>
        </w:rPr>
        <w:t xml:space="preserve"> </w:t>
      </w:r>
      <w:r>
        <w:rPr>
          <w:rFonts w:cstheme="minorHAnsi"/>
          <w:b/>
          <w:bCs/>
          <w:i/>
          <w:iCs/>
          <w:sz w:val="32"/>
          <w:szCs w:val="32"/>
        </w:rPr>
        <w:t>Raynor Memorial Libraries</w:t>
      </w: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BE8F680" w:rsidR="000A7622" w:rsidRDefault="001E43C8" w:rsidP="00D14423">
      <w:pPr>
        <w:rPr>
          <w:rFonts w:cstheme="minorHAnsi"/>
          <w:sz w:val="24"/>
          <w:szCs w:val="24"/>
        </w:rPr>
      </w:pPr>
      <w:r>
        <w:rPr>
          <w:rFonts w:cstheme="minorHAnsi"/>
          <w:i/>
          <w:sz w:val="24"/>
          <w:szCs w:val="24"/>
          <w:lang w:val="fr-FR"/>
        </w:rPr>
        <w:t>Innovations in Health Sciences Education Journal</w:t>
      </w:r>
      <w:r w:rsidR="000A7622" w:rsidRPr="00C04F25">
        <w:rPr>
          <w:rFonts w:cstheme="minorHAnsi"/>
          <w:sz w:val="24"/>
          <w:szCs w:val="24"/>
          <w:lang w:val="fr-FR"/>
        </w:rPr>
        <w:t xml:space="preserve">, Vol. </w:t>
      </w:r>
      <w:r>
        <w:rPr>
          <w:rFonts w:cstheme="minorHAnsi"/>
          <w:sz w:val="24"/>
          <w:szCs w:val="24"/>
          <w:lang w:val="fr-FR"/>
        </w:rPr>
        <w:t>1</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2021</w:t>
      </w:r>
      <w:r w:rsidR="000A7622" w:rsidRPr="00C04F25">
        <w:rPr>
          <w:rFonts w:cstheme="minorHAnsi"/>
          <w:sz w:val="24"/>
          <w:szCs w:val="24"/>
          <w:lang w:val="fr-FR"/>
        </w:rPr>
        <w:t xml:space="preserve">): </w:t>
      </w:r>
      <w:r w:rsidR="00AF5076">
        <w:rPr>
          <w:rFonts w:cstheme="minorHAnsi"/>
          <w:sz w:val="24"/>
          <w:szCs w:val="24"/>
          <w:lang w:val="fr-FR"/>
        </w:rPr>
        <w:t>Article 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E2CCA">
        <w:rPr>
          <w:rFonts w:cstheme="minorHAnsi"/>
          <w:sz w:val="24"/>
          <w:szCs w:val="24"/>
        </w:rPr>
        <w:t>The Authors</w:t>
      </w:r>
      <w:r w:rsidR="00AD5162">
        <w:rPr>
          <w:rFonts w:cstheme="minorHAnsi"/>
          <w:sz w:val="24"/>
          <w:szCs w:val="24"/>
        </w:rPr>
        <w:t xml:space="preserve"> and published by University of Nebraska Medical Center</w:t>
      </w:r>
      <w:r w:rsidR="003C4A9B">
        <w:rPr>
          <w:rFonts w:cstheme="minorHAnsi"/>
          <w:sz w:val="24"/>
          <w:szCs w:val="24"/>
        </w:rPr>
        <w:t>.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94B6E">
        <w:rPr>
          <w:rFonts w:cstheme="minorHAnsi"/>
          <w:sz w:val="24"/>
          <w:szCs w:val="24"/>
        </w:rPr>
        <w:t>University of Nebraska Medical Center</w:t>
      </w:r>
      <w:r w:rsidR="000A7622" w:rsidRPr="00C04F25">
        <w:rPr>
          <w:rFonts w:cstheme="minorHAnsi"/>
          <w:sz w:val="24"/>
          <w:szCs w:val="24"/>
        </w:rPr>
        <w:t xml:space="preserve"> does not grant permission for this article to be further copied/distributed or hosted elsewhere without the express permission from </w:t>
      </w:r>
      <w:r w:rsidR="00794B6E">
        <w:rPr>
          <w:rFonts w:cstheme="minorHAnsi"/>
          <w:sz w:val="24"/>
          <w:szCs w:val="24"/>
        </w:rPr>
        <w:t>University of Nebraska Medical Center</w:t>
      </w:r>
      <w:r w:rsidR="000A7622" w:rsidRPr="00C04F25">
        <w:rPr>
          <w:rFonts w:cstheme="minorHAnsi"/>
          <w:sz w:val="24"/>
          <w:szCs w:val="24"/>
        </w:rPr>
        <w:t xml:space="preserve">. </w:t>
      </w:r>
      <w:bookmarkEnd w:id="1"/>
    </w:p>
    <w:p w14:paraId="36D66B89" w14:textId="4A311451" w:rsidR="000976FB" w:rsidRPr="00E279C5" w:rsidRDefault="000976FB" w:rsidP="00E279C5">
      <w:pPr>
        <w:pStyle w:val="Title"/>
      </w:pPr>
    </w:p>
    <w:p w14:paraId="57E55113" w14:textId="57F33E4E" w:rsidR="00E279C5" w:rsidRDefault="00F065D3" w:rsidP="00E279C5">
      <w:pPr>
        <w:pStyle w:val="Title"/>
      </w:pPr>
      <w:hyperlink r:id="rId10" w:history="1">
        <w:r w:rsidR="00E279C5" w:rsidRPr="00E279C5">
          <w:rPr>
            <w:rStyle w:val="Hyperlink"/>
            <w:color w:val="auto"/>
            <w:u w:val="none"/>
          </w:rPr>
          <w:t>Building a Robust E-Learning Module Scorecard: The Nebraska E-Learning Scorecard (NEscore)</w:t>
        </w:r>
      </w:hyperlink>
    </w:p>
    <w:p w14:paraId="4122E317" w14:textId="77777777" w:rsidR="00EB4D9F" w:rsidRDefault="00EB4D9F" w:rsidP="00E279C5"/>
    <w:p w14:paraId="6421FFED" w14:textId="510DB47B" w:rsidR="00EA3135" w:rsidRPr="00EA3135" w:rsidRDefault="00034287" w:rsidP="00EA3135">
      <w:pPr>
        <w:pStyle w:val="NoSpacing"/>
        <w:rPr>
          <w:sz w:val="32"/>
          <w:szCs w:val="32"/>
        </w:rPr>
      </w:pPr>
      <w:r w:rsidRPr="00EA3135">
        <w:rPr>
          <w:sz w:val="32"/>
          <w:szCs w:val="32"/>
        </w:rPr>
        <w:t>Tammy Webster</w:t>
      </w:r>
    </w:p>
    <w:p w14:paraId="22960816" w14:textId="4C348303" w:rsidR="00EA3135" w:rsidRPr="00EA3135" w:rsidRDefault="00EA3135" w:rsidP="00EA3135">
      <w:pPr>
        <w:pStyle w:val="NoSpacing"/>
        <w:rPr>
          <w:sz w:val="24"/>
          <w:szCs w:val="24"/>
        </w:rPr>
      </w:pPr>
      <w:r w:rsidRPr="00EA3135">
        <w:rPr>
          <w:sz w:val="24"/>
          <w:szCs w:val="24"/>
        </w:rPr>
        <w:t>University of Nebraska Medical Center</w:t>
      </w:r>
    </w:p>
    <w:p w14:paraId="29780F79" w14:textId="254913D5" w:rsidR="00EA3135" w:rsidRPr="00EA3135" w:rsidRDefault="00034287" w:rsidP="00EA3135">
      <w:pPr>
        <w:pStyle w:val="NoSpacing"/>
        <w:rPr>
          <w:sz w:val="32"/>
          <w:szCs w:val="32"/>
        </w:rPr>
      </w:pPr>
      <w:r w:rsidRPr="00EA3135">
        <w:rPr>
          <w:sz w:val="32"/>
          <w:szCs w:val="32"/>
        </w:rPr>
        <w:t>Alissa Fial</w:t>
      </w:r>
    </w:p>
    <w:p w14:paraId="6E0607D2" w14:textId="6E29DDFA" w:rsidR="00EA3135" w:rsidRPr="00EA3135" w:rsidRDefault="00EA3135" w:rsidP="00EA3135">
      <w:pPr>
        <w:pStyle w:val="NoSpacing"/>
        <w:rPr>
          <w:sz w:val="24"/>
          <w:szCs w:val="24"/>
        </w:rPr>
      </w:pPr>
      <w:r w:rsidRPr="00EA3135">
        <w:rPr>
          <w:sz w:val="24"/>
          <w:szCs w:val="24"/>
        </w:rPr>
        <w:t>Marquette University</w:t>
      </w:r>
    </w:p>
    <w:p w14:paraId="76F52A18" w14:textId="44B91C6F" w:rsidR="00034287" w:rsidRPr="00EA3135" w:rsidRDefault="00034287" w:rsidP="00EA3135">
      <w:pPr>
        <w:pStyle w:val="NoSpacing"/>
        <w:rPr>
          <w:sz w:val="32"/>
          <w:szCs w:val="32"/>
        </w:rPr>
      </w:pPr>
      <w:r w:rsidRPr="00EA3135">
        <w:rPr>
          <w:sz w:val="32"/>
          <w:szCs w:val="32"/>
        </w:rPr>
        <w:t>Peggy Moore</w:t>
      </w:r>
    </w:p>
    <w:p w14:paraId="306F9D48" w14:textId="77777777" w:rsidR="00EA3135" w:rsidRPr="00EA3135" w:rsidRDefault="00EA3135" w:rsidP="00EA3135">
      <w:pPr>
        <w:pStyle w:val="NoSpacing"/>
        <w:rPr>
          <w:sz w:val="24"/>
          <w:szCs w:val="24"/>
        </w:rPr>
      </w:pPr>
      <w:r w:rsidRPr="00EA3135">
        <w:rPr>
          <w:sz w:val="24"/>
          <w:szCs w:val="24"/>
        </w:rPr>
        <w:t>University of Nebraska Medical Center</w:t>
      </w:r>
    </w:p>
    <w:p w14:paraId="1E96FD38" w14:textId="149566CF" w:rsidR="00EA3135" w:rsidRPr="00EA3135" w:rsidRDefault="00034287" w:rsidP="00EA3135">
      <w:pPr>
        <w:pStyle w:val="NoSpacing"/>
        <w:rPr>
          <w:sz w:val="32"/>
          <w:szCs w:val="32"/>
        </w:rPr>
      </w:pPr>
      <w:r w:rsidRPr="00EA3135">
        <w:rPr>
          <w:sz w:val="32"/>
          <w:szCs w:val="32"/>
        </w:rPr>
        <w:t>Shireen Rajaram</w:t>
      </w:r>
    </w:p>
    <w:p w14:paraId="0C84ABFD" w14:textId="77777777" w:rsidR="00EA3135" w:rsidRPr="00EA3135" w:rsidRDefault="00EA3135" w:rsidP="00EA3135">
      <w:pPr>
        <w:pStyle w:val="NoSpacing"/>
        <w:rPr>
          <w:sz w:val="24"/>
          <w:szCs w:val="24"/>
        </w:rPr>
      </w:pPr>
      <w:r w:rsidRPr="00EA3135">
        <w:rPr>
          <w:sz w:val="24"/>
          <w:szCs w:val="24"/>
        </w:rPr>
        <w:t>University of Nebraska Medical Center</w:t>
      </w:r>
    </w:p>
    <w:p w14:paraId="365CE530" w14:textId="3E036947" w:rsidR="00034287" w:rsidRPr="00EA3135" w:rsidRDefault="00034287" w:rsidP="00EA3135">
      <w:pPr>
        <w:pStyle w:val="NoSpacing"/>
        <w:rPr>
          <w:sz w:val="32"/>
          <w:szCs w:val="32"/>
        </w:rPr>
      </w:pPr>
      <w:r w:rsidRPr="00EA3135">
        <w:rPr>
          <w:sz w:val="32"/>
          <w:szCs w:val="32"/>
        </w:rPr>
        <w:t>Ronald Shope</w:t>
      </w:r>
    </w:p>
    <w:p w14:paraId="7416CC2A" w14:textId="77777777" w:rsidR="00EA3135" w:rsidRPr="00EA3135" w:rsidRDefault="00EA3135" w:rsidP="00EA3135">
      <w:pPr>
        <w:pStyle w:val="NoSpacing"/>
        <w:rPr>
          <w:sz w:val="24"/>
          <w:szCs w:val="24"/>
        </w:rPr>
      </w:pPr>
      <w:r w:rsidRPr="00EA3135">
        <w:rPr>
          <w:sz w:val="24"/>
          <w:szCs w:val="24"/>
        </w:rPr>
        <w:t>University of Nebraska Medical Center</w:t>
      </w:r>
    </w:p>
    <w:p w14:paraId="4F0F892F" w14:textId="1F6967C9" w:rsidR="00E279C5" w:rsidRPr="00EA3135" w:rsidRDefault="00034287" w:rsidP="00EA3135">
      <w:pPr>
        <w:pStyle w:val="NoSpacing"/>
        <w:rPr>
          <w:sz w:val="32"/>
          <w:szCs w:val="32"/>
        </w:rPr>
      </w:pPr>
      <w:r w:rsidRPr="00EA3135">
        <w:rPr>
          <w:sz w:val="32"/>
          <w:szCs w:val="32"/>
        </w:rPr>
        <w:t>Dele Davies</w:t>
      </w:r>
    </w:p>
    <w:p w14:paraId="795D1AE4" w14:textId="77777777" w:rsidR="00EA3135" w:rsidRPr="00EA3135" w:rsidRDefault="00EA3135" w:rsidP="00EA3135">
      <w:pPr>
        <w:pStyle w:val="NoSpacing"/>
        <w:rPr>
          <w:sz w:val="24"/>
          <w:szCs w:val="24"/>
        </w:rPr>
      </w:pPr>
      <w:r w:rsidRPr="00EA3135">
        <w:rPr>
          <w:sz w:val="24"/>
          <w:szCs w:val="24"/>
        </w:rPr>
        <w:t>University of Nebraska Medical Center</w:t>
      </w:r>
    </w:p>
    <w:p w14:paraId="1F32C285" w14:textId="77777777" w:rsidR="00EA3135" w:rsidRDefault="00EA3135" w:rsidP="00034287"/>
    <w:p w14:paraId="12541A21" w14:textId="77777777" w:rsidR="00E279C5" w:rsidRPr="00E279C5" w:rsidRDefault="00E279C5" w:rsidP="00EA3135">
      <w:pPr>
        <w:pStyle w:val="Heading1"/>
      </w:pPr>
      <w:r w:rsidRPr="00E279C5">
        <w:t>Abstract</w:t>
      </w:r>
    </w:p>
    <w:p w14:paraId="3F7B0DE0" w14:textId="77777777" w:rsidR="00E279C5" w:rsidRPr="005B7F7A" w:rsidRDefault="00E279C5" w:rsidP="00E279C5">
      <w:pPr>
        <w:rPr>
          <w:rFonts w:cstheme="minorHAnsi"/>
          <w:sz w:val="24"/>
          <w:szCs w:val="24"/>
        </w:rPr>
      </w:pPr>
      <w:r w:rsidRPr="005B7F7A">
        <w:rPr>
          <w:rFonts w:cstheme="minorHAnsi"/>
          <w:sz w:val="24"/>
          <w:szCs w:val="24"/>
        </w:rPr>
        <w:t xml:space="preserve">Teaching during a pandemic has compelled educators to transform traditional strategies towards more innovative solutions. These innovative solutions use a variety of educational technologies, and often, shift delivery modalities to an online or blended approach to learning. A key strategy in online teaching is the development of quality e-learning modules based on the core tenets of e-learning. E-learning modules aim to enhance knowledge, performance, and retention through interactive and engaging strategies. While the value of a quality e-learning module is well-supported in the literature, there are limited resources available for developers to assess if the module adheres to the core tenets of e-learning. The University of Nebraska Medical Center created a scorecard (Nebraska E-Learning Scorecard, NEscore) based on established core tenets for e-learning that was both useable and reliable in evaluating quality e-learning modules. To determine the usability and reliability of NEscore, we conducted a pilot study and six experts and six novice participants evaluated five e-learning modules utilizing NEscore. Reliability was calculated with Cronbach’s alpha and intra-class correlation coefficients. We also gathered data on demographic information and the perceived satisfaction of participants in using the NEscore. The findings showed strong internal consistency among scores with overall high reliability, </w:t>
      </w:r>
      <w:r w:rsidRPr="005B7F7A">
        <w:rPr>
          <w:rFonts w:cstheme="minorHAnsi"/>
          <w:sz w:val="24"/>
          <w:szCs w:val="24"/>
        </w:rPr>
        <w:lastRenderedPageBreak/>
        <w:t>and high consistency among participants, showing no significant difference between the two groups of experts and novices. Overall, participants were satisfied with the usability of NEscore. The NEscore offers institutions an established set of criteria to evaluate existing e-learning modules and also serves as a guide for the development of new e-learning modules.</w:t>
      </w:r>
    </w:p>
    <w:p w14:paraId="53E2B3C4" w14:textId="77777777" w:rsidR="00F937D7" w:rsidRPr="00F937D7" w:rsidRDefault="00F937D7" w:rsidP="006354A7">
      <w:pPr>
        <w:pStyle w:val="Heading1"/>
      </w:pPr>
      <w:bookmarkStart w:id="2" w:name="Building a Robust E-Learning Module Scor"/>
      <w:bookmarkEnd w:id="2"/>
      <w:r w:rsidRPr="00F937D7">
        <w:t>Key Words</w:t>
      </w:r>
    </w:p>
    <w:p w14:paraId="3B173A20" w14:textId="77777777" w:rsidR="00F937D7" w:rsidRPr="00F937D7" w:rsidRDefault="00F937D7" w:rsidP="00F937D7">
      <w:pPr>
        <w:rPr>
          <w:rFonts w:cstheme="minorHAnsi"/>
          <w:sz w:val="24"/>
          <w:szCs w:val="24"/>
        </w:rPr>
      </w:pPr>
      <w:r w:rsidRPr="00F937D7">
        <w:rPr>
          <w:rFonts w:cstheme="minorHAnsi"/>
          <w:sz w:val="24"/>
          <w:szCs w:val="24"/>
        </w:rPr>
        <w:t>Scorecard, E-Learning Module, Instructional Design, Best Practices</w:t>
      </w:r>
    </w:p>
    <w:p w14:paraId="051DAD5A" w14:textId="77777777" w:rsidR="00F937D7" w:rsidRPr="00F937D7" w:rsidRDefault="00F937D7" w:rsidP="00F937D7">
      <w:pPr>
        <w:rPr>
          <w:rFonts w:cstheme="minorHAnsi"/>
          <w:sz w:val="24"/>
          <w:szCs w:val="24"/>
        </w:rPr>
      </w:pPr>
    </w:p>
    <w:p w14:paraId="34ED7D8D" w14:textId="27886AE7" w:rsidR="00F937D7" w:rsidRPr="00F937D7" w:rsidRDefault="00F937D7" w:rsidP="00F937D7">
      <w:pPr>
        <w:rPr>
          <w:rFonts w:cstheme="minorHAnsi"/>
          <w:sz w:val="24"/>
          <w:szCs w:val="24"/>
        </w:rPr>
      </w:pPr>
      <w:r w:rsidRPr="00F937D7">
        <w:rPr>
          <w:rFonts w:cstheme="minorHAnsi"/>
          <w:sz w:val="24"/>
          <w:szCs w:val="24"/>
        </w:rPr>
        <w:t>Teaching methodologies were transforming in the health professions and beyond, even prior to the pandemic, from solely lecture-based didactic approaches to blended and online learning formats. The pandemic hastened the implementation of learning teaching modalities. E-learning involves the use of internet technologies to enhance student-centered knowledge acquisition and performance.</w:t>
      </w:r>
      <w:r w:rsidR="006354A7">
        <w:rPr>
          <w:rFonts w:cstheme="minorHAnsi"/>
          <w:sz w:val="24"/>
          <w:szCs w:val="24"/>
        </w:rPr>
        <w:t xml:space="preserve"> </w:t>
      </w:r>
      <w:r w:rsidRPr="00F937D7">
        <w:rPr>
          <w:rFonts w:cstheme="minorHAnsi"/>
          <w:sz w:val="24"/>
          <w:szCs w:val="24"/>
        </w:rPr>
        <w:t>E-learning technologies offer learners control over the content, learning sequence, the pace of learning, time, and media, allowing them to tailor their experiences to meet learning objectives (Dong &amp; Goh, 2015: Goodey &amp; Talgar, 2016; Prober &amp; Khan, 2013; Sinclair et al., 2015). E-learning provides an opportunity for educators to improve the efficiency and effectiveness of educational instruction (Moberg &amp; Whitcomb, 1999; Ward et al., 2001). Using the innovative E-learning</w:t>
      </w:r>
      <w:r w:rsidR="00E365CB">
        <w:rPr>
          <w:rFonts w:cstheme="minorHAnsi"/>
          <w:sz w:val="24"/>
          <w:szCs w:val="24"/>
        </w:rPr>
        <w:t xml:space="preserve"> </w:t>
      </w:r>
      <w:r w:rsidRPr="00F937D7">
        <w:rPr>
          <w:rFonts w:cstheme="minorHAnsi"/>
          <w:sz w:val="24"/>
          <w:szCs w:val="24"/>
        </w:rPr>
        <w:t>platform, educators have developed E-learning modules.</w:t>
      </w:r>
    </w:p>
    <w:p w14:paraId="4E4751A3" w14:textId="73BA71FD" w:rsidR="00EA4228" w:rsidRPr="00EA4228" w:rsidRDefault="00EA4228" w:rsidP="00EA4228">
      <w:pPr>
        <w:rPr>
          <w:rFonts w:cstheme="minorHAnsi"/>
          <w:sz w:val="24"/>
          <w:szCs w:val="24"/>
        </w:rPr>
      </w:pPr>
      <w:r w:rsidRPr="00EA4228">
        <w:rPr>
          <w:rFonts w:cstheme="minorHAnsi"/>
          <w:sz w:val="24"/>
          <w:szCs w:val="24"/>
        </w:rPr>
        <w:t>E-learning modules are short, interactive digital learning objects designed for knowledge development and mastery of competencies. E-learning modules focus on a few specific objectives in a short format of 10-15 minutes in length, with multimedia content and interactive elements.</w:t>
      </w:r>
      <w:r w:rsidR="00E365CB">
        <w:rPr>
          <w:rFonts w:cstheme="minorHAnsi"/>
          <w:sz w:val="24"/>
          <w:szCs w:val="24"/>
        </w:rPr>
        <w:t xml:space="preserve"> </w:t>
      </w:r>
      <w:r w:rsidRPr="00EA4228">
        <w:rPr>
          <w:rFonts w:cstheme="minorHAnsi"/>
          <w:sz w:val="24"/>
          <w:szCs w:val="24"/>
        </w:rPr>
        <w:t>Students interact with E-learning module content at their own pace and time to acquire knowledge and develop competencies. Multiple teaching modalities use E-learning modules, including an online synchronous or asynchronous format, a blended or “flipped-classroom” format, or a face-to-face class.</w:t>
      </w:r>
    </w:p>
    <w:p w14:paraId="2113BA80" w14:textId="77777777" w:rsidR="00EA4228" w:rsidRPr="00EA4228" w:rsidRDefault="00EA4228" w:rsidP="00EA4228">
      <w:pPr>
        <w:rPr>
          <w:rFonts w:cstheme="minorHAnsi"/>
          <w:sz w:val="24"/>
          <w:szCs w:val="24"/>
        </w:rPr>
      </w:pPr>
      <w:r w:rsidRPr="00EA4228">
        <w:rPr>
          <w:rFonts w:cstheme="minorHAnsi"/>
          <w:sz w:val="24"/>
          <w:szCs w:val="24"/>
        </w:rPr>
        <w:t>E-learning modules have expanded pedagogical approaches, yet there is limited research on how to assess the quality of a module. While research provides an abundance of evidence regarding quality measures for an online course (Adair &amp; Shattuck, 2015; Legon, 2015; Ozdemir &amp; Loose, 2014), a deficit remains in the literature related to quality factors specifically associated with an E- learning module. Quality E-learning modules have substantial utility with educators at academic health science centers. Health professions educators need readily available materials to provide learners within a condensed and focused format. This content often needs to be reinforced and evaluated through formative assessment. E-learning modules provide a chunked resource for health professions educators to convey challenging constructs and optimize and reinforce learning. They can be a shared resource across health professions disciplines as an interprofessional educational activity. The value for quality E-learning module development is well established both by lived experiences of seasoned health professions educators as well as by the research literature. However, there is no validated tool built from the core tenets of E-learning to assist in the development of a quality E-learning module.</w:t>
      </w:r>
    </w:p>
    <w:p w14:paraId="0CE683A4" w14:textId="77777777" w:rsidR="00EA4228" w:rsidRPr="00EA4228" w:rsidRDefault="00EA4228" w:rsidP="00EA4228">
      <w:pPr>
        <w:rPr>
          <w:rFonts w:cstheme="minorHAnsi"/>
          <w:sz w:val="24"/>
          <w:szCs w:val="24"/>
        </w:rPr>
      </w:pPr>
      <w:r w:rsidRPr="00EA4228">
        <w:rPr>
          <w:rFonts w:cstheme="minorHAnsi"/>
          <w:sz w:val="24"/>
          <w:szCs w:val="24"/>
        </w:rPr>
        <w:t>The project developers have two primary aims. First to address the gap in the literature by creating a robust evidence-based tool or scorecard called NEscore that can be used to both guide the development of an E-learning module as well as evaluate existing modules by educators with varying levels of instructional design expertise in the health professions and other disciplines. The second aim, and the focus of this research study, was to validate the usability and reliability of the development tool.</w:t>
      </w:r>
    </w:p>
    <w:p w14:paraId="0B67A151" w14:textId="77777777" w:rsidR="00EA4228" w:rsidRPr="00EA4228" w:rsidRDefault="00EA4228" w:rsidP="00E365CB">
      <w:pPr>
        <w:pStyle w:val="Heading1"/>
      </w:pPr>
      <w:r w:rsidRPr="00EA4228">
        <w:t>Development of the NEscore</w:t>
      </w:r>
    </w:p>
    <w:p w14:paraId="21A449DE" w14:textId="77777777" w:rsidR="00EA4228" w:rsidRPr="00EA4228" w:rsidRDefault="00EA4228" w:rsidP="00EA4228">
      <w:pPr>
        <w:rPr>
          <w:rFonts w:cstheme="minorHAnsi"/>
          <w:sz w:val="24"/>
          <w:szCs w:val="24"/>
        </w:rPr>
      </w:pPr>
      <w:r w:rsidRPr="00EA4228">
        <w:rPr>
          <w:rFonts w:cstheme="minorHAnsi"/>
          <w:sz w:val="24"/>
          <w:szCs w:val="24"/>
        </w:rPr>
        <w:t>Educational theories, such as those offered by Bloom’s Taxonomy (Anderson &amp; Krathwohl, 2001; Bloom et al., 1956) and the ADDIE (analysis, design, development, implementation, evaluation) model (Morrison et al., 2007), have long examined the key tenets of learning. Drawing from these foundational theories, two overarching components or core tenets of best practices of E- learning are a) Method and Practice of Education, and b) Instructional Design (Anderson et al., 2014; Dong &amp; Goh, 2015; Gangé et al., 1998; Goodey &amp; Talgar, 2016; Prober &amp; Khan, 2013; Sinclair et al., 2015; Wentling et al., 2000). These two overarching tenets shaped by existing literature formed the development of the scorecard.</w:t>
      </w:r>
    </w:p>
    <w:p w14:paraId="78BBA737" w14:textId="76FBDCBF" w:rsidR="00EA4228" w:rsidRPr="00EA4228" w:rsidRDefault="00EA4228" w:rsidP="00EA4228">
      <w:pPr>
        <w:rPr>
          <w:rFonts w:cstheme="minorHAnsi"/>
          <w:sz w:val="24"/>
          <w:szCs w:val="24"/>
        </w:rPr>
      </w:pPr>
      <w:r w:rsidRPr="00EA4228">
        <w:rPr>
          <w:rFonts w:cstheme="minorHAnsi"/>
          <w:sz w:val="24"/>
          <w:szCs w:val="24"/>
        </w:rPr>
        <w:t>In addition to a thorough literature review regarding core tenets of learning, the project developers surveyed multiple key stakeholders with either formal training or professional experience in the subject matter to identify shared tenets for effective learning. With the literature review process coupled with the vetting of prototypes by the individuals deemed as content experts, the project developers generated a short list of “must haves” related to promoting effective learning through E-learning modules. Tables 1 and 2 below provide an overview of how the literature shaped</w:t>
      </w:r>
      <w:r w:rsidR="00B71F29">
        <w:rPr>
          <w:rFonts w:cstheme="minorHAnsi"/>
          <w:sz w:val="24"/>
          <w:szCs w:val="24"/>
        </w:rPr>
        <w:t xml:space="preserve"> </w:t>
      </w:r>
      <w:r w:rsidRPr="00EA4228">
        <w:rPr>
          <w:rFonts w:cstheme="minorHAnsi"/>
          <w:sz w:val="24"/>
          <w:szCs w:val="24"/>
        </w:rPr>
        <w:t>the development of the NEscore.</w:t>
      </w:r>
    </w:p>
    <w:p w14:paraId="016FCDF5" w14:textId="28CA3E72" w:rsidR="00B20F1F" w:rsidRPr="00B20F1F" w:rsidRDefault="00EA4228" w:rsidP="00B71F29">
      <w:pPr>
        <w:spacing w:after="0"/>
        <w:rPr>
          <w:rFonts w:cstheme="minorHAnsi"/>
          <w:i/>
          <w:iCs/>
          <w:sz w:val="24"/>
          <w:szCs w:val="24"/>
        </w:rPr>
      </w:pPr>
      <w:r w:rsidRPr="00EA4228">
        <w:rPr>
          <w:rFonts w:cstheme="minorHAnsi"/>
          <w:i/>
          <w:iCs/>
          <w:sz w:val="24"/>
          <w:szCs w:val="24"/>
        </w:rPr>
        <w:t>Table 1: Literature informing the development of Methods &amp; Practice of Education in NEscore</w:t>
      </w:r>
    </w:p>
    <w:tbl>
      <w:tblPr>
        <w:tblStyle w:val="TableGrid"/>
        <w:tblW w:w="0" w:type="auto"/>
        <w:tblLook w:val="0020" w:firstRow="1" w:lastRow="0" w:firstColumn="0" w:lastColumn="0" w:noHBand="0" w:noVBand="0"/>
      </w:tblPr>
      <w:tblGrid>
        <w:gridCol w:w="1621"/>
        <w:gridCol w:w="5219"/>
        <w:gridCol w:w="3230"/>
      </w:tblGrid>
      <w:tr w:rsidR="00B71F29" w:rsidRPr="00B71F29" w14:paraId="70BBCE2C" w14:textId="77777777" w:rsidTr="00720B72">
        <w:trPr>
          <w:trHeight w:val="288"/>
        </w:trPr>
        <w:tc>
          <w:tcPr>
            <w:tcW w:w="0" w:type="auto"/>
          </w:tcPr>
          <w:p w14:paraId="1D3C6689" w14:textId="77777777" w:rsidR="00B71F29" w:rsidRPr="00B71F29" w:rsidRDefault="00B71F29" w:rsidP="00B71F29">
            <w:pPr>
              <w:pStyle w:val="NoSpacing"/>
              <w:rPr>
                <w:b/>
                <w:bCs/>
              </w:rPr>
            </w:pPr>
            <w:r w:rsidRPr="00B71F29">
              <w:rPr>
                <w:b/>
                <w:bCs/>
              </w:rPr>
              <w:t>Method and Practice of Education</w:t>
            </w:r>
          </w:p>
        </w:tc>
        <w:tc>
          <w:tcPr>
            <w:tcW w:w="0" w:type="auto"/>
          </w:tcPr>
          <w:p w14:paraId="313669FD" w14:textId="77777777" w:rsidR="00B71F29" w:rsidRPr="00B71F29" w:rsidRDefault="00B71F29" w:rsidP="00B71F29">
            <w:pPr>
              <w:pStyle w:val="NoSpacing"/>
              <w:rPr>
                <w:b/>
                <w:bCs/>
              </w:rPr>
            </w:pPr>
          </w:p>
        </w:tc>
        <w:tc>
          <w:tcPr>
            <w:tcW w:w="0" w:type="auto"/>
          </w:tcPr>
          <w:p w14:paraId="393CE8CD" w14:textId="2DFB5018" w:rsidR="00B71F29" w:rsidRPr="00B71F29" w:rsidRDefault="00B71F29" w:rsidP="00B71F29">
            <w:pPr>
              <w:pStyle w:val="NoSpacing"/>
              <w:rPr>
                <w:b/>
                <w:bCs/>
              </w:rPr>
            </w:pPr>
          </w:p>
        </w:tc>
      </w:tr>
      <w:tr w:rsidR="004F2ADF" w:rsidRPr="00B71F29" w14:paraId="65A4A904" w14:textId="77777777" w:rsidTr="00720B72">
        <w:trPr>
          <w:trHeight w:val="288"/>
        </w:trPr>
        <w:tc>
          <w:tcPr>
            <w:tcW w:w="0" w:type="auto"/>
          </w:tcPr>
          <w:p w14:paraId="6FE16126" w14:textId="4A3CA407" w:rsidR="00B20F1F" w:rsidRPr="00B71F29" w:rsidRDefault="00B20F1F" w:rsidP="00B71F29">
            <w:pPr>
              <w:pStyle w:val="NoSpacing"/>
              <w:rPr>
                <w:b/>
                <w:bCs/>
              </w:rPr>
            </w:pPr>
            <w:r w:rsidRPr="00B71F29">
              <w:rPr>
                <w:b/>
                <w:bCs/>
              </w:rPr>
              <w:t>Tenets</w:t>
            </w:r>
          </w:p>
        </w:tc>
        <w:tc>
          <w:tcPr>
            <w:tcW w:w="0" w:type="auto"/>
          </w:tcPr>
          <w:p w14:paraId="3458CFB0" w14:textId="55CA3ABF" w:rsidR="00B20F1F" w:rsidRPr="00B71F29" w:rsidRDefault="00B20F1F" w:rsidP="00B71F29">
            <w:pPr>
              <w:pStyle w:val="NoSpacing"/>
              <w:rPr>
                <w:b/>
                <w:bCs/>
              </w:rPr>
            </w:pPr>
            <w:r w:rsidRPr="00B71F29">
              <w:rPr>
                <w:b/>
                <w:bCs/>
              </w:rPr>
              <w:t>Description</w:t>
            </w:r>
          </w:p>
        </w:tc>
        <w:tc>
          <w:tcPr>
            <w:tcW w:w="0" w:type="auto"/>
          </w:tcPr>
          <w:p w14:paraId="4E246788" w14:textId="136D76F0" w:rsidR="00B20F1F" w:rsidRPr="00B71F29" w:rsidRDefault="00B20F1F" w:rsidP="00B71F29">
            <w:pPr>
              <w:pStyle w:val="NoSpacing"/>
              <w:rPr>
                <w:b/>
                <w:bCs/>
              </w:rPr>
            </w:pPr>
            <w:r w:rsidRPr="00B71F29">
              <w:rPr>
                <w:b/>
                <w:bCs/>
              </w:rPr>
              <w:t>NEscore Items</w:t>
            </w:r>
          </w:p>
        </w:tc>
      </w:tr>
      <w:tr w:rsidR="004F2ADF" w:rsidRPr="00B71F29" w14:paraId="434DDA85" w14:textId="77777777" w:rsidTr="00720B72">
        <w:trPr>
          <w:trHeight w:val="288"/>
        </w:trPr>
        <w:tc>
          <w:tcPr>
            <w:tcW w:w="0" w:type="auto"/>
          </w:tcPr>
          <w:p w14:paraId="78F4EBC5" w14:textId="77777777" w:rsidR="00B20F1F" w:rsidRPr="00B71F29" w:rsidRDefault="00B20F1F" w:rsidP="00B71F29">
            <w:pPr>
              <w:pStyle w:val="NoSpacing"/>
            </w:pPr>
            <w:r w:rsidRPr="00B71F29">
              <w:t>Learning objectives</w:t>
            </w:r>
          </w:p>
        </w:tc>
        <w:tc>
          <w:tcPr>
            <w:tcW w:w="0" w:type="auto"/>
          </w:tcPr>
          <w:p w14:paraId="1F484187" w14:textId="245C4720" w:rsidR="00B20F1F" w:rsidRPr="00B71F29" w:rsidRDefault="00B20F1F" w:rsidP="0034770B">
            <w:pPr>
              <w:pStyle w:val="NoSpacing"/>
              <w:numPr>
                <w:ilvl w:val="0"/>
                <w:numId w:val="26"/>
              </w:numPr>
            </w:pPr>
            <w:r w:rsidRPr="00B71F29">
              <w:t>Content directly related to desired outcomes</w:t>
            </w:r>
            <w:r w:rsidR="004F2ADF">
              <w:t xml:space="preserve"> </w:t>
            </w:r>
            <w:r w:rsidRPr="00B71F29">
              <w:t>Learning objectives should clearly state the content to be learned, and the material presented should directly</w:t>
            </w:r>
            <w:r w:rsidR="004F2ADF">
              <w:t xml:space="preserve"> </w:t>
            </w:r>
            <w:r w:rsidRPr="00B71F29">
              <w:t>correlate with the desired outcomes</w:t>
            </w:r>
            <w:r w:rsidRPr="00B71F29">
              <w:rPr>
                <w:vertAlign w:val="superscript"/>
              </w:rPr>
              <w:t>5,</w:t>
            </w:r>
            <w:r w:rsidRPr="00B71F29">
              <w:t xml:space="preserve"> </w:t>
            </w:r>
            <w:r w:rsidRPr="00B71F29">
              <w:rPr>
                <w:vertAlign w:val="superscript"/>
              </w:rPr>
              <w:t>8, 15, 17, 21</w:t>
            </w:r>
          </w:p>
        </w:tc>
        <w:tc>
          <w:tcPr>
            <w:tcW w:w="0" w:type="auto"/>
          </w:tcPr>
          <w:p w14:paraId="3206A0A6" w14:textId="77777777" w:rsidR="00B20F1F" w:rsidRPr="00B71F29" w:rsidRDefault="00B20F1F" w:rsidP="00B71F29">
            <w:pPr>
              <w:pStyle w:val="NoSpacing"/>
            </w:pPr>
            <w:r w:rsidRPr="00B71F29">
              <w:t>Two items dealing with clarity of the learning objectives and wording.</w:t>
            </w:r>
          </w:p>
        </w:tc>
      </w:tr>
      <w:tr w:rsidR="004F2ADF" w:rsidRPr="00B71F29" w14:paraId="384C26A2" w14:textId="77777777" w:rsidTr="00720B72">
        <w:trPr>
          <w:trHeight w:val="288"/>
        </w:trPr>
        <w:tc>
          <w:tcPr>
            <w:tcW w:w="0" w:type="auto"/>
          </w:tcPr>
          <w:p w14:paraId="1CC4EE78" w14:textId="77777777" w:rsidR="00B20F1F" w:rsidRPr="00B71F29" w:rsidRDefault="00B20F1F" w:rsidP="00B71F29">
            <w:pPr>
              <w:pStyle w:val="NoSpacing"/>
            </w:pPr>
            <w:r w:rsidRPr="00B71F29">
              <w:t>Knowledge checks</w:t>
            </w:r>
          </w:p>
        </w:tc>
        <w:tc>
          <w:tcPr>
            <w:tcW w:w="0" w:type="auto"/>
          </w:tcPr>
          <w:p w14:paraId="0C407FE1" w14:textId="77777777" w:rsidR="0034770B" w:rsidRDefault="00B20F1F" w:rsidP="0034770B">
            <w:pPr>
              <w:pStyle w:val="NoSpacing"/>
              <w:numPr>
                <w:ilvl w:val="0"/>
                <w:numId w:val="26"/>
              </w:numPr>
            </w:pPr>
            <w:r w:rsidRPr="00B71F29">
              <w:t>Descriptive feedback for remediation</w:t>
            </w:r>
            <w:r w:rsidR="00863466">
              <w:t xml:space="preserve"> </w:t>
            </w:r>
          </w:p>
          <w:p w14:paraId="121BF757" w14:textId="18799B1E" w:rsidR="00B20F1F" w:rsidRPr="00B71F29" w:rsidRDefault="00B20F1F" w:rsidP="0034770B">
            <w:pPr>
              <w:pStyle w:val="NoSpacing"/>
              <w:numPr>
                <w:ilvl w:val="0"/>
                <w:numId w:val="26"/>
              </w:numPr>
            </w:pPr>
            <w:r w:rsidRPr="00B71F29">
              <w:t>Interspersed throughout the module</w:t>
            </w:r>
            <w:r w:rsidRPr="00B71F29">
              <w:rPr>
                <w:vertAlign w:val="superscript"/>
              </w:rPr>
              <w:t>4, 7, 9, 12, 13, 17, 18</w:t>
            </w:r>
          </w:p>
        </w:tc>
        <w:tc>
          <w:tcPr>
            <w:tcW w:w="0" w:type="auto"/>
          </w:tcPr>
          <w:p w14:paraId="6CC763CA" w14:textId="0DADF607" w:rsidR="00B20F1F" w:rsidRPr="00B71F29" w:rsidRDefault="00B20F1F" w:rsidP="00863466">
            <w:pPr>
              <w:pStyle w:val="NoSpacing"/>
            </w:pPr>
            <w:r w:rsidRPr="00B71F29">
              <w:t>Two items dealing with location and frequency of knowledge checks, and the quality of feedback</w:t>
            </w:r>
            <w:r w:rsidR="00863466">
              <w:t xml:space="preserve"> </w:t>
            </w:r>
            <w:r w:rsidRPr="00B71F29">
              <w:t>provided to the learner.</w:t>
            </w:r>
          </w:p>
        </w:tc>
      </w:tr>
      <w:tr w:rsidR="004F2ADF" w:rsidRPr="00B71F29" w14:paraId="21344073" w14:textId="77777777" w:rsidTr="00720B72">
        <w:trPr>
          <w:trHeight w:val="288"/>
        </w:trPr>
        <w:tc>
          <w:tcPr>
            <w:tcW w:w="0" w:type="auto"/>
          </w:tcPr>
          <w:p w14:paraId="5C72DE34" w14:textId="77777777" w:rsidR="00B20F1F" w:rsidRPr="00B71F29" w:rsidRDefault="00B20F1F" w:rsidP="00B71F29">
            <w:pPr>
              <w:pStyle w:val="NoSpacing"/>
            </w:pPr>
            <w:r w:rsidRPr="00B71F29">
              <w:t>Length of content</w:t>
            </w:r>
          </w:p>
        </w:tc>
        <w:tc>
          <w:tcPr>
            <w:tcW w:w="0" w:type="auto"/>
          </w:tcPr>
          <w:p w14:paraId="3DC36A6D" w14:textId="77777777" w:rsidR="00B20F1F" w:rsidRPr="00B71F29" w:rsidRDefault="00B20F1F" w:rsidP="0034770B">
            <w:pPr>
              <w:pStyle w:val="NoSpacing"/>
              <w:numPr>
                <w:ilvl w:val="0"/>
                <w:numId w:val="26"/>
              </w:numPr>
            </w:pPr>
            <w:r w:rsidRPr="00B71F29">
              <w:t>15 minutes or less</w:t>
            </w:r>
            <w:r w:rsidRPr="00B71F29">
              <w:rPr>
                <w:vertAlign w:val="superscript"/>
              </w:rPr>
              <w:t>2, 5, 7, 9, 11, 14, 19</w:t>
            </w:r>
          </w:p>
        </w:tc>
        <w:tc>
          <w:tcPr>
            <w:tcW w:w="0" w:type="auto"/>
          </w:tcPr>
          <w:p w14:paraId="0CD6A2E7" w14:textId="77777777" w:rsidR="00B20F1F" w:rsidRPr="00B71F29" w:rsidRDefault="00B20F1F" w:rsidP="00B71F29">
            <w:pPr>
              <w:pStyle w:val="NoSpacing"/>
            </w:pPr>
            <w:r w:rsidRPr="00B71F29">
              <w:t>One item dealing with the length of the module.</w:t>
            </w:r>
          </w:p>
        </w:tc>
      </w:tr>
      <w:tr w:rsidR="004F2ADF" w:rsidRPr="00B71F29" w14:paraId="62F891FF" w14:textId="77777777" w:rsidTr="00720B72">
        <w:trPr>
          <w:trHeight w:val="288"/>
        </w:trPr>
        <w:tc>
          <w:tcPr>
            <w:tcW w:w="0" w:type="auto"/>
          </w:tcPr>
          <w:p w14:paraId="50796B73" w14:textId="56D51FC9" w:rsidR="00B20F1F" w:rsidRPr="00B71F29" w:rsidRDefault="00B20F1F" w:rsidP="00863466">
            <w:pPr>
              <w:pStyle w:val="NoSpacing"/>
            </w:pPr>
            <w:r w:rsidRPr="00B71F29">
              <w:t>References and or</w:t>
            </w:r>
            <w:r w:rsidR="00863466">
              <w:t xml:space="preserve"> </w:t>
            </w:r>
            <w:r w:rsidRPr="00B71F29">
              <w:t>citations</w:t>
            </w:r>
          </w:p>
        </w:tc>
        <w:tc>
          <w:tcPr>
            <w:tcW w:w="0" w:type="auto"/>
          </w:tcPr>
          <w:p w14:paraId="5D1C05B3" w14:textId="77777777" w:rsidR="00B20F1F" w:rsidRPr="00B71F29" w:rsidRDefault="00B20F1F" w:rsidP="0034770B">
            <w:pPr>
              <w:pStyle w:val="NoSpacing"/>
              <w:numPr>
                <w:ilvl w:val="0"/>
                <w:numId w:val="26"/>
              </w:numPr>
            </w:pPr>
            <w:r w:rsidRPr="00B71F29">
              <w:t>Examine the references in the future</w:t>
            </w:r>
            <w:r w:rsidRPr="00B71F29">
              <w:rPr>
                <w:vertAlign w:val="superscript"/>
              </w:rPr>
              <w:t>1, 2, 5, 10,</w:t>
            </w:r>
          </w:p>
        </w:tc>
        <w:tc>
          <w:tcPr>
            <w:tcW w:w="0" w:type="auto"/>
          </w:tcPr>
          <w:p w14:paraId="17138596" w14:textId="77777777" w:rsidR="00B20F1F" w:rsidRPr="00B71F29" w:rsidRDefault="00B20F1F" w:rsidP="00B71F29">
            <w:pPr>
              <w:pStyle w:val="NoSpacing"/>
            </w:pPr>
            <w:r w:rsidRPr="00B71F29">
              <w:t>One item dealing with citations or references.</w:t>
            </w:r>
          </w:p>
        </w:tc>
      </w:tr>
      <w:tr w:rsidR="004F2ADF" w:rsidRPr="00B71F29" w14:paraId="64452FA9" w14:textId="77777777" w:rsidTr="00720B72">
        <w:trPr>
          <w:trHeight w:val="288"/>
        </w:trPr>
        <w:tc>
          <w:tcPr>
            <w:tcW w:w="0" w:type="auto"/>
          </w:tcPr>
          <w:p w14:paraId="7D9265D1" w14:textId="219AA9D0" w:rsidR="00B20F1F" w:rsidRPr="00B71F29" w:rsidRDefault="00B20F1F" w:rsidP="00863466">
            <w:pPr>
              <w:pStyle w:val="NoSpacing"/>
            </w:pPr>
            <w:r w:rsidRPr="00B71F29">
              <w:t>ADA</w:t>
            </w:r>
            <w:r w:rsidR="00863466">
              <w:t xml:space="preserve"> </w:t>
            </w:r>
            <w:r w:rsidRPr="00B71F29">
              <w:t>compliance features</w:t>
            </w:r>
          </w:p>
        </w:tc>
        <w:tc>
          <w:tcPr>
            <w:tcW w:w="0" w:type="auto"/>
          </w:tcPr>
          <w:p w14:paraId="1B5E9926" w14:textId="77777777" w:rsidR="00CF2C15" w:rsidRDefault="00B20F1F" w:rsidP="0034770B">
            <w:pPr>
              <w:pStyle w:val="NoSpacing"/>
              <w:numPr>
                <w:ilvl w:val="0"/>
                <w:numId w:val="26"/>
              </w:numPr>
            </w:pPr>
            <w:r w:rsidRPr="00B71F29">
              <w:t>Closed captioning</w:t>
            </w:r>
            <w:r w:rsidR="00863466">
              <w:t xml:space="preserve"> </w:t>
            </w:r>
          </w:p>
          <w:p w14:paraId="16E24ED7" w14:textId="469D4B4D" w:rsidR="00B20F1F" w:rsidRPr="00B71F29" w:rsidRDefault="00B20F1F" w:rsidP="0034770B">
            <w:pPr>
              <w:pStyle w:val="NoSpacing"/>
              <w:numPr>
                <w:ilvl w:val="0"/>
                <w:numId w:val="26"/>
              </w:numPr>
            </w:pPr>
            <w:r w:rsidRPr="00B71F29">
              <w:t>Written transcript for audio and video components</w:t>
            </w:r>
            <w:r w:rsidRPr="00B71F29">
              <w:rPr>
                <w:vertAlign w:val="superscript"/>
              </w:rPr>
              <w:t>1, 3, 6, 13, 16, 20, 22</w:t>
            </w:r>
          </w:p>
        </w:tc>
        <w:tc>
          <w:tcPr>
            <w:tcW w:w="0" w:type="auto"/>
          </w:tcPr>
          <w:p w14:paraId="02F74CAD" w14:textId="77777777" w:rsidR="00B20F1F" w:rsidRPr="00B71F29" w:rsidRDefault="00B20F1F" w:rsidP="00B71F29">
            <w:pPr>
              <w:pStyle w:val="NoSpacing"/>
            </w:pPr>
            <w:r w:rsidRPr="00B71F29">
              <w:t>One item dealing with ADA compliance requirements.</w:t>
            </w:r>
          </w:p>
        </w:tc>
      </w:tr>
    </w:tbl>
    <w:p w14:paraId="62652893" w14:textId="0E88215C" w:rsidR="00DC4441" w:rsidRPr="00B71F29" w:rsidRDefault="00DC4441" w:rsidP="00B71F29">
      <w:pPr>
        <w:pStyle w:val="NoSpacing"/>
      </w:pPr>
      <w:r w:rsidRPr="00B71F29">
        <w:t xml:space="preserve">Note: </w:t>
      </w:r>
      <w:r w:rsidRPr="00B71F29">
        <w:rPr>
          <w:vertAlign w:val="superscript"/>
        </w:rPr>
        <w:t>1</w:t>
      </w:r>
      <w:r w:rsidRPr="00B71F29">
        <w:t xml:space="preserve"> Alexander &amp; Baird (2003); </w:t>
      </w:r>
      <w:r w:rsidRPr="00B71F29">
        <w:rPr>
          <w:vertAlign w:val="superscript"/>
        </w:rPr>
        <w:t>2</w:t>
      </w:r>
      <w:r w:rsidRPr="00B71F29">
        <w:t xml:space="preserve"> Anderson et al. (2014); </w:t>
      </w:r>
      <w:r w:rsidRPr="00B71F29">
        <w:rPr>
          <w:vertAlign w:val="superscript"/>
        </w:rPr>
        <w:t>3</w:t>
      </w:r>
      <w:r w:rsidRPr="00B71F29">
        <w:t xml:space="preserve"> Case &amp; Davidson (2011); </w:t>
      </w:r>
      <w:r w:rsidRPr="00B71F29">
        <w:rPr>
          <w:vertAlign w:val="superscript"/>
        </w:rPr>
        <w:t>4</w:t>
      </w:r>
      <w:r w:rsidRPr="00B71F29">
        <w:t xml:space="preserve"> Chang et al. (2014); </w:t>
      </w:r>
      <w:r w:rsidRPr="00B71F29">
        <w:rPr>
          <w:vertAlign w:val="superscript"/>
        </w:rPr>
        <w:t>5</w:t>
      </w:r>
      <w:r w:rsidRPr="00B71F29">
        <w:t xml:space="preserve"> Dong &amp; Goh (2015); </w:t>
      </w:r>
      <w:r w:rsidRPr="00B71F29">
        <w:rPr>
          <w:vertAlign w:val="superscript"/>
        </w:rPr>
        <w:t>6</w:t>
      </w:r>
      <w:r w:rsidRPr="00B71F29">
        <w:t xml:space="preserve"> Edmonds (2004); </w:t>
      </w:r>
      <w:r w:rsidRPr="00B71F29">
        <w:rPr>
          <w:vertAlign w:val="superscript"/>
        </w:rPr>
        <w:t>7</w:t>
      </w:r>
      <w:r w:rsidRPr="00B71F29">
        <w:t xml:space="preserve"> Farina &amp; Bodzin (2018); </w:t>
      </w:r>
      <w:r w:rsidRPr="00B71F29">
        <w:rPr>
          <w:vertAlign w:val="superscript"/>
        </w:rPr>
        <w:t>8</w:t>
      </w:r>
      <w:r w:rsidRPr="00B71F29">
        <w:t xml:space="preserve"> Gagné et al. (1988); </w:t>
      </w:r>
      <w:r w:rsidRPr="00B71F29">
        <w:rPr>
          <w:vertAlign w:val="superscript"/>
        </w:rPr>
        <w:t>9</w:t>
      </w:r>
      <w:r w:rsidRPr="00B71F29">
        <w:t xml:space="preserve"> Glance et al. (2013); </w:t>
      </w:r>
      <w:r w:rsidRPr="00B71F29">
        <w:rPr>
          <w:vertAlign w:val="superscript"/>
        </w:rPr>
        <w:t>10</w:t>
      </w:r>
      <w:r w:rsidRPr="00B71F29">
        <w:t xml:space="preserve"> Goodey &amp; Talgar (2016); </w:t>
      </w:r>
      <w:r w:rsidRPr="00B71F29">
        <w:rPr>
          <w:vertAlign w:val="superscript"/>
        </w:rPr>
        <w:t>11</w:t>
      </w:r>
      <w:r w:rsidRPr="00B71F29">
        <w:t xml:space="preserve"> Khan (2012); </w:t>
      </w:r>
      <w:r w:rsidRPr="00B71F29">
        <w:rPr>
          <w:vertAlign w:val="superscript"/>
        </w:rPr>
        <w:t>12</w:t>
      </w:r>
      <w:r w:rsidRPr="00B71F29">
        <w:t xml:space="preserve"> Mukherjee &amp; Donnelly (2018); </w:t>
      </w:r>
      <w:r w:rsidRPr="00B71F29">
        <w:rPr>
          <w:vertAlign w:val="superscript"/>
        </w:rPr>
        <w:t>13</w:t>
      </w:r>
      <w:r w:rsidRPr="00B71F29">
        <w:t xml:space="preserve"> Pourmand et al. (2018); </w:t>
      </w:r>
      <w:r w:rsidRPr="00B71F29">
        <w:rPr>
          <w:vertAlign w:val="superscript"/>
        </w:rPr>
        <w:t>1</w:t>
      </w:r>
      <w:r w:rsidRPr="00B71F29">
        <w:t xml:space="preserve">4 Prober &amp; Khan (2013); </w:t>
      </w:r>
      <w:r w:rsidRPr="00B71F29">
        <w:rPr>
          <w:vertAlign w:val="superscript"/>
        </w:rPr>
        <w:t>15</w:t>
      </w:r>
      <w:r w:rsidRPr="00B71F29">
        <w:t xml:space="preserve"> Ricard</w:t>
      </w:r>
      <w:r w:rsidR="00B71F29">
        <w:t xml:space="preserve"> </w:t>
      </w:r>
      <w:r w:rsidRPr="00B71F29">
        <w:t xml:space="preserve">(1990); </w:t>
      </w:r>
      <w:r w:rsidRPr="00B71F29">
        <w:rPr>
          <w:vertAlign w:val="superscript"/>
        </w:rPr>
        <w:t>16</w:t>
      </w:r>
      <w:r w:rsidRPr="00B71F29">
        <w:t xml:space="preserve"> Sinclair et al. (2016), </w:t>
      </w:r>
      <w:r w:rsidRPr="00B71F29">
        <w:rPr>
          <w:vertAlign w:val="superscript"/>
        </w:rPr>
        <w:t>17</w:t>
      </w:r>
      <w:r w:rsidRPr="00B71F29">
        <w:t xml:space="preserve"> Sinclair et al.(2017); </w:t>
      </w:r>
      <w:r w:rsidRPr="00B71F29">
        <w:rPr>
          <w:vertAlign w:val="superscript"/>
        </w:rPr>
        <w:t>18</w:t>
      </w:r>
      <w:r w:rsidRPr="00B71F29">
        <w:t xml:space="preserve"> Swan (2001); </w:t>
      </w:r>
      <w:r w:rsidRPr="00B71F29">
        <w:rPr>
          <w:vertAlign w:val="superscript"/>
        </w:rPr>
        <w:t>19</w:t>
      </w:r>
      <w:r w:rsidRPr="00B71F29">
        <w:t xml:space="preserve"> Sweller (2005); </w:t>
      </w:r>
      <w:r w:rsidRPr="00B71F29">
        <w:rPr>
          <w:vertAlign w:val="superscript"/>
        </w:rPr>
        <w:t>20</w:t>
      </w:r>
      <w:r w:rsidRPr="00B71F29">
        <w:t xml:space="preserve"> Veal et al. (2005); </w:t>
      </w:r>
      <w:r w:rsidRPr="00B71F29">
        <w:rPr>
          <w:vertAlign w:val="superscript"/>
        </w:rPr>
        <w:t>21</w:t>
      </w:r>
      <w:r w:rsidRPr="00B71F29">
        <w:t xml:space="preserve"> Wilson et al.</w:t>
      </w:r>
      <w:r w:rsidR="00B71F29">
        <w:t xml:space="preserve"> </w:t>
      </w:r>
      <w:r w:rsidRPr="00B71F29">
        <w:t xml:space="preserve">(2018); </w:t>
      </w:r>
      <w:r w:rsidRPr="00B71F29">
        <w:rPr>
          <w:vertAlign w:val="superscript"/>
        </w:rPr>
        <w:t>22</w:t>
      </w:r>
      <w:r w:rsidRPr="00B71F29">
        <w:t xml:space="preserve"> Yu (2002)</w:t>
      </w:r>
    </w:p>
    <w:p w14:paraId="6444DB95" w14:textId="77777777" w:rsidR="00DC4441" w:rsidRPr="005B7F7A" w:rsidRDefault="00DC4441" w:rsidP="00E279C5">
      <w:pPr>
        <w:rPr>
          <w:rFonts w:cstheme="minorHAnsi"/>
          <w:sz w:val="24"/>
          <w:szCs w:val="24"/>
        </w:rPr>
      </w:pPr>
    </w:p>
    <w:p w14:paraId="38B708E5" w14:textId="14FB0531" w:rsidR="002304B7" w:rsidRPr="002304B7" w:rsidRDefault="002304B7" w:rsidP="002304B7">
      <w:pPr>
        <w:rPr>
          <w:rFonts w:cstheme="minorHAnsi"/>
          <w:sz w:val="24"/>
          <w:szCs w:val="24"/>
        </w:rPr>
      </w:pPr>
      <w:r w:rsidRPr="002304B7">
        <w:rPr>
          <w:rFonts w:cstheme="minorHAnsi"/>
          <w:sz w:val="24"/>
          <w:szCs w:val="24"/>
        </w:rPr>
        <w:t>These evidence-based principles of E-learning helped inform and further refine the development of NEscore, a tool designed to assess or create robust quality E-learning modules (Webster, 2020).</w:t>
      </w:r>
      <w:r w:rsidR="00B71F29">
        <w:rPr>
          <w:rFonts w:cstheme="minorHAnsi"/>
          <w:sz w:val="24"/>
          <w:szCs w:val="24"/>
        </w:rPr>
        <w:t xml:space="preserve"> </w:t>
      </w:r>
      <w:r w:rsidRPr="002304B7">
        <w:rPr>
          <w:rFonts w:cstheme="minorHAnsi"/>
          <w:sz w:val="24"/>
          <w:szCs w:val="24"/>
        </w:rPr>
        <w:t>Since 2013, 447 individuals at the University of Nebraska Medical Center (UNMC) have used the current or earlier versions of the NEscore in developing approximately 235 E-learning modules, impacting over 6,000 students (Webster, 2020). Module developers represent approximately 224 faculty, 187 students, 18 staff, and 18 non-institutional collaborators, representing every college on campus, thus supporting the utility of NEscore across varying health disciplines (e.g., medicine, nursing, allied health, public health. Twenty-eight percent of faculty developers have earned awards, funding, or other recognition due to the module development (University of Nebraska Medical Center, 2019). Developers continue to expand their presence at the national level through scholarship activities such as presentations at conferences regarding E-learning. Additionally, faculty at UNMC have participated in the rapid development of E-learning modules in response to teaching and federal contract demands amidst the pandemic. The NEscore has provided faculty with the needed reference guide to expedite quality E-learning modules with limited resources while under tremendous time constraints. Hence, UNMC has the necessary experience and expertise to conduct this study</w:t>
      </w:r>
      <w:r w:rsidRPr="005B7F7A">
        <w:rPr>
          <w:rFonts w:cstheme="minorHAnsi"/>
          <w:sz w:val="24"/>
          <w:szCs w:val="24"/>
        </w:rPr>
        <w:t>.</w:t>
      </w:r>
    </w:p>
    <w:p w14:paraId="41CA496B" w14:textId="77777777" w:rsidR="002304B7" w:rsidRPr="002304B7" w:rsidRDefault="002304B7" w:rsidP="00B71F29">
      <w:pPr>
        <w:spacing w:after="0"/>
        <w:rPr>
          <w:rFonts w:cstheme="minorHAnsi"/>
          <w:i/>
          <w:iCs/>
          <w:sz w:val="24"/>
          <w:szCs w:val="24"/>
        </w:rPr>
      </w:pPr>
      <w:r w:rsidRPr="002304B7">
        <w:rPr>
          <w:rFonts w:cstheme="minorHAnsi"/>
          <w:i/>
          <w:iCs/>
          <w:sz w:val="24"/>
          <w:szCs w:val="24"/>
        </w:rPr>
        <w:t>Table 2: Literature informing the development of Instructional Design in NEscore</w:t>
      </w:r>
    </w:p>
    <w:tbl>
      <w:tblPr>
        <w:tblStyle w:val="TableGrid"/>
        <w:tblW w:w="0" w:type="auto"/>
        <w:tblLook w:val="0020" w:firstRow="1" w:lastRow="0" w:firstColumn="0" w:lastColumn="0" w:noHBand="0" w:noVBand="0"/>
      </w:tblPr>
      <w:tblGrid>
        <w:gridCol w:w="2079"/>
        <w:gridCol w:w="3696"/>
        <w:gridCol w:w="4295"/>
      </w:tblGrid>
      <w:tr w:rsidR="00B71F29" w:rsidRPr="00B71F29" w14:paraId="5D34CE9A" w14:textId="77777777" w:rsidTr="00720B72">
        <w:trPr>
          <w:trHeight w:val="288"/>
        </w:trPr>
        <w:tc>
          <w:tcPr>
            <w:tcW w:w="0" w:type="auto"/>
          </w:tcPr>
          <w:p w14:paraId="0DDA7D75" w14:textId="77777777" w:rsidR="00B71F29" w:rsidRPr="00B71F29" w:rsidRDefault="00B71F29" w:rsidP="00B71F29">
            <w:pPr>
              <w:pStyle w:val="NoSpacing"/>
              <w:rPr>
                <w:b/>
                <w:bCs/>
              </w:rPr>
            </w:pPr>
            <w:r w:rsidRPr="00B71F29">
              <w:rPr>
                <w:b/>
                <w:bCs/>
              </w:rPr>
              <w:t>Instructional Design</w:t>
            </w:r>
          </w:p>
        </w:tc>
        <w:tc>
          <w:tcPr>
            <w:tcW w:w="0" w:type="auto"/>
          </w:tcPr>
          <w:p w14:paraId="120B98FF" w14:textId="77777777" w:rsidR="00B71F29" w:rsidRPr="00B71F29" w:rsidRDefault="00B71F29" w:rsidP="00B71F29">
            <w:pPr>
              <w:pStyle w:val="NoSpacing"/>
              <w:rPr>
                <w:b/>
                <w:bCs/>
              </w:rPr>
            </w:pPr>
          </w:p>
        </w:tc>
        <w:tc>
          <w:tcPr>
            <w:tcW w:w="0" w:type="auto"/>
          </w:tcPr>
          <w:p w14:paraId="600C9173" w14:textId="74842DB5" w:rsidR="00B71F29" w:rsidRPr="00B71F29" w:rsidRDefault="00B71F29" w:rsidP="00B71F29">
            <w:pPr>
              <w:pStyle w:val="NoSpacing"/>
              <w:rPr>
                <w:b/>
                <w:bCs/>
              </w:rPr>
            </w:pPr>
          </w:p>
        </w:tc>
      </w:tr>
      <w:tr w:rsidR="004F2ADF" w:rsidRPr="00B71F29" w14:paraId="09FB5EBC" w14:textId="77777777" w:rsidTr="00720B72">
        <w:trPr>
          <w:trHeight w:val="288"/>
        </w:trPr>
        <w:tc>
          <w:tcPr>
            <w:tcW w:w="0" w:type="auto"/>
          </w:tcPr>
          <w:p w14:paraId="4DE6E461" w14:textId="02C4094C" w:rsidR="001E316A" w:rsidRPr="00B71F29" w:rsidRDefault="001E316A" w:rsidP="00B71F29">
            <w:pPr>
              <w:pStyle w:val="NoSpacing"/>
              <w:rPr>
                <w:b/>
                <w:bCs/>
              </w:rPr>
            </w:pPr>
            <w:r w:rsidRPr="00B71F29">
              <w:rPr>
                <w:b/>
                <w:bCs/>
              </w:rPr>
              <w:t>Tenets</w:t>
            </w:r>
          </w:p>
        </w:tc>
        <w:tc>
          <w:tcPr>
            <w:tcW w:w="0" w:type="auto"/>
          </w:tcPr>
          <w:p w14:paraId="2DD42F70" w14:textId="412D5288" w:rsidR="001E316A" w:rsidRPr="00B71F29" w:rsidRDefault="001E316A" w:rsidP="00B71F29">
            <w:pPr>
              <w:pStyle w:val="NoSpacing"/>
              <w:rPr>
                <w:b/>
                <w:bCs/>
              </w:rPr>
            </w:pPr>
            <w:r w:rsidRPr="00B71F29">
              <w:rPr>
                <w:b/>
                <w:bCs/>
              </w:rPr>
              <w:t>Description</w:t>
            </w:r>
          </w:p>
        </w:tc>
        <w:tc>
          <w:tcPr>
            <w:tcW w:w="0" w:type="auto"/>
          </w:tcPr>
          <w:p w14:paraId="402C9921" w14:textId="5F89B68E" w:rsidR="001E316A" w:rsidRPr="00B71F29" w:rsidRDefault="001E316A" w:rsidP="00B71F29">
            <w:pPr>
              <w:pStyle w:val="NoSpacing"/>
              <w:rPr>
                <w:b/>
                <w:bCs/>
              </w:rPr>
            </w:pPr>
            <w:r w:rsidRPr="00B71F29">
              <w:rPr>
                <w:b/>
                <w:bCs/>
              </w:rPr>
              <w:t>NEscore Items</w:t>
            </w:r>
          </w:p>
        </w:tc>
      </w:tr>
      <w:tr w:rsidR="004F2ADF" w:rsidRPr="00B71F29" w14:paraId="2BEAB8A0" w14:textId="77777777" w:rsidTr="00720B72">
        <w:trPr>
          <w:trHeight w:val="288"/>
        </w:trPr>
        <w:tc>
          <w:tcPr>
            <w:tcW w:w="0" w:type="auto"/>
          </w:tcPr>
          <w:p w14:paraId="0B6DFA50" w14:textId="77777777" w:rsidR="001E316A" w:rsidRPr="00B71F29" w:rsidRDefault="001E316A" w:rsidP="00B71F29">
            <w:pPr>
              <w:pStyle w:val="NoSpacing"/>
            </w:pPr>
            <w:r w:rsidRPr="00B71F29">
              <w:t>Design layout</w:t>
            </w:r>
          </w:p>
        </w:tc>
        <w:tc>
          <w:tcPr>
            <w:tcW w:w="0" w:type="auto"/>
          </w:tcPr>
          <w:p w14:paraId="607EA7AE" w14:textId="77777777" w:rsidR="0034770B" w:rsidRDefault="001E316A" w:rsidP="0034770B">
            <w:pPr>
              <w:pStyle w:val="NoSpacing"/>
              <w:numPr>
                <w:ilvl w:val="0"/>
                <w:numId w:val="27"/>
              </w:numPr>
            </w:pPr>
            <w:r w:rsidRPr="00B71F29">
              <w:t>Text and images do not overlap</w:t>
            </w:r>
            <w:r w:rsidR="00863466">
              <w:t xml:space="preserve"> </w:t>
            </w:r>
          </w:p>
          <w:p w14:paraId="1E9EA143" w14:textId="3B5900C0" w:rsidR="00CF2C15" w:rsidRDefault="001E316A" w:rsidP="0034770B">
            <w:pPr>
              <w:pStyle w:val="NoSpacing"/>
              <w:numPr>
                <w:ilvl w:val="0"/>
                <w:numId w:val="27"/>
              </w:numPr>
            </w:pPr>
            <w:r w:rsidRPr="00B71F29">
              <w:t>Font is readable</w:t>
            </w:r>
            <w:r w:rsidR="004F2ADF">
              <w:t xml:space="preserve"> </w:t>
            </w:r>
          </w:p>
          <w:p w14:paraId="156C1972" w14:textId="6A9CDB86" w:rsidR="001E316A" w:rsidRPr="00B71F29" w:rsidRDefault="001E316A" w:rsidP="0034770B">
            <w:pPr>
              <w:pStyle w:val="NoSpacing"/>
              <w:numPr>
                <w:ilvl w:val="0"/>
                <w:numId w:val="27"/>
              </w:numPr>
            </w:pPr>
            <w:r w:rsidRPr="00B71F29">
              <w:t>Balance between white space and content</w:t>
            </w:r>
            <w:r w:rsidRPr="008D7D37">
              <w:rPr>
                <w:vertAlign w:val="superscript"/>
              </w:rPr>
              <w:t>1, 2, 8, 11, 17, 18, 19,</w:t>
            </w:r>
          </w:p>
        </w:tc>
        <w:tc>
          <w:tcPr>
            <w:tcW w:w="0" w:type="auto"/>
          </w:tcPr>
          <w:p w14:paraId="6F18F7E3" w14:textId="77777777" w:rsidR="001E316A" w:rsidRPr="00B71F29" w:rsidRDefault="001E316A" w:rsidP="00B71F29">
            <w:pPr>
              <w:pStyle w:val="NoSpacing"/>
            </w:pPr>
            <w:r w:rsidRPr="00B71F29">
              <w:t>One item dealing with design including text, images, and fonts.</w:t>
            </w:r>
          </w:p>
        </w:tc>
      </w:tr>
      <w:tr w:rsidR="004F2ADF" w:rsidRPr="00B71F29" w14:paraId="0CC2205A" w14:textId="77777777" w:rsidTr="00720B72">
        <w:trPr>
          <w:trHeight w:val="288"/>
        </w:trPr>
        <w:tc>
          <w:tcPr>
            <w:tcW w:w="0" w:type="auto"/>
          </w:tcPr>
          <w:p w14:paraId="66B9A106" w14:textId="77777777" w:rsidR="001E316A" w:rsidRPr="00B71F29" w:rsidRDefault="001E316A" w:rsidP="00B71F29">
            <w:pPr>
              <w:pStyle w:val="NoSpacing"/>
            </w:pPr>
            <w:r w:rsidRPr="00B71F29">
              <w:t>Chunking</w:t>
            </w:r>
          </w:p>
        </w:tc>
        <w:tc>
          <w:tcPr>
            <w:tcW w:w="0" w:type="auto"/>
          </w:tcPr>
          <w:p w14:paraId="7A634748" w14:textId="77777777" w:rsidR="001E316A" w:rsidRPr="00B71F29" w:rsidRDefault="001E316A" w:rsidP="0034770B">
            <w:pPr>
              <w:pStyle w:val="NoSpacing"/>
              <w:numPr>
                <w:ilvl w:val="0"/>
                <w:numId w:val="27"/>
              </w:numPr>
            </w:pPr>
            <w:r w:rsidRPr="00B71F29">
              <w:t>Information of similar content put together</w:t>
            </w:r>
          </w:p>
          <w:p w14:paraId="4DB288C5" w14:textId="77777777" w:rsidR="001E316A" w:rsidRPr="00B71F29" w:rsidRDefault="001E316A" w:rsidP="0034770B">
            <w:pPr>
              <w:pStyle w:val="NoSpacing"/>
              <w:numPr>
                <w:ilvl w:val="0"/>
                <w:numId w:val="27"/>
              </w:numPr>
            </w:pPr>
            <w:r w:rsidRPr="00B71F29">
              <w:t>Information put into small, manageable units</w:t>
            </w:r>
            <w:r w:rsidRPr="008D7D37">
              <w:rPr>
                <w:vertAlign w:val="superscript"/>
              </w:rPr>
              <w:t>7, 9, 17, 20</w:t>
            </w:r>
          </w:p>
        </w:tc>
        <w:tc>
          <w:tcPr>
            <w:tcW w:w="0" w:type="auto"/>
          </w:tcPr>
          <w:p w14:paraId="5535D1E5" w14:textId="77777777" w:rsidR="001E316A" w:rsidRPr="00B71F29" w:rsidRDefault="001E316A" w:rsidP="00B71F29">
            <w:pPr>
              <w:pStyle w:val="NoSpacing"/>
            </w:pPr>
            <w:r w:rsidRPr="00B71F29">
              <w:t>One item dealing with chunking.</w:t>
            </w:r>
          </w:p>
        </w:tc>
      </w:tr>
      <w:tr w:rsidR="004F2ADF" w:rsidRPr="00B71F29" w14:paraId="78791706" w14:textId="77777777" w:rsidTr="00720B72">
        <w:trPr>
          <w:trHeight w:val="288"/>
        </w:trPr>
        <w:tc>
          <w:tcPr>
            <w:tcW w:w="0" w:type="auto"/>
          </w:tcPr>
          <w:p w14:paraId="0E5FCE3A" w14:textId="77777777" w:rsidR="001E316A" w:rsidRPr="00B71F29" w:rsidRDefault="001E316A" w:rsidP="00B71F29">
            <w:pPr>
              <w:pStyle w:val="NoSpacing"/>
            </w:pPr>
            <w:r w:rsidRPr="00B71F29">
              <w:t>Logical progression of content</w:t>
            </w:r>
          </w:p>
        </w:tc>
        <w:tc>
          <w:tcPr>
            <w:tcW w:w="0" w:type="auto"/>
          </w:tcPr>
          <w:p w14:paraId="1F7001A0" w14:textId="77777777" w:rsidR="0034770B" w:rsidRDefault="001E316A" w:rsidP="0034770B">
            <w:pPr>
              <w:pStyle w:val="NoSpacing"/>
              <w:numPr>
                <w:ilvl w:val="0"/>
                <w:numId w:val="27"/>
              </w:numPr>
            </w:pPr>
            <w:r w:rsidRPr="00B71F29">
              <w:t>Present content logically</w:t>
            </w:r>
            <w:r w:rsidR="00863466">
              <w:t xml:space="preserve"> </w:t>
            </w:r>
          </w:p>
          <w:p w14:paraId="556CBA43" w14:textId="75F3A78F" w:rsidR="001E316A" w:rsidRPr="00B71F29" w:rsidRDefault="001E316A" w:rsidP="0034770B">
            <w:pPr>
              <w:pStyle w:val="NoSpacing"/>
              <w:numPr>
                <w:ilvl w:val="0"/>
                <w:numId w:val="27"/>
              </w:numPr>
            </w:pPr>
            <w:r w:rsidRPr="00B71F29">
              <w:t>Fluent transitions throughout module)</w:t>
            </w:r>
            <w:r w:rsidRPr="008D7D37">
              <w:rPr>
                <w:vertAlign w:val="superscript"/>
              </w:rPr>
              <w:t>6, 13, 21</w:t>
            </w:r>
          </w:p>
        </w:tc>
        <w:tc>
          <w:tcPr>
            <w:tcW w:w="0" w:type="auto"/>
          </w:tcPr>
          <w:p w14:paraId="47328730" w14:textId="77777777" w:rsidR="001E316A" w:rsidRPr="00B71F29" w:rsidRDefault="001E316A" w:rsidP="00B71F29">
            <w:pPr>
              <w:pStyle w:val="NoSpacing"/>
            </w:pPr>
            <w:r w:rsidRPr="00B71F29">
              <w:t>Two items dealing with chunking and progression of content.</w:t>
            </w:r>
          </w:p>
        </w:tc>
      </w:tr>
      <w:tr w:rsidR="004F2ADF" w:rsidRPr="00B71F29" w14:paraId="477266B9" w14:textId="77777777" w:rsidTr="00720B72">
        <w:trPr>
          <w:trHeight w:val="288"/>
        </w:trPr>
        <w:tc>
          <w:tcPr>
            <w:tcW w:w="0" w:type="auto"/>
          </w:tcPr>
          <w:p w14:paraId="5875322C" w14:textId="77777777" w:rsidR="001E316A" w:rsidRPr="00B71F29" w:rsidRDefault="001E316A" w:rsidP="00B71F29">
            <w:pPr>
              <w:pStyle w:val="NoSpacing"/>
            </w:pPr>
            <w:r w:rsidRPr="00B71F29">
              <w:t>Interactive learning elements</w:t>
            </w:r>
          </w:p>
        </w:tc>
        <w:tc>
          <w:tcPr>
            <w:tcW w:w="0" w:type="auto"/>
          </w:tcPr>
          <w:p w14:paraId="23129887" w14:textId="1B997FD1" w:rsidR="001E316A" w:rsidRPr="00B71F29" w:rsidRDefault="001E316A" w:rsidP="0034770B">
            <w:pPr>
              <w:pStyle w:val="NoSpacing"/>
              <w:numPr>
                <w:ilvl w:val="0"/>
                <w:numId w:val="27"/>
              </w:numPr>
            </w:pPr>
            <w:r w:rsidRPr="00B71F29">
              <w:t>Examples include mouseover, drop and drag, clickable interaction</w:t>
            </w:r>
            <w:r w:rsidR="00863466">
              <w:t xml:space="preserve"> </w:t>
            </w:r>
          </w:p>
          <w:p w14:paraId="1B724504" w14:textId="77777777" w:rsidR="001E316A" w:rsidRPr="00B71F29" w:rsidRDefault="001E316A" w:rsidP="0034770B">
            <w:pPr>
              <w:pStyle w:val="NoSpacing"/>
              <w:numPr>
                <w:ilvl w:val="0"/>
                <w:numId w:val="27"/>
              </w:numPr>
            </w:pPr>
            <w:r w:rsidRPr="00B71F29">
              <w:t>Capture and sustain learner’s attention</w:t>
            </w:r>
          </w:p>
          <w:p w14:paraId="09CE795B" w14:textId="77777777" w:rsidR="001E316A" w:rsidRPr="00B71F29" w:rsidRDefault="001E316A" w:rsidP="0034770B">
            <w:pPr>
              <w:pStyle w:val="NoSpacing"/>
              <w:numPr>
                <w:ilvl w:val="0"/>
                <w:numId w:val="27"/>
              </w:numPr>
            </w:pPr>
            <w:r w:rsidRPr="00B71F29">
              <w:t>Function correctly</w:t>
            </w:r>
            <w:r w:rsidRPr="008D7D37">
              <w:rPr>
                <w:vertAlign w:val="superscript"/>
              </w:rPr>
              <w:t>1, 4, 10, 15, 17, 19</w:t>
            </w:r>
          </w:p>
        </w:tc>
        <w:tc>
          <w:tcPr>
            <w:tcW w:w="0" w:type="auto"/>
          </w:tcPr>
          <w:p w14:paraId="511255CC" w14:textId="77777777" w:rsidR="001E316A" w:rsidRPr="00B71F29" w:rsidRDefault="001E316A" w:rsidP="00B71F29">
            <w:pPr>
              <w:pStyle w:val="NoSpacing"/>
            </w:pPr>
            <w:r w:rsidRPr="00B71F29">
              <w:t>Two items dealing with the presence and function of interactive elements.</w:t>
            </w:r>
          </w:p>
        </w:tc>
      </w:tr>
      <w:tr w:rsidR="004F2ADF" w:rsidRPr="00B71F29" w14:paraId="06A3311D" w14:textId="77777777" w:rsidTr="00720B72">
        <w:trPr>
          <w:trHeight w:val="288"/>
        </w:trPr>
        <w:tc>
          <w:tcPr>
            <w:tcW w:w="0" w:type="auto"/>
          </w:tcPr>
          <w:p w14:paraId="0ADBAB77" w14:textId="77777777" w:rsidR="001E316A" w:rsidRPr="00B71F29" w:rsidRDefault="001E316A" w:rsidP="00B71F29">
            <w:pPr>
              <w:pStyle w:val="NoSpacing"/>
            </w:pPr>
            <w:r w:rsidRPr="00B71F29">
              <w:t>Multiple elements to engage learners</w:t>
            </w:r>
          </w:p>
        </w:tc>
        <w:tc>
          <w:tcPr>
            <w:tcW w:w="0" w:type="auto"/>
          </w:tcPr>
          <w:p w14:paraId="284DA90F" w14:textId="77777777" w:rsidR="001E316A" w:rsidRPr="00B71F29" w:rsidRDefault="001E316A" w:rsidP="0034770B">
            <w:pPr>
              <w:pStyle w:val="NoSpacing"/>
              <w:numPr>
                <w:ilvl w:val="0"/>
                <w:numId w:val="27"/>
              </w:numPr>
            </w:pPr>
            <w:r w:rsidRPr="00B71F29">
              <w:t>Examples include relevant images, narration, storytelling, humor</w:t>
            </w:r>
          </w:p>
          <w:p w14:paraId="465B5A19" w14:textId="77777777" w:rsidR="001E316A" w:rsidRPr="00B71F29" w:rsidRDefault="001E316A" w:rsidP="0034770B">
            <w:pPr>
              <w:pStyle w:val="NoSpacing"/>
              <w:numPr>
                <w:ilvl w:val="0"/>
                <w:numId w:val="27"/>
              </w:numPr>
            </w:pPr>
            <w:r w:rsidRPr="00B71F29">
              <w:t>Add emotional impact to the content</w:t>
            </w:r>
            <w:r w:rsidRPr="008D7D37">
              <w:rPr>
                <w:vertAlign w:val="superscript"/>
              </w:rPr>
              <w:t>3, 5, 12, 17</w:t>
            </w:r>
          </w:p>
        </w:tc>
        <w:tc>
          <w:tcPr>
            <w:tcW w:w="0" w:type="auto"/>
          </w:tcPr>
          <w:p w14:paraId="399C4D05" w14:textId="77777777" w:rsidR="001E316A" w:rsidRPr="00B71F29" w:rsidRDefault="001E316A" w:rsidP="00B71F29">
            <w:pPr>
              <w:pStyle w:val="NoSpacing"/>
            </w:pPr>
            <w:r w:rsidRPr="00B71F29">
              <w:t>Multiple engagement elements are used (e.g., relevant use of images, narration, storytelling, humor, examples, and</w:t>
            </w:r>
          </w:p>
          <w:p w14:paraId="3C438DC9" w14:textId="77777777" w:rsidR="001E316A" w:rsidRPr="00B71F29" w:rsidRDefault="001E316A" w:rsidP="00B71F29">
            <w:pPr>
              <w:pStyle w:val="NoSpacing"/>
            </w:pPr>
            <w:r w:rsidRPr="00B71F29">
              <w:t>emotional impact).</w:t>
            </w:r>
          </w:p>
        </w:tc>
      </w:tr>
      <w:tr w:rsidR="004F2ADF" w:rsidRPr="00B71F29" w14:paraId="52C2252F" w14:textId="77777777" w:rsidTr="00720B72">
        <w:trPr>
          <w:trHeight w:val="288"/>
        </w:trPr>
        <w:tc>
          <w:tcPr>
            <w:tcW w:w="0" w:type="auto"/>
          </w:tcPr>
          <w:p w14:paraId="3D9FD7E3" w14:textId="77777777" w:rsidR="001E316A" w:rsidRPr="00B71F29" w:rsidRDefault="001E316A" w:rsidP="00B71F29">
            <w:pPr>
              <w:pStyle w:val="NoSpacing"/>
            </w:pPr>
            <w:r w:rsidRPr="00B71F29">
              <w:t>Quality of video and audio</w:t>
            </w:r>
          </w:p>
        </w:tc>
        <w:tc>
          <w:tcPr>
            <w:tcW w:w="0" w:type="auto"/>
          </w:tcPr>
          <w:p w14:paraId="3829FBB4" w14:textId="77777777" w:rsidR="001E316A" w:rsidRPr="00B71F29" w:rsidRDefault="001E316A" w:rsidP="0034770B">
            <w:pPr>
              <w:pStyle w:val="NoSpacing"/>
              <w:numPr>
                <w:ilvl w:val="0"/>
                <w:numId w:val="27"/>
              </w:numPr>
            </w:pPr>
            <w:r w:rsidRPr="00B71F29">
              <w:t>Camera focus, lighting, background visuals</w:t>
            </w:r>
          </w:p>
          <w:p w14:paraId="3BD71D9E" w14:textId="300905C4" w:rsidR="001E316A" w:rsidRPr="00B71F29" w:rsidRDefault="001E316A" w:rsidP="005B0350">
            <w:pPr>
              <w:pStyle w:val="NoSpacing"/>
              <w:numPr>
                <w:ilvl w:val="0"/>
                <w:numId w:val="27"/>
              </w:numPr>
            </w:pPr>
            <w:r w:rsidRPr="00B71F29">
              <w:t>Level of background noise, volume, tone, pace, and</w:t>
            </w:r>
            <w:r w:rsidR="0034770B">
              <w:t xml:space="preserve"> </w:t>
            </w:r>
            <w:r w:rsidRPr="00B71F29">
              <w:t>inflection</w:t>
            </w:r>
            <w:r w:rsidRPr="008D7D37">
              <w:rPr>
                <w:vertAlign w:val="superscript"/>
              </w:rPr>
              <w:t>1, 4, 6, 14, 11</w:t>
            </w:r>
          </w:p>
        </w:tc>
        <w:tc>
          <w:tcPr>
            <w:tcW w:w="0" w:type="auto"/>
          </w:tcPr>
          <w:p w14:paraId="4698109D" w14:textId="77777777" w:rsidR="001E316A" w:rsidRPr="00B71F29" w:rsidRDefault="001E316A" w:rsidP="00B71F29">
            <w:pPr>
              <w:pStyle w:val="NoSpacing"/>
            </w:pPr>
            <w:r w:rsidRPr="00B71F29">
              <w:t>Two items dealing with the quality of visuals and audio quality.</w:t>
            </w:r>
          </w:p>
        </w:tc>
      </w:tr>
      <w:tr w:rsidR="004F2ADF" w:rsidRPr="00B71F29" w14:paraId="7F3D58DD" w14:textId="77777777" w:rsidTr="00720B72">
        <w:trPr>
          <w:trHeight w:val="288"/>
        </w:trPr>
        <w:tc>
          <w:tcPr>
            <w:tcW w:w="0" w:type="auto"/>
          </w:tcPr>
          <w:p w14:paraId="7D196738" w14:textId="77777777" w:rsidR="001E316A" w:rsidRPr="00B71F29" w:rsidRDefault="001E316A" w:rsidP="00B71F29">
            <w:pPr>
              <w:pStyle w:val="NoSpacing"/>
            </w:pPr>
            <w:r w:rsidRPr="00B71F29">
              <w:t>Module navigation</w:t>
            </w:r>
          </w:p>
          <w:p w14:paraId="5299C5CE" w14:textId="77777777" w:rsidR="001E316A" w:rsidRPr="00B71F29" w:rsidRDefault="001E316A" w:rsidP="00B71F29">
            <w:pPr>
              <w:pStyle w:val="NoSpacing"/>
            </w:pPr>
            <w:r w:rsidRPr="00B71F29">
              <w:t>instructions</w:t>
            </w:r>
          </w:p>
        </w:tc>
        <w:tc>
          <w:tcPr>
            <w:tcW w:w="0" w:type="auto"/>
          </w:tcPr>
          <w:p w14:paraId="7046506A" w14:textId="77777777" w:rsidR="001E316A" w:rsidRPr="00B71F29" w:rsidRDefault="001E316A" w:rsidP="0034770B">
            <w:pPr>
              <w:pStyle w:val="NoSpacing"/>
              <w:numPr>
                <w:ilvl w:val="0"/>
                <w:numId w:val="27"/>
              </w:numPr>
            </w:pPr>
            <w:r w:rsidRPr="00B71F29">
              <w:t>Clearly explain navigation</w:t>
            </w:r>
            <w:r w:rsidRPr="008D7D37">
              <w:rPr>
                <w:vertAlign w:val="superscript"/>
              </w:rPr>
              <w:t>12, 19, 16, 17, 18</w:t>
            </w:r>
          </w:p>
        </w:tc>
        <w:tc>
          <w:tcPr>
            <w:tcW w:w="0" w:type="auto"/>
          </w:tcPr>
          <w:p w14:paraId="5487F7E1" w14:textId="77777777" w:rsidR="001E316A" w:rsidRPr="00B71F29" w:rsidRDefault="001E316A" w:rsidP="00B71F29">
            <w:pPr>
              <w:pStyle w:val="NoSpacing"/>
            </w:pPr>
            <w:r w:rsidRPr="00B71F29">
              <w:t>One item that deals with the navigation instructions.</w:t>
            </w:r>
          </w:p>
        </w:tc>
      </w:tr>
    </w:tbl>
    <w:p w14:paraId="1D3D03DF" w14:textId="77777777" w:rsidR="001E316A" w:rsidRPr="005B7F7A" w:rsidRDefault="001E316A" w:rsidP="00B3260B">
      <w:pPr>
        <w:pStyle w:val="NoSpacing"/>
      </w:pPr>
      <w:r w:rsidRPr="005B7F7A">
        <w:t xml:space="preserve">Note: </w:t>
      </w:r>
      <w:r w:rsidRPr="00B3260B">
        <w:rPr>
          <w:vertAlign w:val="superscript"/>
        </w:rPr>
        <w:t>1</w:t>
      </w:r>
      <w:r w:rsidRPr="005B7F7A">
        <w:t xml:space="preserve"> Anderson et al. (2014); </w:t>
      </w:r>
      <w:r w:rsidRPr="00B3260B">
        <w:rPr>
          <w:vertAlign w:val="superscript"/>
        </w:rPr>
        <w:t>2</w:t>
      </w:r>
      <w:r w:rsidRPr="005B7F7A">
        <w:t xml:space="preserve"> Brown &amp; Voltz (2005); </w:t>
      </w:r>
      <w:r w:rsidRPr="00B3260B">
        <w:rPr>
          <w:vertAlign w:val="superscript"/>
        </w:rPr>
        <w:t>3</w:t>
      </w:r>
      <w:r w:rsidRPr="005B7F7A">
        <w:t xml:space="preserve"> Chang et al. (2014); </w:t>
      </w:r>
      <w:r w:rsidRPr="00B3260B">
        <w:rPr>
          <w:vertAlign w:val="superscript"/>
        </w:rPr>
        <w:t>4</w:t>
      </w:r>
      <w:r w:rsidRPr="005B7F7A">
        <w:t xml:space="preserve"> Dong &amp; Goh (2015); </w:t>
      </w:r>
    </w:p>
    <w:p w14:paraId="48CA485F" w14:textId="77777777" w:rsidR="001E316A" w:rsidRPr="005B7F7A" w:rsidRDefault="001E316A" w:rsidP="00B3260B">
      <w:pPr>
        <w:pStyle w:val="NoSpacing"/>
      </w:pPr>
      <w:r w:rsidRPr="00B3260B">
        <w:rPr>
          <w:vertAlign w:val="superscript"/>
        </w:rPr>
        <w:t>5</w:t>
      </w:r>
      <w:r w:rsidRPr="005B7F7A">
        <w:t xml:space="preserve"> Farina &amp; Bodzin (2018); </w:t>
      </w:r>
      <w:r w:rsidRPr="00B3260B">
        <w:rPr>
          <w:vertAlign w:val="superscript"/>
        </w:rPr>
        <w:t>6</w:t>
      </w:r>
      <w:r w:rsidRPr="005B7F7A">
        <w:t xml:space="preserve"> Gagné et al. (1988); </w:t>
      </w:r>
      <w:r w:rsidRPr="00B3260B">
        <w:rPr>
          <w:vertAlign w:val="superscript"/>
        </w:rPr>
        <w:t>7</w:t>
      </w:r>
      <w:r w:rsidRPr="005B7F7A">
        <w:t xml:space="preserve"> Gobet et al. (2001); </w:t>
      </w:r>
      <w:r w:rsidRPr="00B3260B">
        <w:rPr>
          <w:vertAlign w:val="superscript"/>
        </w:rPr>
        <w:t>8</w:t>
      </w:r>
      <w:r w:rsidRPr="005B7F7A">
        <w:t xml:space="preserve"> Goodey &amp; Talgar (2016); </w:t>
      </w:r>
      <w:r w:rsidRPr="00B3260B">
        <w:rPr>
          <w:vertAlign w:val="superscript"/>
        </w:rPr>
        <w:t>9</w:t>
      </w:r>
      <w:r w:rsidRPr="005B7F7A">
        <w:t xml:space="preserve"> </w:t>
      </w:r>
    </w:p>
    <w:p w14:paraId="3242C289" w14:textId="7B8061D8" w:rsidR="00B20F1F" w:rsidRPr="005B7F7A" w:rsidRDefault="001E316A" w:rsidP="00B3260B">
      <w:pPr>
        <w:pStyle w:val="NoSpacing"/>
      </w:pPr>
      <w:r w:rsidRPr="005B7F7A">
        <w:t xml:space="preserve">Harden et al. (2011); </w:t>
      </w:r>
      <w:r w:rsidRPr="00B3260B">
        <w:rPr>
          <w:vertAlign w:val="superscript"/>
        </w:rPr>
        <w:t>10</w:t>
      </w:r>
      <w:r w:rsidRPr="005B7F7A">
        <w:t xml:space="preserve"> Holmes (2018);</w:t>
      </w:r>
      <w:r w:rsidR="00B3260B">
        <w:t xml:space="preserve"> </w:t>
      </w:r>
      <w:r w:rsidRPr="00B3260B">
        <w:rPr>
          <w:vertAlign w:val="superscript"/>
        </w:rPr>
        <w:t>11</w:t>
      </w:r>
      <w:r w:rsidRPr="005B7F7A">
        <w:t xml:space="preserve"> Mayer (2005); </w:t>
      </w:r>
      <w:r w:rsidRPr="00B3260B">
        <w:rPr>
          <w:vertAlign w:val="superscript"/>
        </w:rPr>
        <w:t>12</w:t>
      </w:r>
      <w:r w:rsidRPr="005B7F7A">
        <w:t xml:space="preserve"> McCracken et al. (2012); </w:t>
      </w:r>
      <w:r w:rsidRPr="00B3260B">
        <w:rPr>
          <w:vertAlign w:val="superscript"/>
        </w:rPr>
        <w:t>13</w:t>
      </w:r>
      <w:r w:rsidRPr="005B7F7A">
        <w:t xml:space="preserve"> Morrison (2007); </w:t>
      </w:r>
      <w:r w:rsidRPr="00B3260B">
        <w:rPr>
          <w:vertAlign w:val="superscript"/>
        </w:rPr>
        <w:t>14</w:t>
      </w:r>
      <w:r w:rsidRPr="005B7F7A">
        <w:t xml:space="preserve"> Mukherjee &amp; Donnelly (2018); </w:t>
      </w:r>
      <w:r w:rsidRPr="00B3260B">
        <w:rPr>
          <w:vertAlign w:val="superscript"/>
        </w:rPr>
        <w:t>15</w:t>
      </w:r>
      <w:r w:rsidRPr="005B7F7A">
        <w:t xml:space="preserve"> Prober &amp; Khan</w:t>
      </w:r>
      <w:r w:rsidR="00B3260B">
        <w:t xml:space="preserve"> </w:t>
      </w:r>
      <w:r w:rsidRPr="005B7F7A">
        <w:t xml:space="preserve">(2013); </w:t>
      </w:r>
      <w:r w:rsidRPr="00B3260B">
        <w:rPr>
          <w:vertAlign w:val="superscript"/>
        </w:rPr>
        <w:t>16</w:t>
      </w:r>
      <w:r w:rsidRPr="005B7F7A">
        <w:t xml:space="preserve"> Ricard (1990); </w:t>
      </w:r>
      <w:r w:rsidRPr="00B3260B">
        <w:rPr>
          <w:vertAlign w:val="superscript"/>
        </w:rPr>
        <w:t>17</w:t>
      </w:r>
      <w:r w:rsidRPr="005B7F7A">
        <w:t xml:space="preserve"> Sinclair et al.(2017); </w:t>
      </w:r>
      <w:r w:rsidRPr="00B3260B">
        <w:rPr>
          <w:vertAlign w:val="superscript"/>
        </w:rPr>
        <w:t>18</w:t>
      </w:r>
      <w:r w:rsidRPr="005B7F7A">
        <w:t xml:space="preserve"> Swan (2001); </w:t>
      </w:r>
      <w:r w:rsidRPr="00B3260B">
        <w:rPr>
          <w:vertAlign w:val="superscript"/>
        </w:rPr>
        <w:t>19</w:t>
      </w:r>
      <w:r w:rsidRPr="005B7F7A">
        <w:t xml:space="preserve"> Wentling et al. (2000); </w:t>
      </w:r>
      <w:r w:rsidRPr="00B3260B">
        <w:rPr>
          <w:vertAlign w:val="superscript"/>
        </w:rPr>
        <w:t>20</w:t>
      </w:r>
      <w:r w:rsidRPr="005B7F7A">
        <w:t xml:space="preserve"> Wilson et al. (2018); </w:t>
      </w:r>
      <w:r w:rsidRPr="00B3260B">
        <w:rPr>
          <w:vertAlign w:val="superscript"/>
        </w:rPr>
        <w:t>21</w:t>
      </w:r>
      <w:r w:rsidR="00B3260B">
        <w:t xml:space="preserve"> </w:t>
      </w:r>
      <w:r w:rsidRPr="005B7F7A">
        <w:t>&amp; Smith (2008)</w:t>
      </w:r>
    </w:p>
    <w:p w14:paraId="340E9844" w14:textId="77777777" w:rsidR="00900069" w:rsidRPr="005B7F7A" w:rsidRDefault="00900069" w:rsidP="00900069">
      <w:pPr>
        <w:rPr>
          <w:rFonts w:cstheme="minorHAnsi"/>
          <w:sz w:val="24"/>
          <w:szCs w:val="24"/>
        </w:rPr>
      </w:pPr>
    </w:p>
    <w:p w14:paraId="425C961D" w14:textId="77D89643" w:rsidR="00900069" w:rsidRPr="005B7F7A" w:rsidRDefault="00900069" w:rsidP="00900069">
      <w:pPr>
        <w:rPr>
          <w:rFonts w:cstheme="minorHAnsi"/>
          <w:sz w:val="24"/>
          <w:szCs w:val="24"/>
        </w:rPr>
      </w:pPr>
      <w:r w:rsidRPr="005B7F7A">
        <w:rPr>
          <w:rFonts w:cstheme="minorHAnsi"/>
          <w:sz w:val="24"/>
          <w:szCs w:val="24"/>
        </w:rPr>
        <w:t>The aim of this pilot research study was to determine the usability and reliability of the NEscore,</w:t>
      </w:r>
      <w:r w:rsidR="00B3260B">
        <w:rPr>
          <w:rFonts w:cstheme="minorHAnsi"/>
          <w:sz w:val="24"/>
          <w:szCs w:val="24"/>
        </w:rPr>
        <w:t xml:space="preserve"> </w:t>
      </w:r>
      <w:r w:rsidRPr="005B7F7A">
        <w:rPr>
          <w:rFonts w:cstheme="minorHAnsi"/>
          <w:sz w:val="24"/>
          <w:szCs w:val="24"/>
        </w:rPr>
        <w:t>developed specifically to assess the robustness of an E-learning module. The following research questions guided this study:</w:t>
      </w:r>
    </w:p>
    <w:p w14:paraId="74F7A92E" w14:textId="77777777" w:rsidR="00900069" w:rsidRPr="005B7F7A" w:rsidRDefault="00900069" w:rsidP="005B0350">
      <w:pPr>
        <w:spacing w:after="0"/>
        <w:ind w:left="720"/>
        <w:rPr>
          <w:rFonts w:cstheme="minorHAnsi"/>
          <w:sz w:val="24"/>
          <w:szCs w:val="24"/>
        </w:rPr>
      </w:pPr>
      <w:r w:rsidRPr="005B7F7A">
        <w:rPr>
          <w:rFonts w:cstheme="minorHAnsi"/>
          <w:sz w:val="24"/>
          <w:szCs w:val="24"/>
        </w:rPr>
        <w:t>What is the overall reliability of NEscore?</w:t>
      </w:r>
    </w:p>
    <w:p w14:paraId="5C2230F6" w14:textId="77777777" w:rsidR="00900069" w:rsidRPr="005B7F7A" w:rsidRDefault="00900069" w:rsidP="005B0350">
      <w:pPr>
        <w:spacing w:after="0"/>
        <w:ind w:left="720"/>
        <w:rPr>
          <w:rFonts w:cstheme="minorHAnsi"/>
          <w:sz w:val="24"/>
          <w:szCs w:val="24"/>
        </w:rPr>
      </w:pPr>
      <w:r w:rsidRPr="005B7F7A">
        <w:rPr>
          <w:rFonts w:cstheme="minorHAnsi"/>
          <w:sz w:val="24"/>
          <w:szCs w:val="24"/>
        </w:rPr>
        <w:t>What is the inter-rater reliability for using the NEscore?</w:t>
      </w:r>
    </w:p>
    <w:p w14:paraId="26BD32E6" w14:textId="77777777" w:rsidR="00900069" w:rsidRPr="005B7F7A" w:rsidRDefault="00900069" w:rsidP="005B0350">
      <w:pPr>
        <w:spacing w:after="0"/>
        <w:ind w:left="720"/>
        <w:rPr>
          <w:rFonts w:cstheme="minorHAnsi"/>
          <w:sz w:val="24"/>
          <w:szCs w:val="24"/>
        </w:rPr>
      </w:pPr>
      <w:r w:rsidRPr="005B7F7A">
        <w:rPr>
          <w:rFonts w:cstheme="minorHAnsi"/>
          <w:sz w:val="24"/>
          <w:szCs w:val="24"/>
        </w:rPr>
        <w:t xml:space="preserve">What are the differences between individuals deemed experts and novices on total scoring of </w:t>
      </w:r>
    </w:p>
    <w:p w14:paraId="435659C0" w14:textId="77777777" w:rsidR="00900069" w:rsidRPr="005B7F7A" w:rsidRDefault="00900069" w:rsidP="005B0350">
      <w:pPr>
        <w:spacing w:after="0"/>
        <w:ind w:left="720"/>
        <w:rPr>
          <w:rFonts w:cstheme="minorHAnsi"/>
          <w:sz w:val="24"/>
          <w:szCs w:val="24"/>
        </w:rPr>
      </w:pPr>
      <w:r w:rsidRPr="005B7F7A">
        <w:rPr>
          <w:rFonts w:cstheme="minorHAnsi"/>
          <w:sz w:val="24"/>
          <w:szCs w:val="24"/>
        </w:rPr>
        <w:t>NEscore?</w:t>
      </w:r>
    </w:p>
    <w:p w14:paraId="62BDFD6E" w14:textId="77777777" w:rsidR="00900069" w:rsidRPr="005B7F7A" w:rsidRDefault="00900069" w:rsidP="005B0350">
      <w:pPr>
        <w:spacing w:after="0"/>
        <w:ind w:left="720"/>
        <w:rPr>
          <w:rFonts w:cstheme="minorHAnsi"/>
          <w:sz w:val="24"/>
          <w:szCs w:val="24"/>
        </w:rPr>
      </w:pPr>
      <w:r w:rsidRPr="005B7F7A">
        <w:rPr>
          <w:rFonts w:cstheme="minorHAnsi"/>
          <w:sz w:val="24"/>
          <w:szCs w:val="24"/>
        </w:rPr>
        <w:t>How satisfied are the evaluators in using NEscore?</w:t>
      </w:r>
    </w:p>
    <w:p w14:paraId="2DB04745" w14:textId="77777777" w:rsidR="00900069" w:rsidRPr="005B7F7A" w:rsidRDefault="00900069" w:rsidP="005B0350">
      <w:pPr>
        <w:pStyle w:val="Heading1"/>
      </w:pPr>
      <w:r w:rsidRPr="005B7F7A">
        <w:t>Method</w:t>
      </w:r>
    </w:p>
    <w:p w14:paraId="5A7E22B7" w14:textId="669DEB16" w:rsidR="00900069" w:rsidRPr="005B7F7A" w:rsidRDefault="00900069" w:rsidP="00900069">
      <w:pPr>
        <w:rPr>
          <w:rFonts w:cstheme="minorHAnsi"/>
          <w:sz w:val="24"/>
          <w:szCs w:val="24"/>
        </w:rPr>
      </w:pPr>
      <w:r w:rsidRPr="005B7F7A">
        <w:rPr>
          <w:rFonts w:cstheme="minorHAnsi"/>
          <w:sz w:val="24"/>
          <w:szCs w:val="24"/>
        </w:rPr>
        <w:t>The research project was approved by the University of Nebraska Medical Center’s Institutional Review Board (IRB # 134-16-EX). Research participants were recruited through purposeful and convenient sampling strategies aimed to specifically target expert and novice E-learning module developers. An expert participant was an individual holding content knowledge and experience in</w:t>
      </w:r>
      <w:r w:rsidRPr="005B7F7A">
        <w:rPr>
          <w:rFonts w:cstheme="minorHAnsi"/>
          <w:sz w:val="24"/>
          <w:szCs w:val="24"/>
        </w:rPr>
        <w:t xml:space="preserve"> </w:t>
      </w:r>
      <w:r w:rsidRPr="005B7F7A">
        <w:rPr>
          <w:rFonts w:cstheme="minorHAnsi"/>
          <w:sz w:val="24"/>
          <w:szCs w:val="24"/>
        </w:rPr>
        <w:t>instructional design, either validated by position title, professional experience, or educational background. A novice participant held an academic appointment of Instructor or Assistant Professor, with service in an academic role for less than five years, with limited knowledge of and experience in instructional design. The research team excluded those eligible expert participants who played an integral role in developing the scorecard. Power Analysis and Sample Size (PASS) (NCSS Statistical Software, 2019) was used to calculate the sample size. To detect an ICC of 0.9, with an alpha of 0.05, and 80% power for rating five modules a sample of 10 was needed. After recruitment, the final sample comprised 12 participants. There were six who were classified as “expert” and six who were classified as “novice.”</w:t>
      </w:r>
    </w:p>
    <w:p w14:paraId="480FCEC4" w14:textId="2616A85D" w:rsidR="00900069" w:rsidRPr="005B7F7A" w:rsidRDefault="00900069" w:rsidP="00900069">
      <w:pPr>
        <w:rPr>
          <w:rFonts w:cstheme="minorHAnsi"/>
          <w:sz w:val="24"/>
          <w:szCs w:val="24"/>
        </w:rPr>
      </w:pPr>
      <w:r w:rsidRPr="005B7F7A">
        <w:rPr>
          <w:rFonts w:cstheme="minorHAnsi"/>
          <w:sz w:val="24"/>
          <w:szCs w:val="24"/>
        </w:rPr>
        <w:t>To address the first three research questions of the pilot study, participants used the NEscore to evaluate five E-learning modules that had been preselected to represent varying degrees of quality by the research team. The researchers administered a follow-up satisfaction survey to explore the final question posed in the research study. The survey consisted of 15 items that included open-and close-ended questions. The open-ended questions focused on what participants liked about the NEscore and suggestions for improvement. The close-ended questions asked respondents to rate the scorecard’s length, ease of use, and applicability across disciplines, if participants would recommend the NEscore to colleagues, their overall satisfaction with the scorecard, and any items missing from the scorecard. Finally, the survey included demographic information (e.g., age, gender) and other background information, such as the number of years of overall teaching experience and the number of years of online teaching experience. The Canvas Learning Management System</w:t>
      </w:r>
      <w:r w:rsidR="009F3364">
        <w:rPr>
          <w:rFonts w:cstheme="minorHAnsi"/>
          <w:sz w:val="24"/>
          <w:szCs w:val="24"/>
        </w:rPr>
        <w:t xml:space="preserve"> </w:t>
      </w:r>
      <w:r w:rsidRPr="005B7F7A">
        <w:rPr>
          <w:rFonts w:cstheme="minorHAnsi"/>
          <w:sz w:val="24"/>
          <w:szCs w:val="24"/>
        </w:rPr>
        <w:t>(LMS) hosted the five E-learning modules under review, the NEscore, and the follow-up satisfaction survey. All materials were password protected.</w:t>
      </w:r>
    </w:p>
    <w:p w14:paraId="50C05311" w14:textId="5D2C7F42" w:rsidR="00900069" w:rsidRPr="005B7F7A" w:rsidRDefault="00900069" w:rsidP="00900069">
      <w:pPr>
        <w:rPr>
          <w:rFonts w:cstheme="minorHAnsi"/>
          <w:sz w:val="24"/>
          <w:szCs w:val="24"/>
        </w:rPr>
      </w:pPr>
      <w:r w:rsidRPr="005B7F7A">
        <w:rPr>
          <w:rFonts w:cstheme="minorHAnsi"/>
          <w:sz w:val="24"/>
          <w:szCs w:val="24"/>
        </w:rPr>
        <w:t>Cronbach’s alpha was used to determine the overall reliability of the scores obtained using the NEscore. Intraclass correlation coefficient (ICC) was used to determine inter-rater reliability.</w:t>
      </w:r>
      <w:r w:rsidR="009F3364">
        <w:rPr>
          <w:rFonts w:cstheme="minorHAnsi"/>
          <w:sz w:val="24"/>
          <w:szCs w:val="24"/>
        </w:rPr>
        <w:t xml:space="preserve"> </w:t>
      </w:r>
      <w:r w:rsidRPr="005B7F7A">
        <w:rPr>
          <w:rFonts w:cstheme="minorHAnsi"/>
          <w:sz w:val="24"/>
          <w:szCs w:val="24"/>
        </w:rPr>
        <w:t>Wilcoxon rank-sum test was used to compare expert and novice participants’ total rating score for each module. for each module and the two sub-scales (Methods and Practice of</w:t>
      </w:r>
      <w:r w:rsidR="009F3364">
        <w:rPr>
          <w:rFonts w:cstheme="minorHAnsi"/>
          <w:sz w:val="24"/>
          <w:szCs w:val="24"/>
        </w:rPr>
        <w:t xml:space="preserve"> </w:t>
      </w:r>
      <w:r w:rsidRPr="005B7F7A">
        <w:rPr>
          <w:rFonts w:cstheme="minorHAnsi"/>
          <w:sz w:val="24"/>
          <w:szCs w:val="24"/>
        </w:rPr>
        <w:t xml:space="preserve">Education and Instructional Design). SAS software version 9.4 (SAS &amp; Institute, 2019) and </w:t>
      </w:r>
      <w:r w:rsidR="008A3DBE" w:rsidRPr="005B7F7A">
        <w:rPr>
          <w:rFonts w:cstheme="minorHAnsi"/>
          <w:sz w:val="24"/>
          <w:szCs w:val="24"/>
        </w:rPr>
        <w:t xml:space="preserve">SPSS </w:t>
      </w:r>
      <w:r w:rsidR="008A3DBE">
        <w:rPr>
          <w:rFonts w:cstheme="minorHAnsi"/>
          <w:sz w:val="24"/>
          <w:szCs w:val="24"/>
        </w:rPr>
        <w:t>software</w:t>
      </w:r>
      <w:r w:rsidRPr="005B7F7A">
        <w:rPr>
          <w:rFonts w:cstheme="minorHAnsi"/>
          <w:sz w:val="24"/>
          <w:szCs w:val="24"/>
        </w:rPr>
        <w:t xml:space="preserve"> (IBM, 2017) ran the statistical analyses.</w:t>
      </w:r>
    </w:p>
    <w:p w14:paraId="7D3FA583" w14:textId="77777777" w:rsidR="00900069" w:rsidRPr="005B7F7A" w:rsidRDefault="00900069" w:rsidP="009F3364">
      <w:pPr>
        <w:pStyle w:val="Heading1"/>
      </w:pPr>
      <w:r w:rsidRPr="005B7F7A">
        <w:t>Results</w:t>
      </w:r>
    </w:p>
    <w:p w14:paraId="57643851" w14:textId="60C6206F" w:rsidR="00900069" w:rsidRPr="005B7F7A" w:rsidRDefault="00900069" w:rsidP="00900069">
      <w:pPr>
        <w:rPr>
          <w:rFonts w:cstheme="minorHAnsi"/>
          <w:sz w:val="24"/>
          <w:szCs w:val="24"/>
        </w:rPr>
      </w:pPr>
      <w:r w:rsidRPr="005B7F7A">
        <w:rPr>
          <w:rFonts w:cstheme="minorHAnsi"/>
          <w:sz w:val="24"/>
          <w:szCs w:val="24"/>
        </w:rPr>
        <w:t xml:space="preserve">Demographic data from the NEscore satisfaction survey revealed that the mean number of years of overall teaching experience among participants was 9.7 years. The mean number of years </w:t>
      </w:r>
      <w:r w:rsidR="009F3364" w:rsidRPr="005B7F7A">
        <w:rPr>
          <w:rFonts w:cstheme="minorHAnsi"/>
          <w:sz w:val="24"/>
          <w:szCs w:val="24"/>
        </w:rPr>
        <w:t>of online</w:t>
      </w:r>
      <w:r w:rsidRPr="005B7F7A">
        <w:rPr>
          <w:rFonts w:cstheme="minorHAnsi"/>
          <w:sz w:val="24"/>
          <w:szCs w:val="24"/>
        </w:rPr>
        <w:t xml:space="preserve"> teaching experience was 5.7 years. Participants ranged in age from 25-55 years, with 45% between 35-45 years old. Sixty-three percent of the participants were women. See Tables 3, 4, and 5 for demographic data of the study participants.</w:t>
      </w:r>
    </w:p>
    <w:p w14:paraId="3644A543" w14:textId="77777777" w:rsidR="002F774B" w:rsidRPr="002F774B" w:rsidRDefault="002F774B" w:rsidP="00A27D21">
      <w:pPr>
        <w:spacing w:after="0"/>
        <w:rPr>
          <w:rFonts w:cstheme="minorHAnsi"/>
          <w:i/>
          <w:iCs/>
          <w:sz w:val="24"/>
          <w:szCs w:val="24"/>
        </w:rPr>
      </w:pPr>
      <w:r w:rsidRPr="002F774B">
        <w:rPr>
          <w:rFonts w:cstheme="minorHAnsi"/>
          <w:i/>
          <w:iCs/>
          <w:sz w:val="24"/>
          <w:szCs w:val="24"/>
        </w:rPr>
        <w:t>Table 3: Gender of Participants</w:t>
      </w:r>
    </w:p>
    <w:tbl>
      <w:tblPr>
        <w:tblStyle w:val="TableGrid"/>
        <w:tblW w:w="0" w:type="auto"/>
        <w:tblLook w:val="04A0" w:firstRow="1" w:lastRow="0" w:firstColumn="1" w:lastColumn="0" w:noHBand="0" w:noVBand="1"/>
      </w:tblPr>
      <w:tblGrid>
        <w:gridCol w:w="893"/>
        <w:gridCol w:w="1180"/>
      </w:tblGrid>
      <w:tr w:rsidR="00A27D21" w:rsidRPr="00DC79F3" w14:paraId="3E746C12" w14:textId="77777777" w:rsidTr="00A27D21">
        <w:tc>
          <w:tcPr>
            <w:tcW w:w="0" w:type="auto"/>
          </w:tcPr>
          <w:p w14:paraId="45833913" w14:textId="6E9455FB" w:rsidR="00A27D21" w:rsidRPr="00DC79F3" w:rsidRDefault="00A27D21" w:rsidP="00900069">
            <w:pPr>
              <w:rPr>
                <w:rFonts w:cstheme="minorHAnsi"/>
                <w:b/>
                <w:bCs/>
              </w:rPr>
            </w:pPr>
            <w:r w:rsidRPr="00DC79F3">
              <w:rPr>
                <w:rFonts w:cstheme="minorHAnsi"/>
                <w:b/>
                <w:bCs/>
              </w:rPr>
              <w:t>Gender</w:t>
            </w:r>
          </w:p>
        </w:tc>
        <w:tc>
          <w:tcPr>
            <w:tcW w:w="0" w:type="auto"/>
          </w:tcPr>
          <w:p w14:paraId="56315AC7" w14:textId="1EFE38F1" w:rsidR="00A27D21" w:rsidRPr="00DC79F3" w:rsidRDefault="00A27D21" w:rsidP="00900069">
            <w:pPr>
              <w:rPr>
                <w:rFonts w:cstheme="minorHAnsi"/>
                <w:b/>
                <w:bCs/>
              </w:rPr>
            </w:pPr>
            <w:r w:rsidRPr="00DC79F3">
              <w:rPr>
                <w:rFonts w:cstheme="minorHAnsi"/>
                <w:b/>
                <w:bCs/>
              </w:rPr>
              <w:t>Responses</w:t>
            </w:r>
          </w:p>
        </w:tc>
      </w:tr>
      <w:tr w:rsidR="00A27D21" w:rsidRPr="00DC79F3" w14:paraId="0B75E7FB" w14:textId="77777777" w:rsidTr="00A27D21">
        <w:tc>
          <w:tcPr>
            <w:tcW w:w="0" w:type="auto"/>
          </w:tcPr>
          <w:p w14:paraId="1362B7F9" w14:textId="4424D9D8" w:rsidR="00A27D21" w:rsidRPr="00DC79F3" w:rsidRDefault="00A27D21" w:rsidP="00900069">
            <w:pPr>
              <w:rPr>
                <w:rFonts w:cstheme="minorHAnsi"/>
              </w:rPr>
            </w:pPr>
            <w:r w:rsidRPr="00DC79F3">
              <w:rPr>
                <w:rFonts w:cstheme="minorHAnsi"/>
              </w:rPr>
              <w:t>Male</w:t>
            </w:r>
          </w:p>
        </w:tc>
        <w:tc>
          <w:tcPr>
            <w:tcW w:w="0" w:type="auto"/>
          </w:tcPr>
          <w:p w14:paraId="4D387F3B" w14:textId="42D95CEE" w:rsidR="00A27D21" w:rsidRPr="00DC79F3" w:rsidRDefault="00A27D21" w:rsidP="00900069">
            <w:pPr>
              <w:rPr>
                <w:rFonts w:cstheme="minorHAnsi"/>
              </w:rPr>
            </w:pPr>
            <w:r w:rsidRPr="00DC79F3">
              <w:rPr>
                <w:rFonts w:cstheme="minorHAnsi"/>
              </w:rPr>
              <w:t>36.36%</w:t>
            </w:r>
          </w:p>
        </w:tc>
      </w:tr>
      <w:tr w:rsidR="00A27D21" w:rsidRPr="00DC79F3" w14:paraId="3E69764C" w14:textId="77777777" w:rsidTr="00A27D21">
        <w:tc>
          <w:tcPr>
            <w:tcW w:w="0" w:type="auto"/>
          </w:tcPr>
          <w:p w14:paraId="45515117" w14:textId="182326CC" w:rsidR="00A27D21" w:rsidRPr="00DC79F3" w:rsidRDefault="00A27D21" w:rsidP="00900069">
            <w:pPr>
              <w:rPr>
                <w:rFonts w:cstheme="minorHAnsi"/>
              </w:rPr>
            </w:pPr>
            <w:r w:rsidRPr="00DC79F3">
              <w:rPr>
                <w:rFonts w:cstheme="minorHAnsi"/>
              </w:rPr>
              <w:t>Female</w:t>
            </w:r>
          </w:p>
        </w:tc>
        <w:tc>
          <w:tcPr>
            <w:tcW w:w="0" w:type="auto"/>
          </w:tcPr>
          <w:p w14:paraId="5BA0AF14" w14:textId="3E9D4A5F" w:rsidR="00A27D21" w:rsidRPr="00DC79F3" w:rsidRDefault="00A27D21" w:rsidP="00900069">
            <w:pPr>
              <w:rPr>
                <w:rFonts w:cstheme="minorHAnsi"/>
              </w:rPr>
            </w:pPr>
            <w:r w:rsidRPr="00DC79F3">
              <w:rPr>
                <w:rFonts w:cstheme="minorHAnsi"/>
              </w:rPr>
              <w:t>63.64%</w:t>
            </w:r>
          </w:p>
        </w:tc>
      </w:tr>
    </w:tbl>
    <w:p w14:paraId="3AD15783" w14:textId="77777777" w:rsidR="00900069" w:rsidRPr="005B7F7A" w:rsidRDefault="00900069" w:rsidP="00900069">
      <w:pPr>
        <w:rPr>
          <w:rFonts w:cstheme="minorHAnsi"/>
          <w:sz w:val="24"/>
          <w:szCs w:val="24"/>
        </w:rPr>
      </w:pPr>
    </w:p>
    <w:p w14:paraId="69F8660F" w14:textId="77777777" w:rsidR="006418EF" w:rsidRPr="006418EF" w:rsidRDefault="006418EF" w:rsidP="00457732">
      <w:pPr>
        <w:spacing w:after="0"/>
        <w:rPr>
          <w:rFonts w:cstheme="minorHAnsi"/>
          <w:i/>
          <w:iCs/>
          <w:sz w:val="24"/>
          <w:szCs w:val="24"/>
        </w:rPr>
      </w:pPr>
      <w:r w:rsidRPr="006418EF">
        <w:rPr>
          <w:rFonts w:cstheme="minorHAnsi"/>
          <w:i/>
          <w:iCs/>
          <w:sz w:val="24"/>
          <w:szCs w:val="24"/>
        </w:rPr>
        <w:t>Table 4: Age of Participants</w:t>
      </w:r>
    </w:p>
    <w:tbl>
      <w:tblPr>
        <w:tblStyle w:val="TableGrid"/>
        <w:tblW w:w="0" w:type="auto"/>
        <w:tblLook w:val="04A0" w:firstRow="1" w:lastRow="0" w:firstColumn="1" w:lastColumn="0" w:noHBand="0" w:noVBand="1"/>
      </w:tblPr>
      <w:tblGrid>
        <w:gridCol w:w="1187"/>
        <w:gridCol w:w="1180"/>
      </w:tblGrid>
      <w:tr w:rsidR="006418EF" w:rsidRPr="00DC79F3" w14:paraId="090C8D3D" w14:textId="77777777" w:rsidTr="00457732">
        <w:tc>
          <w:tcPr>
            <w:tcW w:w="0" w:type="auto"/>
          </w:tcPr>
          <w:p w14:paraId="3E4FBF3E" w14:textId="760333FB" w:rsidR="006418EF" w:rsidRPr="00DC79F3" w:rsidRDefault="006418EF" w:rsidP="000F4516">
            <w:pPr>
              <w:rPr>
                <w:rFonts w:cstheme="minorHAnsi"/>
                <w:b/>
                <w:bCs/>
              </w:rPr>
            </w:pPr>
            <w:r w:rsidRPr="00DC79F3">
              <w:rPr>
                <w:rFonts w:cstheme="minorHAnsi"/>
                <w:b/>
                <w:bCs/>
              </w:rPr>
              <w:t>Age Group</w:t>
            </w:r>
          </w:p>
        </w:tc>
        <w:tc>
          <w:tcPr>
            <w:tcW w:w="0" w:type="auto"/>
          </w:tcPr>
          <w:p w14:paraId="146886EA" w14:textId="2CCBB64B" w:rsidR="006418EF" w:rsidRPr="00DC79F3" w:rsidRDefault="006418EF" w:rsidP="000F4516">
            <w:pPr>
              <w:rPr>
                <w:rFonts w:cstheme="minorHAnsi"/>
                <w:b/>
                <w:bCs/>
              </w:rPr>
            </w:pPr>
            <w:r w:rsidRPr="00DC79F3">
              <w:rPr>
                <w:rFonts w:cstheme="minorHAnsi"/>
                <w:b/>
                <w:bCs/>
              </w:rPr>
              <w:t>Responses</w:t>
            </w:r>
          </w:p>
        </w:tc>
      </w:tr>
      <w:tr w:rsidR="006418EF" w:rsidRPr="00DC79F3" w14:paraId="027C306A" w14:textId="77777777" w:rsidTr="00457732">
        <w:tc>
          <w:tcPr>
            <w:tcW w:w="0" w:type="auto"/>
          </w:tcPr>
          <w:p w14:paraId="4193028D" w14:textId="41D5911F" w:rsidR="006418EF" w:rsidRPr="00DC79F3" w:rsidRDefault="00457732" w:rsidP="000F4516">
            <w:pPr>
              <w:rPr>
                <w:rFonts w:cstheme="minorHAnsi"/>
              </w:rPr>
            </w:pPr>
            <w:r w:rsidRPr="00DC79F3">
              <w:rPr>
                <w:rFonts w:cstheme="minorHAnsi"/>
              </w:rPr>
              <w:t>35-35</w:t>
            </w:r>
          </w:p>
        </w:tc>
        <w:tc>
          <w:tcPr>
            <w:tcW w:w="0" w:type="auto"/>
          </w:tcPr>
          <w:p w14:paraId="3FD5A733" w14:textId="49870D9D" w:rsidR="006418EF" w:rsidRPr="00DC79F3" w:rsidRDefault="00457732" w:rsidP="000F4516">
            <w:pPr>
              <w:rPr>
                <w:rFonts w:cstheme="minorHAnsi"/>
              </w:rPr>
            </w:pPr>
            <w:r w:rsidRPr="00DC79F3">
              <w:rPr>
                <w:rFonts w:cstheme="minorHAnsi"/>
              </w:rPr>
              <w:t>27.27%</w:t>
            </w:r>
          </w:p>
        </w:tc>
      </w:tr>
      <w:tr w:rsidR="006418EF" w:rsidRPr="00DC79F3" w14:paraId="196B0480" w14:textId="77777777" w:rsidTr="00457732">
        <w:tc>
          <w:tcPr>
            <w:tcW w:w="0" w:type="auto"/>
          </w:tcPr>
          <w:p w14:paraId="715A00A9" w14:textId="69F26A35" w:rsidR="006418EF" w:rsidRPr="00DC79F3" w:rsidRDefault="00457732" w:rsidP="000F4516">
            <w:pPr>
              <w:rPr>
                <w:rFonts w:cstheme="minorHAnsi"/>
              </w:rPr>
            </w:pPr>
            <w:r w:rsidRPr="00DC79F3">
              <w:rPr>
                <w:rFonts w:cstheme="minorHAnsi"/>
              </w:rPr>
              <w:t>35-45</w:t>
            </w:r>
          </w:p>
        </w:tc>
        <w:tc>
          <w:tcPr>
            <w:tcW w:w="0" w:type="auto"/>
          </w:tcPr>
          <w:p w14:paraId="24D84F68" w14:textId="796BE870" w:rsidR="006418EF" w:rsidRPr="00DC79F3" w:rsidRDefault="00457732" w:rsidP="000F4516">
            <w:pPr>
              <w:rPr>
                <w:rFonts w:cstheme="minorHAnsi"/>
              </w:rPr>
            </w:pPr>
            <w:r w:rsidRPr="00DC79F3">
              <w:rPr>
                <w:rFonts w:cstheme="minorHAnsi"/>
              </w:rPr>
              <w:t>45.45%</w:t>
            </w:r>
          </w:p>
        </w:tc>
      </w:tr>
      <w:tr w:rsidR="006418EF" w:rsidRPr="00DC79F3" w14:paraId="57882F31" w14:textId="77777777" w:rsidTr="00457732">
        <w:tc>
          <w:tcPr>
            <w:tcW w:w="0" w:type="auto"/>
          </w:tcPr>
          <w:p w14:paraId="3998736C" w14:textId="7A57893F" w:rsidR="006418EF" w:rsidRPr="00DC79F3" w:rsidRDefault="00457732" w:rsidP="000F4516">
            <w:pPr>
              <w:rPr>
                <w:rFonts w:cstheme="minorHAnsi"/>
              </w:rPr>
            </w:pPr>
            <w:r w:rsidRPr="00DC79F3">
              <w:rPr>
                <w:rFonts w:cstheme="minorHAnsi"/>
              </w:rPr>
              <w:t>45-45</w:t>
            </w:r>
          </w:p>
        </w:tc>
        <w:tc>
          <w:tcPr>
            <w:tcW w:w="0" w:type="auto"/>
          </w:tcPr>
          <w:p w14:paraId="2890D6AB" w14:textId="3BF183FE" w:rsidR="006418EF" w:rsidRPr="00DC79F3" w:rsidRDefault="00457732" w:rsidP="000F4516">
            <w:pPr>
              <w:rPr>
                <w:rFonts w:cstheme="minorHAnsi"/>
              </w:rPr>
            </w:pPr>
            <w:r w:rsidRPr="00DC79F3">
              <w:rPr>
                <w:rFonts w:cstheme="minorHAnsi"/>
              </w:rPr>
              <w:t>18.18%</w:t>
            </w:r>
          </w:p>
        </w:tc>
      </w:tr>
      <w:tr w:rsidR="006418EF" w:rsidRPr="00DC79F3" w14:paraId="1D6FDBAF" w14:textId="77777777" w:rsidTr="00457732">
        <w:tc>
          <w:tcPr>
            <w:tcW w:w="0" w:type="auto"/>
          </w:tcPr>
          <w:p w14:paraId="1E87592C" w14:textId="797B6350" w:rsidR="006418EF" w:rsidRPr="00DC79F3" w:rsidRDefault="00457732" w:rsidP="000F4516">
            <w:pPr>
              <w:rPr>
                <w:rFonts w:cstheme="minorHAnsi"/>
              </w:rPr>
            </w:pPr>
            <w:r w:rsidRPr="00DC79F3">
              <w:rPr>
                <w:rFonts w:cstheme="minorHAnsi"/>
              </w:rPr>
              <w:t>Over 55</w:t>
            </w:r>
          </w:p>
        </w:tc>
        <w:tc>
          <w:tcPr>
            <w:tcW w:w="0" w:type="auto"/>
          </w:tcPr>
          <w:p w14:paraId="4974B5D0" w14:textId="4B4F4541" w:rsidR="006418EF" w:rsidRPr="00DC79F3" w:rsidRDefault="00457732" w:rsidP="000F4516">
            <w:pPr>
              <w:rPr>
                <w:rFonts w:cstheme="minorHAnsi"/>
              </w:rPr>
            </w:pPr>
            <w:r w:rsidRPr="00DC79F3">
              <w:rPr>
                <w:rFonts w:cstheme="minorHAnsi"/>
              </w:rPr>
              <w:t>9.09%</w:t>
            </w:r>
          </w:p>
        </w:tc>
      </w:tr>
    </w:tbl>
    <w:p w14:paraId="13F5923C" w14:textId="77777777" w:rsidR="000F4516" w:rsidRPr="005B7F7A" w:rsidRDefault="000F4516" w:rsidP="000F4516">
      <w:pPr>
        <w:rPr>
          <w:rFonts w:cstheme="minorHAnsi"/>
          <w:sz w:val="24"/>
          <w:szCs w:val="24"/>
        </w:rPr>
      </w:pPr>
    </w:p>
    <w:p w14:paraId="2C23F0A3" w14:textId="27838635" w:rsidR="00DC79F3" w:rsidRPr="00DC79F3" w:rsidRDefault="000F4516" w:rsidP="00DC79F3">
      <w:pPr>
        <w:spacing w:after="0"/>
        <w:rPr>
          <w:rFonts w:cstheme="minorHAnsi"/>
          <w:i/>
          <w:iCs/>
          <w:sz w:val="24"/>
          <w:szCs w:val="24"/>
        </w:rPr>
      </w:pPr>
      <w:r w:rsidRPr="00457732">
        <w:rPr>
          <w:rFonts w:cstheme="minorHAnsi"/>
          <w:i/>
          <w:iCs/>
          <w:sz w:val="24"/>
          <w:szCs w:val="24"/>
        </w:rPr>
        <w:t>Table 5: Years of Teaching Experience as Reported by Participants</w:t>
      </w:r>
    </w:p>
    <w:tbl>
      <w:tblPr>
        <w:tblStyle w:val="TableGrid"/>
        <w:tblW w:w="0" w:type="auto"/>
        <w:tblLook w:val="0020" w:firstRow="1" w:lastRow="0" w:firstColumn="0" w:lastColumn="0" w:noHBand="0" w:noVBand="0"/>
      </w:tblPr>
      <w:tblGrid>
        <w:gridCol w:w="2463"/>
        <w:gridCol w:w="1852"/>
        <w:gridCol w:w="1840"/>
        <w:gridCol w:w="2571"/>
      </w:tblGrid>
      <w:tr w:rsidR="00DC79F3" w:rsidRPr="00DC79F3" w14:paraId="1CBADD0D" w14:textId="77777777" w:rsidTr="00720B72">
        <w:trPr>
          <w:trHeight w:val="268"/>
        </w:trPr>
        <w:tc>
          <w:tcPr>
            <w:tcW w:w="0" w:type="auto"/>
          </w:tcPr>
          <w:p w14:paraId="79D35F4C" w14:textId="77777777" w:rsidR="00DC79F3" w:rsidRPr="00DC79F3" w:rsidRDefault="00DC79F3" w:rsidP="00DC79F3">
            <w:pPr>
              <w:kinsoku w:val="0"/>
              <w:overflowPunct w:val="0"/>
              <w:autoSpaceDE w:val="0"/>
              <w:autoSpaceDN w:val="0"/>
              <w:adjustRightInd w:val="0"/>
              <w:spacing w:line="248" w:lineRule="exact"/>
              <w:rPr>
                <w:rFonts w:cstheme="minorHAnsi"/>
                <w:b/>
                <w:bCs/>
              </w:rPr>
            </w:pPr>
            <w:r w:rsidRPr="00DC79F3">
              <w:rPr>
                <w:rFonts w:cstheme="minorHAnsi"/>
                <w:b/>
                <w:bCs/>
              </w:rPr>
              <w:t>Teaching Mode</w:t>
            </w:r>
          </w:p>
        </w:tc>
        <w:tc>
          <w:tcPr>
            <w:tcW w:w="0" w:type="auto"/>
          </w:tcPr>
          <w:p w14:paraId="3CFBEEC1" w14:textId="77777777" w:rsidR="00DC79F3" w:rsidRPr="00DC79F3" w:rsidRDefault="00DC79F3" w:rsidP="00DC79F3">
            <w:pPr>
              <w:kinsoku w:val="0"/>
              <w:overflowPunct w:val="0"/>
              <w:autoSpaceDE w:val="0"/>
              <w:autoSpaceDN w:val="0"/>
              <w:adjustRightInd w:val="0"/>
              <w:spacing w:line="248" w:lineRule="exact"/>
              <w:ind w:left="362" w:right="434"/>
              <w:jc w:val="center"/>
              <w:rPr>
                <w:rFonts w:cstheme="minorHAnsi"/>
                <w:b/>
                <w:bCs/>
              </w:rPr>
            </w:pPr>
            <w:r w:rsidRPr="00DC79F3">
              <w:rPr>
                <w:rFonts w:cstheme="minorHAnsi"/>
                <w:b/>
                <w:bCs/>
              </w:rPr>
              <w:t>0-2 Years</w:t>
            </w:r>
          </w:p>
        </w:tc>
        <w:tc>
          <w:tcPr>
            <w:tcW w:w="0" w:type="auto"/>
          </w:tcPr>
          <w:p w14:paraId="28033D9A" w14:textId="77777777" w:rsidR="00DC79F3" w:rsidRPr="00DC79F3" w:rsidRDefault="00DC79F3" w:rsidP="00DC79F3">
            <w:pPr>
              <w:kinsoku w:val="0"/>
              <w:overflowPunct w:val="0"/>
              <w:autoSpaceDE w:val="0"/>
              <w:autoSpaceDN w:val="0"/>
              <w:adjustRightInd w:val="0"/>
              <w:spacing w:line="248" w:lineRule="exact"/>
              <w:ind w:left="433" w:right="351"/>
              <w:jc w:val="center"/>
              <w:rPr>
                <w:rFonts w:cstheme="minorHAnsi"/>
                <w:b/>
                <w:bCs/>
              </w:rPr>
            </w:pPr>
            <w:r w:rsidRPr="00DC79F3">
              <w:rPr>
                <w:rFonts w:cstheme="minorHAnsi"/>
                <w:b/>
                <w:bCs/>
              </w:rPr>
              <w:t>3-5 Years</w:t>
            </w:r>
          </w:p>
        </w:tc>
        <w:tc>
          <w:tcPr>
            <w:tcW w:w="0" w:type="auto"/>
          </w:tcPr>
          <w:p w14:paraId="1F5F0E78" w14:textId="77777777" w:rsidR="00DC79F3" w:rsidRPr="00DC79F3" w:rsidRDefault="00DC79F3" w:rsidP="00DC79F3">
            <w:pPr>
              <w:kinsoku w:val="0"/>
              <w:overflowPunct w:val="0"/>
              <w:autoSpaceDE w:val="0"/>
              <w:autoSpaceDN w:val="0"/>
              <w:adjustRightInd w:val="0"/>
              <w:spacing w:line="248" w:lineRule="exact"/>
              <w:ind w:left="348" w:right="122"/>
              <w:jc w:val="center"/>
              <w:rPr>
                <w:rFonts w:cstheme="minorHAnsi"/>
                <w:b/>
                <w:bCs/>
              </w:rPr>
            </w:pPr>
            <w:r w:rsidRPr="00DC79F3">
              <w:rPr>
                <w:rFonts w:cstheme="minorHAnsi"/>
                <w:b/>
                <w:bCs/>
              </w:rPr>
              <w:t>Greater than 5 Years</w:t>
            </w:r>
          </w:p>
        </w:tc>
      </w:tr>
      <w:tr w:rsidR="00DC79F3" w:rsidRPr="00DC79F3" w14:paraId="230D57BC" w14:textId="77777777" w:rsidTr="00720B72">
        <w:trPr>
          <w:trHeight w:val="271"/>
        </w:trPr>
        <w:tc>
          <w:tcPr>
            <w:tcW w:w="0" w:type="auto"/>
          </w:tcPr>
          <w:p w14:paraId="47BEEBD4" w14:textId="77777777" w:rsidR="00DC79F3" w:rsidRPr="00DC79F3" w:rsidRDefault="00DC79F3" w:rsidP="00DC79F3">
            <w:pPr>
              <w:kinsoku w:val="0"/>
              <w:overflowPunct w:val="0"/>
              <w:autoSpaceDE w:val="0"/>
              <w:autoSpaceDN w:val="0"/>
              <w:adjustRightInd w:val="0"/>
              <w:spacing w:before="1" w:line="250" w:lineRule="exact"/>
              <w:ind w:right="385"/>
              <w:jc w:val="right"/>
              <w:rPr>
                <w:rFonts w:cstheme="minorHAnsi"/>
              </w:rPr>
            </w:pPr>
            <w:r w:rsidRPr="00DC79F3">
              <w:rPr>
                <w:rFonts w:cstheme="minorHAnsi"/>
              </w:rPr>
              <w:t>In Person and Online</w:t>
            </w:r>
          </w:p>
        </w:tc>
        <w:tc>
          <w:tcPr>
            <w:tcW w:w="0" w:type="auto"/>
          </w:tcPr>
          <w:p w14:paraId="0269EF06" w14:textId="77777777" w:rsidR="00DC79F3" w:rsidRPr="00DC79F3" w:rsidRDefault="00DC79F3" w:rsidP="00DC79F3">
            <w:pPr>
              <w:kinsoku w:val="0"/>
              <w:overflowPunct w:val="0"/>
              <w:autoSpaceDE w:val="0"/>
              <w:autoSpaceDN w:val="0"/>
              <w:adjustRightInd w:val="0"/>
              <w:spacing w:before="1" w:line="250" w:lineRule="exact"/>
              <w:ind w:left="362" w:right="430"/>
              <w:jc w:val="center"/>
              <w:rPr>
                <w:rFonts w:cstheme="minorHAnsi"/>
              </w:rPr>
            </w:pPr>
            <w:r w:rsidRPr="00DC79F3">
              <w:rPr>
                <w:rFonts w:cstheme="minorHAnsi"/>
              </w:rPr>
              <w:t>27.27%</w:t>
            </w:r>
          </w:p>
        </w:tc>
        <w:tc>
          <w:tcPr>
            <w:tcW w:w="0" w:type="auto"/>
          </w:tcPr>
          <w:p w14:paraId="350365D7" w14:textId="77777777" w:rsidR="00DC79F3" w:rsidRPr="00DC79F3" w:rsidRDefault="00DC79F3" w:rsidP="00DC79F3">
            <w:pPr>
              <w:kinsoku w:val="0"/>
              <w:overflowPunct w:val="0"/>
              <w:autoSpaceDE w:val="0"/>
              <w:autoSpaceDN w:val="0"/>
              <w:adjustRightInd w:val="0"/>
              <w:spacing w:before="1" w:line="250" w:lineRule="exact"/>
              <w:ind w:left="433" w:right="345"/>
              <w:jc w:val="center"/>
              <w:rPr>
                <w:rFonts w:cstheme="minorHAnsi"/>
              </w:rPr>
            </w:pPr>
            <w:r w:rsidRPr="00DC79F3">
              <w:rPr>
                <w:rFonts w:cstheme="minorHAnsi"/>
              </w:rPr>
              <w:t>36.6%</w:t>
            </w:r>
          </w:p>
        </w:tc>
        <w:tc>
          <w:tcPr>
            <w:tcW w:w="0" w:type="auto"/>
          </w:tcPr>
          <w:p w14:paraId="5E66A679" w14:textId="77777777" w:rsidR="00DC79F3" w:rsidRPr="00DC79F3" w:rsidRDefault="00DC79F3" w:rsidP="00DC79F3">
            <w:pPr>
              <w:kinsoku w:val="0"/>
              <w:overflowPunct w:val="0"/>
              <w:autoSpaceDE w:val="0"/>
              <w:autoSpaceDN w:val="0"/>
              <w:adjustRightInd w:val="0"/>
              <w:spacing w:before="1" w:line="250" w:lineRule="exact"/>
              <w:ind w:left="348" w:right="108"/>
              <w:jc w:val="center"/>
              <w:rPr>
                <w:rFonts w:cstheme="minorHAnsi"/>
              </w:rPr>
            </w:pPr>
            <w:r w:rsidRPr="00DC79F3">
              <w:rPr>
                <w:rFonts w:cstheme="minorHAnsi"/>
              </w:rPr>
              <w:t>36.6%</w:t>
            </w:r>
          </w:p>
        </w:tc>
      </w:tr>
      <w:tr w:rsidR="00DC79F3" w:rsidRPr="00DC79F3" w14:paraId="21CFB377" w14:textId="77777777" w:rsidTr="00720B72">
        <w:trPr>
          <w:trHeight w:val="269"/>
        </w:trPr>
        <w:tc>
          <w:tcPr>
            <w:tcW w:w="0" w:type="auto"/>
          </w:tcPr>
          <w:p w14:paraId="51EB90BA" w14:textId="77777777" w:rsidR="00DC79F3" w:rsidRPr="00DC79F3" w:rsidRDefault="00DC79F3" w:rsidP="00DC79F3">
            <w:pPr>
              <w:kinsoku w:val="0"/>
              <w:overflowPunct w:val="0"/>
              <w:autoSpaceDE w:val="0"/>
              <w:autoSpaceDN w:val="0"/>
              <w:adjustRightInd w:val="0"/>
              <w:spacing w:line="249" w:lineRule="exact"/>
              <w:ind w:right="379"/>
              <w:jc w:val="right"/>
              <w:rPr>
                <w:rFonts w:cstheme="minorHAnsi"/>
              </w:rPr>
            </w:pPr>
            <w:r w:rsidRPr="00DC79F3">
              <w:rPr>
                <w:rFonts w:cstheme="minorHAnsi"/>
              </w:rPr>
              <w:t>Online Only</w:t>
            </w:r>
          </w:p>
        </w:tc>
        <w:tc>
          <w:tcPr>
            <w:tcW w:w="0" w:type="auto"/>
          </w:tcPr>
          <w:p w14:paraId="551C09B5" w14:textId="77777777" w:rsidR="00DC79F3" w:rsidRPr="00DC79F3" w:rsidRDefault="00DC79F3" w:rsidP="00DC79F3">
            <w:pPr>
              <w:kinsoku w:val="0"/>
              <w:overflowPunct w:val="0"/>
              <w:autoSpaceDE w:val="0"/>
              <w:autoSpaceDN w:val="0"/>
              <w:adjustRightInd w:val="0"/>
              <w:spacing w:line="249" w:lineRule="exact"/>
              <w:ind w:left="362" w:right="430"/>
              <w:jc w:val="center"/>
              <w:rPr>
                <w:rFonts w:cstheme="minorHAnsi"/>
              </w:rPr>
            </w:pPr>
            <w:r w:rsidRPr="00DC79F3">
              <w:rPr>
                <w:rFonts w:cstheme="minorHAnsi"/>
              </w:rPr>
              <w:t>36.36%</w:t>
            </w:r>
          </w:p>
        </w:tc>
        <w:tc>
          <w:tcPr>
            <w:tcW w:w="0" w:type="auto"/>
          </w:tcPr>
          <w:p w14:paraId="2FAD524D" w14:textId="77777777" w:rsidR="00DC79F3" w:rsidRPr="00DC79F3" w:rsidRDefault="00DC79F3" w:rsidP="00DC79F3">
            <w:pPr>
              <w:kinsoku w:val="0"/>
              <w:overflowPunct w:val="0"/>
              <w:autoSpaceDE w:val="0"/>
              <w:autoSpaceDN w:val="0"/>
              <w:adjustRightInd w:val="0"/>
              <w:spacing w:line="249" w:lineRule="exact"/>
              <w:ind w:left="433" w:right="343"/>
              <w:jc w:val="center"/>
              <w:rPr>
                <w:rFonts w:cstheme="minorHAnsi"/>
              </w:rPr>
            </w:pPr>
            <w:r w:rsidRPr="00DC79F3">
              <w:rPr>
                <w:rFonts w:cstheme="minorHAnsi"/>
              </w:rPr>
              <w:t>18.18%</w:t>
            </w:r>
          </w:p>
        </w:tc>
        <w:tc>
          <w:tcPr>
            <w:tcW w:w="0" w:type="auto"/>
          </w:tcPr>
          <w:p w14:paraId="273B1CE1" w14:textId="77777777" w:rsidR="00DC79F3" w:rsidRPr="00DC79F3" w:rsidRDefault="00DC79F3" w:rsidP="00DC79F3">
            <w:pPr>
              <w:kinsoku w:val="0"/>
              <w:overflowPunct w:val="0"/>
              <w:autoSpaceDE w:val="0"/>
              <w:autoSpaceDN w:val="0"/>
              <w:adjustRightInd w:val="0"/>
              <w:spacing w:line="249" w:lineRule="exact"/>
              <w:ind w:left="348" w:right="109"/>
              <w:jc w:val="center"/>
              <w:rPr>
                <w:rFonts w:cstheme="minorHAnsi"/>
              </w:rPr>
            </w:pPr>
            <w:r w:rsidRPr="00DC79F3">
              <w:rPr>
                <w:rFonts w:cstheme="minorHAnsi"/>
              </w:rPr>
              <w:t>45.446%</w:t>
            </w:r>
          </w:p>
        </w:tc>
      </w:tr>
    </w:tbl>
    <w:p w14:paraId="0113EFE9" w14:textId="77777777" w:rsidR="000F4516" w:rsidRDefault="000F4516" w:rsidP="000F4516">
      <w:pPr>
        <w:rPr>
          <w:rFonts w:cstheme="minorHAnsi"/>
          <w:sz w:val="24"/>
          <w:szCs w:val="24"/>
        </w:rPr>
      </w:pPr>
    </w:p>
    <w:p w14:paraId="362E724B" w14:textId="7E8418C6" w:rsidR="000F4516" w:rsidRPr="005B7F7A" w:rsidRDefault="000F4516" w:rsidP="000F4516">
      <w:pPr>
        <w:rPr>
          <w:rFonts w:cstheme="minorHAnsi"/>
          <w:sz w:val="24"/>
          <w:szCs w:val="24"/>
        </w:rPr>
      </w:pPr>
      <w:r w:rsidRPr="005B7F7A">
        <w:rPr>
          <w:rFonts w:cstheme="minorHAnsi"/>
          <w:sz w:val="24"/>
          <w:szCs w:val="24"/>
        </w:rPr>
        <w:t>Cronbach’s Alpha for the total score, including both sub-scales, ranged from 0.78 (acceptable) to</w:t>
      </w:r>
      <w:r w:rsidR="008750CC">
        <w:rPr>
          <w:rFonts w:cstheme="minorHAnsi"/>
          <w:sz w:val="24"/>
          <w:szCs w:val="24"/>
        </w:rPr>
        <w:t xml:space="preserve"> </w:t>
      </w:r>
      <w:r w:rsidRPr="005B7F7A">
        <w:rPr>
          <w:rFonts w:cstheme="minorHAnsi"/>
          <w:sz w:val="24"/>
          <w:szCs w:val="24"/>
        </w:rPr>
        <w:t>0.93 (excellent) across the five modules as summarized in Table 6. Similarly, Cronbach’s Alpha for the sub-scale Instructional Design also ranged from acceptable (0.72) to excellent (0.92). However, Cronbach’s Alpha for the Method and Practice of Education subscale ranged from a low (of 0.45) to a high (of 0.81). There are two possible reasons for this. First, three items in the subscale that are worded as yes/no items affect Cronbach’s Alpha and does not fit the Likert Scale very well. These three questions deal with the length of the module (15 minutes or less); the use of references and whether closed captioning or a written transcript are available. The item that makes the most difference in reliability is the item that deals with module length. This item generally had low inter- item correlations and negative inter-item correlations in modules 1, 4, and 5. Removing this item would increase Cronbach’s Alpha of this sub-scale for Modules 1, 2, and 4.</w:t>
      </w:r>
    </w:p>
    <w:p w14:paraId="7D5935D0" w14:textId="6E1F23AD" w:rsidR="000F4516" w:rsidRPr="005B7F7A" w:rsidRDefault="000F4516" w:rsidP="000F4516">
      <w:pPr>
        <w:rPr>
          <w:rFonts w:cstheme="minorHAnsi"/>
          <w:sz w:val="24"/>
          <w:szCs w:val="24"/>
        </w:rPr>
      </w:pPr>
      <w:r w:rsidRPr="005B7F7A">
        <w:rPr>
          <w:rFonts w:cstheme="minorHAnsi"/>
          <w:sz w:val="24"/>
          <w:szCs w:val="24"/>
        </w:rPr>
        <w:t>Intra-class correlation coefficients (ICC) using a two-way mixed model in SPSS to measure the consistency between the raters, treating raters as random and modules as fixed. Each module has minimal variance, with values ranging from .81 to .95. According to Cicchetti (1994), who has established criteria for interpreting Intraclass Correlations, results between 0.75 and 1.0, are deemed to be “excellent.” Hence the results indicate that there is a high consistency among the raters. The ICC for the total score and each of the sub-scales are in Table 6.</w:t>
      </w:r>
    </w:p>
    <w:p w14:paraId="00F1427D" w14:textId="0CA27878" w:rsidR="000F4516" w:rsidRPr="005B7F7A" w:rsidRDefault="000F4516" w:rsidP="000F4516">
      <w:pPr>
        <w:rPr>
          <w:rFonts w:cstheme="minorHAnsi"/>
          <w:sz w:val="24"/>
          <w:szCs w:val="24"/>
        </w:rPr>
      </w:pPr>
      <w:r w:rsidRPr="005B7F7A">
        <w:rPr>
          <w:rFonts w:cstheme="minorHAnsi"/>
          <w:sz w:val="24"/>
          <w:szCs w:val="24"/>
        </w:rPr>
        <w:t>The Wilcoxon Rank Sum Test determined if differences exist between experts and novices on the total rating score for each module. The data shows no significant difference (p &lt; .05) between expert and novice total mean scores on each of the modules as shown in Table 6.</w:t>
      </w:r>
    </w:p>
    <w:p w14:paraId="36517DF4" w14:textId="7385311B" w:rsidR="000F4516" w:rsidRPr="005B7F7A" w:rsidRDefault="000F4516" w:rsidP="000F4516">
      <w:pPr>
        <w:rPr>
          <w:rFonts w:cstheme="minorHAnsi"/>
          <w:sz w:val="24"/>
          <w:szCs w:val="24"/>
        </w:rPr>
      </w:pPr>
      <w:r w:rsidRPr="005B7F7A">
        <w:rPr>
          <w:rFonts w:cstheme="minorHAnsi"/>
          <w:sz w:val="24"/>
          <w:szCs w:val="24"/>
        </w:rPr>
        <w:t>Additionally, the survey results, shown in Table 6 indicate that both novice and expert raters had a high level of satisfaction with the scorecard.</w:t>
      </w:r>
    </w:p>
    <w:p w14:paraId="5A101E93" w14:textId="594CB33D" w:rsidR="000F4516" w:rsidRPr="005B7F7A" w:rsidRDefault="000F4516" w:rsidP="000F4516">
      <w:pPr>
        <w:rPr>
          <w:rFonts w:cstheme="minorHAnsi"/>
          <w:sz w:val="24"/>
          <w:szCs w:val="24"/>
        </w:rPr>
      </w:pPr>
      <w:r w:rsidRPr="005B7F7A">
        <w:rPr>
          <w:rFonts w:cstheme="minorHAnsi"/>
          <w:sz w:val="24"/>
          <w:szCs w:val="24"/>
        </w:rPr>
        <w:t>Participants noted in open-ended survey responses that the scorecard had explicit instructions and did not take long to complete. One participant stated, “Quick. Each one took me around 15-20 minutes to complete.” The participants also endorsed that having two sub-scales provided better feedback to the module developer. As one participant expressed, “After all, you can have an extremely interactive and playful module that still might not reach your educational objectives.” Finally, participants reported that the scorecard was a way to provide a quick assessment using numeric scoring, while text boxes allowed the reviewer to provide specific feedback to the developer on what was done well and what needs to be improved.</w:t>
      </w:r>
    </w:p>
    <w:p w14:paraId="60EF17F7" w14:textId="1B829D70" w:rsidR="00900069" w:rsidRPr="005B7F7A" w:rsidRDefault="000F4516" w:rsidP="000F4516">
      <w:pPr>
        <w:rPr>
          <w:rFonts w:cstheme="minorHAnsi"/>
          <w:sz w:val="24"/>
          <w:szCs w:val="24"/>
        </w:rPr>
      </w:pPr>
      <w:r w:rsidRPr="005B7F7A">
        <w:rPr>
          <w:rFonts w:cstheme="minorHAnsi"/>
          <w:sz w:val="24"/>
          <w:szCs w:val="24"/>
        </w:rPr>
        <w:t>Although the majority of participants (55%) indicated that the scorecard comprehensively addressed the core tenets for E-learning module best practices, there were a few suggested additions to the NEscore. For example, one participant commented that “the scorecard does not evaluate the overall structure of how each module was developed or presented.” Another suggested integration of Bloom’s taxonomy to encourage developers to move from surface knowledge to more in-depth thought and interaction when planning modules. A third participant suggested adding an item regarding quizzes and stated, “The quizzes appropriately tested the materials presented in the Module.” A final suggestion for an item to be added was, “The materials presented in the Module met/covered the Objectives of the Module.”</w:t>
      </w:r>
    </w:p>
    <w:p w14:paraId="47DFEBB7" w14:textId="77777777" w:rsidR="000F4516" w:rsidRPr="0008758D" w:rsidRDefault="000F4516" w:rsidP="00FD3DCF">
      <w:pPr>
        <w:spacing w:after="0"/>
        <w:rPr>
          <w:rFonts w:cstheme="minorHAnsi"/>
          <w:i/>
          <w:iCs/>
          <w:sz w:val="24"/>
          <w:szCs w:val="24"/>
        </w:rPr>
      </w:pPr>
      <w:r w:rsidRPr="0008758D">
        <w:rPr>
          <w:rFonts w:cstheme="minorHAnsi"/>
          <w:i/>
          <w:iCs/>
          <w:sz w:val="24"/>
          <w:szCs w:val="24"/>
        </w:rPr>
        <w:t>Table 6: Research Questions, Data Sources, Data Analysis, &amp; Results</w:t>
      </w:r>
    </w:p>
    <w:p w14:paraId="0A63EA53" w14:textId="77777777" w:rsidR="000F4516" w:rsidRPr="00FD3DCF" w:rsidRDefault="000F4516" w:rsidP="00FD3DCF">
      <w:pPr>
        <w:pStyle w:val="NoSpacing"/>
        <w:ind w:left="720"/>
        <w:rPr>
          <w:sz w:val="24"/>
          <w:szCs w:val="24"/>
        </w:rPr>
      </w:pPr>
      <w:r w:rsidRPr="00FD3DCF">
        <w:rPr>
          <w:sz w:val="24"/>
          <w:szCs w:val="24"/>
        </w:rPr>
        <w:t>Research Question 1: What is the overall reliability of NEscore?</w:t>
      </w:r>
    </w:p>
    <w:p w14:paraId="3621178B" w14:textId="77777777" w:rsidR="000F4516" w:rsidRPr="00FD3DCF" w:rsidRDefault="000F4516" w:rsidP="00FD3DCF">
      <w:pPr>
        <w:pStyle w:val="NoSpacing"/>
        <w:ind w:left="720"/>
        <w:rPr>
          <w:sz w:val="24"/>
          <w:szCs w:val="24"/>
        </w:rPr>
      </w:pPr>
      <w:r w:rsidRPr="00FD3DCF">
        <w:rPr>
          <w:sz w:val="24"/>
          <w:szCs w:val="24"/>
        </w:rPr>
        <w:t xml:space="preserve">Data Sources: Participants’ ratings of 5 E-learning modules using NEscore Data Analysis: Cronbach’s </w:t>
      </w:r>
    </w:p>
    <w:p w14:paraId="2E90FB7A" w14:textId="77777777" w:rsidR="000F4516" w:rsidRPr="00FD3DCF" w:rsidRDefault="000F4516" w:rsidP="00FD3DCF">
      <w:pPr>
        <w:pStyle w:val="NoSpacing"/>
        <w:ind w:left="720"/>
        <w:rPr>
          <w:sz w:val="24"/>
          <w:szCs w:val="24"/>
        </w:rPr>
      </w:pPr>
      <w:r w:rsidRPr="00FD3DCF">
        <w:rPr>
          <w:sz w:val="24"/>
          <w:szCs w:val="24"/>
        </w:rPr>
        <w:t>alpha</w:t>
      </w:r>
    </w:p>
    <w:p w14:paraId="273B9F59" w14:textId="77777777" w:rsidR="00184415" w:rsidRPr="00184415" w:rsidRDefault="00184415" w:rsidP="00184415">
      <w:pPr>
        <w:kinsoku w:val="0"/>
        <w:overflowPunct w:val="0"/>
        <w:autoSpaceDE w:val="0"/>
        <w:autoSpaceDN w:val="0"/>
        <w:adjustRightInd w:val="0"/>
        <w:spacing w:before="7" w:after="0" w:line="240" w:lineRule="auto"/>
        <w:rPr>
          <w:rFonts w:ascii="Times New Roman" w:hAnsi="Times New Roman" w:cs="Times New Roman"/>
          <w:sz w:val="7"/>
          <w:szCs w:val="7"/>
        </w:rPr>
      </w:pPr>
    </w:p>
    <w:tbl>
      <w:tblPr>
        <w:tblStyle w:val="TableGrid"/>
        <w:tblW w:w="0" w:type="auto"/>
        <w:tblLook w:val="0020" w:firstRow="1" w:lastRow="0" w:firstColumn="0" w:lastColumn="0" w:noHBand="0" w:noVBand="0"/>
      </w:tblPr>
      <w:tblGrid>
        <w:gridCol w:w="1480"/>
        <w:gridCol w:w="2700"/>
        <w:gridCol w:w="2138"/>
        <w:gridCol w:w="1616"/>
      </w:tblGrid>
      <w:tr w:rsidR="00184415" w:rsidRPr="00184415" w14:paraId="198EE606" w14:textId="77777777" w:rsidTr="00720B72">
        <w:trPr>
          <w:trHeight w:val="288"/>
        </w:trPr>
        <w:tc>
          <w:tcPr>
            <w:tcW w:w="0" w:type="auto"/>
          </w:tcPr>
          <w:p w14:paraId="355CCEE8" w14:textId="77777777" w:rsidR="00184415" w:rsidRPr="00184415" w:rsidRDefault="00184415" w:rsidP="00184415">
            <w:pPr>
              <w:kinsoku w:val="0"/>
              <w:overflowPunct w:val="0"/>
              <w:autoSpaceDE w:val="0"/>
              <w:autoSpaceDN w:val="0"/>
              <w:adjustRightInd w:val="0"/>
              <w:spacing w:line="270" w:lineRule="exact"/>
              <w:ind w:right="487"/>
              <w:rPr>
                <w:rFonts w:cstheme="minorHAnsi"/>
                <w:b/>
                <w:bCs/>
                <w:sz w:val="24"/>
                <w:szCs w:val="24"/>
              </w:rPr>
            </w:pPr>
            <w:r w:rsidRPr="00184415">
              <w:rPr>
                <w:rFonts w:cstheme="minorHAnsi"/>
                <w:b/>
                <w:bCs/>
                <w:sz w:val="24"/>
                <w:szCs w:val="24"/>
              </w:rPr>
              <w:t>Module</w:t>
            </w:r>
          </w:p>
        </w:tc>
        <w:tc>
          <w:tcPr>
            <w:tcW w:w="0" w:type="auto"/>
          </w:tcPr>
          <w:p w14:paraId="59A768F4" w14:textId="77777777" w:rsidR="00FF204C" w:rsidRPr="00915A28" w:rsidRDefault="00184415" w:rsidP="00184415">
            <w:pPr>
              <w:kinsoku w:val="0"/>
              <w:overflowPunct w:val="0"/>
              <w:autoSpaceDE w:val="0"/>
              <w:autoSpaceDN w:val="0"/>
              <w:adjustRightInd w:val="0"/>
              <w:ind w:right="423"/>
              <w:rPr>
                <w:rFonts w:cstheme="minorHAnsi"/>
                <w:b/>
                <w:bCs/>
                <w:sz w:val="24"/>
                <w:szCs w:val="24"/>
              </w:rPr>
            </w:pPr>
            <w:r w:rsidRPr="00184415">
              <w:rPr>
                <w:rFonts w:cstheme="minorHAnsi"/>
                <w:b/>
                <w:bCs/>
                <w:sz w:val="24"/>
                <w:szCs w:val="24"/>
              </w:rPr>
              <w:t xml:space="preserve">Method </w:t>
            </w:r>
            <w:r w:rsidRPr="00184415">
              <w:rPr>
                <w:rFonts w:cstheme="minorHAnsi"/>
                <w:b/>
                <w:bCs/>
                <w:spacing w:val="-5"/>
                <w:sz w:val="24"/>
                <w:szCs w:val="24"/>
              </w:rPr>
              <w:t xml:space="preserve">and </w:t>
            </w:r>
            <w:r w:rsidRPr="00184415">
              <w:rPr>
                <w:rFonts w:cstheme="minorHAnsi"/>
                <w:b/>
                <w:bCs/>
                <w:sz w:val="24"/>
                <w:szCs w:val="24"/>
              </w:rPr>
              <w:t>Practice</w:t>
            </w:r>
          </w:p>
          <w:p w14:paraId="280AC357" w14:textId="2CA539CE" w:rsidR="00184415" w:rsidRPr="00184415" w:rsidRDefault="00184415" w:rsidP="00184415">
            <w:pPr>
              <w:kinsoku w:val="0"/>
              <w:overflowPunct w:val="0"/>
              <w:autoSpaceDE w:val="0"/>
              <w:autoSpaceDN w:val="0"/>
              <w:adjustRightInd w:val="0"/>
              <w:ind w:right="423"/>
              <w:rPr>
                <w:rFonts w:cstheme="minorHAnsi"/>
                <w:b/>
                <w:bCs/>
                <w:sz w:val="24"/>
                <w:szCs w:val="24"/>
              </w:rPr>
            </w:pPr>
            <w:r w:rsidRPr="00184415">
              <w:rPr>
                <w:rFonts w:cstheme="minorHAnsi"/>
                <w:b/>
                <w:bCs/>
                <w:spacing w:val="-2"/>
                <w:sz w:val="24"/>
                <w:szCs w:val="24"/>
              </w:rPr>
              <w:t xml:space="preserve"> </w:t>
            </w:r>
            <w:r w:rsidRPr="00184415">
              <w:rPr>
                <w:rFonts w:cstheme="minorHAnsi"/>
                <w:b/>
                <w:bCs/>
                <w:sz w:val="24"/>
                <w:szCs w:val="24"/>
              </w:rPr>
              <w:t>of</w:t>
            </w:r>
            <w:r w:rsidRPr="00915A28">
              <w:rPr>
                <w:rFonts w:cstheme="minorHAnsi"/>
                <w:b/>
                <w:bCs/>
                <w:sz w:val="24"/>
                <w:szCs w:val="24"/>
              </w:rPr>
              <w:t xml:space="preserve"> </w:t>
            </w:r>
            <w:r w:rsidRPr="00184415">
              <w:rPr>
                <w:rFonts w:cstheme="minorHAnsi"/>
                <w:b/>
                <w:bCs/>
                <w:sz w:val="24"/>
                <w:szCs w:val="24"/>
              </w:rPr>
              <w:t>Education</w:t>
            </w:r>
          </w:p>
        </w:tc>
        <w:tc>
          <w:tcPr>
            <w:tcW w:w="0" w:type="auto"/>
          </w:tcPr>
          <w:p w14:paraId="3FF4B952" w14:textId="77777777" w:rsidR="00184415" w:rsidRPr="00184415" w:rsidRDefault="00184415" w:rsidP="00184415">
            <w:pPr>
              <w:kinsoku w:val="0"/>
              <w:overflowPunct w:val="0"/>
              <w:autoSpaceDE w:val="0"/>
              <w:autoSpaceDN w:val="0"/>
              <w:adjustRightInd w:val="0"/>
              <w:rPr>
                <w:rFonts w:cstheme="minorHAnsi"/>
                <w:b/>
                <w:bCs/>
                <w:sz w:val="24"/>
                <w:szCs w:val="24"/>
              </w:rPr>
            </w:pPr>
            <w:r w:rsidRPr="00184415">
              <w:rPr>
                <w:rFonts w:cstheme="minorHAnsi"/>
                <w:b/>
                <w:bCs/>
                <w:w w:val="95"/>
                <w:sz w:val="24"/>
                <w:szCs w:val="24"/>
              </w:rPr>
              <w:t xml:space="preserve">Instructional </w:t>
            </w:r>
            <w:r w:rsidRPr="00184415">
              <w:rPr>
                <w:rFonts w:cstheme="minorHAnsi"/>
                <w:b/>
                <w:bCs/>
                <w:sz w:val="24"/>
                <w:szCs w:val="24"/>
              </w:rPr>
              <w:t>Design</w:t>
            </w:r>
          </w:p>
        </w:tc>
        <w:tc>
          <w:tcPr>
            <w:tcW w:w="0" w:type="auto"/>
          </w:tcPr>
          <w:p w14:paraId="2A765B07" w14:textId="77777777" w:rsidR="00184415" w:rsidRPr="00184415" w:rsidRDefault="00184415" w:rsidP="00184415">
            <w:pPr>
              <w:kinsoku w:val="0"/>
              <w:overflowPunct w:val="0"/>
              <w:autoSpaceDE w:val="0"/>
              <w:autoSpaceDN w:val="0"/>
              <w:adjustRightInd w:val="0"/>
              <w:spacing w:line="270" w:lineRule="exact"/>
              <w:ind w:right="288"/>
              <w:rPr>
                <w:rFonts w:cstheme="minorHAnsi"/>
                <w:b/>
                <w:bCs/>
                <w:sz w:val="24"/>
                <w:szCs w:val="24"/>
              </w:rPr>
            </w:pPr>
            <w:r w:rsidRPr="00184415">
              <w:rPr>
                <w:rFonts w:cstheme="minorHAnsi"/>
                <w:b/>
                <w:bCs/>
                <w:sz w:val="24"/>
                <w:szCs w:val="24"/>
              </w:rPr>
              <w:t>Total Score</w:t>
            </w:r>
          </w:p>
        </w:tc>
      </w:tr>
      <w:tr w:rsidR="00184415" w:rsidRPr="00184415" w14:paraId="33A184E9" w14:textId="77777777" w:rsidTr="00720B72">
        <w:trPr>
          <w:trHeight w:val="288"/>
        </w:trPr>
        <w:tc>
          <w:tcPr>
            <w:tcW w:w="0" w:type="auto"/>
          </w:tcPr>
          <w:p w14:paraId="1A1B3CCA" w14:textId="77777777" w:rsidR="00184415" w:rsidRPr="00184415" w:rsidRDefault="00184415" w:rsidP="00FF204C">
            <w:pPr>
              <w:kinsoku w:val="0"/>
              <w:overflowPunct w:val="0"/>
              <w:autoSpaceDE w:val="0"/>
              <w:autoSpaceDN w:val="0"/>
              <w:adjustRightInd w:val="0"/>
              <w:spacing w:line="264" w:lineRule="exact"/>
              <w:rPr>
                <w:rFonts w:cstheme="minorHAnsi"/>
                <w:w w:val="99"/>
                <w:sz w:val="24"/>
                <w:szCs w:val="24"/>
              </w:rPr>
            </w:pPr>
            <w:r w:rsidRPr="00184415">
              <w:rPr>
                <w:rFonts w:cstheme="minorHAnsi"/>
                <w:w w:val="99"/>
                <w:sz w:val="24"/>
                <w:szCs w:val="24"/>
              </w:rPr>
              <w:t>1</w:t>
            </w:r>
          </w:p>
        </w:tc>
        <w:tc>
          <w:tcPr>
            <w:tcW w:w="0" w:type="auto"/>
          </w:tcPr>
          <w:p w14:paraId="21F7C53C" w14:textId="77777777" w:rsidR="00184415" w:rsidRPr="00184415" w:rsidRDefault="00184415" w:rsidP="007C0E56">
            <w:pPr>
              <w:kinsoku w:val="0"/>
              <w:overflowPunct w:val="0"/>
              <w:autoSpaceDE w:val="0"/>
              <w:autoSpaceDN w:val="0"/>
              <w:adjustRightInd w:val="0"/>
              <w:spacing w:line="264" w:lineRule="exact"/>
              <w:ind w:right="849"/>
              <w:jc w:val="right"/>
              <w:rPr>
                <w:rFonts w:cstheme="minorHAnsi"/>
                <w:w w:val="95"/>
                <w:sz w:val="24"/>
                <w:szCs w:val="24"/>
              </w:rPr>
            </w:pPr>
            <w:r w:rsidRPr="00184415">
              <w:rPr>
                <w:rFonts w:cstheme="minorHAnsi"/>
                <w:w w:val="95"/>
                <w:sz w:val="24"/>
                <w:szCs w:val="24"/>
              </w:rPr>
              <w:t>0.65</w:t>
            </w:r>
          </w:p>
        </w:tc>
        <w:tc>
          <w:tcPr>
            <w:tcW w:w="0" w:type="auto"/>
          </w:tcPr>
          <w:p w14:paraId="39565CF3" w14:textId="77777777" w:rsidR="00184415" w:rsidRPr="00184415" w:rsidRDefault="00184415" w:rsidP="007C0E56">
            <w:pPr>
              <w:kinsoku w:val="0"/>
              <w:overflowPunct w:val="0"/>
              <w:autoSpaceDE w:val="0"/>
              <w:autoSpaceDN w:val="0"/>
              <w:adjustRightInd w:val="0"/>
              <w:spacing w:line="264" w:lineRule="exact"/>
              <w:ind w:right="884"/>
              <w:jc w:val="right"/>
              <w:rPr>
                <w:rFonts w:cstheme="minorHAnsi"/>
                <w:sz w:val="24"/>
                <w:szCs w:val="24"/>
              </w:rPr>
            </w:pPr>
            <w:r w:rsidRPr="00184415">
              <w:rPr>
                <w:rFonts w:cstheme="minorHAnsi"/>
                <w:sz w:val="24"/>
                <w:szCs w:val="24"/>
              </w:rPr>
              <w:t>0.72</w:t>
            </w:r>
          </w:p>
        </w:tc>
        <w:tc>
          <w:tcPr>
            <w:tcW w:w="0" w:type="auto"/>
          </w:tcPr>
          <w:p w14:paraId="41389B10" w14:textId="77777777" w:rsidR="00184415" w:rsidRPr="00184415" w:rsidRDefault="00184415" w:rsidP="007C0E56">
            <w:pPr>
              <w:kinsoku w:val="0"/>
              <w:overflowPunct w:val="0"/>
              <w:autoSpaceDE w:val="0"/>
              <w:autoSpaceDN w:val="0"/>
              <w:adjustRightInd w:val="0"/>
              <w:spacing w:line="264" w:lineRule="exact"/>
              <w:ind w:right="288"/>
              <w:jc w:val="right"/>
              <w:rPr>
                <w:rFonts w:cstheme="minorHAnsi"/>
                <w:sz w:val="24"/>
                <w:szCs w:val="24"/>
              </w:rPr>
            </w:pPr>
            <w:r w:rsidRPr="00184415">
              <w:rPr>
                <w:rFonts w:cstheme="minorHAnsi"/>
                <w:sz w:val="24"/>
                <w:szCs w:val="24"/>
              </w:rPr>
              <w:t>0.78</w:t>
            </w:r>
          </w:p>
        </w:tc>
      </w:tr>
      <w:tr w:rsidR="00184415" w:rsidRPr="00184415" w14:paraId="6743AFC5" w14:textId="77777777" w:rsidTr="00720B72">
        <w:trPr>
          <w:trHeight w:val="288"/>
        </w:trPr>
        <w:tc>
          <w:tcPr>
            <w:tcW w:w="0" w:type="auto"/>
          </w:tcPr>
          <w:p w14:paraId="5674BF27" w14:textId="77777777" w:rsidR="00184415" w:rsidRPr="00184415" w:rsidRDefault="00184415" w:rsidP="00FF204C">
            <w:pPr>
              <w:kinsoku w:val="0"/>
              <w:overflowPunct w:val="0"/>
              <w:autoSpaceDE w:val="0"/>
              <w:autoSpaceDN w:val="0"/>
              <w:adjustRightInd w:val="0"/>
              <w:spacing w:before="15" w:line="265" w:lineRule="exact"/>
              <w:rPr>
                <w:rFonts w:cstheme="minorHAnsi"/>
                <w:w w:val="99"/>
                <w:sz w:val="24"/>
                <w:szCs w:val="24"/>
              </w:rPr>
            </w:pPr>
            <w:r w:rsidRPr="00184415">
              <w:rPr>
                <w:rFonts w:cstheme="minorHAnsi"/>
                <w:w w:val="99"/>
                <w:sz w:val="24"/>
                <w:szCs w:val="24"/>
              </w:rPr>
              <w:t>2</w:t>
            </w:r>
          </w:p>
        </w:tc>
        <w:tc>
          <w:tcPr>
            <w:tcW w:w="0" w:type="auto"/>
          </w:tcPr>
          <w:p w14:paraId="57D61335" w14:textId="77777777" w:rsidR="00184415" w:rsidRPr="00184415" w:rsidRDefault="00184415" w:rsidP="007C0E56">
            <w:pPr>
              <w:kinsoku w:val="0"/>
              <w:overflowPunct w:val="0"/>
              <w:autoSpaceDE w:val="0"/>
              <w:autoSpaceDN w:val="0"/>
              <w:adjustRightInd w:val="0"/>
              <w:spacing w:before="15" w:line="265" w:lineRule="exact"/>
              <w:ind w:right="849"/>
              <w:jc w:val="right"/>
              <w:rPr>
                <w:rFonts w:cstheme="minorHAnsi"/>
                <w:w w:val="95"/>
                <w:sz w:val="24"/>
                <w:szCs w:val="24"/>
              </w:rPr>
            </w:pPr>
            <w:r w:rsidRPr="00184415">
              <w:rPr>
                <w:rFonts w:cstheme="minorHAnsi"/>
                <w:w w:val="95"/>
                <w:sz w:val="24"/>
                <w:szCs w:val="24"/>
              </w:rPr>
              <w:t>0.78</w:t>
            </w:r>
          </w:p>
        </w:tc>
        <w:tc>
          <w:tcPr>
            <w:tcW w:w="0" w:type="auto"/>
          </w:tcPr>
          <w:p w14:paraId="4AABC280" w14:textId="77777777" w:rsidR="00184415" w:rsidRPr="00184415" w:rsidRDefault="00184415" w:rsidP="007C0E56">
            <w:pPr>
              <w:kinsoku w:val="0"/>
              <w:overflowPunct w:val="0"/>
              <w:autoSpaceDE w:val="0"/>
              <w:autoSpaceDN w:val="0"/>
              <w:adjustRightInd w:val="0"/>
              <w:spacing w:before="15" w:line="265" w:lineRule="exact"/>
              <w:ind w:right="884"/>
              <w:jc w:val="right"/>
              <w:rPr>
                <w:rFonts w:cstheme="minorHAnsi"/>
                <w:sz w:val="24"/>
                <w:szCs w:val="24"/>
              </w:rPr>
            </w:pPr>
            <w:r w:rsidRPr="00184415">
              <w:rPr>
                <w:rFonts w:cstheme="minorHAnsi"/>
                <w:sz w:val="24"/>
                <w:szCs w:val="24"/>
              </w:rPr>
              <w:t>0.72</w:t>
            </w:r>
          </w:p>
        </w:tc>
        <w:tc>
          <w:tcPr>
            <w:tcW w:w="0" w:type="auto"/>
          </w:tcPr>
          <w:p w14:paraId="3A519812" w14:textId="77777777" w:rsidR="00184415" w:rsidRPr="00184415" w:rsidRDefault="00184415" w:rsidP="007C0E56">
            <w:pPr>
              <w:kinsoku w:val="0"/>
              <w:overflowPunct w:val="0"/>
              <w:autoSpaceDE w:val="0"/>
              <w:autoSpaceDN w:val="0"/>
              <w:adjustRightInd w:val="0"/>
              <w:spacing w:before="15" w:line="265" w:lineRule="exact"/>
              <w:ind w:right="288"/>
              <w:jc w:val="right"/>
              <w:rPr>
                <w:rFonts w:cstheme="minorHAnsi"/>
                <w:sz w:val="24"/>
                <w:szCs w:val="24"/>
              </w:rPr>
            </w:pPr>
            <w:r w:rsidRPr="00184415">
              <w:rPr>
                <w:rFonts w:cstheme="minorHAnsi"/>
                <w:sz w:val="24"/>
                <w:szCs w:val="24"/>
              </w:rPr>
              <w:t>0.82</w:t>
            </w:r>
          </w:p>
        </w:tc>
      </w:tr>
      <w:tr w:rsidR="00184415" w:rsidRPr="00184415" w14:paraId="10641F8A" w14:textId="77777777" w:rsidTr="00720B72">
        <w:trPr>
          <w:trHeight w:val="288"/>
        </w:trPr>
        <w:tc>
          <w:tcPr>
            <w:tcW w:w="0" w:type="auto"/>
          </w:tcPr>
          <w:p w14:paraId="2ABB127A" w14:textId="77777777" w:rsidR="00184415" w:rsidRPr="00184415" w:rsidRDefault="00184415" w:rsidP="00FF204C">
            <w:pPr>
              <w:kinsoku w:val="0"/>
              <w:overflowPunct w:val="0"/>
              <w:autoSpaceDE w:val="0"/>
              <w:autoSpaceDN w:val="0"/>
              <w:adjustRightInd w:val="0"/>
              <w:spacing w:before="15" w:line="265" w:lineRule="exact"/>
              <w:ind w:left="54"/>
              <w:rPr>
                <w:rFonts w:cstheme="minorHAnsi"/>
                <w:w w:val="99"/>
                <w:sz w:val="24"/>
                <w:szCs w:val="24"/>
              </w:rPr>
            </w:pPr>
            <w:r w:rsidRPr="00184415">
              <w:rPr>
                <w:rFonts w:cstheme="minorHAnsi"/>
                <w:w w:val="99"/>
                <w:sz w:val="24"/>
                <w:szCs w:val="24"/>
              </w:rPr>
              <w:t>3</w:t>
            </w:r>
          </w:p>
        </w:tc>
        <w:tc>
          <w:tcPr>
            <w:tcW w:w="0" w:type="auto"/>
          </w:tcPr>
          <w:p w14:paraId="65C09A1A" w14:textId="77777777" w:rsidR="00184415" w:rsidRPr="00184415" w:rsidRDefault="00184415" w:rsidP="007C0E56">
            <w:pPr>
              <w:kinsoku w:val="0"/>
              <w:overflowPunct w:val="0"/>
              <w:autoSpaceDE w:val="0"/>
              <w:autoSpaceDN w:val="0"/>
              <w:adjustRightInd w:val="0"/>
              <w:spacing w:before="15" w:line="265" w:lineRule="exact"/>
              <w:ind w:right="849"/>
              <w:jc w:val="right"/>
              <w:rPr>
                <w:rFonts w:cstheme="minorHAnsi"/>
                <w:w w:val="95"/>
                <w:sz w:val="24"/>
                <w:szCs w:val="24"/>
              </w:rPr>
            </w:pPr>
            <w:r w:rsidRPr="00184415">
              <w:rPr>
                <w:rFonts w:cstheme="minorHAnsi"/>
                <w:w w:val="95"/>
                <w:sz w:val="24"/>
                <w:szCs w:val="24"/>
              </w:rPr>
              <w:t>0.86</w:t>
            </w:r>
          </w:p>
        </w:tc>
        <w:tc>
          <w:tcPr>
            <w:tcW w:w="0" w:type="auto"/>
          </w:tcPr>
          <w:p w14:paraId="28E4B1BC" w14:textId="77777777" w:rsidR="00184415" w:rsidRPr="00184415" w:rsidRDefault="00184415" w:rsidP="007C0E56">
            <w:pPr>
              <w:kinsoku w:val="0"/>
              <w:overflowPunct w:val="0"/>
              <w:autoSpaceDE w:val="0"/>
              <w:autoSpaceDN w:val="0"/>
              <w:adjustRightInd w:val="0"/>
              <w:spacing w:before="15" w:line="265" w:lineRule="exact"/>
              <w:ind w:right="884"/>
              <w:jc w:val="right"/>
              <w:rPr>
                <w:rFonts w:cstheme="minorHAnsi"/>
                <w:sz w:val="24"/>
                <w:szCs w:val="24"/>
              </w:rPr>
            </w:pPr>
            <w:r w:rsidRPr="00184415">
              <w:rPr>
                <w:rFonts w:cstheme="minorHAnsi"/>
                <w:sz w:val="24"/>
                <w:szCs w:val="24"/>
              </w:rPr>
              <w:t>0.92</w:t>
            </w:r>
          </w:p>
        </w:tc>
        <w:tc>
          <w:tcPr>
            <w:tcW w:w="0" w:type="auto"/>
          </w:tcPr>
          <w:p w14:paraId="68834E6A" w14:textId="77777777" w:rsidR="00184415" w:rsidRPr="00184415" w:rsidRDefault="00184415" w:rsidP="007C0E56">
            <w:pPr>
              <w:kinsoku w:val="0"/>
              <w:overflowPunct w:val="0"/>
              <w:autoSpaceDE w:val="0"/>
              <w:autoSpaceDN w:val="0"/>
              <w:adjustRightInd w:val="0"/>
              <w:spacing w:before="15" w:line="265" w:lineRule="exact"/>
              <w:ind w:right="288"/>
              <w:jc w:val="right"/>
              <w:rPr>
                <w:rFonts w:cstheme="minorHAnsi"/>
                <w:sz w:val="24"/>
                <w:szCs w:val="24"/>
              </w:rPr>
            </w:pPr>
            <w:r w:rsidRPr="00184415">
              <w:rPr>
                <w:rFonts w:cstheme="minorHAnsi"/>
                <w:sz w:val="24"/>
                <w:szCs w:val="24"/>
              </w:rPr>
              <w:t>0.95</w:t>
            </w:r>
          </w:p>
        </w:tc>
      </w:tr>
      <w:tr w:rsidR="00184415" w:rsidRPr="00184415" w14:paraId="4D8CB6D3" w14:textId="77777777" w:rsidTr="00720B72">
        <w:trPr>
          <w:trHeight w:val="288"/>
        </w:trPr>
        <w:tc>
          <w:tcPr>
            <w:tcW w:w="0" w:type="auto"/>
          </w:tcPr>
          <w:p w14:paraId="6C1A9B3D" w14:textId="77777777" w:rsidR="00184415" w:rsidRPr="00184415" w:rsidRDefault="00184415" w:rsidP="00FF204C">
            <w:pPr>
              <w:kinsoku w:val="0"/>
              <w:overflowPunct w:val="0"/>
              <w:autoSpaceDE w:val="0"/>
              <w:autoSpaceDN w:val="0"/>
              <w:adjustRightInd w:val="0"/>
              <w:spacing w:before="15" w:line="265" w:lineRule="exact"/>
              <w:ind w:left="54"/>
              <w:rPr>
                <w:rFonts w:cstheme="minorHAnsi"/>
                <w:w w:val="99"/>
                <w:sz w:val="24"/>
                <w:szCs w:val="24"/>
              </w:rPr>
            </w:pPr>
            <w:r w:rsidRPr="00184415">
              <w:rPr>
                <w:rFonts w:cstheme="minorHAnsi"/>
                <w:w w:val="99"/>
                <w:sz w:val="24"/>
                <w:szCs w:val="24"/>
              </w:rPr>
              <w:t>4</w:t>
            </w:r>
          </w:p>
        </w:tc>
        <w:tc>
          <w:tcPr>
            <w:tcW w:w="0" w:type="auto"/>
          </w:tcPr>
          <w:p w14:paraId="53C27682" w14:textId="77777777" w:rsidR="00184415" w:rsidRPr="00184415" w:rsidRDefault="00184415" w:rsidP="007C0E56">
            <w:pPr>
              <w:kinsoku w:val="0"/>
              <w:overflowPunct w:val="0"/>
              <w:autoSpaceDE w:val="0"/>
              <w:autoSpaceDN w:val="0"/>
              <w:adjustRightInd w:val="0"/>
              <w:spacing w:before="15" w:line="265" w:lineRule="exact"/>
              <w:ind w:right="849"/>
              <w:jc w:val="right"/>
              <w:rPr>
                <w:rFonts w:cstheme="minorHAnsi"/>
                <w:w w:val="95"/>
                <w:sz w:val="24"/>
                <w:szCs w:val="24"/>
              </w:rPr>
            </w:pPr>
            <w:r w:rsidRPr="00184415">
              <w:rPr>
                <w:rFonts w:cstheme="minorHAnsi"/>
                <w:w w:val="95"/>
                <w:sz w:val="24"/>
                <w:szCs w:val="24"/>
              </w:rPr>
              <w:t>0.45</w:t>
            </w:r>
          </w:p>
        </w:tc>
        <w:tc>
          <w:tcPr>
            <w:tcW w:w="0" w:type="auto"/>
          </w:tcPr>
          <w:p w14:paraId="66494319" w14:textId="77777777" w:rsidR="00184415" w:rsidRPr="00184415" w:rsidRDefault="00184415" w:rsidP="007C0E56">
            <w:pPr>
              <w:kinsoku w:val="0"/>
              <w:overflowPunct w:val="0"/>
              <w:autoSpaceDE w:val="0"/>
              <w:autoSpaceDN w:val="0"/>
              <w:adjustRightInd w:val="0"/>
              <w:spacing w:before="15" w:line="265" w:lineRule="exact"/>
              <w:ind w:right="884"/>
              <w:jc w:val="right"/>
              <w:rPr>
                <w:rFonts w:cstheme="minorHAnsi"/>
                <w:sz w:val="24"/>
                <w:szCs w:val="24"/>
              </w:rPr>
            </w:pPr>
            <w:r w:rsidRPr="00184415">
              <w:rPr>
                <w:rFonts w:cstheme="minorHAnsi"/>
                <w:sz w:val="24"/>
                <w:szCs w:val="24"/>
              </w:rPr>
              <w:t>0.86</w:t>
            </w:r>
          </w:p>
        </w:tc>
        <w:tc>
          <w:tcPr>
            <w:tcW w:w="0" w:type="auto"/>
          </w:tcPr>
          <w:p w14:paraId="23A0092D" w14:textId="77777777" w:rsidR="00184415" w:rsidRPr="00184415" w:rsidRDefault="00184415" w:rsidP="007C0E56">
            <w:pPr>
              <w:kinsoku w:val="0"/>
              <w:overflowPunct w:val="0"/>
              <w:autoSpaceDE w:val="0"/>
              <w:autoSpaceDN w:val="0"/>
              <w:adjustRightInd w:val="0"/>
              <w:spacing w:before="15" w:line="265" w:lineRule="exact"/>
              <w:ind w:right="288"/>
              <w:jc w:val="right"/>
              <w:rPr>
                <w:rFonts w:cstheme="minorHAnsi"/>
                <w:sz w:val="24"/>
                <w:szCs w:val="24"/>
              </w:rPr>
            </w:pPr>
            <w:r w:rsidRPr="00184415">
              <w:rPr>
                <w:rFonts w:cstheme="minorHAnsi"/>
                <w:sz w:val="24"/>
                <w:szCs w:val="24"/>
              </w:rPr>
              <w:t>0.83</w:t>
            </w:r>
          </w:p>
        </w:tc>
      </w:tr>
      <w:tr w:rsidR="00184415" w:rsidRPr="00184415" w14:paraId="554E2A58" w14:textId="77777777" w:rsidTr="00720B72">
        <w:trPr>
          <w:trHeight w:val="288"/>
        </w:trPr>
        <w:tc>
          <w:tcPr>
            <w:tcW w:w="0" w:type="auto"/>
          </w:tcPr>
          <w:p w14:paraId="2A4E8E53" w14:textId="77777777" w:rsidR="00184415" w:rsidRPr="00184415" w:rsidRDefault="00184415" w:rsidP="00FF204C">
            <w:pPr>
              <w:kinsoku w:val="0"/>
              <w:overflowPunct w:val="0"/>
              <w:autoSpaceDE w:val="0"/>
              <w:autoSpaceDN w:val="0"/>
              <w:adjustRightInd w:val="0"/>
              <w:spacing w:before="15"/>
              <w:ind w:left="54"/>
              <w:rPr>
                <w:rFonts w:cstheme="minorHAnsi"/>
                <w:w w:val="99"/>
                <w:sz w:val="24"/>
                <w:szCs w:val="24"/>
              </w:rPr>
            </w:pPr>
            <w:r w:rsidRPr="00184415">
              <w:rPr>
                <w:rFonts w:cstheme="minorHAnsi"/>
                <w:w w:val="99"/>
                <w:sz w:val="24"/>
                <w:szCs w:val="24"/>
              </w:rPr>
              <w:t>5</w:t>
            </w:r>
          </w:p>
        </w:tc>
        <w:tc>
          <w:tcPr>
            <w:tcW w:w="0" w:type="auto"/>
          </w:tcPr>
          <w:p w14:paraId="22B6DF8B" w14:textId="77777777" w:rsidR="00184415" w:rsidRPr="00184415" w:rsidRDefault="00184415" w:rsidP="007C0E56">
            <w:pPr>
              <w:kinsoku w:val="0"/>
              <w:overflowPunct w:val="0"/>
              <w:autoSpaceDE w:val="0"/>
              <w:autoSpaceDN w:val="0"/>
              <w:adjustRightInd w:val="0"/>
              <w:spacing w:before="15"/>
              <w:ind w:right="849"/>
              <w:jc w:val="right"/>
              <w:rPr>
                <w:rFonts w:cstheme="minorHAnsi"/>
                <w:w w:val="95"/>
                <w:sz w:val="24"/>
                <w:szCs w:val="24"/>
              </w:rPr>
            </w:pPr>
            <w:r w:rsidRPr="00184415">
              <w:rPr>
                <w:rFonts w:cstheme="minorHAnsi"/>
                <w:w w:val="95"/>
                <w:sz w:val="24"/>
                <w:szCs w:val="24"/>
              </w:rPr>
              <w:t>0.81</w:t>
            </w:r>
          </w:p>
        </w:tc>
        <w:tc>
          <w:tcPr>
            <w:tcW w:w="0" w:type="auto"/>
          </w:tcPr>
          <w:p w14:paraId="5CAAA5B8" w14:textId="77777777" w:rsidR="00184415" w:rsidRPr="00184415" w:rsidRDefault="00184415" w:rsidP="007C0E56">
            <w:pPr>
              <w:kinsoku w:val="0"/>
              <w:overflowPunct w:val="0"/>
              <w:autoSpaceDE w:val="0"/>
              <w:autoSpaceDN w:val="0"/>
              <w:adjustRightInd w:val="0"/>
              <w:spacing w:before="15"/>
              <w:ind w:right="884"/>
              <w:jc w:val="right"/>
              <w:rPr>
                <w:rFonts w:cstheme="minorHAnsi"/>
                <w:sz w:val="24"/>
                <w:szCs w:val="24"/>
              </w:rPr>
            </w:pPr>
            <w:r w:rsidRPr="00184415">
              <w:rPr>
                <w:rFonts w:cstheme="minorHAnsi"/>
                <w:sz w:val="24"/>
                <w:szCs w:val="24"/>
              </w:rPr>
              <w:t>0.89</w:t>
            </w:r>
          </w:p>
        </w:tc>
        <w:tc>
          <w:tcPr>
            <w:tcW w:w="0" w:type="auto"/>
          </w:tcPr>
          <w:p w14:paraId="19A475F6" w14:textId="77777777" w:rsidR="00184415" w:rsidRPr="00184415" w:rsidRDefault="00184415" w:rsidP="007C0E56">
            <w:pPr>
              <w:kinsoku w:val="0"/>
              <w:overflowPunct w:val="0"/>
              <w:autoSpaceDE w:val="0"/>
              <w:autoSpaceDN w:val="0"/>
              <w:adjustRightInd w:val="0"/>
              <w:spacing w:before="15"/>
              <w:ind w:right="288"/>
              <w:jc w:val="right"/>
              <w:rPr>
                <w:rFonts w:cstheme="minorHAnsi"/>
                <w:sz w:val="24"/>
                <w:szCs w:val="24"/>
              </w:rPr>
            </w:pPr>
            <w:r w:rsidRPr="00184415">
              <w:rPr>
                <w:rFonts w:cstheme="minorHAnsi"/>
                <w:sz w:val="24"/>
                <w:szCs w:val="24"/>
              </w:rPr>
              <w:t>0.93</w:t>
            </w:r>
          </w:p>
        </w:tc>
      </w:tr>
    </w:tbl>
    <w:p w14:paraId="1FA0C5F2" w14:textId="77777777" w:rsidR="000F4516" w:rsidRPr="005B7F7A" w:rsidRDefault="000F4516" w:rsidP="000F4516">
      <w:pPr>
        <w:rPr>
          <w:rFonts w:cstheme="minorHAnsi"/>
          <w:sz w:val="24"/>
          <w:szCs w:val="24"/>
        </w:rPr>
      </w:pPr>
    </w:p>
    <w:p w14:paraId="68015398" w14:textId="77777777" w:rsidR="00FF204C" w:rsidRDefault="000F4516" w:rsidP="002E64A1">
      <w:pPr>
        <w:spacing w:after="0"/>
        <w:ind w:left="720"/>
        <w:rPr>
          <w:rFonts w:cstheme="minorHAnsi"/>
          <w:sz w:val="24"/>
          <w:szCs w:val="24"/>
        </w:rPr>
      </w:pPr>
      <w:r w:rsidRPr="005B7F7A">
        <w:rPr>
          <w:rFonts w:cstheme="minorHAnsi"/>
          <w:sz w:val="24"/>
          <w:szCs w:val="24"/>
        </w:rPr>
        <w:t xml:space="preserve">Research Question 2: What is the inter-rater reliability for using NEscore? </w:t>
      </w:r>
    </w:p>
    <w:p w14:paraId="7AB3066D" w14:textId="77777777" w:rsidR="002E64A1" w:rsidRDefault="000F4516" w:rsidP="002E64A1">
      <w:pPr>
        <w:spacing w:after="0"/>
        <w:ind w:left="720"/>
        <w:rPr>
          <w:rFonts w:cstheme="minorHAnsi"/>
          <w:sz w:val="24"/>
          <w:szCs w:val="24"/>
        </w:rPr>
      </w:pPr>
      <w:r w:rsidRPr="005B7F7A">
        <w:rPr>
          <w:rFonts w:cstheme="minorHAnsi"/>
          <w:sz w:val="24"/>
          <w:szCs w:val="24"/>
        </w:rPr>
        <w:t xml:space="preserve">Data Sources: Participants’ ratings of 5 E-learning modules using the NEscore </w:t>
      </w:r>
    </w:p>
    <w:p w14:paraId="724F3C14" w14:textId="76350C45" w:rsidR="000F4516" w:rsidRPr="005B7F7A" w:rsidRDefault="000F4516" w:rsidP="002E64A1">
      <w:pPr>
        <w:spacing w:after="0"/>
        <w:ind w:left="720"/>
        <w:rPr>
          <w:rFonts w:cstheme="minorHAnsi"/>
          <w:sz w:val="24"/>
          <w:szCs w:val="24"/>
        </w:rPr>
      </w:pPr>
      <w:r w:rsidRPr="005B7F7A">
        <w:rPr>
          <w:rFonts w:cstheme="minorHAnsi"/>
          <w:sz w:val="24"/>
          <w:szCs w:val="24"/>
        </w:rPr>
        <w:t>Data Analysis: Intra-class correlation coefficient (ICC)</w:t>
      </w:r>
    </w:p>
    <w:p w14:paraId="7D9CCC8E" w14:textId="77777777" w:rsidR="00915A28" w:rsidRPr="00915A28" w:rsidRDefault="00915A28" w:rsidP="00915A28">
      <w:pPr>
        <w:kinsoku w:val="0"/>
        <w:overflowPunct w:val="0"/>
        <w:autoSpaceDE w:val="0"/>
        <w:autoSpaceDN w:val="0"/>
        <w:adjustRightInd w:val="0"/>
        <w:spacing w:before="6" w:after="0" w:line="240" w:lineRule="auto"/>
        <w:rPr>
          <w:rFonts w:ascii="Times New Roman" w:hAnsi="Times New Roman" w:cs="Times New Roman"/>
          <w:sz w:val="8"/>
          <w:szCs w:val="8"/>
        </w:rPr>
      </w:pPr>
    </w:p>
    <w:tbl>
      <w:tblPr>
        <w:tblStyle w:val="TableGrid"/>
        <w:tblW w:w="0" w:type="auto"/>
        <w:tblLayout w:type="fixed"/>
        <w:tblLook w:val="0020" w:firstRow="1" w:lastRow="0" w:firstColumn="0" w:lastColumn="0" w:noHBand="0" w:noVBand="0"/>
      </w:tblPr>
      <w:tblGrid>
        <w:gridCol w:w="4076"/>
        <w:gridCol w:w="1245"/>
        <w:gridCol w:w="1676"/>
      </w:tblGrid>
      <w:tr w:rsidR="00915A28" w:rsidRPr="00915A28" w14:paraId="406B5189" w14:textId="77777777" w:rsidTr="00720B72">
        <w:trPr>
          <w:trHeight w:val="290"/>
        </w:trPr>
        <w:tc>
          <w:tcPr>
            <w:tcW w:w="4076" w:type="dxa"/>
          </w:tcPr>
          <w:p w14:paraId="03606969" w14:textId="77777777" w:rsidR="00915A28" w:rsidRPr="00915A28" w:rsidRDefault="00915A28" w:rsidP="00915A28">
            <w:pPr>
              <w:kinsoku w:val="0"/>
              <w:overflowPunct w:val="0"/>
              <w:autoSpaceDE w:val="0"/>
              <w:autoSpaceDN w:val="0"/>
              <w:adjustRightInd w:val="0"/>
              <w:spacing w:line="270" w:lineRule="exact"/>
              <w:ind w:right="1610"/>
              <w:rPr>
                <w:rFonts w:cstheme="minorHAnsi"/>
                <w:b/>
                <w:bCs/>
                <w:sz w:val="24"/>
                <w:szCs w:val="24"/>
              </w:rPr>
            </w:pPr>
            <w:r w:rsidRPr="00915A28">
              <w:rPr>
                <w:rFonts w:cstheme="minorHAnsi"/>
                <w:b/>
                <w:bCs/>
                <w:sz w:val="24"/>
                <w:szCs w:val="24"/>
              </w:rPr>
              <w:t>Scale</w:t>
            </w:r>
          </w:p>
        </w:tc>
        <w:tc>
          <w:tcPr>
            <w:tcW w:w="1245" w:type="dxa"/>
          </w:tcPr>
          <w:p w14:paraId="24B8A482" w14:textId="77777777" w:rsidR="00915A28" w:rsidRPr="00915A28" w:rsidRDefault="00915A28" w:rsidP="00915A28">
            <w:pPr>
              <w:kinsoku w:val="0"/>
              <w:overflowPunct w:val="0"/>
              <w:autoSpaceDE w:val="0"/>
              <w:autoSpaceDN w:val="0"/>
              <w:adjustRightInd w:val="0"/>
              <w:spacing w:line="270" w:lineRule="exact"/>
              <w:ind w:right="320"/>
              <w:rPr>
                <w:rFonts w:cstheme="minorHAnsi"/>
                <w:b/>
                <w:bCs/>
                <w:sz w:val="24"/>
                <w:szCs w:val="24"/>
              </w:rPr>
            </w:pPr>
            <w:r w:rsidRPr="00915A28">
              <w:rPr>
                <w:rFonts w:cstheme="minorHAnsi"/>
                <w:b/>
                <w:bCs/>
                <w:sz w:val="24"/>
                <w:szCs w:val="24"/>
              </w:rPr>
              <w:t>ICC</w:t>
            </w:r>
          </w:p>
        </w:tc>
        <w:tc>
          <w:tcPr>
            <w:tcW w:w="1676" w:type="dxa"/>
          </w:tcPr>
          <w:p w14:paraId="5A8BCE04" w14:textId="77777777" w:rsidR="00915A28" w:rsidRPr="00915A28" w:rsidRDefault="00915A28" w:rsidP="00915A28">
            <w:pPr>
              <w:kinsoku w:val="0"/>
              <w:overflowPunct w:val="0"/>
              <w:autoSpaceDE w:val="0"/>
              <w:autoSpaceDN w:val="0"/>
              <w:adjustRightInd w:val="0"/>
              <w:spacing w:line="270" w:lineRule="exact"/>
              <w:rPr>
                <w:rFonts w:cstheme="minorHAnsi"/>
                <w:b/>
                <w:bCs/>
                <w:sz w:val="24"/>
                <w:szCs w:val="24"/>
              </w:rPr>
            </w:pPr>
            <w:r w:rsidRPr="00915A28">
              <w:rPr>
                <w:rFonts w:cstheme="minorHAnsi"/>
                <w:b/>
                <w:bCs/>
                <w:sz w:val="24"/>
                <w:szCs w:val="24"/>
              </w:rPr>
              <w:t>95%CI</w:t>
            </w:r>
          </w:p>
        </w:tc>
      </w:tr>
      <w:tr w:rsidR="00915A28" w:rsidRPr="00915A28" w14:paraId="1267BC64" w14:textId="77777777" w:rsidTr="00720B72">
        <w:trPr>
          <w:trHeight w:val="282"/>
        </w:trPr>
        <w:tc>
          <w:tcPr>
            <w:tcW w:w="4076" w:type="dxa"/>
          </w:tcPr>
          <w:p w14:paraId="7023C5B1" w14:textId="77777777" w:rsidR="00915A28" w:rsidRPr="00915A28" w:rsidRDefault="00915A28" w:rsidP="00915A28">
            <w:pPr>
              <w:kinsoku w:val="0"/>
              <w:overflowPunct w:val="0"/>
              <w:autoSpaceDE w:val="0"/>
              <w:autoSpaceDN w:val="0"/>
              <w:adjustRightInd w:val="0"/>
              <w:spacing w:before="1" w:line="260" w:lineRule="exact"/>
              <w:rPr>
                <w:rFonts w:cstheme="minorHAnsi"/>
                <w:sz w:val="24"/>
                <w:szCs w:val="24"/>
              </w:rPr>
            </w:pPr>
            <w:r w:rsidRPr="00915A28">
              <w:rPr>
                <w:rFonts w:cstheme="minorHAnsi"/>
                <w:sz w:val="24"/>
                <w:szCs w:val="24"/>
              </w:rPr>
              <w:t>Method and Practice of Education</w:t>
            </w:r>
          </w:p>
        </w:tc>
        <w:tc>
          <w:tcPr>
            <w:tcW w:w="1245" w:type="dxa"/>
          </w:tcPr>
          <w:p w14:paraId="2763F7BC" w14:textId="77777777" w:rsidR="00915A28" w:rsidRPr="00915A28" w:rsidRDefault="00915A28" w:rsidP="007C0E56">
            <w:pPr>
              <w:kinsoku w:val="0"/>
              <w:overflowPunct w:val="0"/>
              <w:autoSpaceDE w:val="0"/>
              <w:autoSpaceDN w:val="0"/>
              <w:adjustRightInd w:val="0"/>
              <w:spacing w:before="1" w:line="260" w:lineRule="exact"/>
              <w:ind w:right="356"/>
              <w:jc w:val="right"/>
              <w:rPr>
                <w:rFonts w:cstheme="minorHAnsi"/>
                <w:w w:val="95"/>
                <w:sz w:val="24"/>
                <w:szCs w:val="24"/>
              </w:rPr>
            </w:pPr>
            <w:r w:rsidRPr="00915A28">
              <w:rPr>
                <w:rFonts w:cstheme="minorHAnsi"/>
                <w:w w:val="95"/>
                <w:sz w:val="24"/>
                <w:szCs w:val="24"/>
              </w:rPr>
              <w:t>0.95</w:t>
            </w:r>
          </w:p>
        </w:tc>
        <w:tc>
          <w:tcPr>
            <w:tcW w:w="1676" w:type="dxa"/>
          </w:tcPr>
          <w:p w14:paraId="4123B872" w14:textId="77777777" w:rsidR="00915A28" w:rsidRPr="00915A28" w:rsidRDefault="00915A28" w:rsidP="007C0E56">
            <w:pPr>
              <w:kinsoku w:val="0"/>
              <w:overflowPunct w:val="0"/>
              <w:autoSpaceDE w:val="0"/>
              <w:autoSpaceDN w:val="0"/>
              <w:adjustRightInd w:val="0"/>
              <w:spacing w:before="1" w:line="260" w:lineRule="exact"/>
              <w:jc w:val="right"/>
              <w:rPr>
                <w:rFonts w:cstheme="minorHAnsi"/>
                <w:sz w:val="24"/>
                <w:szCs w:val="24"/>
              </w:rPr>
            </w:pPr>
            <w:r w:rsidRPr="00915A28">
              <w:rPr>
                <w:rFonts w:cstheme="minorHAnsi"/>
                <w:sz w:val="24"/>
                <w:szCs w:val="24"/>
              </w:rPr>
              <w:t>0.78-0.99</w:t>
            </w:r>
          </w:p>
        </w:tc>
      </w:tr>
      <w:tr w:rsidR="00915A28" w:rsidRPr="00915A28" w14:paraId="47BF2542" w14:textId="77777777" w:rsidTr="00720B72">
        <w:trPr>
          <w:trHeight w:val="290"/>
        </w:trPr>
        <w:tc>
          <w:tcPr>
            <w:tcW w:w="4076" w:type="dxa"/>
          </w:tcPr>
          <w:p w14:paraId="30B30D0A" w14:textId="77777777" w:rsidR="00915A28" w:rsidRPr="00915A28" w:rsidRDefault="00915A28" w:rsidP="00915A28">
            <w:pPr>
              <w:kinsoku w:val="0"/>
              <w:overflowPunct w:val="0"/>
              <w:autoSpaceDE w:val="0"/>
              <w:autoSpaceDN w:val="0"/>
              <w:adjustRightInd w:val="0"/>
              <w:spacing w:before="10" w:line="260" w:lineRule="exact"/>
              <w:rPr>
                <w:rFonts w:cstheme="minorHAnsi"/>
                <w:sz w:val="24"/>
                <w:szCs w:val="24"/>
              </w:rPr>
            </w:pPr>
            <w:r w:rsidRPr="00915A28">
              <w:rPr>
                <w:rFonts w:cstheme="minorHAnsi"/>
                <w:sz w:val="24"/>
                <w:szCs w:val="24"/>
              </w:rPr>
              <w:t>Instructional Design</w:t>
            </w:r>
          </w:p>
        </w:tc>
        <w:tc>
          <w:tcPr>
            <w:tcW w:w="1245" w:type="dxa"/>
          </w:tcPr>
          <w:p w14:paraId="600801C3" w14:textId="77777777" w:rsidR="00915A28" w:rsidRPr="00915A28" w:rsidRDefault="00915A28" w:rsidP="007C0E56">
            <w:pPr>
              <w:kinsoku w:val="0"/>
              <w:overflowPunct w:val="0"/>
              <w:autoSpaceDE w:val="0"/>
              <w:autoSpaceDN w:val="0"/>
              <w:adjustRightInd w:val="0"/>
              <w:spacing w:before="10" w:line="260" w:lineRule="exact"/>
              <w:ind w:right="354"/>
              <w:jc w:val="right"/>
              <w:rPr>
                <w:rFonts w:cstheme="minorHAnsi"/>
                <w:w w:val="95"/>
                <w:sz w:val="24"/>
                <w:szCs w:val="24"/>
              </w:rPr>
            </w:pPr>
            <w:r w:rsidRPr="00915A28">
              <w:rPr>
                <w:rFonts w:cstheme="minorHAnsi"/>
                <w:w w:val="95"/>
                <w:sz w:val="24"/>
                <w:szCs w:val="24"/>
              </w:rPr>
              <w:t>0.81</w:t>
            </w:r>
          </w:p>
        </w:tc>
        <w:tc>
          <w:tcPr>
            <w:tcW w:w="1676" w:type="dxa"/>
          </w:tcPr>
          <w:p w14:paraId="2E387A78" w14:textId="77777777" w:rsidR="00915A28" w:rsidRPr="00915A28" w:rsidRDefault="00915A28" w:rsidP="007C0E56">
            <w:pPr>
              <w:kinsoku w:val="0"/>
              <w:overflowPunct w:val="0"/>
              <w:autoSpaceDE w:val="0"/>
              <w:autoSpaceDN w:val="0"/>
              <w:adjustRightInd w:val="0"/>
              <w:spacing w:before="10" w:line="260" w:lineRule="exact"/>
              <w:jc w:val="right"/>
              <w:rPr>
                <w:rFonts w:cstheme="minorHAnsi"/>
                <w:sz w:val="24"/>
                <w:szCs w:val="24"/>
              </w:rPr>
            </w:pPr>
            <w:r w:rsidRPr="00915A28">
              <w:rPr>
                <w:rFonts w:cstheme="minorHAnsi"/>
                <w:sz w:val="24"/>
                <w:szCs w:val="24"/>
              </w:rPr>
              <w:t>0.42-0.98</w:t>
            </w:r>
          </w:p>
        </w:tc>
      </w:tr>
      <w:tr w:rsidR="00915A28" w:rsidRPr="00915A28" w14:paraId="6968C39E" w14:textId="77777777" w:rsidTr="00720B72">
        <w:trPr>
          <w:trHeight w:val="303"/>
        </w:trPr>
        <w:tc>
          <w:tcPr>
            <w:tcW w:w="4076" w:type="dxa"/>
          </w:tcPr>
          <w:p w14:paraId="0B0542C0" w14:textId="77777777" w:rsidR="00915A28" w:rsidRPr="00915A28" w:rsidRDefault="00915A28" w:rsidP="00915A28">
            <w:pPr>
              <w:kinsoku w:val="0"/>
              <w:overflowPunct w:val="0"/>
              <w:autoSpaceDE w:val="0"/>
              <w:autoSpaceDN w:val="0"/>
              <w:adjustRightInd w:val="0"/>
              <w:spacing w:before="10"/>
              <w:rPr>
                <w:rFonts w:cstheme="minorHAnsi"/>
                <w:sz w:val="24"/>
                <w:szCs w:val="24"/>
              </w:rPr>
            </w:pPr>
            <w:r w:rsidRPr="00915A28">
              <w:rPr>
                <w:rFonts w:cstheme="minorHAnsi"/>
                <w:sz w:val="24"/>
                <w:szCs w:val="24"/>
              </w:rPr>
              <w:t>Total Score Entire Scorecard</w:t>
            </w:r>
          </w:p>
        </w:tc>
        <w:tc>
          <w:tcPr>
            <w:tcW w:w="1245" w:type="dxa"/>
          </w:tcPr>
          <w:p w14:paraId="63DE7732" w14:textId="77777777" w:rsidR="00915A28" w:rsidRPr="00915A28" w:rsidRDefault="00915A28" w:rsidP="007C0E56">
            <w:pPr>
              <w:kinsoku w:val="0"/>
              <w:overflowPunct w:val="0"/>
              <w:autoSpaceDE w:val="0"/>
              <w:autoSpaceDN w:val="0"/>
              <w:adjustRightInd w:val="0"/>
              <w:spacing w:before="10"/>
              <w:ind w:right="355"/>
              <w:jc w:val="right"/>
              <w:rPr>
                <w:rFonts w:cstheme="minorHAnsi"/>
                <w:w w:val="95"/>
                <w:sz w:val="24"/>
                <w:szCs w:val="24"/>
              </w:rPr>
            </w:pPr>
            <w:r w:rsidRPr="00915A28">
              <w:rPr>
                <w:rFonts w:cstheme="minorHAnsi"/>
                <w:w w:val="95"/>
                <w:sz w:val="24"/>
                <w:szCs w:val="24"/>
              </w:rPr>
              <w:t>0.88</w:t>
            </w:r>
          </w:p>
        </w:tc>
        <w:tc>
          <w:tcPr>
            <w:tcW w:w="1676" w:type="dxa"/>
          </w:tcPr>
          <w:p w14:paraId="688FA2E3" w14:textId="77777777" w:rsidR="00915A28" w:rsidRPr="00915A28" w:rsidRDefault="00915A28" w:rsidP="007C0E56">
            <w:pPr>
              <w:kinsoku w:val="0"/>
              <w:overflowPunct w:val="0"/>
              <w:autoSpaceDE w:val="0"/>
              <w:autoSpaceDN w:val="0"/>
              <w:adjustRightInd w:val="0"/>
              <w:spacing w:before="10"/>
              <w:jc w:val="right"/>
              <w:rPr>
                <w:rFonts w:cstheme="minorHAnsi"/>
                <w:sz w:val="24"/>
                <w:szCs w:val="24"/>
              </w:rPr>
            </w:pPr>
            <w:r w:rsidRPr="00915A28">
              <w:rPr>
                <w:rFonts w:cstheme="minorHAnsi"/>
                <w:sz w:val="24"/>
                <w:szCs w:val="24"/>
              </w:rPr>
              <w:t>0.49-0.99</w:t>
            </w:r>
          </w:p>
        </w:tc>
      </w:tr>
    </w:tbl>
    <w:p w14:paraId="30966554" w14:textId="77777777" w:rsidR="000F4516" w:rsidRPr="005B7F7A" w:rsidRDefault="000F4516" w:rsidP="000F4516">
      <w:pPr>
        <w:rPr>
          <w:rFonts w:cstheme="minorHAnsi"/>
          <w:sz w:val="24"/>
          <w:szCs w:val="24"/>
        </w:rPr>
      </w:pPr>
    </w:p>
    <w:p w14:paraId="298E0577" w14:textId="77777777" w:rsidR="000F4516" w:rsidRPr="005B7F7A" w:rsidRDefault="000F4516" w:rsidP="00915A28">
      <w:pPr>
        <w:spacing w:after="0"/>
        <w:ind w:left="720"/>
        <w:rPr>
          <w:rFonts w:cstheme="minorHAnsi"/>
          <w:sz w:val="24"/>
          <w:szCs w:val="24"/>
        </w:rPr>
      </w:pPr>
      <w:r w:rsidRPr="005B7F7A">
        <w:rPr>
          <w:rFonts w:cstheme="minorHAnsi"/>
          <w:sz w:val="24"/>
          <w:szCs w:val="24"/>
        </w:rPr>
        <w:t xml:space="preserve">Research Question 3: What are the differences between individuals deemed experts and novices on </w:t>
      </w:r>
    </w:p>
    <w:p w14:paraId="48746BB0" w14:textId="77777777" w:rsidR="000F4516" w:rsidRPr="005B7F7A" w:rsidRDefault="000F4516" w:rsidP="00915A28">
      <w:pPr>
        <w:spacing w:after="0"/>
        <w:ind w:left="720"/>
        <w:rPr>
          <w:rFonts w:cstheme="minorHAnsi"/>
          <w:sz w:val="24"/>
          <w:szCs w:val="24"/>
        </w:rPr>
      </w:pPr>
      <w:r w:rsidRPr="005B7F7A">
        <w:rPr>
          <w:rFonts w:cstheme="minorHAnsi"/>
          <w:sz w:val="24"/>
          <w:szCs w:val="24"/>
        </w:rPr>
        <w:t>total scoring?</w:t>
      </w:r>
    </w:p>
    <w:p w14:paraId="5AA52AC1" w14:textId="77777777" w:rsidR="00915A28" w:rsidRDefault="000F4516" w:rsidP="00915A28">
      <w:pPr>
        <w:spacing w:after="0"/>
        <w:ind w:left="720"/>
        <w:rPr>
          <w:rFonts w:cstheme="minorHAnsi"/>
          <w:sz w:val="24"/>
          <w:szCs w:val="24"/>
        </w:rPr>
      </w:pPr>
      <w:r w:rsidRPr="005B7F7A">
        <w:rPr>
          <w:rFonts w:cstheme="minorHAnsi"/>
          <w:sz w:val="24"/>
          <w:szCs w:val="24"/>
        </w:rPr>
        <w:t xml:space="preserve">Data Sources: Total Scores of participants’ ratings of 5 E-learning modules using NEscore </w:t>
      </w:r>
    </w:p>
    <w:p w14:paraId="7877E2BE" w14:textId="43A0FAFF" w:rsidR="000F4516" w:rsidRPr="005B7F7A" w:rsidRDefault="000F4516" w:rsidP="00915A28">
      <w:pPr>
        <w:spacing w:after="0"/>
        <w:ind w:left="720"/>
        <w:rPr>
          <w:rFonts w:cstheme="minorHAnsi"/>
          <w:sz w:val="24"/>
          <w:szCs w:val="24"/>
        </w:rPr>
      </w:pPr>
      <w:r w:rsidRPr="005B7F7A">
        <w:rPr>
          <w:rFonts w:cstheme="minorHAnsi"/>
          <w:sz w:val="24"/>
          <w:szCs w:val="24"/>
        </w:rPr>
        <w:t>Data Analysis: Wilcoxon Rank Sum Test</w:t>
      </w:r>
    </w:p>
    <w:p w14:paraId="5028FB91" w14:textId="77777777" w:rsidR="00E321D9" w:rsidRPr="00E321D9" w:rsidRDefault="00E321D9" w:rsidP="00E321D9">
      <w:pPr>
        <w:kinsoku w:val="0"/>
        <w:overflowPunct w:val="0"/>
        <w:autoSpaceDE w:val="0"/>
        <w:autoSpaceDN w:val="0"/>
        <w:adjustRightInd w:val="0"/>
        <w:spacing w:before="5" w:after="0" w:line="240" w:lineRule="auto"/>
        <w:rPr>
          <w:rFonts w:ascii="Times New Roman" w:hAnsi="Times New Roman" w:cs="Times New Roman"/>
          <w:sz w:val="8"/>
          <w:szCs w:val="8"/>
        </w:rPr>
      </w:pPr>
    </w:p>
    <w:tbl>
      <w:tblPr>
        <w:tblStyle w:val="TableGrid"/>
        <w:tblW w:w="0" w:type="auto"/>
        <w:tblLook w:val="0020" w:firstRow="1" w:lastRow="0" w:firstColumn="0" w:lastColumn="0" w:noHBand="0" w:noVBand="0"/>
      </w:tblPr>
      <w:tblGrid>
        <w:gridCol w:w="993"/>
        <w:gridCol w:w="1555"/>
        <w:gridCol w:w="1590"/>
        <w:gridCol w:w="1475"/>
      </w:tblGrid>
      <w:tr w:rsidR="00E321D9" w:rsidRPr="00E321D9" w14:paraId="4D3EC601" w14:textId="77777777" w:rsidTr="00720B72">
        <w:trPr>
          <w:trHeight w:val="288"/>
        </w:trPr>
        <w:tc>
          <w:tcPr>
            <w:tcW w:w="0" w:type="auto"/>
          </w:tcPr>
          <w:p w14:paraId="4F47D653" w14:textId="77777777" w:rsidR="00E321D9" w:rsidRPr="00E321D9" w:rsidRDefault="00E321D9" w:rsidP="00E321D9">
            <w:pPr>
              <w:kinsoku w:val="0"/>
              <w:overflowPunct w:val="0"/>
              <w:autoSpaceDE w:val="0"/>
              <w:autoSpaceDN w:val="0"/>
              <w:adjustRightInd w:val="0"/>
              <w:spacing w:line="269" w:lineRule="exact"/>
              <w:rPr>
                <w:rFonts w:cstheme="minorHAnsi"/>
                <w:b/>
                <w:bCs/>
                <w:sz w:val="24"/>
                <w:szCs w:val="24"/>
              </w:rPr>
            </w:pPr>
            <w:r w:rsidRPr="00E321D9">
              <w:rPr>
                <w:rFonts w:cstheme="minorHAnsi"/>
                <w:b/>
                <w:bCs/>
                <w:sz w:val="24"/>
                <w:szCs w:val="24"/>
              </w:rPr>
              <w:t>Module</w:t>
            </w:r>
          </w:p>
        </w:tc>
        <w:tc>
          <w:tcPr>
            <w:tcW w:w="0" w:type="auto"/>
          </w:tcPr>
          <w:p w14:paraId="267DCE5F" w14:textId="26BC0AA0" w:rsidR="00E321D9" w:rsidRPr="00E321D9" w:rsidRDefault="00E321D9" w:rsidP="00E321D9">
            <w:pPr>
              <w:kinsoku w:val="0"/>
              <w:overflowPunct w:val="0"/>
              <w:autoSpaceDE w:val="0"/>
              <w:autoSpaceDN w:val="0"/>
              <w:adjustRightInd w:val="0"/>
              <w:spacing w:line="269" w:lineRule="exact"/>
              <w:rPr>
                <w:rFonts w:cstheme="minorHAnsi"/>
                <w:b/>
                <w:bCs/>
                <w:sz w:val="24"/>
                <w:szCs w:val="24"/>
              </w:rPr>
            </w:pPr>
            <w:r w:rsidRPr="00E321D9">
              <w:rPr>
                <w:rFonts w:cstheme="minorHAnsi"/>
                <w:b/>
                <w:bCs/>
                <w:sz w:val="24"/>
                <w:szCs w:val="24"/>
              </w:rPr>
              <w:t>Expert</w:t>
            </w:r>
            <w:r>
              <w:rPr>
                <w:rFonts w:cstheme="minorHAnsi"/>
                <w:b/>
                <w:bCs/>
                <w:sz w:val="24"/>
                <w:szCs w:val="24"/>
              </w:rPr>
              <w:t xml:space="preserve"> </w:t>
            </w:r>
            <w:r w:rsidRPr="00E321D9">
              <w:rPr>
                <w:rFonts w:cstheme="minorHAnsi"/>
                <w:b/>
                <w:bCs/>
                <w:sz w:val="24"/>
                <w:szCs w:val="24"/>
              </w:rPr>
              <w:t>Rating</w:t>
            </w:r>
          </w:p>
        </w:tc>
        <w:tc>
          <w:tcPr>
            <w:tcW w:w="0" w:type="auto"/>
          </w:tcPr>
          <w:p w14:paraId="4362CC82" w14:textId="77777777" w:rsidR="00E321D9" w:rsidRPr="00E321D9" w:rsidRDefault="00E321D9" w:rsidP="00E321D9">
            <w:pPr>
              <w:kinsoku w:val="0"/>
              <w:overflowPunct w:val="0"/>
              <w:autoSpaceDE w:val="0"/>
              <w:autoSpaceDN w:val="0"/>
              <w:adjustRightInd w:val="0"/>
              <w:spacing w:line="269" w:lineRule="exact"/>
              <w:rPr>
                <w:rFonts w:cstheme="minorHAnsi"/>
                <w:b/>
                <w:bCs/>
                <w:sz w:val="24"/>
                <w:szCs w:val="24"/>
              </w:rPr>
            </w:pPr>
            <w:r w:rsidRPr="00E321D9">
              <w:rPr>
                <w:rFonts w:cstheme="minorHAnsi"/>
                <w:b/>
                <w:bCs/>
                <w:sz w:val="24"/>
                <w:szCs w:val="24"/>
              </w:rPr>
              <w:t>Novice Rating</w:t>
            </w:r>
          </w:p>
        </w:tc>
        <w:tc>
          <w:tcPr>
            <w:tcW w:w="0" w:type="auto"/>
          </w:tcPr>
          <w:p w14:paraId="404C6155" w14:textId="77777777" w:rsidR="00E321D9" w:rsidRPr="00E321D9" w:rsidRDefault="00E321D9" w:rsidP="00E321D9">
            <w:pPr>
              <w:kinsoku w:val="0"/>
              <w:overflowPunct w:val="0"/>
              <w:autoSpaceDE w:val="0"/>
              <w:autoSpaceDN w:val="0"/>
              <w:adjustRightInd w:val="0"/>
              <w:spacing w:line="269" w:lineRule="exact"/>
              <w:ind w:right="487"/>
              <w:rPr>
                <w:rFonts w:cstheme="minorHAnsi"/>
                <w:b/>
                <w:bCs/>
                <w:sz w:val="24"/>
                <w:szCs w:val="24"/>
              </w:rPr>
            </w:pPr>
            <w:r w:rsidRPr="00E321D9">
              <w:rPr>
                <w:rFonts w:cstheme="minorHAnsi"/>
                <w:b/>
                <w:bCs/>
                <w:sz w:val="24"/>
                <w:szCs w:val="24"/>
              </w:rPr>
              <w:t>p-Value</w:t>
            </w:r>
          </w:p>
        </w:tc>
      </w:tr>
      <w:tr w:rsidR="00E321D9" w:rsidRPr="00E321D9" w14:paraId="3E841640" w14:textId="77777777" w:rsidTr="00720B72">
        <w:trPr>
          <w:trHeight w:val="288"/>
        </w:trPr>
        <w:tc>
          <w:tcPr>
            <w:tcW w:w="0" w:type="auto"/>
          </w:tcPr>
          <w:p w14:paraId="7C3F032E" w14:textId="77777777" w:rsidR="00E321D9" w:rsidRPr="00E321D9" w:rsidRDefault="00E321D9" w:rsidP="00E321D9">
            <w:pPr>
              <w:kinsoku w:val="0"/>
              <w:overflowPunct w:val="0"/>
              <w:autoSpaceDE w:val="0"/>
              <w:autoSpaceDN w:val="0"/>
              <w:adjustRightInd w:val="0"/>
              <w:spacing w:line="261" w:lineRule="exact"/>
              <w:rPr>
                <w:rFonts w:cstheme="minorHAnsi"/>
                <w:w w:val="99"/>
                <w:sz w:val="24"/>
                <w:szCs w:val="24"/>
              </w:rPr>
            </w:pPr>
            <w:r w:rsidRPr="00E321D9">
              <w:rPr>
                <w:rFonts w:cstheme="minorHAnsi"/>
                <w:w w:val="99"/>
                <w:sz w:val="24"/>
                <w:szCs w:val="24"/>
              </w:rPr>
              <w:t>1</w:t>
            </w:r>
          </w:p>
        </w:tc>
        <w:tc>
          <w:tcPr>
            <w:tcW w:w="0" w:type="auto"/>
          </w:tcPr>
          <w:p w14:paraId="1869EE5B" w14:textId="77777777" w:rsidR="00E321D9" w:rsidRPr="00E321D9" w:rsidRDefault="00E321D9" w:rsidP="007C0E56">
            <w:pPr>
              <w:kinsoku w:val="0"/>
              <w:overflowPunct w:val="0"/>
              <w:autoSpaceDE w:val="0"/>
              <w:autoSpaceDN w:val="0"/>
              <w:adjustRightInd w:val="0"/>
              <w:spacing w:line="261" w:lineRule="exact"/>
              <w:ind w:right="258"/>
              <w:jc w:val="right"/>
              <w:rPr>
                <w:rFonts w:cstheme="minorHAnsi"/>
                <w:w w:val="95"/>
                <w:sz w:val="24"/>
                <w:szCs w:val="24"/>
              </w:rPr>
            </w:pPr>
            <w:r w:rsidRPr="00E321D9">
              <w:rPr>
                <w:rFonts w:cstheme="minorHAnsi"/>
                <w:w w:val="95"/>
                <w:sz w:val="24"/>
                <w:szCs w:val="24"/>
              </w:rPr>
              <w:t>37.5</w:t>
            </w:r>
          </w:p>
        </w:tc>
        <w:tc>
          <w:tcPr>
            <w:tcW w:w="0" w:type="auto"/>
          </w:tcPr>
          <w:p w14:paraId="32E9C93D" w14:textId="77777777" w:rsidR="00E321D9" w:rsidRPr="00E321D9" w:rsidRDefault="00E321D9" w:rsidP="007C0E56">
            <w:pPr>
              <w:kinsoku w:val="0"/>
              <w:overflowPunct w:val="0"/>
              <w:autoSpaceDE w:val="0"/>
              <w:autoSpaceDN w:val="0"/>
              <w:adjustRightInd w:val="0"/>
              <w:spacing w:line="261" w:lineRule="exact"/>
              <w:ind w:right="851"/>
              <w:jc w:val="right"/>
              <w:rPr>
                <w:rFonts w:cstheme="minorHAnsi"/>
                <w:sz w:val="24"/>
                <w:szCs w:val="24"/>
              </w:rPr>
            </w:pPr>
            <w:r w:rsidRPr="00E321D9">
              <w:rPr>
                <w:rFonts w:cstheme="minorHAnsi"/>
                <w:sz w:val="24"/>
                <w:szCs w:val="24"/>
              </w:rPr>
              <w:t>34.3</w:t>
            </w:r>
          </w:p>
        </w:tc>
        <w:tc>
          <w:tcPr>
            <w:tcW w:w="0" w:type="auto"/>
          </w:tcPr>
          <w:p w14:paraId="4DD9FB22" w14:textId="77777777" w:rsidR="00E321D9" w:rsidRPr="00E321D9" w:rsidRDefault="00E321D9" w:rsidP="007C0E56">
            <w:pPr>
              <w:kinsoku w:val="0"/>
              <w:overflowPunct w:val="0"/>
              <w:autoSpaceDE w:val="0"/>
              <w:autoSpaceDN w:val="0"/>
              <w:adjustRightInd w:val="0"/>
              <w:spacing w:line="261" w:lineRule="exact"/>
              <w:ind w:right="487"/>
              <w:jc w:val="right"/>
              <w:rPr>
                <w:rFonts w:cstheme="minorHAnsi"/>
                <w:sz w:val="24"/>
                <w:szCs w:val="24"/>
              </w:rPr>
            </w:pPr>
            <w:r w:rsidRPr="00E321D9">
              <w:rPr>
                <w:rFonts w:cstheme="minorHAnsi"/>
                <w:sz w:val="24"/>
                <w:szCs w:val="24"/>
              </w:rPr>
              <w:t>0.23</w:t>
            </w:r>
          </w:p>
        </w:tc>
      </w:tr>
      <w:tr w:rsidR="00E321D9" w:rsidRPr="00E321D9" w14:paraId="6A50ECEA" w14:textId="77777777" w:rsidTr="00720B72">
        <w:trPr>
          <w:trHeight w:val="288"/>
        </w:trPr>
        <w:tc>
          <w:tcPr>
            <w:tcW w:w="0" w:type="auto"/>
          </w:tcPr>
          <w:p w14:paraId="6C56795A" w14:textId="77777777" w:rsidR="00E321D9" w:rsidRPr="00E321D9" w:rsidRDefault="00E321D9" w:rsidP="00E321D9">
            <w:pPr>
              <w:kinsoku w:val="0"/>
              <w:overflowPunct w:val="0"/>
              <w:autoSpaceDE w:val="0"/>
              <w:autoSpaceDN w:val="0"/>
              <w:adjustRightInd w:val="0"/>
              <w:spacing w:before="11" w:line="260" w:lineRule="exact"/>
              <w:rPr>
                <w:rFonts w:cstheme="minorHAnsi"/>
                <w:w w:val="99"/>
                <w:sz w:val="24"/>
                <w:szCs w:val="24"/>
              </w:rPr>
            </w:pPr>
            <w:r w:rsidRPr="00E321D9">
              <w:rPr>
                <w:rFonts w:cstheme="minorHAnsi"/>
                <w:w w:val="99"/>
                <w:sz w:val="24"/>
                <w:szCs w:val="24"/>
              </w:rPr>
              <w:t>2</w:t>
            </w:r>
          </w:p>
        </w:tc>
        <w:tc>
          <w:tcPr>
            <w:tcW w:w="0" w:type="auto"/>
          </w:tcPr>
          <w:p w14:paraId="4C7A654F" w14:textId="77777777" w:rsidR="00E321D9" w:rsidRPr="00E321D9" w:rsidRDefault="00E321D9" w:rsidP="007C0E56">
            <w:pPr>
              <w:kinsoku w:val="0"/>
              <w:overflowPunct w:val="0"/>
              <w:autoSpaceDE w:val="0"/>
              <w:autoSpaceDN w:val="0"/>
              <w:adjustRightInd w:val="0"/>
              <w:spacing w:before="11" w:line="260" w:lineRule="exact"/>
              <w:ind w:right="258"/>
              <w:jc w:val="right"/>
              <w:rPr>
                <w:rFonts w:cstheme="minorHAnsi"/>
                <w:w w:val="95"/>
                <w:sz w:val="24"/>
                <w:szCs w:val="24"/>
              </w:rPr>
            </w:pPr>
            <w:r w:rsidRPr="00E321D9">
              <w:rPr>
                <w:rFonts w:cstheme="minorHAnsi"/>
                <w:w w:val="95"/>
                <w:sz w:val="24"/>
                <w:szCs w:val="24"/>
              </w:rPr>
              <w:t>22.7</w:t>
            </w:r>
          </w:p>
        </w:tc>
        <w:tc>
          <w:tcPr>
            <w:tcW w:w="0" w:type="auto"/>
          </w:tcPr>
          <w:p w14:paraId="0E8D6C08" w14:textId="77777777" w:rsidR="00E321D9" w:rsidRPr="00E321D9" w:rsidRDefault="00E321D9" w:rsidP="007C0E56">
            <w:pPr>
              <w:kinsoku w:val="0"/>
              <w:overflowPunct w:val="0"/>
              <w:autoSpaceDE w:val="0"/>
              <w:autoSpaceDN w:val="0"/>
              <w:adjustRightInd w:val="0"/>
              <w:spacing w:before="11" w:line="260" w:lineRule="exact"/>
              <w:ind w:right="851"/>
              <w:jc w:val="right"/>
              <w:rPr>
                <w:rFonts w:cstheme="minorHAnsi"/>
                <w:sz w:val="24"/>
                <w:szCs w:val="24"/>
              </w:rPr>
            </w:pPr>
            <w:r w:rsidRPr="00E321D9">
              <w:rPr>
                <w:rFonts w:cstheme="minorHAnsi"/>
                <w:sz w:val="24"/>
                <w:szCs w:val="24"/>
              </w:rPr>
              <w:t>27.8</w:t>
            </w:r>
          </w:p>
        </w:tc>
        <w:tc>
          <w:tcPr>
            <w:tcW w:w="0" w:type="auto"/>
          </w:tcPr>
          <w:p w14:paraId="62762AB2" w14:textId="77777777" w:rsidR="00E321D9" w:rsidRPr="00E321D9" w:rsidRDefault="00E321D9" w:rsidP="007C0E56">
            <w:pPr>
              <w:kinsoku w:val="0"/>
              <w:overflowPunct w:val="0"/>
              <w:autoSpaceDE w:val="0"/>
              <w:autoSpaceDN w:val="0"/>
              <w:adjustRightInd w:val="0"/>
              <w:spacing w:before="11" w:line="260" w:lineRule="exact"/>
              <w:ind w:right="487"/>
              <w:jc w:val="right"/>
              <w:rPr>
                <w:rFonts w:cstheme="minorHAnsi"/>
                <w:sz w:val="24"/>
                <w:szCs w:val="24"/>
              </w:rPr>
            </w:pPr>
            <w:r w:rsidRPr="00E321D9">
              <w:rPr>
                <w:rFonts w:cstheme="minorHAnsi"/>
                <w:sz w:val="24"/>
                <w:szCs w:val="24"/>
              </w:rPr>
              <w:t>0.53</w:t>
            </w:r>
          </w:p>
        </w:tc>
      </w:tr>
      <w:tr w:rsidR="00E321D9" w:rsidRPr="00E321D9" w14:paraId="183554F7" w14:textId="77777777" w:rsidTr="00720B72">
        <w:trPr>
          <w:trHeight w:val="288"/>
        </w:trPr>
        <w:tc>
          <w:tcPr>
            <w:tcW w:w="0" w:type="auto"/>
          </w:tcPr>
          <w:p w14:paraId="3D9DCFAF" w14:textId="77777777" w:rsidR="00E321D9" w:rsidRPr="00E321D9" w:rsidRDefault="00E321D9" w:rsidP="00E321D9">
            <w:pPr>
              <w:kinsoku w:val="0"/>
              <w:overflowPunct w:val="0"/>
              <w:autoSpaceDE w:val="0"/>
              <w:autoSpaceDN w:val="0"/>
              <w:adjustRightInd w:val="0"/>
              <w:spacing w:before="10" w:line="262" w:lineRule="exact"/>
              <w:rPr>
                <w:rFonts w:cstheme="minorHAnsi"/>
                <w:w w:val="99"/>
                <w:sz w:val="24"/>
                <w:szCs w:val="24"/>
              </w:rPr>
            </w:pPr>
            <w:r w:rsidRPr="00E321D9">
              <w:rPr>
                <w:rFonts w:cstheme="minorHAnsi"/>
                <w:w w:val="99"/>
                <w:sz w:val="24"/>
                <w:szCs w:val="24"/>
              </w:rPr>
              <w:t>3</w:t>
            </w:r>
          </w:p>
        </w:tc>
        <w:tc>
          <w:tcPr>
            <w:tcW w:w="0" w:type="auto"/>
          </w:tcPr>
          <w:p w14:paraId="6A353E05" w14:textId="77777777" w:rsidR="00E321D9" w:rsidRPr="00E321D9" w:rsidRDefault="00E321D9" w:rsidP="007C0E56">
            <w:pPr>
              <w:kinsoku w:val="0"/>
              <w:overflowPunct w:val="0"/>
              <w:autoSpaceDE w:val="0"/>
              <w:autoSpaceDN w:val="0"/>
              <w:adjustRightInd w:val="0"/>
              <w:spacing w:before="10" w:line="262" w:lineRule="exact"/>
              <w:ind w:right="258"/>
              <w:jc w:val="right"/>
              <w:rPr>
                <w:rFonts w:cstheme="minorHAnsi"/>
                <w:w w:val="95"/>
                <w:sz w:val="24"/>
                <w:szCs w:val="24"/>
              </w:rPr>
            </w:pPr>
            <w:r w:rsidRPr="00E321D9">
              <w:rPr>
                <w:rFonts w:cstheme="minorHAnsi"/>
                <w:w w:val="95"/>
                <w:sz w:val="24"/>
                <w:szCs w:val="24"/>
              </w:rPr>
              <w:t>35.3</w:t>
            </w:r>
          </w:p>
        </w:tc>
        <w:tc>
          <w:tcPr>
            <w:tcW w:w="0" w:type="auto"/>
          </w:tcPr>
          <w:p w14:paraId="179930AB" w14:textId="77777777" w:rsidR="00E321D9" w:rsidRPr="00E321D9" w:rsidRDefault="00E321D9" w:rsidP="007C0E56">
            <w:pPr>
              <w:kinsoku w:val="0"/>
              <w:overflowPunct w:val="0"/>
              <w:autoSpaceDE w:val="0"/>
              <w:autoSpaceDN w:val="0"/>
              <w:adjustRightInd w:val="0"/>
              <w:spacing w:before="10" w:line="262" w:lineRule="exact"/>
              <w:ind w:right="851"/>
              <w:jc w:val="right"/>
              <w:rPr>
                <w:rFonts w:cstheme="minorHAnsi"/>
                <w:sz w:val="24"/>
                <w:szCs w:val="24"/>
              </w:rPr>
            </w:pPr>
            <w:r w:rsidRPr="00E321D9">
              <w:rPr>
                <w:rFonts w:cstheme="minorHAnsi"/>
                <w:sz w:val="24"/>
                <w:szCs w:val="24"/>
              </w:rPr>
              <w:t>36.3</w:t>
            </w:r>
          </w:p>
        </w:tc>
        <w:tc>
          <w:tcPr>
            <w:tcW w:w="0" w:type="auto"/>
          </w:tcPr>
          <w:p w14:paraId="6AECC458" w14:textId="77777777" w:rsidR="00E321D9" w:rsidRPr="00E321D9" w:rsidRDefault="00E321D9" w:rsidP="007C0E56">
            <w:pPr>
              <w:kinsoku w:val="0"/>
              <w:overflowPunct w:val="0"/>
              <w:autoSpaceDE w:val="0"/>
              <w:autoSpaceDN w:val="0"/>
              <w:adjustRightInd w:val="0"/>
              <w:spacing w:before="10" w:line="262" w:lineRule="exact"/>
              <w:ind w:right="487"/>
              <w:jc w:val="right"/>
              <w:rPr>
                <w:rFonts w:cstheme="minorHAnsi"/>
                <w:sz w:val="24"/>
                <w:szCs w:val="24"/>
              </w:rPr>
            </w:pPr>
            <w:r w:rsidRPr="00E321D9">
              <w:rPr>
                <w:rFonts w:cstheme="minorHAnsi"/>
                <w:sz w:val="24"/>
                <w:szCs w:val="24"/>
              </w:rPr>
              <w:t>1.0</w:t>
            </w:r>
          </w:p>
        </w:tc>
      </w:tr>
      <w:tr w:rsidR="00E321D9" w:rsidRPr="00E321D9" w14:paraId="552AF3BB" w14:textId="77777777" w:rsidTr="00720B72">
        <w:trPr>
          <w:trHeight w:val="288"/>
        </w:trPr>
        <w:tc>
          <w:tcPr>
            <w:tcW w:w="0" w:type="auto"/>
          </w:tcPr>
          <w:p w14:paraId="510937E9" w14:textId="77777777" w:rsidR="00E321D9" w:rsidRPr="00E321D9" w:rsidRDefault="00E321D9" w:rsidP="00E321D9">
            <w:pPr>
              <w:kinsoku w:val="0"/>
              <w:overflowPunct w:val="0"/>
              <w:autoSpaceDE w:val="0"/>
              <w:autoSpaceDN w:val="0"/>
              <w:adjustRightInd w:val="0"/>
              <w:spacing w:before="11" w:line="260" w:lineRule="exact"/>
              <w:rPr>
                <w:rFonts w:cstheme="minorHAnsi"/>
                <w:w w:val="99"/>
                <w:sz w:val="24"/>
                <w:szCs w:val="24"/>
              </w:rPr>
            </w:pPr>
            <w:r w:rsidRPr="00E321D9">
              <w:rPr>
                <w:rFonts w:cstheme="minorHAnsi"/>
                <w:w w:val="99"/>
                <w:sz w:val="24"/>
                <w:szCs w:val="24"/>
              </w:rPr>
              <w:t>4</w:t>
            </w:r>
          </w:p>
        </w:tc>
        <w:tc>
          <w:tcPr>
            <w:tcW w:w="0" w:type="auto"/>
          </w:tcPr>
          <w:p w14:paraId="69B2B79D" w14:textId="77777777" w:rsidR="00E321D9" w:rsidRPr="00E321D9" w:rsidRDefault="00E321D9" w:rsidP="007C0E56">
            <w:pPr>
              <w:kinsoku w:val="0"/>
              <w:overflowPunct w:val="0"/>
              <w:autoSpaceDE w:val="0"/>
              <w:autoSpaceDN w:val="0"/>
              <w:adjustRightInd w:val="0"/>
              <w:spacing w:before="11" w:line="260" w:lineRule="exact"/>
              <w:ind w:right="258"/>
              <w:jc w:val="right"/>
              <w:rPr>
                <w:rFonts w:cstheme="minorHAnsi"/>
                <w:w w:val="95"/>
                <w:sz w:val="24"/>
                <w:szCs w:val="24"/>
              </w:rPr>
            </w:pPr>
            <w:r w:rsidRPr="00E321D9">
              <w:rPr>
                <w:rFonts w:cstheme="minorHAnsi"/>
                <w:w w:val="95"/>
                <w:sz w:val="24"/>
                <w:szCs w:val="24"/>
              </w:rPr>
              <w:t>32.8</w:t>
            </w:r>
          </w:p>
        </w:tc>
        <w:tc>
          <w:tcPr>
            <w:tcW w:w="0" w:type="auto"/>
          </w:tcPr>
          <w:p w14:paraId="083AF74D" w14:textId="77777777" w:rsidR="00E321D9" w:rsidRPr="00E321D9" w:rsidRDefault="00E321D9" w:rsidP="007C0E56">
            <w:pPr>
              <w:kinsoku w:val="0"/>
              <w:overflowPunct w:val="0"/>
              <w:autoSpaceDE w:val="0"/>
              <w:autoSpaceDN w:val="0"/>
              <w:adjustRightInd w:val="0"/>
              <w:spacing w:before="11" w:line="260" w:lineRule="exact"/>
              <w:ind w:right="851"/>
              <w:jc w:val="right"/>
              <w:rPr>
                <w:rFonts w:cstheme="minorHAnsi"/>
                <w:sz w:val="24"/>
                <w:szCs w:val="24"/>
              </w:rPr>
            </w:pPr>
            <w:r w:rsidRPr="00E321D9">
              <w:rPr>
                <w:rFonts w:cstheme="minorHAnsi"/>
                <w:sz w:val="24"/>
                <w:szCs w:val="24"/>
              </w:rPr>
              <w:t>44.5</w:t>
            </w:r>
          </w:p>
        </w:tc>
        <w:tc>
          <w:tcPr>
            <w:tcW w:w="0" w:type="auto"/>
          </w:tcPr>
          <w:p w14:paraId="592E02B6" w14:textId="77777777" w:rsidR="00E321D9" w:rsidRPr="00E321D9" w:rsidRDefault="00E321D9" w:rsidP="007C0E56">
            <w:pPr>
              <w:kinsoku w:val="0"/>
              <w:overflowPunct w:val="0"/>
              <w:autoSpaceDE w:val="0"/>
              <w:autoSpaceDN w:val="0"/>
              <w:adjustRightInd w:val="0"/>
              <w:spacing w:before="11" w:line="260" w:lineRule="exact"/>
              <w:ind w:right="487"/>
              <w:jc w:val="right"/>
              <w:rPr>
                <w:rFonts w:cstheme="minorHAnsi"/>
                <w:sz w:val="24"/>
                <w:szCs w:val="24"/>
              </w:rPr>
            </w:pPr>
            <w:r w:rsidRPr="00E321D9">
              <w:rPr>
                <w:rFonts w:cstheme="minorHAnsi"/>
                <w:sz w:val="24"/>
                <w:szCs w:val="24"/>
              </w:rPr>
              <w:t>0.10</w:t>
            </w:r>
          </w:p>
        </w:tc>
      </w:tr>
      <w:tr w:rsidR="00E321D9" w:rsidRPr="00E321D9" w14:paraId="3F50DA66" w14:textId="77777777" w:rsidTr="00720B72">
        <w:trPr>
          <w:trHeight w:val="288"/>
        </w:trPr>
        <w:tc>
          <w:tcPr>
            <w:tcW w:w="0" w:type="auto"/>
          </w:tcPr>
          <w:p w14:paraId="6BD5312F" w14:textId="77777777" w:rsidR="00E321D9" w:rsidRPr="00E321D9" w:rsidRDefault="00E321D9" w:rsidP="00E321D9">
            <w:pPr>
              <w:kinsoku w:val="0"/>
              <w:overflowPunct w:val="0"/>
              <w:autoSpaceDE w:val="0"/>
              <w:autoSpaceDN w:val="0"/>
              <w:adjustRightInd w:val="0"/>
              <w:spacing w:before="10"/>
              <w:rPr>
                <w:rFonts w:cstheme="minorHAnsi"/>
                <w:w w:val="99"/>
                <w:sz w:val="24"/>
                <w:szCs w:val="24"/>
              </w:rPr>
            </w:pPr>
            <w:r w:rsidRPr="00E321D9">
              <w:rPr>
                <w:rFonts w:cstheme="minorHAnsi"/>
                <w:w w:val="99"/>
                <w:sz w:val="24"/>
                <w:szCs w:val="24"/>
              </w:rPr>
              <w:t>5</w:t>
            </w:r>
          </w:p>
        </w:tc>
        <w:tc>
          <w:tcPr>
            <w:tcW w:w="0" w:type="auto"/>
          </w:tcPr>
          <w:p w14:paraId="6CCCD99F" w14:textId="77777777" w:rsidR="00E321D9" w:rsidRPr="00E321D9" w:rsidRDefault="00E321D9" w:rsidP="007C0E56">
            <w:pPr>
              <w:kinsoku w:val="0"/>
              <w:overflowPunct w:val="0"/>
              <w:autoSpaceDE w:val="0"/>
              <w:autoSpaceDN w:val="0"/>
              <w:adjustRightInd w:val="0"/>
              <w:spacing w:before="10"/>
              <w:ind w:right="258"/>
              <w:jc w:val="right"/>
              <w:rPr>
                <w:rFonts w:cstheme="minorHAnsi"/>
                <w:w w:val="95"/>
                <w:sz w:val="24"/>
                <w:szCs w:val="24"/>
              </w:rPr>
            </w:pPr>
            <w:r w:rsidRPr="00E321D9">
              <w:rPr>
                <w:rFonts w:cstheme="minorHAnsi"/>
                <w:w w:val="95"/>
                <w:sz w:val="24"/>
                <w:szCs w:val="24"/>
              </w:rPr>
              <w:t>35.0</w:t>
            </w:r>
          </w:p>
        </w:tc>
        <w:tc>
          <w:tcPr>
            <w:tcW w:w="0" w:type="auto"/>
          </w:tcPr>
          <w:p w14:paraId="09C5AB37" w14:textId="77777777" w:rsidR="00E321D9" w:rsidRPr="00E321D9" w:rsidRDefault="00E321D9" w:rsidP="007C0E56">
            <w:pPr>
              <w:kinsoku w:val="0"/>
              <w:overflowPunct w:val="0"/>
              <w:autoSpaceDE w:val="0"/>
              <w:autoSpaceDN w:val="0"/>
              <w:adjustRightInd w:val="0"/>
              <w:spacing w:before="10"/>
              <w:ind w:right="851"/>
              <w:jc w:val="right"/>
              <w:rPr>
                <w:rFonts w:cstheme="minorHAnsi"/>
                <w:sz w:val="24"/>
                <w:szCs w:val="24"/>
              </w:rPr>
            </w:pPr>
            <w:r w:rsidRPr="00E321D9">
              <w:rPr>
                <w:rFonts w:cstheme="minorHAnsi"/>
                <w:sz w:val="24"/>
                <w:szCs w:val="24"/>
              </w:rPr>
              <w:t>29.0</w:t>
            </w:r>
          </w:p>
        </w:tc>
        <w:tc>
          <w:tcPr>
            <w:tcW w:w="0" w:type="auto"/>
          </w:tcPr>
          <w:p w14:paraId="7F461998" w14:textId="77777777" w:rsidR="00E321D9" w:rsidRPr="00E321D9" w:rsidRDefault="00E321D9" w:rsidP="007C0E56">
            <w:pPr>
              <w:kinsoku w:val="0"/>
              <w:overflowPunct w:val="0"/>
              <w:autoSpaceDE w:val="0"/>
              <w:autoSpaceDN w:val="0"/>
              <w:adjustRightInd w:val="0"/>
              <w:spacing w:before="10"/>
              <w:ind w:right="487"/>
              <w:jc w:val="right"/>
              <w:rPr>
                <w:rFonts w:cstheme="minorHAnsi"/>
                <w:sz w:val="24"/>
                <w:szCs w:val="24"/>
              </w:rPr>
            </w:pPr>
            <w:r w:rsidRPr="00E321D9">
              <w:rPr>
                <w:rFonts w:cstheme="minorHAnsi"/>
                <w:sz w:val="24"/>
                <w:szCs w:val="24"/>
              </w:rPr>
              <w:t>0.29</w:t>
            </w:r>
          </w:p>
        </w:tc>
      </w:tr>
    </w:tbl>
    <w:p w14:paraId="1617AC6E" w14:textId="02E0B90C" w:rsidR="008379D1" w:rsidRPr="005B7F7A" w:rsidRDefault="008379D1" w:rsidP="007C0E56">
      <w:pPr>
        <w:spacing w:after="0"/>
        <w:ind w:left="720"/>
        <w:rPr>
          <w:rFonts w:cstheme="minorHAnsi"/>
          <w:sz w:val="24"/>
          <w:szCs w:val="24"/>
        </w:rPr>
      </w:pPr>
      <w:r w:rsidRPr="005B7F7A">
        <w:rPr>
          <w:rFonts w:cstheme="minorHAnsi"/>
          <w:sz w:val="24"/>
          <w:szCs w:val="24"/>
        </w:rPr>
        <w:t>Research Question 4: How satisfied are the evaluators in using the scorecard?</w:t>
      </w:r>
    </w:p>
    <w:p w14:paraId="1DB13E3A" w14:textId="77777777" w:rsidR="007C0E56" w:rsidRDefault="008379D1" w:rsidP="007C0E56">
      <w:pPr>
        <w:spacing w:after="0"/>
        <w:ind w:left="720"/>
        <w:rPr>
          <w:rFonts w:cstheme="minorHAnsi"/>
          <w:sz w:val="24"/>
          <w:szCs w:val="24"/>
        </w:rPr>
      </w:pPr>
      <w:r w:rsidRPr="005B7F7A">
        <w:rPr>
          <w:rFonts w:cstheme="minorHAnsi"/>
          <w:sz w:val="24"/>
          <w:szCs w:val="24"/>
        </w:rPr>
        <w:t xml:space="preserve">Data Sources: Participants’ perceptions of the utility of the scorecard using follow-up survey </w:t>
      </w:r>
    </w:p>
    <w:p w14:paraId="72DE9B5A" w14:textId="00C74198" w:rsidR="008379D1" w:rsidRPr="005B7F7A" w:rsidRDefault="008379D1" w:rsidP="007C0E56">
      <w:pPr>
        <w:spacing w:after="0"/>
        <w:ind w:left="720"/>
        <w:rPr>
          <w:rFonts w:cstheme="minorHAnsi"/>
          <w:sz w:val="24"/>
          <w:szCs w:val="24"/>
        </w:rPr>
      </w:pPr>
      <w:r w:rsidRPr="005B7F7A">
        <w:rPr>
          <w:rFonts w:cstheme="minorHAnsi"/>
          <w:sz w:val="24"/>
          <w:szCs w:val="24"/>
        </w:rPr>
        <w:t>Data Analysis: Descriptive statistics and open-ended feedback</w:t>
      </w:r>
    </w:p>
    <w:tbl>
      <w:tblPr>
        <w:tblStyle w:val="TableGrid"/>
        <w:tblW w:w="0" w:type="auto"/>
        <w:tblLook w:val="0020" w:firstRow="1" w:lastRow="0" w:firstColumn="0" w:lastColumn="0" w:noHBand="0" w:noVBand="0"/>
      </w:tblPr>
      <w:tblGrid>
        <w:gridCol w:w="5664"/>
        <w:gridCol w:w="3887"/>
      </w:tblGrid>
      <w:tr w:rsidR="00441AD0" w:rsidRPr="00441AD0" w14:paraId="6DD7B109" w14:textId="77777777" w:rsidTr="00720B72">
        <w:trPr>
          <w:trHeight w:val="288"/>
        </w:trPr>
        <w:tc>
          <w:tcPr>
            <w:tcW w:w="0" w:type="auto"/>
          </w:tcPr>
          <w:p w14:paraId="5D745C5F" w14:textId="77777777" w:rsidR="00441AD0" w:rsidRPr="00441AD0" w:rsidRDefault="00441AD0" w:rsidP="00441AD0">
            <w:pPr>
              <w:kinsoku w:val="0"/>
              <w:overflowPunct w:val="0"/>
              <w:autoSpaceDE w:val="0"/>
              <w:autoSpaceDN w:val="0"/>
              <w:adjustRightInd w:val="0"/>
              <w:spacing w:line="270" w:lineRule="exact"/>
              <w:rPr>
                <w:rFonts w:cstheme="minorHAnsi"/>
                <w:b/>
                <w:bCs/>
                <w:sz w:val="24"/>
                <w:szCs w:val="24"/>
              </w:rPr>
            </w:pPr>
            <w:r w:rsidRPr="00441AD0">
              <w:rPr>
                <w:rFonts w:cstheme="minorHAnsi"/>
                <w:b/>
                <w:bCs/>
                <w:sz w:val="24"/>
                <w:szCs w:val="24"/>
              </w:rPr>
              <w:t>Satisfaction Criterion</w:t>
            </w:r>
          </w:p>
        </w:tc>
        <w:tc>
          <w:tcPr>
            <w:tcW w:w="0" w:type="auto"/>
          </w:tcPr>
          <w:p w14:paraId="6A0F73BB" w14:textId="290CDF39" w:rsidR="00441AD0" w:rsidRPr="00441AD0" w:rsidRDefault="00441AD0" w:rsidP="00441AD0">
            <w:pPr>
              <w:kinsoku w:val="0"/>
              <w:overflowPunct w:val="0"/>
              <w:autoSpaceDE w:val="0"/>
              <w:autoSpaceDN w:val="0"/>
              <w:adjustRightInd w:val="0"/>
              <w:spacing w:line="270" w:lineRule="exact"/>
              <w:rPr>
                <w:rFonts w:cstheme="minorHAnsi"/>
                <w:b/>
                <w:bCs/>
                <w:sz w:val="24"/>
                <w:szCs w:val="24"/>
              </w:rPr>
            </w:pPr>
            <w:r w:rsidRPr="00441AD0">
              <w:rPr>
                <w:rFonts w:cstheme="minorHAnsi"/>
                <w:b/>
                <w:bCs/>
                <w:sz w:val="24"/>
                <w:szCs w:val="24"/>
              </w:rPr>
              <w:t>Percentage of Affirmative</w:t>
            </w:r>
            <w:r>
              <w:rPr>
                <w:rFonts w:cstheme="minorHAnsi"/>
                <w:b/>
                <w:bCs/>
                <w:sz w:val="24"/>
                <w:szCs w:val="24"/>
              </w:rPr>
              <w:t xml:space="preserve"> </w:t>
            </w:r>
            <w:r w:rsidRPr="00441AD0">
              <w:rPr>
                <w:rFonts w:cstheme="minorHAnsi"/>
                <w:b/>
                <w:bCs/>
                <w:sz w:val="24"/>
                <w:szCs w:val="24"/>
              </w:rPr>
              <w:t>Responses</w:t>
            </w:r>
          </w:p>
        </w:tc>
      </w:tr>
      <w:tr w:rsidR="00441AD0" w:rsidRPr="00441AD0" w14:paraId="76B9F91D" w14:textId="77777777" w:rsidTr="00720B72">
        <w:trPr>
          <w:trHeight w:val="288"/>
        </w:trPr>
        <w:tc>
          <w:tcPr>
            <w:tcW w:w="0" w:type="auto"/>
          </w:tcPr>
          <w:p w14:paraId="06AF99E3" w14:textId="77777777" w:rsidR="00441AD0" w:rsidRPr="00441AD0" w:rsidRDefault="00441AD0" w:rsidP="00441AD0">
            <w:pPr>
              <w:kinsoku w:val="0"/>
              <w:overflowPunct w:val="0"/>
              <w:autoSpaceDE w:val="0"/>
              <w:autoSpaceDN w:val="0"/>
              <w:adjustRightInd w:val="0"/>
              <w:spacing w:line="250" w:lineRule="exact"/>
              <w:ind w:left="107"/>
              <w:rPr>
                <w:rFonts w:cstheme="minorHAnsi"/>
                <w:sz w:val="24"/>
                <w:szCs w:val="24"/>
              </w:rPr>
            </w:pPr>
            <w:r w:rsidRPr="00441AD0">
              <w:rPr>
                <w:rFonts w:cstheme="minorHAnsi"/>
                <w:sz w:val="24"/>
                <w:szCs w:val="24"/>
              </w:rPr>
              <w:t>Are you satisfied with the scorecard?</w:t>
            </w:r>
          </w:p>
        </w:tc>
        <w:tc>
          <w:tcPr>
            <w:tcW w:w="0" w:type="auto"/>
          </w:tcPr>
          <w:p w14:paraId="19AF576F" w14:textId="77777777" w:rsidR="00441AD0" w:rsidRPr="00441AD0" w:rsidRDefault="00441AD0" w:rsidP="00441AD0">
            <w:pPr>
              <w:kinsoku w:val="0"/>
              <w:overflowPunct w:val="0"/>
              <w:autoSpaceDE w:val="0"/>
              <w:autoSpaceDN w:val="0"/>
              <w:adjustRightInd w:val="0"/>
              <w:spacing w:line="250" w:lineRule="exact"/>
              <w:ind w:left="1326"/>
              <w:rPr>
                <w:rFonts w:cstheme="minorHAnsi"/>
                <w:sz w:val="24"/>
                <w:szCs w:val="24"/>
              </w:rPr>
            </w:pPr>
            <w:r w:rsidRPr="00441AD0">
              <w:rPr>
                <w:rFonts w:cstheme="minorHAnsi"/>
                <w:sz w:val="24"/>
                <w:szCs w:val="24"/>
              </w:rPr>
              <w:t>92%</w:t>
            </w:r>
          </w:p>
        </w:tc>
      </w:tr>
      <w:tr w:rsidR="00441AD0" w:rsidRPr="00441AD0" w14:paraId="6EFFBDFB" w14:textId="77777777" w:rsidTr="00720B72">
        <w:trPr>
          <w:trHeight w:val="288"/>
        </w:trPr>
        <w:tc>
          <w:tcPr>
            <w:tcW w:w="0" w:type="auto"/>
          </w:tcPr>
          <w:p w14:paraId="5796CBCA" w14:textId="77777777" w:rsidR="00441AD0" w:rsidRPr="00441AD0" w:rsidRDefault="00441AD0" w:rsidP="00441AD0">
            <w:pPr>
              <w:kinsoku w:val="0"/>
              <w:overflowPunct w:val="0"/>
              <w:autoSpaceDE w:val="0"/>
              <w:autoSpaceDN w:val="0"/>
              <w:adjustRightInd w:val="0"/>
              <w:spacing w:line="250" w:lineRule="exact"/>
              <w:ind w:left="107"/>
              <w:rPr>
                <w:rFonts w:cstheme="minorHAnsi"/>
                <w:sz w:val="24"/>
                <w:szCs w:val="24"/>
              </w:rPr>
            </w:pPr>
            <w:r w:rsidRPr="00441AD0">
              <w:rPr>
                <w:rFonts w:cstheme="minorHAnsi"/>
                <w:sz w:val="24"/>
                <w:szCs w:val="24"/>
              </w:rPr>
              <w:t>Would you recommend the scorecard to a colleague?</w:t>
            </w:r>
          </w:p>
        </w:tc>
        <w:tc>
          <w:tcPr>
            <w:tcW w:w="0" w:type="auto"/>
          </w:tcPr>
          <w:p w14:paraId="4F14E0C5" w14:textId="77777777" w:rsidR="00441AD0" w:rsidRPr="00441AD0" w:rsidRDefault="00441AD0" w:rsidP="00441AD0">
            <w:pPr>
              <w:kinsoku w:val="0"/>
              <w:overflowPunct w:val="0"/>
              <w:autoSpaceDE w:val="0"/>
              <w:autoSpaceDN w:val="0"/>
              <w:adjustRightInd w:val="0"/>
              <w:spacing w:line="250" w:lineRule="exact"/>
              <w:ind w:left="1330"/>
              <w:rPr>
                <w:rFonts w:cstheme="minorHAnsi"/>
                <w:sz w:val="24"/>
                <w:szCs w:val="24"/>
              </w:rPr>
            </w:pPr>
            <w:r w:rsidRPr="00441AD0">
              <w:rPr>
                <w:rFonts w:cstheme="minorHAnsi"/>
                <w:sz w:val="24"/>
                <w:szCs w:val="24"/>
              </w:rPr>
              <w:t>90%</w:t>
            </w:r>
          </w:p>
        </w:tc>
      </w:tr>
      <w:tr w:rsidR="00441AD0" w:rsidRPr="00441AD0" w14:paraId="32C624A7" w14:textId="77777777" w:rsidTr="00720B72">
        <w:trPr>
          <w:trHeight w:val="288"/>
        </w:trPr>
        <w:tc>
          <w:tcPr>
            <w:tcW w:w="0" w:type="auto"/>
          </w:tcPr>
          <w:p w14:paraId="64282CE9" w14:textId="77777777" w:rsidR="00441AD0" w:rsidRPr="00441AD0" w:rsidRDefault="00441AD0" w:rsidP="00441AD0">
            <w:pPr>
              <w:kinsoku w:val="0"/>
              <w:overflowPunct w:val="0"/>
              <w:autoSpaceDE w:val="0"/>
              <w:autoSpaceDN w:val="0"/>
              <w:adjustRightInd w:val="0"/>
              <w:spacing w:line="250" w:lineRule="exact"/>
              <w:ind w:left="107"/>
              <w:rPr>
                <w:rFonts w:cstheme="minorHAnsi"/>
                <w:sz w:val="24"/>
                <w:szCs w:val="24"/>
              </w:rPr>
            </w:pPr>
            <w:r w:rsidRPr="00441AD0">
              <w:rPr>
                <w:rFonts w:cstheme="minorHAnsi"/>
                <w:sz w:val="24"/>
                <w:szCs w:val="24"/>
              </w:rPr>
              <w:t>Was the scorecard length adequate?</w:t>
            </w:r>
          </w:p>
        </w:tc>
        <w:tc>
          <w:tcPr>
            <w:tcW w:w="0" w:type="auto"/>
          </w:tcPr>
          <w:p w14:paraId="744FC1AE" w14:textId="77777777" w:rsidR="00441AD0" w:rsidRPr="00441AD0" w:rsidRDefault="00441AD0" w:rsidP="00441AD0">
            <w:pPr>
              <w:kinsoku w:val="0"/>
              <w:overflowPunct w:val="0"/>
              <w:autoSpaceDE w:val="0"/>
              <w:autoSpaceDN w:val="0"/>
              <w:adjustRightInd w:val="0"/>
              <w:spacing w:line="250" w:lineRule="exact"/>
              <w:ind w:left="1330"/>
              <w:rPr>
                <w:rFonts w:cstheme="minorHAnsi"/>
                <w:sz w:val="24"/>
                <w:szCs w:val="24"/>
              </w:rPr>
            </w:pPr>
            <w:r w:rsidRPr="00441AD0">
              <w:rPr>
                <w:rFonts w:cstheme="minorHAnsi"/>
                <w:sz w:val="24"/>
                <w:szCs w:val="24"/>
              </w:rPr>
              <w:t>92%</w:t>
            </w:r>
          </w:p>
        </w:tc>
      </w:tr>
      <w:tr w:rsidR="00441AD0" w:rsidRPr="00441AD0" w14:paraId="5FFCA1C4" w14:textId="77777777" w:rsidTr="00720B72">
        <w:trPr>
          <w:trHeight w:val="288"/>
        </w:trPr>
        <w:tc>
          <w:tcPr>
            <w:tcW w:w="0" w:type="auto"/>
          </w:tcPr>
          <w:p w14:paraId="7678D8A1" w14:textId="77777777" w:rsidR="00441AD0" w:rsidRPr="00441AD0" w:rsidRDefault="00441AD0" w:rsidP="00441AD0">
            <w:pPr>
              <w:kinsoku w:val="0"/>
              <w:overflowPunct w:val="0"/>
              <w:autoSpaceDE w:val="0"/>
              <w:autoSpaceDN w:val="0"/>
              <w:adjustRightInd w:val="0"/>
              <w:spacing w:line="250" w:lineRule="exact"/>
              <w:ind w:left="107"/>
              <w:rPr>
                <w:rFonts w:cstheme="minorHAnsi"/>
                <w:sz w:val="24"/>
                <w:szCs w:val="24"/>
              </w:rPr>
            </w:pPr>
            <w:r w:rsidRPr="00441AD0">
              <w:rPr>
                <w:rFonts w:cstheme="minorHAnsi"/>
                <w:sz w:val="24"/>
                <w:szCs w:val="24"/>
              </w:rPr>
              <w:t>Was the scorecard terminology easy to understand?</w:t>
            </w:r>
          </w:p>
        </w:tc>
        <w:tc>
          <w:tcPr>
            <w:tcW w:w="0" w:type="auto"/>
          </w:tcPr>
          <w:p w14:paraId="151BA103" w14:textId="77777777" w:rsidR="00441AD0" w:rsidRPr="00441AD0" w:rsidRDefault="00441AD0" w:rsidP="00441AD0">
            <w:pPr>
              <w:kinsoku w:val="0"/>
              <w:overflowPunct w:val="0"/>
              <w:autoSpaceDE w:val="0"/>
              <w:autoSpaceDN w:val="0"/>
              <w:adjustRightInd w:val="0"/>
              <w:spacing w:line="250" w:lineRule="exact"/>
              <w:ind w:left="1330"/>
              <w:rPr>
                <w:rFonts w:cstheme="minorHAnsi"/>
                <w:sz w:val="24"/>
                <w:szCs w:val="24"/>
              </w:rPr>
            </w:pPr>
            <w:r w:rsidRPr="00441AD0">
              <w:rPr>
                <w:rFonts w:cstheme="minorHAnsi"/>
                <w:sz w:val="24"/>
                <w:szCs w:val="24"/>
              </w:rPr>
              <w:t>83%</w:t>
            </w:r>
          </w:p>
        </w:tc>
      </w:tr>
      <w:tr w:rsidR="00441AD0" w:rsidRPr="00441AD0" w14:paraId="634130A4" w14:textId="77777777" w:rsidTr="00720B72">
        <w:trPr>
          <w:trHeight w:val="288"/>
        </w:trPr>
        <w:tc>
          <w:tcPr>
            <w:tcW w:w="0" w:type="auto"/>
          </w:tcPr>
          <w:p w14:paraId="79D6C673" w14:textId="77777777" w:rsidR="00441AD0" w:rsidRPr="00441AD0" w:rsidRDefault="00441AD0" w:rsidP="00441AD0">
            <w:pPr>
              <w:kinsoku w:val="0"/>
              <w:overflowPunct w:val="0"/>
              <w:autoSpaceDE w:val="0"/>
              <w:autoSpaceDN w:val="0"/>
              <w:adjustRightInd w:val="0"/>
              <w:spacing w:line="248" w:lineRule="exact"/>
              <w:ind w:left="107"/>
              <w:rPr>
                <w:rFonts w:cstheme="minorHAnsi"/>
                <w:sz w:val="24"/>
                <w:szCs w:val="24"/>
              </w:rPr>
            </w:pPr>
            <w:r w:rsidRPr="00441AD0">
              <w:rPr>
                <w:rFonts w:cstheme="minorHAnsi"/>
                <w:sz w:val="24"/>
                <w:szCs w:val="24"/>
              </w:rPr>
              <w:t>Is the scorecard applicable across different disciplines?</w:t>
            </w:r>
          </w:p>
        </w:tc>
        <w:tc>
          <w:tcPr>
            <w:tcW w:w="0" w:type="auto"/>
          </w:tcPr>
          <w:p w14:paraId="3F881959" w14:textId="77777777" w:rsidR="00441AD0" w:rsidRPr="00441AD0" w:rsidRDefault="00441AD0" w:rsidP="00441AD0">
            <w:pPr>
              <w:kinsoku w:val="0"/>
              <w:overflowPunct w:val="0"/>
              <w:autoSpaceDE w:val="0"/>
              <w:autoSpaceDN w:val="0"/>
              <w:adjustRightInd w:val="0"/>
              <w:spacing w:line="248" w:lineRule="exact"/>
              <w:ind w:left="1330"/>
              <w:rPr>
                <w:rFonts w:cstheme="minorHAnsi"/>
                <w:sz w:val="24"/>
                <w:szCs w:val="24"/>
              </w:rPr>
            </w:pPr>
            <w:r w:rsidRPr="00441AD0">
              <w:rPr>
                <w:rFonts w:cstheme="minorHAnsi"/>
                <w:sz w:val="24"/>
                <w:szCs w:val="24"/>
              </w:rPr>
              <w:t>92%</w:t>
            </w:r>
          </w:p>
        </w:tc>
      </w:tr>
    </w:tbl>
    <w:p w14:paraId="60FACE72" w14:textId="77777777" w:rsidR="008379D1" w:rsidRPr="005B7F7A" w:rsidRDefault="008379D1" w:rsidP="008379D1">
      <w:pPr>
        <w:rPr>
          <w:rFonts w:cstheme="minorHAnsi"/>
          <w:sz w:val="24"/>
          <w:szCs w:val="24"/>
        </w:rPr>
      </w:pPr>
    </w:p>
    <w:tbl>
      <w:tblPr>
        <w:tblStyle w:val="TableGrid"/>
        <w:tblW w:w="0" w:type="auto"/>
        <w:tblLook w:val="04A0" w:firstRow="1" w:lastRow="0" w:firstColumn="1" w:lastColumn="0" w:noHBand="0" w:noVBand="1"/>
      </w:tblPr>
      <w:tblGrid>
        <w:gridCol w:w="10070"/>
      </w:tblGrid>
      <w:tr w:rsidR="00441AD0" w:rsidRPr="00441AD0" w14:paraId="1DB4165D" w14:textId="77777777" w:rsidTr="00441AD0">
        <w:tc>
          <w:tcPr>
            <w:tcW w:w="10070" w:type="dxa"/>
          </w:tcPr>
          <w:p w14:paraId="5DB5ACD4" w14:textId="204A299B" w:rsidR="00441AD0" w:rsidRPr="00441AD0" w:rsidRDefault="00441AD0" w:rsidP="00441AD0">
            <w:pPr>
              <w:rPr>
                <w:rFonts w:cstheme="minorHAnsi"/>
                <w:b/>
                <w:bCs/>
                <w:sz w:val="24"/>
                <w:szCs w:val="24"/>
              </w:rPr>
            </w:pPr>
            <w:r w:rsidRPr="00441AD0">
              <w:rPr>
                <w:rFonts w:cstheme="minorHAnsi"/>
                <w:b/>
                <w:bCs/>
                <w:sz w:val="24"/>
                <w:szCs w:val="24"/>
              </w:rPr>
              <w:t>Open-ended feedback:</w:t>
            </w:r>
          </w:p>
        </w:tc>
      </w:tr>
      <w:tr w:rsidR="00441AD0" w14:paraId="17F58063" w14:textId="77777777" w:rsidTr="00441AD0">
        <w:tc>
          <w:tcPr>
            <w:tcW w:w="10070" w:type="dxa"/>
          </w:tcPr>
          <w:p w14:paraId="20CA9CFE" w14:textId="6EDB81FA" w:rsidR="00441AD0" w:rsidRDefault="00441AD0" w:rsidP="00441AD0">
            <w:pPr>
              <w:rPr>
                <w:rFonts w:cstheme="minorHAnsi"/>
                <w:sz w:val="24"/>
                <w:szCs w:val="24"/>
              </w:rPr>
            </w:pPr>
            <w:r w:rsidRPr="005B7F7A">
              <w:rPr>
                <w:rFonts w:cstheme="minorHAnsi"/>
                <w:sz w:val="24"/>
                <w:szCs w:val="24"/>
              </w:rPr>
              <w:t>“Like the explicit instruction”, “easy to understand”, “did not take long to complete”, “(liked) that ratings provided separate feedback on both Teaching and Instructional Design components of the module, a quick score with room for specific feedback to the module developers on strengths, and what needs to be improved”</w:t>
            </w:r>
          </w:p>
        </w:tc>
      </w:tr>
    </w:tbl>
    <w:p w14:paraId="2FBC9222" w14:textId="77777777" w:rsidR="008379D1" w:rsidRPr="005B7F7A" w:rsidRDefault="008379D1" w:rsidP="00441AD0">
      <w:pPr>
        <w:pStyle w:val="Heading1"/>
      </w:pPr>
      <w:r w:rsidRPr="005B7F7A">
        <w:t>Discussion</w:t>
      </w:r>
    </w:p>
    <w:p w14:paraId="34BEF431" w14:textId="2A3F7A5A" w:rsidR="008379D1" w:rsidRPr="005B7F7A" w:rsidRDefault="008379D1" w:rsidP="008379D1">
      <w:pPr>
        <w:rPr>
          <w:rFonts w:cstheme="minorHAnsi"/>
          <w:sz w:val="24"/>
          <w:szCs w:val="24"/>
        </w:rPr>
      </w:pPr>
      <w:r w:rsidRPr="005B7F7A">
        <w:rPr>
          <w:rFonts w:cstheme="minorHAnsi"/>
          <w:sz w:val="24"/>
          <w:szCs w:val="24"/>
        </w:rPr>
        <w:t>The study results validated the usability of the NEscore across health science disciplines and levels of instructional design experience in the population studied in this pilot research project. These early study results are encouraging and suggest correlation of the favorable results to that of other educational technology scorecards commonly referred to in educational best practices such as Quality Matters, the gold standard in the development of online courses (Quality Matters, 2021).</w:t>
      </w:r>
      <w:r w:rsidR="006170C5">
        <w:rPr>
          <w:rFonts w:cstheme="minorHAnsi"/>
          <w:sz w:val="24"/>
          <w:szCs w:val="24"/>
        </w:rPr>
        <w:t xml:space="preserve"> </w:t>
      </w:r>
      <w:r w:rsidRPr="005B7F7A">
        <w:rPr>
          <w:rFonts w:cstheme="minorHAnsi"/>
          <w:sz w:val="24"/>
          <w:szCs w:val="24"/>
        </w:rPr>
        <w:t xml:space="preserve">Quality Matters indicates similar usability of their tool across varying expertise levels as researchers found with the NEscore in this pilot study. The Quality Scorecard provides another example of a scorecard developed to promote quality assets. The Quality Scorecard published by the Online Learning Consortium provides end users with a roadmap for creating blended learning programs (University of Wisconsin-Madison, 2021). The aforementioned scorecards, the Quality Matters, the Quality Scorecard, and NEscore share a common goal which is to provide a reliable tool for developers, regardless of previous experience or formal training, to generate a quality outcome based upon the best practices to optimize learning. While the Quality Matters and Quality Scorecard are arguably well-recognized by course developers and instructional designers, there remains an opportunity to further explore their usability from experts to novice end users as was a central </w:t>
      </w:r>
      <w:r w:rsidR="006170C5" w:rsidRPr="005B7F7A">
        <w:rPr>
          <w:rFonts w:cstheme="minorHAnsi"/>
          <w:sz w:val="24"/>
          <w:szCs w:val="24"/>
        </w:rPr>
        <w:t>aim of</w:t>
      </w:r>
      <w:r w:rsidRPr="005B7F7A">
        <w:rPr>
          <w:rFonts w:cstheme="minorHAnsi"/>
          <w:sz w:val="24"/>
          <w:szCs w:val="24"/>
        </w:rPr>
        <w:t xml:space="preserve"> this research study.</w:t>
      </w:r>
    </w:p>
    <w:p w14:paraId="46644BA7" w14:textId="2E9C407B" w:rsidR="008379D1" w:rsidRPr="005B7F7A" w:rsidRDefault="008379D1" w:rsidP="008379D1">
      <w:pPr>
        <w:rPr>
          <w:rFonts w:cstheme="minorHAnsi"/>
          <w:sz w:val="24"/>
          <w:szCs w:val="24"/>
        </w:rPr>
      </w:pPr>
      <w:r w:rsidRPr="005B7F7A">
        <w:rPr>
          <w:rFonts w:cstheme="minorHAnsi"/>
          <w:sz w:val="24"/>
          <w:szCs w:val="24"/>
        </w:rPr>
        <w:t>For the NEscore, there was strong evidence of internal consistency among the scores with overall high reliability. This scorecard measures the intended core tenets. The E-learning modules represented an array of discipline-specific health sciences content. Nevertheless, the evaluator participants from varying health professions were able to assess the modules using the NEscore effectively.</w:t>
      </w:r>
    </w:p>
    <w:p w14:paraId="0C6FA5A8" w14:textId="395072CE" w:rsidR="008379D1" w:rsidRPr="005B7F7A" w:rsidRDefault="008379D1" w:rsidP="008379D1">
      <w:pPr>
        <w:rPr>
          <w:rFonts w:cstheme="minorHAnsi"/>
          <w:sz w:val="24"/>
          <w:szCs w:val="24"/>
        </w:rPr>
      </w:pPr>
      <w:r w:rsidRPr="005B7F7A">
        <w:rPr>
          <w:rFonts w:cstheme="minorHAnsi"/>
          <w:sz w:val="24"/>
          <w:szCs w:val="24"/>
        </w:rPr>
        <w:t>There was a high consistency among participant scores, among both expert and novice participants. There was no significant difference between the two groups. This outcome suggests that the goal of developing an effective tool with wide utility across varying levels of familiarity and expertise in developing quality E-learning module has been achieved (Koszalka, 2000; Richey, 2004). With no significant difference between the two participant groups, this implies that the NEscore is</w:t>
      </w:r>
      <w:r w:rsidRPr="005B7F7A">
        <w:rPr>
          <w:rFonts w:cstheme="minorHAnsi"/>
          <w:sz w:val="24"/>
          <w:szCs w:val="24"/>
        </w:rPr>
        <w:t xml:space="preserve"> </w:t>
      </w:r>
      <w:r w:rsidRPr="005B7F7A">
        <w:rPr>
          <w:rFonts w:cstheme="minorHAnsi"/>
          <w:sz w:val="24"/>
          <w:szCs w:val="24"/>
        </w:rPr>
        <w:t xml:space="preserve">an effective </w:t>
      </w:r>
      <w:r w:rsidR="00DA28E4">
        <w:rPr>
          <w:rFonts w:cstheme="minorHAnsi"/>
          <w:sz w:val="24"/>
          <w:szCs w:val="24"/>
        </w:rPr>
        <w:t>t</w:t>
      </w:r>
      <w:r w:rsidRPr="005B7F7A">
        <w:rPr>
          <w:rFonts w:cstheme="minorHAnsi"/>
          <w:sz w:val="24"/>
          <w:szCs w:val="24"/>
        </w:rPr>
        <w:t>ool for all educators, regardless of E-learning experience. The NEscore provides the necessary framework for an educator to evaluate the core tenets of learning in an E-learning module. Additionally, the findings revealed that participants were satisfied with the usability of the NEscore, including the length of the assessment and the ease with which the terminology could be interpreted. Participants indicated they would recommend the scorecard to colleagues and implied that it was applicable across disciplines.</w:t>
      </w:r>
    </w:p>
    <w:p w14:paraId="31A75700" w14:textId="7B3929A7" w:rsidR="008379D1" w:rsidRPr="005B7F7A" w:rsidRDefault="008379D1" w:rsidP="008379D1">
      <w:pPr>
        <w:rPr>
          <w:rFonts w:cstheme="minorHAnsi"/>
          <w:sz w:val="24"/>
          <w:szCs w:val="24"/>
        </w:rPr>
      </w:pPr>
      <w:r w:rsidRPr="005B7F7A">
        <w:rPr>
          <w:rFonts w:cstheme="minorHAnsi"/>
          <w:sz w:val="24"/>
          <w:szCs w:val="24"/>
        </w:rPr>
        <w:t>The scorecard development team made some final revisions to the tool following the pilot study and review of participants’ feedback. Final edits included rephrasing the overall score descriptions from “Gold Standard” or “Exemplar” to descriptors such as “Well done”, “Adequate”, and “Needs Improvement”. The NEscore link is to the revised tool. Additionally, institutions may choose to incorporate operational standards such as branding, funding statements, and authorship credits to the scorecard criterion. These items may be better assessed using a binary compliance or non-compliance rating rather than a Likert scale as presented in the scorecard.</w:t>
      </w:r>
    </w:p>
    <w:p w14:paraId="4EE45414" w14:textId="3CE59943" w:rsidR="008379D1" w:rsidRPr="005B7F7A" w:rsidRDefault="008379D1" w:rsidP="008379D1">
      <w:pPr>
        <w:rPr>
          <w:rFonts w:cstheme="minorHAnsi"/>
          <w:sz w:val="24"/>
          <w:szCs w:val="24"/>
        </w:rPr>
      </w:pPr>
      <w:r w:rsidRPr="005B7F7A">
        <w:rPr>
          <w:rFonts w:cstheme="minorHAnsi"/>
          <w:sz w:val="24"/>
          <w:szCs w:val="24"/>
        </w:rPr>
        <w:t>As E-learning and its utility continues to evolve, the development team anticipate the need for ongoing assessment of the scorecard’s usability and content validity. This can be achieved through additional research using a larger testing sample. The core tenets of the scorecard can be further validated by purposeful research involving participants across disciplines, outside of the health professions domain.</w:t>
      </w:r>
    </w:p>
    <w:p w14:paraId="31EAA456" w14:textId="72E0FA87" w:rsidR="008379D1" w:rsidRPr="005B7F7A" w:rsidRDefault="008379D1" w:rsidP="008379D1">
      <w:pPr>
        <w:rPr>
          <w:rFonts w:cstheme="minorHAnsi"/>
          <w:sz w:val="24"/>
          <w:szCs w:val="24"/>
        </w:rPr>
      </w:pPr>
      <w:r w:rsidRPr="005B7F7A">
        <w:rPr>
          <w:rFonts w:cstheme="minorHAnsi"/>
          <w:sz w:val="24"/>
          <w:szCs w:val="24"/>
        </w:rPr>
        <w:t>These future research opportunities hint at the limitations commonly found in a pilot study and were applicable to this study. Specifically, the limitations of this research project were the small sample size with a participation population of 6, the single institution involvement, and the targeted sampling strategy.</w:t>
      </w:r>
    </w:p>
    <w:p w14:paraId="4CCCCEDA" w14:textId="648345DB" w:rsidR="008379D1" w:rsidRPr="005B7F7A" w:rsidRDefault="008379D1" w:rsidP="008379D1">
      <w:pPr>
        <w:rPr>
          <w:rFonts w:cstheme="minorHAnsi"/>
          <w:sz w:val="24"/>
          <w:szCs w:val="24"/>
        </w:rPr>
      </w:pPr>
      <w:r w:rsidRPr="005B7F7A">
        <w:rPr>
          <w:rFonts w:cstheme="minorHAnsi"/>
          <w:sz w:val="24"/>
          <w:szCs w:val="24"/>
        </w:rPr>
        <w:t>The NEscore offers institutions an established set of criteria to guide both the development of E-learning modules and evaluation of E-learning modules. The scorecard can guide instructional design efforts for institutions that maintain a repository of quality E-learning modules. Additionally, the NEscore can serve as an internal tool to vet the quality of E-learning modules.</w:t>
      </w:r>
    </w:p>
    <w:p w14:paraId="68286D51" w14:textId="77777777" w:rsidR="008379D1" w:rsidRPr="005B7F7A" w:rsidRDefault="008379D1" w:rsidP="00F4758E">
      <w:pPr>
        <w:pStyle w:val="Heading1"/>
      </w:pPr>
      <w:r w:rsidRPr="005B7F7A">
        <w:t>Conclusion</w:t>
      </w:r>
    </w:p>
    <w:p w14:paraId="6B205A19" w14:textId="2861EC28" w:rsidR="008379D1" w:rsidRPr="005B7F7A" w:rsidRDefault="008379D1" w:rsidP="008379D1">
      <w:pPr>
        <w:rPr>
          <w:rFonts w:cstheme="minorHAnsi"/>
          <w:sz w:val="24"/>
          <w:szCs w:val="24"/>
        </w:rPr>
      </w:pPr>
      <w:r w:rsidRPr="005B7F7A">
        <w:rPr>
          <w:rFonts w:cstheme="minorHAnsi"/>
          <w:sz w:val="24"/>
          <w:szCs w:val="24"/>
        </w:rPr>
        <w:t>The NEscore is a robust tool built upon the core tenets of E-learning. The scorecard demonstrated usability across varying levels of educational expertise. The research findings contribute to the growing body of knowledge on resources for quality e-instructional design across academic health science disciplines in higher education. The impact of the NEscore continues to provide value at UNMC, guiding new cohorts of E-learning developers in creating quality E-learning modules. A quality E-learning module that follows best practices optimizes the learning experience. Nationally, other institutions of higher learning can use the NEscore to guide E-learning module development and assess quality in the end product. The goal for all institutions, regardless of discipline or academic degree offered, is to learn. The NEscore is one tool that can be added to valuable resources to enhance the student learning experience.</w:t>
      </w:r>
    </w:p>
    <w:p w14:paraId="0EF5CB00" w14:textId="77777777" w:rsidR="008379D1" w:rsidRPr="005B7F7A" w:rsidRDefault="008379D1" w:rsidP="00F4758E">
      <w:pPr>
        <w:pStyle w:val="Heading1"/>
      </w:pPr>
      <w:r w:rsidRPr="005B7F7A">
        <w:t>Declaration of Conflicting Interests</w:t>
      </w:r>
    </w:p>
    <w:p w14:paraId="7CA51E6E" w14:textId="022542D2" w:rsidR="008379D1" w:rsidRPr="005B7F7A" w:rsidRDefault="008379D1" w:rsidP="008379D1">
      <w:pPr>
        <w:rPr>
          <w:rFonts w:cstheme="minorHAnsi"/>
          <w:sz w:val="24"/>
          <w:szCs w:val="24"/>
        </w:rPr>
      </w:pPr>
      <w:r w:rsidRPr="005B7F7A">
        <w:rPr>
          <w:rFonts w:cstheme="minorHAnsi"/>
          <w:sz w:val="24"/>
          <w:szCs w:val="24"/>
        </w:rPr>
        <w:t>The author(s) declared no potential conflicts of interest with respect to the research, authorship, and/or publication of this article.</w:t>
      </w:r>
    </w:p>
    <w:p w14:paraId="785B40B3" w14:textId="77777777" w:rsidR="008379D1" w:rsidRPr="005B7F7A" w:rsidRDefault="008379D1" w:rsidP="00F4758E">
      <w:pPr>
        <w:pStyle w:val="Heading1"/>
      </w:pPr>
      <w:r w:rsidRPr="005B7F7A">
        <w:t>Funding</w:t>
      </w:r>
    </w:p>
    <w:p w14:paraId="2C35058A" w14:textId="46DFF9E5" w:rsidR="00900069" w:rsidRPr="005B7F7A" w:rsidRDefault="008379D1" w:rsidP="008379D1">
      <w:pPr>
        <w:rPr>
          <w:rFonts w:cstheme="minorHAnsi"/>
          <w:sz w:val="24"/>
          <w:szCs w:val="24"/>
        </w:rPr>
      </w:pPr>
      <w:r w:rsidRPr="005B7F7A">
        <w:rPr>
          <w:rFonts w:cstheme="minorHAnsi"/>
          <w:sz w:val="24"/>
          <w:szCs w:val="24"/>
        </w:rPr>
        <w:t>The author(s) received no financial support for the research, authorship, and/or publication of this</w:t>
      </w:r>
      <w:r w:rsidR="00F4758E">
        <w:rPr>
          <w:rFonts w:cstheme="minorHAnsi"/>
          <w:sz w:val="24"/>
          <w:szCs w:val="24"/>
        </w:rPr>
        <w:t xml:space="preserve"> </w:t>
      </w:r>
      <w:r w:rsidRPr="005B7F7A">
        <w:rPr>
          <w:rFonts w:cstheme="minorHAnsi"/>
          <w:sz w:val="24"/>
          <w:szCs w:val="24"/>
        </w:rPr>
        <w:t>article.</w:t>
      </w:r>
    </w:p>
    <w:p w14:paraId="4C21185D" w14:textId="77777777" w:rsidR="005E280E" w:rsidRPr="005B7F7A" w:rsidRDefault="005E280E" w:rsidP="00F4758E">
      <w:pPr>
        <w:pStyle w:val="Heading1"/>
      </w:pPr>
      <w:r w:rsidRPr="005B7F7A">
        <w:t>Supplemental Material</w:t>
      </w:r>
    </w:p>
    <w:p w14:paraId="2CB09721" w14:textId="77777777" w:rsidR="005E280E" w:rsidRPr="005B7F7A" w:rsidRDefault="005E280E" w:rsidP="005E280E">
      <w:pPr>
        <w:rPr>
          <w:rFonts w:cstheme="minorHAnsi"/>
          <w:sz w:val="24"/>
          <w:szCs w:val="24"/>
        </w:rPr>
      </w:pPr>
      <w:r w:rsidRPr="005B7F7A">
        <w:rPr>
          <w:rFonts w:cstheme="minorHAnsi"/>
          <w:sz w:val="24"/>
          <w:szCs w:val="24"/>
        </w:rPr>
        <w:t>Supplemental material for this article is available online.</w:t>
      </w:r>
    </w:p>
    <w:p w14:paraId="0DA2A3AF" w14:textId="77777777" w:rsidR="005E280E" w:rsidRPr="005B7F7A" w:rsidRDefault="005E280E" w:rsidP="00F4758E">
      <w:pPr>
        <w:pStyle w:val="Heading1"/>
      </w:pPr>
      <w:r w:rsidRPr="005B7F7A">
        <w:t>References</w:t>
      </w:r>
    </w:p>
    <w:p w14:paraId="12E6F53A" w14:textId="7BFD37ED" w:rsidR="005E280E" w:rsidRPr="00F4758E" w:rsidRDefault="005E280E" w:rsidP="00F4758E">
      <w:pPr>
        <w:pStyle w:val="NoSpacing"/>
        <w:ind w:left="720" w:hanging="720"/>
        <w:rPr>
          <w:rFonts w:cstheme="minorHAnsi"/>
          <w:sz w:val="24"/>
          <w:szCs w:val="24"/>
        </w:rPr>
      </w:pPr>
      <w:r w:rsidRPr="00F4758E">
        <w:rPr>
          <w:rFonts w:cstheme="minorHAnsi"/>
          <w:sz w:val="24"/>
          <w:szCs w:val="24"/>
        </w:rPr>
        <w:t>Adair, D., &amp; Shattuck, K. (2015). Quality matters™: An educational input in an ongoing design-based research project. American Journal of Distance Education, 29(3), 159-165. https://doi.org/10.1080/08923647.2015.1057094</w:t>
      </w:r>
    </w:p>
    <w:p w14:paraId="46C51D33" w14:textId="5D4E60D8" w:rsidR="005E280E" w:rsidRPr="00F4758E" w:rsidRDefault="005E280E" w:rsidP="00F4758E">
      <w:pPr>
        <w:pStyle w:val="NoSpacing"/>
        <w:ind w:left="720" w:hanging="720"/>
        <w:rPr>
          <w:rFonts w:cstheme="minorHAnsi"/>
          <w:sz w:val="24"/>
          <w:szCs w:val="24"/>
        </w:rPr>
      </w:pPr>
      <w:r w:rsidRPr="00F4758E">
        <w:rPr>
          <w:rFonts w:cstheme="minorHAnsi"/>
          <w:sz w:val="24"/>
          <w:szCs w:val="24"/>
        </w:rPr>
        <w:t>Alexander, S., &amp; Baird, D. (2003). The wrinkle in your research and teaching: Copyright, DMCA, guidelines, and public domain. https://files.eric.ed.gov/fulltext/ED479254.pdf</w:t>
      </w:r>
    </w:p>
    <w:p w14:paraId="3730EA07" w14:textId="65A2279F" w:rsidR="005E280E" w:rsidRPr="00F4758E" w:rsidRDefault="005E280E" w:rsidP="00F4758E">
      <w:pPr>
        <w:pStyle w:val="NoSpacing"/>
        <w:ind w:left="720" w:hanging="720"/>
        <w:rPr>
          <w:rFonts w:cstheme="minorHAnsi"/>
          <w:sz w:val="24"/>
          <w:szCs w:val="24"/>
        </w:rPr>
      </w:pPr>
      <w:r w:rsidRPr="00F4758E">
        <w:rPr>
          <w:rFonts w:cstheme="minorHAnsi"/>
          <w:sz w:val="24"/>
          <w:szCs w:val="24"/>
        </w:rPr>
        <w:t>Anderson, L. W., &amp; Krathwohl, D. R. (2001). A taxonomy for learning, teaching, and assessing: A revision of Bloom's taxonomy of educational objectives. Addison Wesley Longman.</w:t>
      </w:r>
    </w:p>
    <w:p w14:paraId="04285989" w14:textId="7ABF9EF7" w:rsidR="005E280E" w:rsidRPr="00F4758E" w:rsidRDefault="005E280E" w:rsidP="00F4758E">
      <w:pPr>
        <w:pStyle w:val="NoSpacing"/>
        <w:ind w:left="720" w:hanging="720"/>
        <w:rPr>
          <w:rFonts w:cstheme="minorHAnsi"/>
          <w:sz w:val="24"/>
          <w:szCs w:val="24"/>
        </w:rPr>
      </w:pPr>
      <w:r w:rsidRPr="00F4758E">
        <w:rPr>
          <w:rFonts w:cstheme="minorHAnsi"/>
          <w:sz w:val="24"/>
          <w:szCs w:val="24"/>
        </w:rPr>
        <w:t>Anderson, N. B., Poole, L. L., Quinn, S., &amp; Schlicht, C. L. (2014). Using a multiperspective design team to develop and manage multilayered online courses. Quarterly Review of Distance Education, 15(4), 25-36.</w:t>
      </w:r>
    </w:p>
    <w:p w14:paraId="59F72AED" w14:textId="08DA628D" w:rsidR="005E280E" w:rsidRPr="00F4758E" w:rsidRDefault="005E280E" w:rsidP="00F4758E">
      <w:pPr>
        <w:pStyle w:val="NoSpacing"/>
        <w:ind w:left="720" w:hanging="720"/>
        <w:rPr>
          <w:rFonts w:cstheme="minorHAnsi"/>
          <w:sz w:val="24"/>
          <w:szCs w:val="24"/>
        </w:rPr>
      </w:pPr>
      <w:r w:rsidRPr="00F4758E">
        <w:rPr>
          <w:rFonts w:cstheme="minorHAnsi"/>
          <w:sz w:val="24"/>
          <w:szCs w:val="24"/>
        </w:rPr>
        <w:t>Bloom, B. S., Engelhart, M. D., Furst, E. J., Hill, W. H., &amp; Krathwohl, D. R. (1956). Taxonomy of educational objectives. Handbook 1: Cognitive domain. David McKay Company.</w:t>
      </w:r>
    </w:p>
    <w:p w14:paraId="205FC0CC" w14:textId="7867002A" w:rsidR="005E280E" w:rsidRPr="00F4758E" w:rsidRDefault="005E280E" w:rsidP="00F4758E">
      <w:pPr>
        <w:pStyle w:val="NoSpacing"/>
        <w:ind w:left="720" w:hanging="720"/>
        <w:rPr>
          <w:rFonts w:cstheme="minorHAnsi"/>
          <w:sz w:val="24"/>
          <w:szCs w:val="24"/>
        </w:rPr>
      </w:pPr>
      <w:r w:rsidRPr="00F4758E">
        <w:rPr>
          <w:rFonts w:cstheme="minorHAnsi"/>
          <w:sz w:val="24"/>
          <w:szCs w:val="24"/>
        </w:rPr>
        <w:t>Brown, A. R., &amp; Voltz, B. D. (2005). Elements of effective e-learning design. The International Review of Research in Open and Distributed Learning, 6(1). https://doi.org/10.19173/irrodl.v6i1.217</w:t>
      </w:r>
    </w:p>
    <w:p w14:paraId="43490EAE" w14:textId="091AB638" w:rsidR="005E280E" w:rsidRPr="00F4758E" w:rsidRDefault="005E280E" w:rsidP="00F4758E">
      <w:pPr>
        <w:pStyle w:val="NoSpacing"/>
        <w:ind w:left="720" w:hanging="720"/>
        <w:rPr>
          <w:rFonts w:cstheme="minorHAnsi"/>
          <w:sz w:val="24"/>
          <w:szCs w:val="24"/>
        </w:rPr>
      </w:pPr>
      <w:r w:rsidRPr="00F4758E">
        <w:rPr>
          <w:rFonts w:cstheme="minorHAnsi"/>
          <w:sz w:val="24"/>
          <w:szCs w:val="24"/>
        </w:rPr>
        <w:t>Case, D. E., &amp; Davidson, R. C. (2011). Accessible online learning. New Directions for Student Services, 2011(134), 47-58. https://doi.org/10.1002/ss.394</w:t>
      </w:r>
    </w:p>
    <w:p w14:paraId="0F908E79" w14:textId="2810546B" w:rsidR="005E280E" w:rsidRPr="00F4758E" w:rsidRDefault="005E280E" w:rsidP="00F4758E">
      <w:pPr>
        <w:pStyle w:val="NoSpacing"/>
        <w:ind w:left="720" w:hanging="720"/>
        <w:rPr>
          <w:rFonts w:cstheme="minorHAnsi"/>
          <w:sz w:val="24"/>
          <w:szCs w:val="24"/>
        </w:rPr>
      </w:pPr>
      <w:r w:rsidRPr="00F4758E">
        <w:rPr>
          <w:rFonts w:cstheme="minorHAnsi"/>
          <w:sz w:val="24"/>
          <w:szCs w:val="24"/>
        </w:rPr>
        <w:t>Chang, T. P., Pham, P. K., Sobolewski, B., Doughty, C. B., Jamal, N., Kwan, K. Y., Little, K., Brenkert, T. E., Mathison, D. J., &amp; Burton, J. (2014). Pediatric emergency medicine asynchronous</w:t>
      </w:r>
      <w:r w:rsidR="000667B9">
        <w:rPr>
          <w:rFonts w:cstheme="minorHAnsi"/>
          <w:sz w:val="24"/>
          <w:szCs w:val="24"/>
        </w:rPr>
        <w:t xml:space="preserve"> </w:t>
      </w:r>
      <w:r w:rsidRPr="00F4758E">
        <w:rPr>
          <w:rFonts w:cstheme="minorHAnsi"/>
          <w:sz w:val="24"/>
          <w:szCs w:val="24"/>
        </w:rPr>
        <w:t>e-learning: A multicenter randomized controlled Solomon four-group study. Academic Emergency Medicine, 21(8), 912-919. https://doi.org/10.1111/acem.12434</w:t>
      </w:r>
    </w:p>
    <w:p w14:paraId="65161B35" w14:textId="5EEA3ED3" w:rsidR="005E280E" w:rsidRPr="00F4758E" w:rsidRDefault="005E280E" w:rsidP="00F4758E">
      <w:pPr>
        <w:pStyle w:val="NoSpacing"/>
        <w:ind w:left="720" w:hanging="720"/>
        <w:rPr>
          <w:rFonts w:cstheme="minorHAnsi"/>
          <w:sz w:val="24"/>
          <w:szCs w:val="24"/>
        </w:rPr>
      </w:pPr>
      <w:r w:rsidRPr="00F4758E">
        <w:rPr>
          <w:rFonts w:cstheme="minorHAnsi"/>
          <w:sz w:val="24"/>
          <w:szCs w:val="24"/>
        </w:rPr>
        <w:t>Cicchetti, D. V. (1994). Guidelines, criteria, and rules of thumb for evaluating normed and standardized assessment instruments in psychology. Psychological Assessment, 6(4), 284-290. https://doi.org/10.1037/1040-3590.6.4.284</w:t>
      </w:r>
    </w:p>
    <w:p w14:paraId="6217E231" w14:textId="5D249818" w:rsidR="005E280E" w:rsidRPr="00F4758E" w:rsidRDefault="005E280E" w:rsidP="00F4758E">
      <w:pPr>
        <w:pStyle w:val="NoSpacing"/>
        <w:ind w:left="720" w:hanging="720"/>
        <w:rPr>
          <w:rFonts w:cstheme="minorHAnsi"/>
          <w:sz w:val="24"/>
          <w:szCs w:val="24"/>
        </w:rPr>
      </w:pPr>
      <w:r w:rsidRPr="00F4758E">
        <w:rPr>
          <w:rFonts w:cstheme="minorHAnsi"/>
          <w:sz w:val="24"/>
          <w:szCs w:val="24"/>
        </w:rPr>
        <w:t>Dong, C., &amp; Goh, P. S. (2015). Twelve tips for the effective use of videos in medical education.</w:t>
      </w:r>
      <w:r w:rsidR="000667B9">
        <w:rPr>
          <w:rFonts w:cstheme="minorHAnsi"/>
          <w:sz w:val="24"/>
          <w:szCs w:val="24"/>
        </w:rPr>
        <w:t xml:space="preserve"> </w:t>
      </w:r>
      <w:r w:rsidRPr="00F4758E">
        <w:rPr>
          <w:rFonts w:cstheme="minorHAnsi"/>
          <w:sz w:val="24"/>
          <w:szCs w:val="24"/>
        </w:rPr>
        <w:t>Medical Teacher, 37(2), 140-145. https://doi.org/10.3109/0142159X.2014.943709</w:t>
      </w:r>
    </w:p>
    <w:p w14:paraId="1B0A5858" w14:textId="06DBBE7D" w:rsidR="005E280E" w:rsidRPr="00F4758E" w:rsidRDefault="005E280E" w:rsidP="00F4758E">
      <w:pPr>
        <w:pStyle w:val="NoSpacing"/>
        <w:ind w:left="720" w:hanging="720"/>
        <w:rPr>
          <w:rFonts w:cstheme="minorHAnsi"/>
          <w:sz w:val="24"/>
          <w:szCs w:val="24"/>
        </w:rPr>
      </w:pPr>
      <w:r w:rsidRPr="00F4758E">
        <w:rPr>
          <w:rFonts w:cstheme="minorHAnsi"/>
          <w:sz w:val="24"/>
          <w:szCs w:val="24"/>
        </w:rPr>
        <w:t>Edmonds, C. D. (2004). Providing access to students with disabilities in online distance education: Legal and technical concerns for higher education. American Journal of Distance Education, 18(1), 51-62. https://doi.org/10.1207/s15389286ajde1801_5</w:t>
      </w:r>
    </w:p>
    <w:p w14:paraId="6F8E30D8" w14:textId="1A4FD4CB" w:rsidR="005E280E" w:rsidRPr="00F4758E" w:rsidRDefault="005E280E" w:rsidP="00F4758E">
      <w:pPr>
        <w:pStyle w:val="NoSpacing"/>
        <w:ind w:left="720" w:hanging="720"/>
        <w:rPr>
          <w:rFonts w:cstheme="minorHAnsi"/>
          <w:sz w:val="24"/>
          <w:szCs w:val="24"/>
        </w:rPr>
      </w:pPr>
      <w:r w:rsidRPr="00F4758E">
        <w:rPr>
          <w:rFonts w:cstheme="minorHAnsi"/>
          <w:sz w:val="24"/>
          <w:szCs w:val="24"/>
        </w:rPr>
        <w:t>Farina, W. J., Jr., &amp; Bodzin, A. M. (2018). Effectiveness of an asynchronous online module on university students' understanding of the Bohr model of the hydrogen atom. Journal of Science Education and Technology, 27(3), 256-269. https://doi.org/10.1007/s10956-017-9722-0</w:t>
      </w:r>
    </w:p>
    <w:p w14:paraId="1439AA5F" w14:textId="2C539ACE" w:rsidR="005E280E" w:rsidRPr="00F4758E" w:rsidRDefault="005E280E" w:rsidP="00F4758E">
      <w:pPr>
        <w:pStyle w:val="NoSpacing"/>
        <w:ind w:left="720" w:hanging="720"/>
        <w:rPr>
          <w:rFonts w:cstheme="minorHAnsi"/>
          <w:sz w:val="24"/>
          <w:szCs w:val="24"/>
        </w:rPr>
      </w:pPr>
      <w:r w:rsidRPr="00F4758E">
        <w:rPr>
          <w:rFonts w:cstheme="minorHAnsi"/>
          <w:sz w:val="24"/>
          <w:szCs w:val="24"/>
        </w:rPr>
        <w:t>Gagné, R. M., Briggs, L. J., &amp; Wager, W. W. (1988). Principles of instructional design (3rd ed.).</w:t>
      </w:r>
      <w:r w:rsidR="00482586">
        <w:rPr>
          <w:rFonts w:cstheme="minorHAnsi"/>
          <w:sz w:val="24"/>
          <w:szCs w:val="24"/>
        </w:rPr>
        <w:t xml:space="preserve"> </w:t>
      </w:r>
      <w:r w:rsidRPr="00F4758E">
        <w:rPr>
          <w:rFonts w:cstheme="minorHAnsi"/>
          <w:sz w:val="24"/>
          <w:szCs w:val="24"/>
        </w:rPr>
        <w:t>Holt, Rinehart, and Winston.</w:t>
      </w:r>
    </w:p>
    <w:p w14:paraId="410C7CBE" w14:textId="620A776F" w:rsidR="005E280E" w:rsidRPr="00F4758E" w:rsidRDefault="005E280E" w:rsidP="00F4758E">
      <w:pPr>
        <w:pStyle w:val="NoSpacing"/>
        <w:ind w:left="720" w:hanging="720"/>
        <w:rPr>
          <w:rFonts w:cstheme="minorHAnsi"/>
          <w:sz w:val="24"/>
          <w:szCs w:val="24"/>
        </w:rPr>
      </w:pPr>
      <w:r w:rsidRPr="00F4758E">
        <w:rPr>
          <w:rFonts w:cstheme="minorHAnsi"/>
          <w:sz w:val="24"/>
          <w:szCs w:val="24"/>
        </w:rPr>
        <w:t>Glance, D. G., Forsey, M., &amp; Riley, M. (2013). The pedagogical foundations of massive open online courses. First Monday, 18(5), 7. https://doi.org/10.5210/fm.v18i5.4350</w:t>
      </w:r>
    </w:p>
    <w:p w14:paraId="6BFFF9DC" w14:textId="43FB6018" w:rsidR="008379D1" w:rsidRPr="00F4758E" w:rsidRDefault="005E280E" w:rsidP="00F4758E">
      <w:pPr>
        <w:pStyle w:val="NoSpacing"/>
        <w:ind w:left="720" w:hanging="720"/>
        <w:rPr>
          <w:rFonts w:cstheme="minorHAnsi"/>
          <w:sz w:val="24"/>
          <w:szCs w:val="24"/>
        </w:rPr>
      </w:pPr>
      <w:r w:rsidRPr="00F4758E">
        <w:rPr>
          <w:rFonts w:cstheme="minorHAnsi"/>
          <w:sz w:val="24"/>
          <w:szCs w:val="24"/>
        </w:rPr>
        <w:t>Gobet, F., Lane, P. C. R., Croker, S., Cheng, P. C. H., Jones, G., Oliver, I., &amp; Pine, J. M. (2001).</w:t>
      </w:r>
      <w:r w:rsidR="00482586">
        <w:rPr>
          <w:rFonts w:cstheme="minorHAnsi"/>
          <w:sz w:val="24"/>
          <w:szCs w:val="24"/>
        </w:rPr>
        <w:t xml:space="preserve"> </w:t>
      </w:r>
      <w:r w:rsidRPr="00F4758E">
        <w:rPr>
          <w:rFonts w:cstheme="minorHAnsi"/>
          <w:sz w:val="24"/>
          <w:szCs w:val="24"/>
        </w:rPr>
        <w:t>Chunking mechanisms in human learning. Trends in cognitive sciences, 5(6), 236-243.</w:t>
      </w:r>
      <w:r w:rsidR="00482586">
        <w:rPr>
          <w:rFonts w:cstheme="minorHAnsi"/>
          <w:sz w:val="24"/>
          <w:szCs w:val="24"/>
        </w:rPr>
        <w:t xml:space="preserve"> </w:t>
      </w:r>
      <w:r w:rsidRPr="00482586">
        <w:rPr>
          <w:rFonts w:cstheme="minorHAnsi"/>
          <w:sz w:val="24"/>
          <w:szCs w:val="24"/>
        </w:rPr>
        <w:t>https://doi.org/10.1016/S1364-6613(00)01662-4</w:t>
      </w:r>
    </w:p>
    <w:p w14:paraId="4BF041D7" w14:textId="1CDB86BB" w:rsidR="005E280E" w:rsidRPr="00F4758E" w:rsidRDefault="005E280E" w:rsidP="00F4758E">
      <w:pPr>
        <w:pStyle w:val="NoSpacing"/>
        <w:ind w:left="720" w:hanging="720"/>
        <w:rPr>
          <w:rFonts w:cstheme="minorHAnsi"/>
          <w:sz w:val="24"/>
          <w:szCs w:val="24"/>
        </w:rPr>
      </w:pPr>
      <w:r w:rsidRPr="00F4758E">
        <w:rPr>
          <w:rFonts w:cstheme="minorHAnsi"/>
          <w:sz w:val="24"/>
          <w:szCs w:val="24"/>
        </w:rPr>
        <w:t>Goodey, N. M., &amp; Talgar, C. P. (2016). Guided inquiry in a biochemistry laboratory course improves experimental design ability. Chemistry Education Research and Practice, 17(4), 1127-1144. https://doi.org/10.1039/C6RP00142D</w:t>
      </w:r>
    </w:p>
    <w:p w14:paraId="3568BCB5" w14:textId="31D7B824" w:rsidR="005E280E" w:rsidRPr="00F4758E" w:rsidRDefault="005E280E" w:rsidP="00F4758E">
      <w:pPr>
        <w:pStyle w:val="NoSpacing"/>
        <w:ind w:left="720" w:hanging="720"/>
        <w:rPr>
          <w:rFonts w:cstheme="minorHAnsi"/>
          <w:sz w:val="24"/>
          <w:szCs w:val="24"/>
        </w:rPr>
      </w:pPr>
      <w:r w:rsidRPr="00F4758E">
        <w:rPr>
          <w:rFonts w:cstheme="minorHAnsi"/>
          <w:sz w:val="24"/>
          <w:szCs w:val="24"/>
        </w:rPr>
        <w:t>Harden, R. M., Gessner, I. H., Gunn, M., Issenberg, S. B., Pringle, S. D., &amp; Stewart, A. (2011).</w:t>
      </w:r>
      <w:r w:rsidR="00482586">
        <w:rPr>
          <w:rFonts w:cstheme="minorHAnsi"/>
          <w:sz w:val="24"/>
          <w:szCs w:val="24"/>
        </w:rPr>
        <w:t xml:space="preserve"> </w:t>
      </w:r>
      <w:r w:rsidRPr="00F4758E">
        <w:rPr>
          <w:rFonts w:cstheme="minorHAnsi"/>
          <w:sz w:val="24"/>
          <w:szCs w:val="24"/>
        </w:rPr>
        <w:t>Creating an e-learning module from learning objects using a commentary or ''personal learning assistant''. Medical Teacher, 33(4), 286-290. https://doi.org/10.3109/0142159X.2011.557104</w:t>
      </w:r>
    </w:p>
    <w:p w14:paraId="3645C539" w14:textId="17507A94" w:rsidR="005E280E" w:rsidRPr="00F4758E" w:rsidRDefault="005E280E" w:rsidP="00F4758E">
      <w:pPr>
        <w:pStyle w:val="NoSpacing"/>
        <w:ind w:left="720" w:hanging="720"/>
        <w:rPr>
          <w:rFonts w:cstheme="minorHAnsi"/>
          <w:sz w:val="24"/>
          <w:szCs w:val="24"/>
        </w:rPr>
      </w:pPr>
      <w:r w:rsidRPr="00F4758E">
        <w:rPr>
          <w:rFonts w:cstheme="minorHAnsi"/>
          <w:sz w:val="24"/>
          <w:szCs w:val="24"/>
        </w:rPr>
        <w:t>Holmes, N. (2018). Engaging with assessment: Increasing student engagement through continuous assessment. Active Learning in Higher Education, 19(1), 23-34. https://doi.org/10.1177/1469787417723230</w:t>
      </w:r>
    </w:p>
    <w:p w14:paraId="2DABE883" w14:textId="77777777" w:rsidR="005E280E" w:rsidRPr="00F4758E" w:rsidRDefault="005E280E" w:rsidP="00F4758E">
      <w:pPr>
        <w:pStyle w:val="NoSpacing"/>
        <w:ind w:left="720" w:hanging="720"/>
        <w:rPr>
          <w:rFonts w:cstheme="minorHAnsi"/>
          <w:sz w:val="24"/>
          <w:szCs w:val="24"/>
        </w:rPr>
      </w:pPr>
      <w:r w:rsidRPr="00F4758E">
        <w:rPr>
          <w:rFonts w:cstheme="minorHAnsi"/>
          <w:sz w:val="24"/>
          <w:szCs w:val="24"/>
        </w:rPr>
        <w:t>IBM. (2017). SPSS Statistics for Windows, Version 25.0. IBM Corp.</w:t>
      </w:r>
    </w:p>
    <w:p w14:paraId="3703A409" w14:textId="77777777" w:rsidR="005E280E" w:rsidRPr="00F4758E" w:rsidRDefault="005E280E" w:rsidP="00F4758E">
      <w:pPr>
        <w:pStyle w:val="NoSpacing"/>
        <w:ind w:left="720" w:hanging="720"/>
        <w:rPr>
          <w:rFonts w:cstheme="minorHAnsi"/>
          <w:sz w:val="24"/>
          <w:szCs w:val="24"/>
        </w:rPr>
      </w:pPr>
      <w:r w:rsidRPr="00F4758E">
        <w:rPr>
          <w:rFonts w:cstheme="minorHAnsi"/>
          <w:sz w:val="24"/>
          <w:szCs w:val="24"/>
        </w:rPr>
        <w:t>Khan, S. (2012). The one world schoolhouse: Education reimagined. Hodder &amp; Stoughton.</w:t>
      </w:r>
    </w:p>
    <w:p w14:paraId="46E3E40E" w14:textId="4C8201B4" w:rsidR="005E280E" w:rsidRPr="00F4758E" w:rsidRDefault="005E280E" w:rsidP="00F4758E">
      <w:pPr>
        <w:pStyle w:val="NoSpacing"/>
        <w:ind w:left="720" w:hanging="720"/>
        <w:rPr>
          <w:rFonts w:cstheme="minorHAnsi"/>
          <w:sz w:val="24"/>
          <w:szCs w:val="24"/>
        </w:rPr>
      </w:pPr>
      <w:r w:rsidRPr="00F4758E">
        <w:rPr>
          <w:rFonts w:cstheme="minorHAnsi"/>
          <w:sz w:val="24"/>
          <w:szCs w:val="24"/>
        </w:rPr>
        <w:t>Koszalka, T. A. (2000). The validation of a measurement instrument: Teachers attitudes toward the use of web resources in the classroom. Quarterly Review of Distance Education, 1(2), 139-144.</w:t>
      </w:r>
    </w:p>
    <w:p w14:paraId="52C1280B" w14:textId="070E31BC" w:rsidR="005E280E" w:rsidRPr="00F4758E" w:rsidRDefault="005E280E" w:rsidP="00F4758E">
      <w:pPr>
        <w:pStyle w:val="NoSpacing"/>
        <w:ind w:left="720" w:hanging="720"/>
        <w:rPr>
          <w:rFonts w:cstheme="minorHAnsi"/>
          <w:sz w:val="24"/>
          <w:szCs w:val="24"/>
        </w:rPr>
      </w:pPr>
      <w:r w:rsidRPr="00F4758E">
        <w:rPr>
          <w:rFonts w:cstheme="minorHAnsi"/>
          <w:sz w:val="24"/>
          <w:szCs w:val="24"/>
        </w:rPr>
        <w:t>Legon, R. (2015). Measuring the impact of the Quality Matters Rubric™: A discussion of possibilities. American Journal of Distance Education, 29(3), 166-173. https://doi.org/10.1080/08923647.2015.1058114</w:t>
      </w:r>
    </w:p>
    <w:p w14:paraId="00E620A7" w14:textId="646E8772" w:rsidR="005E280E" w:rsidRPr="00F4758E" w:rsidRDefault="005E280E" w:rsidP="00F4758E">
      <w:pPr>
        <w:pStyle w:val="NoSpacing"/>
        <w:ind w:left="720" w:hanging="720"/>
        <w:rPr>
          <w:rFonts w:cstheme="minorHAnsi"/>
          <w:sz w:val="24"/>
          <w:szCs w:val="24"/>
        </w:rPr>
      </w:pPr>
      <w:r w:rsidRPr="00F4758E">
        <w:rPr>
          <w:rFonts w:cstheme="minorHAnsi"/>
          <w:sz w:val="24"/>
          <w:szCs w:val="24"/>
        </w:rPr>
        <w:t>Quality Matters. (2021). QM rubrics and standards. https://www.qualitymatters.org/qa-resources/rubric-standards</w:t>
      </w:r>
    </w:p>
    <w:p w14:paraId="0C786632" w14:textId="60F85CE5" w:rsidR="005E280E" w:rsidRPr="00F4758E" w:rsidRDefault="005E280E" w:rsidP="00F4758E">
      <w:pPr>
        <w:pStyle w:val="NoSpacing"/>
        <w:ind w:left="720" w:hanging="720"/>
        <w:rPr>
          <w:rFonts w:cstheme="minorHAnsi"/>
          <w:sz w:val="24"/>
          <w:szCs w:val="24"/>
        </w:rPr>
      </w:pPr>
      <w:r w:rsidRPr="00F4758E">
        <w:rPr>
          <w:rFonts w:cstheme="minorHAnsi"/>
          <w:sz w:val="24"/>
          <w:szCs w:val="24"/>
        </w:rPr>
        <w:t>Mayer, R. E. (2005). Introduction to multimedia learning. In R. E. Mayer (Ed.) The Cambridge handbook of multimedia learning, (pp. 1-16). Cambridge University Press.</w:t>
      </w:r>
    </w:p>
    <w:p w14:paraId="44445496" w14:textId="04B96F6F" w:rsidR="005E280E" w:rsidRPr="00F4758E" w:rsidRDefault="005E280E" w:rsidP="00F4758E">
      <w:pPr>
        <w:pStyle w:val="NoSpacing"/>
        <w:ind w:left="720" w:hanging="720"/>
        <w:rPr>
          <w:rFonts w:cstheme="minorHAnsi"/>
          <w:sz w:val="24"/>
          <w:szCs w:val="24"/>
        </w:rPr>
      </w:pPr>
      <w:r w:rsidRPr="00F4758E">
        <w:rPr>
          <w:rFonts w:cstheme="minorHAnsi"/>
          <w:sz w:val="24"/>
          <w:szCs w:val="24"/>
        </w:rPr>
        <w:t>McCracken, J., Cho, S., Sharif, A., Wilson, B., &amp; Miller, J. (2012). Principled assessment strategy design for online courses and programs. Electronic Journal of E-learning, 10(1), 107-119. https://files.eric.ed.gov/fulltext/EJ969449.pdf</w:t>
      </w:r>
    </w:p>
    <w:p w14:paraId="3F8C7EC3" w14:textId="214F2F17" w:rsidR="005E280E" w:rsidRPr="00F4758E" w:rsidRDefault="005E280E" w:rsidP="00F4758E">
      <w:pPr>
        <w:pStyle w:val="NoSpacing"/>
        <w:ind w:left="720" w:hanging="720"/>
        <w:rPr>
          <w:rFonts w:cstheme="minorHAnsi"/>
          <w:sz w:val="24"/>
          <w:szCs w:val="24"/>
        </w:rPr>
      </w:pPr>
      <w:r w:rsidRPr="00F4758E">
        <w:rPr>
          <w:rFonts w:cstheme="minorHAnsi"/>
          <w:sz w:val="24"/>
          <w:szCs w:val="24"/>
        </w:rPr>
        <w:t>Moberg, T. F., &amp; Whitcomb, M. E. (1999). Educational technology to facilitate medical students' learning: Background paper 2 of the medical school objectives project. Academic Medicine, 74(10), 1146-1150. https://doi.org/10.1097/00001888-199910000-00020</w:t>
      </w:r>
    </w:p>
    <w:p w14:paraId="58E357B5" w14:textId="183D2C07" w:rsidR="005E280E" w:rsidRPr="00F4758E" w:rsidRDefault="005E280E" w:rsidP="00F4758E">
      <w:pPr>
        <w:pStyle w:val="NoSpacing"/>
        <w:ind w:left="720" w:hanging="720"/>
        <w:rPr>
          <w:rFonts w:cstheme="minorHAnsi"/>
          <w:sz w:val="24"/>
          <w:szCs w:val="24"/>
        </w:rPr>
      </w:pPr>
      <w:r w:rsidRPr="00F4758E">
        <w:rPr>
          <w:rFonts w:cstheme="minorHAnsi"/>
          <w:sz w:val="24"/>
          <w:szCs w:val="24"/>
        </w:rPr>
        <w:t>Morrison, G. R., Ross, S. M., Kemp, J. E., &amp; Kalman, H. K. (2007). Designing effective instruction (5th ed.). John Wiley &amp; Sons.</w:t>
      </w:r>
    </w:p>
    <w:p w14:paraId="7652EF1B" w14:textId="14D1123D" w:rsidR="005E280E" w:rsidRPr="00F4758E" w:rsidRDefault="005E280E" w:rsidP="00F4758E">
      <w:pPr>
        <w:pStyle w:val="NoSpacing"/>
        <w:ind w:left="720" w:hanging="720"/>
        <w:rPr>
          <w:rFonts w:cstheme="minorHAnsi"/>
          <w:sz w:val="24"/>
          <w:szCs w:val="24"/>
        </w:rPr>
      </w:pPr>
      <w:r w:rsidRPr="00F4758E">
        <w:rPr>
          <w:rFonts w:cstheme="minorHAnsi"/>
          <w:sz w:val="24"/>
          <w:szCs w:val="24"/>
        </w:rPr>
        <w:t>Mukherjee, M., &amp; Donnelly, A. (2018). Initial assessments of e-learning modules in cytotechnology education. Journal of Pathology Informatics, 9(1), 1-4. https://doi.org/10.4103/jpi.jpi_62_17</w:t>
      </w:r>
    </w:p>
    <w:p w14:paraId="255CB599" w14:textId="77777777" w:rsidR="00C95884" w:rsidRDefault="005E280E" w:rsidP="00F4758E">
      <w:pPr>
        <w:pStyle w:val="NoSpacing"/>
        <w:ind w:left="720" w:hanging="720"/>
        <w:rPr>
          <w:rFonts w:cstheme="minorHAnsi"/>
          <w:sz w:val="24"/>
          <w:szCs w:val="24"/>
        </w:rPr>
      </w:pPr>
      <w:r w:rsidRPr="00F4758E">
        <w:rPr>
          <w:rFonts w:cstheme="minorHAnsi"/>
          <w:sz w:val="24"/>
          <w:szCs w:val="24"/>
        </w:rPr>
        <w:t xml:space="preserve">NCSS Statistical Software. (2019). NCSS Statistical Software. https://www.ncss.com/ </w:t>
      </w:r>
    </w:p>
    <w:p w14:paraId="3D8C147F" w14:textId="2C55D263" w:rsidR="005E280E" w:rsidRPr="00F4758E" w:rsidRDefault="005E280E" w:rsidP="00F4758E">
      <w:pPr>
        <w:pStyle w:val="NoSpacing"/>
        <w:ind w:left="720" w:hanging="720"/>
        <w:rPr>
          <w:rFonts w:cstheme="minorHAnsi"/>
          <w:sz w:val="24"/>
          <w:szCs w:val="24"/>
        </w:rPr>
      </w:pPr>
      <w:r w:rsidRPr="00F4758E">
        <w:rPr>
          <w:rFonts w:cstheme="minorHAnsi"/>
          <w:sz w:val="24"/>
          <w:szCs w:val="24"/>
        </w:rPr>
        <w:t>Ozdemir, D., &amp; Loose, R. (2014). Implementation of a quality assurance review system for the</w:t>
      </w:r>
      <w:r w:rsidR="00C95884">
        <w:rPr>
          <w:rFonts w:cstheme="minorHAnsi"/>
          <w:sz w:val="24"/>
          <w:szCs w:val="24"/>
        </w:rPr>
        <w:t xml:space="preserve"> </w:t>
      </w:r>
      <w:r w:rsidRPr="00F4758E">
        <w:rPr>
          <w:rFonts w:cstheme="minorHAnsi"/>
          <w:sz w:val="24"/>
          <w:szCs w:val="24"/>
        </w:rPr>
        <w:t>scalable development of online courses. Online Journal of Distance Learning Administration, 17(1). http://www.westga.edu/~distance/ojdla/spring171/ozdemir_loose171.html</w:t>
      </w:r>
    </w:p>
    <w:p w14:paraId="6A36A358" w14:textId="1FFF1FE1" w:rsidR="005E280E" w:rsidRPr="00F4758E" w:rsidRDefault="005E280E" w:rsidP="00F4758E">
      <w:pPr>
        <w:pStyle w:val="NoSpacing"/>
        <w:ind w:left="720" w:hanging="720"/>
        <w:rPr>
          <w:rFonts w:cstheme="minorHAnsi"/>
          <w:sz w:val="24"/>
          <w:szCs w:val="24"/>
        </w:rPr>
      </w:pPr>
      <w:r w:rsidRPr="00F4758E">
        <w:rPr>
          <w:rFonts w:cstheme="minorHAnsi"/>
          <w:sz w:val="24"/>
          <w:szCs w:val="24"/>
        </w:rPr>
        <w:t>Pourmand, A., Woodward, C., Shokoohi, H., King, J. B., Taheri, M. R., King, J., &amp; Lawrence, C. (2018). Impact of asynchronous training on radiology learning curve among emergency medicine residents and clerkship students. The Permanente Journal, 22, 17-055. https://doi.org/10.7812/TPP/17-055</w:t>
      </w:r>
    </w:p>
    <w:p w14:paraId="2A05ED6F" w14:textId="6BE3E61C" w:rsidR="005E280E" w:rsidRPr="00F4758E" w:rsidRDefault="005E280E" w:rsidP="00F4758E">
      <w:pPr>
        <w:pStyle w:val="NoSpacing"/>
        <w:ind w:left="720" w:hanging="720"/>
        <w:rPr>
          <w:rFonts w:cstheme="minorHAnsi"/>
          <w:sz w:val="24"/>
          <w:szCs w:val="24"/>
        </w:rPr>
      </w:pPr>
      <w:r w:rsidRPr="00F4758E">
        <w:rPr>
          <w:rFonts w:cstheme="minorHAnsi"/>
          <w:sz w:val="24"/>
          <w:szCs w:val="24"/>
        </w:rPr>
        <w:t>Prober, C. G., &amp; Khan, S. (2013). Medical education reimagined: A call to action. Academic Medicine, 88(10), 1407-1410. https://doi.org/10.1097/ACM.0b013e3182a368bd</w:t>
      </w:r>
    </w:p>
    <w:p w14:paraId="01E91673" w14:textId="248032E0" w:rsidR="005E280E" w:rsidRPr="00F4758E" w:rsidRDefault="005E280E" w:rsidP="00F4758E">
      <w:pPr>
        <w:pStyle w:val="NoSpacing"/>
        <w:ind w:left="720" w:hanging="720"/>
        <w:rPr>
          <w:rFonts w:cstheme="minorHAnsi"/>
          <w:sz w:val="24"/>
          <w:szCs w:val="24"/>
        </w:rPr>
      </w:pPr>
      <w:r w:rsidRPr="00F4758E">
        <w:rPr>
          <w:rFonts w:cstheme="minorHAnsi"/>
          <w:sz w:val="24"/>
          <w:szCs w:val="24"/>
        </w:rPr>
        <w:t>Ricard, V. B. (1990). Techniques: Developing learning modules for adults. Journal of Adult Education, 18(2). https://files.eric.ed.gov/fulltext/ED336560.pdf</w:t>
      </w:r>
    </w:p>
    <w:p w14:paraId="31946EBD" w14:textId="4557CDDB" w:rsidR="005E280E" w:rsidRPr="00F4758E" w:rsidRDefault="005E280E" w:rsidP="00F4758E">
      <w:pPr>
        <w:pStyle w:val="NoSpacing"/>
        <w:ind w:left="720" w:hanging="720"/>
        <w:rPr>
          <w:rFonts w:cstheme="minorHAnsi"/>
          <w:sz w:val="24"/>
          <w:szCs w:val="24"/>
        </w:rPr>
      </w:pPr>
      <w:r w:rsidRPr="00F4758E">
        <w:rPr>
          <w:rFonts w:cstheme="minorHAnsi"/>
          <w:sz w:val="24"/>
          <w:szCs w:val="24"/>
        </w:rPr>
        <w:t>Richey, R. C. (2004). Validating instructional design and development models [Paper Presentation]. The National Convention of the Association for Educational Communications and Technology, Chicago, IL, United States. https://files.eric.ed.gov/fulltext/ED499961.pdf#page=749</w:t>
      </w:r>
    </w:p>
    <w:p w14:paraId="088840C8" w14:textId="26692712" w:rsidR="005E280E" w:rsidRPr="00F4758E" w:rsidRDefault="005E280E" w:rsidP="00F4758E">
      <w:pPr>
        <w:pStyle w:val="NoSpacing"/>
        <w:ind w:left="720" w:hanging="720"/>
        <w:rPr>
          <w:rFonts w:cstheme="minorHAnsi"/>
          <w:sz w:val="24"/>
          <w:szCs w:val="24"/>
        </w:rPr>
      </w:pPr>
      <w:r w:rsidRPr="00F4758E">
        <w:rPr>
          <w:rFonts w:cstheme="minorHAnsi"/>
          <w:sz w:val="24"/>
          <w:szCs w:val="24"/>
        </w:rPr>
        <w:t>SAS Institute. (2019). SAS Version 9.4. SAS Institute</w:t>
      </w:r>
    </w:p>
    <w:p w14:paraId="62DE0606" w14:textId="7C12F7D1" w:rsidR="005B7F7A" w:rsidRPr="00F4758E" w:rsidRDefault="005B7F7A" w:rsidP="00F4758E">
      <w:pPr>
        <w:pStyle w:val="NoSpacing"/>
        <w:ind w:left="720" w:hanging="720"/>
        <w:rPr>
          <w:rFonts w:cstheme="minorHAnsi"/>
          <w:sz w:val="24"/>
          <w:szCs w:val="24"/>
        </w:rPr>
      </w:pPr>
      <w:r w:rsidRPr="00F4758E">
        <w:rPr>
          <w:rFonts w:cstheme="minorHAnsi"/>
          <w:sz w:val="24"/>
          <w:szCs w:val="24"/>
        </w:rPr>
        <w:t>Sinclair, P. M., Kable, A., Levett-Jones, T., &amp; Booth, D. (2016). The effectiveness of Internet-based e-learning on clinician behaviour and patient outcomes: A systematic review. International journal of nursing studies, 57, 70–81. https://doi.org/10.1016/j.ijnurstu.2016.01.011</w:t>
      </w:r>
    </w:p>
    <w:p w14:paraId="38EFEDF0" w14:textId="3CEDDAF5" w:rsidR="005B7F7A" w:rsidRPr="00F4758E" w:rsidRDefault="005B7F7A" w:rsidP="00F4758E">
      <w:pPr>
        <w:pStyle w:val="NoSpacing"/>
        <w:ind w:left="720" w:hanging="720"/>
        <w:rPr>
          <w:rFonts w:cstheme="minorHAnsi"/>
          <w:sz w:val="24"/>
          <w:szCs w:val="24"/>
        </w:rPr>
      </w:pPr>
      <w:r w:rsidRPr="00F4758E">
        <w:rPr>
          <w:rFonts w:cstheme="minorHAnsi"/>
          <w:sz w:val="24"/>
          <w:szCs w:val="24"/>
        </w:rPr>
        <w:t>Sinclair, P. M., Levett-Jones, T., Morris, A., Carter, B., Bennett, P. N., &amp; Kable, A. (2017). High engagement, high quality: A guiding framework for developing empirically informed asynchronous e-learning programs for health professional educators. Nursing &amp; Health Sciences, 19(1), 126-137. https://doi.org/10.1111/nhs.12322</w:t>
      </w:r>
    </w:p>
    <w:p w14:paraId="65B68E5E" w14:textId="35E633A8" w:rsidR="005B7F7A" w:rsidRPr="00F4758E" w:rsidRDefault="005B7F7A" w:rsidP="00F4758E">
      <w:pPr>
        <w:pStyle w:val="NoSpacing"/>
        <w:ind w:left="720" w:hanging="720"/>
        <w:rPr>
          <w:rFonts w:cstheme="minorHAnsi"/>
          <w:sz w:val="24"/>
          <w:szCs w:val="24"/>
        </w:rPr>
      </w:pPr>
      <w:r w:rsidRPr="00F4758E">
        <w:rPr>
          <w:rFonts w:cstheme="minorHAnsi"/>
          <w:sz w:val="24"/>
          <w:szCs w:val="24"/>
        </w:rPr>
        <w:t>Swan, K. (2001). Virtual interaction: Design factors affecting student satisfaction and perceived learning in asynchronous online courses. Distance Education, 22(2), 306-331.</w:t>
      </w:r>
    </w:p>
    <w:p w14:paraId="099281B9" w14:textId="11A1E0C0" w:rsidR="005B7F7A" w:rsidRPr="00F4758E" w:rsidRDefault="005B7F7A" w:rsidP="00F4758E">
      <w:pPr>
        <w:pStyle w:val="NoSpacing"/>
        <w:ind w:left="720" w:hanging="720"/>
        <w:rPr>
          <w:rFonts w:cstheme="minorHAnsi"/>
          <w:sz w:val="24"/>
          <w:szCs w:val="24"/>
        </w:rPr>
      </w:pPr>
      <w:r w:rsidRPr="00F4758E">
        <w:rPr>
          <w:rFonts w:cstheme="minorHAnsi"/>
          <w:sz w:val="24"/>
          <w:szCs w:val="24"/>
        </w:rPr>
        <w:t>Sweller, J. (2005). Implications of cognitive load theory for multimedia learning. In R. E. Mayer (Ed.), The Cambridge handbook of multimedia learning (pp. 19-30). Cambridge University Press.</w:t>
      </w:r>
    </w:p>
    <w:p w14:paraId="64EED292" w14:textId="1BBCBA2C" w:rsidR="005B7F7A" w:rsidRPr="00F4758E" w:rsidRDefault="005B7F7A" w:rsidP="00F4758E">
      <w:pPr>
        <w:pStyle w:val="NoSpacing"/>
        <w:ind w:left="720" w:hanging="720"/>
        <w:rPr>
          <w:rFonts w:cstheme="minorHAnsi"/>
          <w:sz w:val="24"/>
          <w:szCs w:val="24"/>
        </w:rPr>
      </w:pPr>
      <w:r w:rsidRPr="00F4758E">
        <w:rPr>
          <w:rFonts w:cstheme="minorHAnsi"/>
          <w:sz w:val="24"/>
          <w:szCs w:val="24"/>
        </w:rPr>
        <w:t>University of Nebraska Medical Center (2019). 2019 E-Learning impacts &amp; outcomes report. https://indd.adobe.com/view/4a8da6c6-1fad-4beb-9072-7c6c248e6c0a</w:t>
      </w:r>
    </w:p>
    <w:p w14:paraId="6241C05E" w14:textId="7C50A73B" w:rsidR="005B7F7A" w:rsidRPr="00F4758E" w:rsidRDefault="005B7F7A" w:rsidP="00F4758E">
      <w:pPr>
        <w:pStyle w:val="NoSpacing"/>
        <w:ind w:left="720" w:hanging="720"/>
        <w:rPr>
          <w:rFonts w:cstheme="minorHAnsi"/>
          <w:sz w:val="24"/>
          <w:szCs w:val="24"/>
        </w:rPr>
      </w:pPr>
      <w:r w:rsidRPr="00F4758E">
        <w:rPr>
          <w:rFonts w:cstheme="minorHAnsi"/>
          <w:sz w:val="24"/>
          <w:szCs w:val="24"/>
        </w:rPr>
        <w:t>Veal, W., Bray, M., &amp; Flowers, C. (2005). Developing an online accessible science course for all learners. Contemporary Issues in Technology and Teacher Education, 5(3), 271-289.</w:t>
      </w:r>
    </w:p>
    <w:p w14:paraId="6D5CE78E" w14:textId="2661A5F2" w:rsidR="005B7F7A" w:rsidRPr="00F4758E" w:rsidRDefault="005B7F7A" w:rsidP="00F4758E">
      <w:pPr>
        <w:pStyle w:val="NoSpacing"/>
        <w:ind w:left="720" w:hanging="720"/>
        <w:rPr>
          <w:rFonts w:cstheme="minorHAnsi"/>
          <w:sz w:val="24"/>
          <w:szCs w:val="24"/>
        </w:rPr>
      </w:pPr>
      <w:r w:rsidRPr="00F4758E">
        <w:rPr>
          <w:rFonts w:cstheme="minorHAnsi"/>
          <w:sz w:val="24"/>
          <w:szCs w:val="24"/>
        </w:rPr>
        <w:t>Ward, J. P. T., Gordon, J., Field, M. J., &amp; Lehmann, H. P. (2001). Communication and information technology in medical education. The Lancet, 357(9258), 792-796. https://doi.org/10.1016/S0140-6736(00)04173-8</w:t>
      </w:r>
    </w:p>
    <w:p w14:paraId="559A9B45" w14:textId="7CE536CB" w:rsidR="005B7F7A" w:rsidRPr="00F4758E" w:rsidRDefault="005B7F7A" w:rsidP="00F4758E">
      <w:pPr>
        <w:pStyle w:val="NoSpacing"/>
        <w:ind w:left="720" w:hanging="720"/>
        <w:rPr>
          <w:rFonts w:cstheme="minorHAnsi"/>
          <w:sz w:val="24"/>
          <w:szCs w:val="24"/>
        </w:rPr>
      </w:pPr>
      <w:r w:rsidRPr="00F4758E">
        <w:rPr>
          <w:rFonts w:cstheme="minorHAnsi"/>
          <w:sz w:val="24"/>
          <w:szCs w:val="24"/>
        </w:rPr>
        <w:t>Webster, T., Fial, A., Moore, P., Rajaram, S., Shope, R., &amp; Davies, H. D. (2020). Nebraska e-learning scorecard (NEScore). https://digitalcommons.unmc.edu/elearning_tools/1/</w:t>
      </w:r>
    </w:p>
    <w:p w14:paraId="66EA3248" w14:textId="38BC4366" w:rsidR="005B7F7A" w:rsidRPr="00F4758E" w:rsidRDefault="005B7F7A" w:rsidP="00F4758E">
      <w:pPr>
        <w:pStyle w:val="NoSpacing"/>
        <w:ind w:left="720" w:hanging="720"/>
        <w:rPr>
          <w:rFonts w:cstheme="minorHAnsi"/>
          <w:sz w:val="24"/>
          <w:szCs w:val="24"/>
        </w:rPr>
      </w:pPr>
      <w:r w:rsidRPr="00F4758E">
        <w:rPr>
          <w:rFonts w:cstheme="minorHAnsi"/>
          <w:sz w:val="24"/>
          <w:szCs w:val="24"/>
        </w:rPr>
        <w:t>Wentling, T. L., Waight, C., Gallaher, J., La Fleur, J., Wang, C., &amp; Kanfer, A. (2000). e-Learning: A review of Literature. http://learning.ncsa.uiuc.edu/papers/elearnlit.pdf</w:t>
      </w:r>
    </w:p>
    <w:p w14:paraId="6E2133D3" w14:textId="41D9F65E" w:rsidR="005B7F7A" w:rsidRPr="00F4758E" w:rsidRDefault="005B7F7A" w:rsidP="00F4758E">
      <w:pPr>
        <w:pStyle w:val="NoSpacing"/>
        <w:ind w:left="720" w:hanging="720"/>
        <w:rPr>
          <w:rFonts w:cstheme="minorHAnsi"/>
          <w:sz w:val="24"/>
          <w:szCs w:val="24"/>
        </w:rPr>
      </w:pPr>
      <w:r w:rsidRPr="00F4758E">
        <w:rPr>
          <w:rFonts w:cstheme="minorHAnsi"/>
          <w:sz w:val="24"/>
          <w:szCs w:val="24"/>
        </w:rPr>
        <w:t>Wilson, G., Myat, P., &amp; Purdy, J. (2018). Increasing access to professional learning for academic staff through open educational resources and authentic design. Journal of University Teaching and Learning Practice, 15(2).</w:t>
      </w:r>
      <w:r w:rsidR="00374A30">
        <w:rPr>
          <w:rFonts w:cstheme="minorHAnsi"/>
          <w:sz w:val="24"/>
          <w:szCs w:val="24"/>
        </w:rPr>
        <w:t xml:space="preserve"> </w:t>
      </w:r>
      <w:r w:rsidRPr="00F4758E">
        <w:rPr>
          <w:rFonts w:cstheme="minorHAnsi"/>
          <w:sz w:val="24"/>
          <w:szCs w:val="24"/>
        </w:rPr>
        <w:t>University of Wisconsin-Madison. (2021). Hybrid instruction toolkit. https://blendedtoolkit.wisc.edu/evaluate/scorecard/</w:t>
      </w:r>
    </w:p>
    <w:p w14:paraId="1E2AFB5D" w14:textId="79FF6096" w:rsidR="005B7F7A" w:rsidRPr="00F4758E" w:rsidRDefault="005B7F7A" w:rsidP="00F4758E">
      <w:pPr>
        <w:pStyle w:val="NoSpacing"/>
        <w:ind w:left="720" w:hanging="720"/>
        <w:rPr>
          <w:rFonts w:cstheme="minorHAnsi"/>
          <w:sz w:val="24"/>
          <w:szCs w:val="24"/>
        </w:rPr>
      </w:pPr>
      <w:r w:rsidRPr="00F4758E">
        <w:rPr>
          <w:rFonts w:cstheme="minorHAnsi"/>
          <w:sz w:val="24"/>
          <w:szCs w:val="24"/>
        </w:rPr>
        <w:t>Yu, H. (2002). Web accessibility and the law: Recommendations for implementation. Library Hi Tech, 20(4), 406-419.</w:t>
      </w:r>
    </w:p>
    <w:p w14:paraId="1CE03186" w14:textId="1AF19B27" w:rsidR="005B7F7A" w:rsidRPr="005B7F7A" w:rsidRDefault="005B7F7A" w:rsidP="00F4758E">
      <w:pPr>
        <w:pStyle w:val="NoSpacing"/>
        <w:ind w:left="720" w:hanging="720"/>
      </w:pPr>
      <w:r w:rsidRPr="00F4758E">
        <w:rPr>
          <w:rFonts w:cstheme="minorHAnsi"/>
          <w:sz w:val="24"/>
          <w:szCs w:val="24"/>
        </w:rPr>
        <w:t>Zsohar, H., &amp; Smith, J. A. (2008). TRANSITION from the classroom to the web: Successful strategies for teaching Online. Nursing Education Perspectives, 29(1), 23</w:t>
      </w:r>
      <w:r w:rsidRPr="005B7F7A">
        <w:t>.</w:t>
      </w:r>
    </w:p>
    <w:sectPr w:rsidR="005B7F7A" w:rsidRPr="005B7F7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altName w:val="CID Font+ F"/>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333" w:hanging="226"/>
      </w:pPr>
      <w:rPr>
        <w:rFonts w:ascii="Symbol" w:hAnsi="Symbol" w:cs="Symbol"/>
        <w:b w:val="0"/>
        <w:bCs w:val="0"/>
        <w:w w:val="100"/>
        <w:sz w:val="22"/>
        <w:szCs w:val="22"/>
      </w:rPr>
    </w:lvl>
    <w:lvl w:ilvl="1">
      <w:numFmt w:val="bullet"/>
      <w:lvlText w:val="•"/>
      <w:lvlJc w:val="left"/>
      <w:pPr>
        <w:ind w:left="840" w:hanging="226"/>
      </w:pPr>
    </w:lvl>
    <w:lvl w:ilvl="2">
      <w:numFmt w:val="bullet"/>
      <w:lvlText w:val="•"/>
      <w:lvlJc w:val="left"/>
      <w:pPr>
        <w:ind w:left="1341" w:hanging="226"/>
      </w:pPr>
    </w:lvl>
    <w:lvl w:ilvl="3">
      <w:numFmt w:val="bullet"/>
      <w:lvlText w:val="•"/>
      <w:lvlJc w:val="left"/>
      <w:pPr>
        <w:ind w:left="1841" w:hanging="226"/>
      </w:pPr>
    </w:lvl>
    <w:lvl w:ilvl="4">
      <w:numFmt w:val="bullet"/>
      <w:lvlText w:val="•"/>
      <w:lvlJc w:val="left"/>
      <w:pPr>
        <w:ind w:left="2342" w:hanging="226"/>
      </w:pPr>
    </w:lvl>
    <w:lvl w:ilvl="5">
      <w:numFmt w:val="bullet"/>
      <w:lvlText w:val="•"/>
      <w:lvlJc w:val="left"/>
      <w:pPr>
        <w:ind w:left="2843" w:hanging="226"/>
      </w:pPr>
    </w:lvl>
    <w:lvl w:ilvl="6">
      <w:numFmt w:val="bullet"/>
      <w:lvlText w:val="•"/>
      <w:lvlJc w:val="left"/>
      <w:pPr>
        <w:ind w:left="3343" w:hanging="226"/>
      </w:pPr>
    </w:lvl>
    <w:lvl w:ilvl="7">
      <w:numFmt w:val="bullet"/>
      <w:lvlText w:val="•"/>
      <w:lvlJc w:val="left"/>
      <w:pPr>
        <w:ind w:left="3844" w:hanging="226"/>
      </w:pPr>
    </w:lvl>
    <w:lvl w:ilvl="8">
      <w:numFmt w:val="bullet"/>
      <w:lvlText w:val="•"/>
      <w:lvlJc w:val="left"/>
      <w:pPr>
        <w:ind w:left="4344" w:hanging="226"/>
      </w:pPr>
    </w:lvl>
  </w:abstractNum>
  <w:abstractNum w:abstractNumId="1" w15:restartNumberingAfterBreak="0">
    <w:nsid w:val="00000403"/>
    <w:multiLevelType w:val="multilevel"/>
    <w:tmpl w:val="FFFFFFFF"/>
    <w:lvl w:ilvl="0">
      <w:numFmt w:val="bullet"/>
      <w:lvlText w:val=""/>
      <w:lvlJc w:val="left"/>
      <w:pPr>
        <w:ind w:left="333" w:hanging="226"/>
      </w:pPr>
      <w:rPr>
        <w:rFonts w:ascii="Symbol" w:hAnsi="Symbol" w:cs="Symbol"/>
        <w:b w:val="0"/>
        <w:bCs w:val="0"/>
        <w:w w:val="100"/>
        <w:sz w:val="22"/>
        <w:szCs w:val="22"/>
      </w:rPr>
    </w:lvl>
    <w:lvl w:ilvl="1">
      <w:numFmt w:val="bullet"/>
      <w:lvlText w:val="•"/>
      <w:lvlJc w:val="left"/>
      <w:pPr>
        <w:ind w:left="840" w:hanging="226"/>
      </w:pPr>
    </w:lvl>
    <w:lvl w:ilvl="2">
      <w:numFmt w:val="bullet"/>
      <w:lvlText w:val="•"/>
      <w:lvlJc w:val="left"/>
      <w:pPr>
        <w:ind w:left="1341" w:hanging="226"/>
      </w:pPr>
    </w:lvl>
    <w:lvl w:ilvl="3">
      <w:numFmt w:val="bullet"/>
      <w:lvlText w:val="•"/>
      <w:lvlJc w:val="left"/>
      <w:pPr>
        <w:ind w:left="1841" w:hanging="226"/>
      </w:pPr>
    </w:lvl>
    <w:lvl w:ilvl="4">
      <w:numFmt w:val="bullet"/>
      <w:lvlText w:val="•"/>
      <w:lvlJc w:val="left"/>
      <w:pPr>
        <w:ind w:left="2342" w:hanging="226"/>
      </w:pPr>
    </w:lvl>
    <w:lvl w:ilvl="5">
      <w:numFmt w:val="bullet"/>
      <w:lvlText w:val="•"/>
      <w:lvlJc w:val="left"/>
      <w:pPr>
        <w:ind w:left="2843" w:hanging="226"/>
      </w:pPr>
    </w:lvl>
    <w:lvl w:ilvl="6">
      <w:numFmt w:val="bullet"/>
      <w:lvlText w:val="•"/>
      <w:lvlJc w:val="left"/>
      <w:pPr>
        <w:ind w:left="3343" w:hanging="226"/>
      </w:pPr>
    </w:lvl>
    <w:lvl w:ilvl="7">
      <w:numFmt w:val="bullet"/>
      <w:lvlText w:val="•"/>
      <w:lvlJc w:val="left"/>
      <w:pPr>
        <w:ind w:left="3844" w:hanging="226"/>
      </w:pPr>
    </w:lvl>
    <w:lvl w:ilvl="8">
      <w:numFmt w:val="bullet"/>
      <w:lvlText w:val="•"/>
      <w:lvlJc w:val="left"/>
      <w:pPr>
        <w:ind w:left="4344" w:hanging="226"/>
      </w:pPr>
    </w:lvl>
  </w:abstractNum>
  <w:abstractNum w:abstractNumId="2" w15:restartNumberingAfterBreak="0">
    <w:nsid w:val="00000404"/>
    <w:multiLevelType w:val="multilevel"/>
    <w:tmpl w:val="FFFFFFFF"/>
    <w:lvl w:ilvl="0">
      <w:numFmt w:val="bullet"/>
      <w:lvlText w:val=""/>
      <w:lvlJc w:val="left"/>
      <w:pPr>
        <w:ind w:left="333" w:hanging="226"/>
      </w:pPr>
      <w:rPr>
        <w:rFonts w:ascii="Symbol" w:hAnsi="Symbol" w:cs="Symbol"/>
        <w:b w:val="0"/>
        <w:bCs w:val="0"/>
        <w:w w:val="100"/>
        <w:position w:val="-5"/>
        <w:sz w:val="22"/>
        <w:szCs w:val="22"/>
      </w:rPr>
    </w:lvl>
    <w:lvl w:ilvl="1">
      <w:numFmt w:val="bullet"/>
      <w:lvlText w:val="•"/>
      <w:lvlJc w:val="left"/>
      <w:pPr>
        <w:ind w:left="840" w:hanging="226"/>
      </w:pPr>
    </w:lvl>
    <w:lvl w:ilvl="2">
      <w:numFmt w:val="bullet"/>
      <w:lvlText w:val="•"/>
      <w:lvlJc w:val="left"/>
      <w:pPr>
        <w:ind w:left="1341" w:hanging="226"/>
      </w:pPr>
    </w:lvl>
    <w:lvl w:ilvl="3">
      <w:numFmt w:val="bullet"/>
      <w:lvlText w:val="•"/>
      <w:lvlJc w:val="left"/>
      <w:pPr>
        <w:ind w:left="1841" w:hanging="226"/>
      </w:pPr>
    </w:lvl>
    <w:lvl w:ilvl="4">
      <w:numFmt w:val="bullet"/>
      <w:lvlText w:val="•"/>
      <w:lvlJc w:val="left"/>
      <w:pPr>
        <w:ind w:left="2342" w:hanging="226"/>
      </w:pPr>
    </w:lvl>
    <w:lvl w:ilvl="5">
      <w:numFmt w:val="bullet"/>
      <w:lvlText w:val="•"/>
      <w:lvlJc w:val="left"/>
      <w:pPr>
        <w:ind w:left="2843" w:hanging="226"/>
      </w:pPr>
    </w:lvl>
    <w:lvl w:ilvl="6">
      <w:numFmt w:val="bullet"/>
      <w:lvlText w:val="•"/>
      <w:lvlJc w:val="left"/>
      <w:pPr>
        <w:ind w:left="3343" w:hanging="226"/>
      </w:pPr>
    </w:lvl>
    <w:lvl w:ilvl="7">
      <w:numFmt w:val="bullet"/>
      <w:lvlText w:val="•"/>
      <w:lvlJc w:val="left"/>
      <w:pPr>
        <w:ind w:left="3844" w:hanging="226"/>
      </w:pPr>
    </w:lvl>
    <w:lvl w:ilvl="8">
      <w:numFmt w:val="bullet"/>
      <w:lvlText w:val="•"/>
      <w:lvlJc w:val="left"/>
      <w:pPr>
        <w:ind w:left="4344" w:hanging="226"/>
      </w:pPr>
    </w:lvl>
  </w:abstractNum>
  <w:abstractNum w:abstractNumId="3" w15:restartNumberingAfterBreak="0">
    <w:nsid w:val="00000405"/>
    <w:multiLevelType w:val="multilevel"/>
    <w:tmpl w:val="FFFFFFFF"/>
    <w:lvl w:ilvl="0">
      <w:numFmt w:val="bullet"/>
      <w:lvlText w:val=""/>
      <w:lvlJc w:val="left"/>
      <w:pPr>
        <w:ind w:left="333" w:hanging="226"/>
      </w:pPr>
      <w:rPr>
        <w:rFonts w:ascii="Symbol" w:hAnsi="Symbol" w:cs="Symbol"/>
        <w:b w:val="0"/>
        <w:bCs w:val="0"/>
        <w:w w:val="100"/>
        <w:sz w:val="22"/>
        <w:szCs w:val="22"/>
      </w:rPr>
    </w:lvl>
    <w:lvl w:ilvl="1">
      <w:numFmt w:val="bullet"/>
      <w:lvlText w:val="•"/>
      <w:lvlJc w:val="left"/>
      <w:pPr>
        <w:ind w:left="840" w:hanging="226"/>
      </w:pPr>
    </w:lvl>
    <w:lvl w:ilvl="2">
      <w:numFmt w:val="bullet"/>
      <w:lvlText w:val="•"/>
      <w:lvlJc w:val="left"/>
      <w:pPr>
        <w:ind w:left="1341" w:hanging="226"/>
      </w:pPr>
    </w:lvl>
    <w:lvl w:ilvl="3">
      <w:numFmt w:val="bullet"/>
      <w:lvlText w:val="•"/>
      <w:lvlJc w:val="left"/>
      <w:pPr>
        <w:ind w:left="1841" w:hanging="226"/>
      </w:pPr>
    </w:lvl>
    <w:lvl w:ilvl="4">
      <w:numFmt w:val="bullet"/>
      <w:lvlText w:val="•"/>
      <w:lvlJc w:val="left"/>
      <w:pPr>
        <w:ind w:left="2342" w:hanging="226"/>
      </w:pPr>
    </w:lvl>
    <w:lvl w:ilvl="5">
      <w:numFmt w:val="bullet"/>
      <w:lvlText w:val="•"/>
      <w:lvlJc w:val="left"/>
      <w:pPr>
        <w:ind w:left="2843" w:hanging="226"/>
      </w:pPr>
    </w:lvl>
    <w:lvl w:ilvl="6">
      <w:numFmt w:val="bullet"/>
      <w:lvlText w:val="•"/>
      <w:lvlJc w:val="left"/>
      <w:pPr>
        <w:ind w:left="3343" w:hanging="226"/>
      </w:pPr>
    </w:lvl>
    <w:lvl w:ilvl="7">
      <w:numFmt w:val="bullet"/>
      <w:lvlText w:val="•"/>
      <w:lvlJc w:val="left"/>
      <w:pPr>
        <w:ind w:left="3844" w:hanging="226"/>
      </w:pPr>
    </w:lvl>
    <w:lvl w:ilvl="8">
      <w:numFmt w:val="bullet"/>
      <w:lvlText w:val="•"/>
      <w:lvlJc w:val="left"/>
      <w:pPr>
        <w:ind w:left="4344" w:hanging="226"/>
      </w:pPr>
    </w:lvl>
  </w:abstractNum>
  <w:abstractNum w:abstractNumId="4" w15:restartNumberingAfterBreak="0">
    <w:nsid w:val="00000406"/>
    <w:multiLevelType w:val="multilevel"/>
    <w:tmpl w:val="FFFFFFFF"/>
    <w:lvl w:ilvl="0">
      <w:numFmt w:val="bullet"/>
      <w:lvlText w:val=""/>
      <w:lvlJc w:val="left"/>
      <w:pPr>
        <w:ind w:left="333" w:hanging="226"/>
      </w:pPr>
      <w:rPr>
        <w:rFonts w:ascii="Symbol" w:hAnsi="Symbol" w:cs="Symbol"/>
        <w:b w:val="0"/>
        <w:bCs w:val="0"/>
        <w:w w:val="100"/>
        <w:sz w:val="22"/>
        <w:szCs w:val="22"/>
      </w:rPr>
    </w:lvl>
    <w:lvl w:ilvl="1">
      <w:numFmt w:val="bullet"/>
      <w:lvlText w:val="•"/>
      <w:lvlJc w:val="left"/>
      <w:pPr>
        <w:ind w:left="840" w:hanging="226"/>
      </w:pPr>
    </w:lvl>
    <w:lvl w:ilvl="2">
      <w:numFmt w:val="bullet"/>
      <w:lvlText w:val="•"/>
      <w:lvlJc w:val="left"/>
      <w:pPr>
        <w:ind w:left="1341" w:hanging="226"/>
      </w:pPr>
    </w:lvl>
    <w:lvl w:ilvl="3">
      <w:numFmt w:val="bullet"/>
      <w:lvlText w:val="•"/>
      <w:lvlJc w:val="left"/>
      <w:pPr>
        <w:ind w:left="1841" w:hanging="226"/>
      </w:pPr>
    </w:lvl>
    <w:lvl w:ilvl="4">
      <w:numFmt w:val="bullet"/>
      <w:lvlText w:val="•"/>
      <w:lvlJc w:val="left"/>
      <w:pPr>
        <w:ind w:left="2342" w:hanging="226"/>
      </w:pPr>
    </w:lvl>
    <w:lvl w:ilvl="5">
      <w:numFmt w:val="bullet"/>
      <w:lvlText w:val="•"/>
      <w:lvlJc w:val="left"/>
      <w:pPr>
        <w:ind w:left="2843" w:hanging="226"/>
      </w:pPr>
    </w:lvl>
    <w:lvl w:ilvl="6">
      <w:numFmt w:val="bullet"/>
      <w:lvlText w:val="•"/>
      <w:lvlJc w:val="left"/>
      <w:pPr>
        <w:ind w:left="3343" w:hanging="226"/>
      </w:pPr>
    </w:lvl>
    <w:lvl w:ilvl="7">
      <w:numFmt w:val="bullet"/>
      <w:lvlText w:val="•"/>
      <w:lvlJc w:val="left"/>
      <w:pPr>
        <w:ind w:left="3844" w:hanging="226"/>
      </w:pPr>
    </w:lvl>
    <w:lvl w:ilvl="8">
      <w:numFmt w:val="bullet"/>
      <w:lvlText w:val="•"/>
      <w:lvlJc w:val="left"/>
      <w:pPr>
        <w:ind w:left="4344" w:hanging="226"/>
      </w:pPr>
    </w:lvl>
  </w:abstractNum>
  <w:abstractNum w:abstractNumId="5" w15:restartNumberingAfterBreak="0">
    <w:nsid w:val="00000407"/>
    <w:multiLevelType w:val="multilevel"/>
    <w:tmpl w:val="FFFFFFFF"/>
    <w:lvl w:ilvl="0">
      <w:numFmt w:val="bullet"/>
      <w:lvlText w:val=""/>
      <w:lvlJc w:val="left"/>
      <w:pPr>
        <w:ind w:left="333" w:hanging="226"/>
      </w:pPr>
      <w:rPr>
        <w:rFonts w:ascii="Symbol" w:hAnsi="Symbol" w:cs="Symbol"/>
        <w:b w:val="0"/>
        <w:bCs w:val="0"/>
        <w:w w:val="100"/>
        <w:sz w:val="22"/>
        <w:szCs w:val="22"/>
      </w:rPr>
    </w:lvl>
    <w:lvl w:ilvl="1">
      <w:numFmt w:val="bullet"/>
      <w:lvlText w:val="•"/>
      <w:lvlJc w:val="left"/>
      <w:pPr>
        <w:ind w:left="840" w:hanging="226"/>
      </w:pPr>
    </w:lvl>
    <w:lvl w:ilvl="2">
      <w:numFmt w:val="bullet"/>
      <w:lvlText w:val="•"/>
      <w:lvlJc w:val="left"/>
      <w:pPr>
        <w:ind w:left="1340" w:hanging="226"/>
      </w:pPr>
    </w:lvl>
    <w:lvl w:ilvl="3">
      <w:numFmt w:val="bullet"/>
      <w:lvlText w:val="•"/>
      <w:lvlJc w:val="left"/>
      <w:pPr>
        <w:ind w:left="1841" w:hanging="226"/>
      </w:pPr>
    </w:lvl>
    <w:lvl w:ilvl="4">
      <w:numFmt w:val="bullet"/>
      <w:lvlText w:val="•"/>
      <w:lvlJc w:val="left"/>
      <w:pPr>
        <w:ind w:left="2341" w:hanging="226"/>
      </w:pPr>
    </w:lvl>
    <w:lvl w:ilvl="5">
      <w:numFmt w:val="bullet"/>
      <w:lvlText w:val="•"/>
      <w:lvlJc w:val="left"/>
      <w:pPr>
        <w:ind w:left="2842" w:hanging="226"/>
      </w:pPr>
    </w:lvl>
    <w:lvl w:ilvl="6">
      <w:numFmt w:val="bullet"/>
      <w:lvlText w:val="•"/>
      <w:lvlJc w:val="left"/>
      <w:pPr>
        <w:ind w:left="3342" w:hanging="226"/>
      </w:pPr>
    </w:lvl>
    <w:lvl w:ilvl="7">
      <w:numFmt w:val="bullet"/>
      <w:lvlText w:val="•"/>
      <w:lvlJc w:val="left"/>
      <w:pPr>
        <w:ind w:left="3842" w:hanging="226"/>
      </w:pPr>
    </w:lvl>
    <w:lvl w:ilvl="8">
      <w:numFmt w:val="bullet"/>
      <w:lvlText w:val="•"/>
      <w:lvlJc w:val="left"/>
      <w:pPr>
        <w:ind w:left="4343" w:hanging="226"/>
      </w:pPr>
    </w:lvl>
  </w:abstractNum>
  <w:abstractNum w:abstractNumId="6" w15:restartNumberingAfterBreak="0">
    <w:nsid w:val="00000408"/>
    <w:multiLevelType w:val="multilevel"/>
    <w:tmpl w:val="FFFFFFFF"/>
    <w:lvl w:ilvl="0">
      <w:numFmt w:val="bullet"/>
      <w:lvlText w:val=""/>
      <w:lvlJc w:val="left"/>
      <w:pPr>
        <w:ind w:left="333" w:hanging="226"/>
      </w:pPr>
      <w:rPr>
        <w:rFonts w:ascii="Symbol" w:hAnsi="Symbol" w:cs="Symbol"/>
        <w:b w:val="0"/>
        <w:bCs w:val="0"/>
        <w:w w:val="100"/>
        <w:sz w:val="22"/>
        <w:szCs w:val="22"/>
      </w:rPr>
    </w:lvl>
    <w:lvl w:ilvl="1">
      <w:numFmt w:val="bullet"/>
      <w:lvlText w:val="•"/>
      <w:lvlJc w:val="left"/>
      <w:pPr>
        <w:ind w:left="840" w:hanging="226"/>
      </w:pPr>
    </w:lvl>
    <w:lvl w:ilvl="2">
      <w:numFmt w:val="bullet"/>
      <w:lvlText w:val="•"/>
      <w:lvlJc w:val="left"/>
      <w:pPr>
        <w:ind w:left="1340" w:hanging="226"/>
      </w:pPr>
    </w:lvl>
    <w:lvl w:ilvl="3">
      <w:numFmt w:val="bullet"/>
      <w:lvlText w:val="•"/>
      <w:lvlJc w:val="left"/>
      <w:pPr>
        <w:ind w:left="1841" w:hanging="226"/>
      </w:pPr>
    </w:lvl>
    <w:lvl w:ilvl="4">
      <w:numFmt w:val="bullet"/>
      <w:lvlText w:val="•"/>
      <w:lvlJc w:val="left"/>
      <w:pPr>
        <w:ind w:left="2341" w:hanging="226"/>
      </w:pPr>
    </w:lvl>
    <w:lvl w:ilvl="5">
      <w:numFmt w:val="bullet"/>
      <w:lvlText w:val="•"/>
      <w:lvlJc w:val="left"/>
      <w:pPr>
        <w:ind w:left="2842" w:hanging="226"/>
      </w:pPr>
    </w:lvl>
    <w:lvl w:ilvl="6">
      <w:numFmt w:val="bullet"/>
      <w:lvlText w:val="•"/>
      <w:lvlJc w:val="left"/>
      <w:pPr>
        <w:ind w:left="3342" w:hanging="226"/>
      </w:pPr>
    </w:lvl>
    <w:lvl w:ilvl="7">
      <w:numFmt w:val="bullet"/>
      <w:lvlText w:val="•"/>
      <w:lvlJc w:val="left"/>
      <w:pPr>
        <w:ind w:left="3842" w:hanging="226"/>
      </w:pPr>
    </w:lvl>
    <w:lvl w:ilvl="8">
      <w:numFmt w:val="bullet"/>
      <w:lvlText w:val="•"/>
      <w:lvlJc w:val="left"/>
      <w:pPr>
        <w:ind w:left="4343" w:hanging="226"/>
      </w:pPr>
    </w:lvl>
  </w:abstractNum>
  <w:abstractNum w:abstractNumId="7"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765D1D"/>
    <w:multiLevelType w:val="hybridMultilevel"/>
    <w:tmpl w:val="B156D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610CF5"/>
    <w:multiLevelType w:val="hybridMultilevel"/>
    <w:tmpl w:val="641CD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9"/>
  </w:num>
  <w:num w:numId="3">
    <w:abstractNumId w:val="24"/>
  </w:num>
  <w:num w:numId="4">
    <w:abstractNumId w:val="11"/>
  </w:num>
  <w:num w:numId="5">
    <w:abstractNumId w:val="21"/>
  </w:num>
  <w:num w:numId="6">
    <w:abstractNumId w:val="25"/>
  </w:num>
  <w:num w:numId="7">
    <w:abstractNumId w:val="8"/>
  </w:num>
  <w:num w:numId="8">
    <w:abstractNumId w:val="20"/>
  </w:num>
  <w:num w:numId="9">
    <w:abstractNumId w:val="16"/>
  </w:num>
  <w:num w:numId="10">
    <w:abstractNumId w:val="10"/>
  </w:num>
  <w:num w:numId="11">
    <w:abstractNumId w:val="22"/>
  </w:num>
  <w:num w:numId="12">
    <w:abstractNumId w:val="26"/>
  </w:num>
  <w:num w:numId="13">
    <w:abstractNumId w:val="18"/>
  </w:num>
  <w:num w:numId="14">
    <w:abstractNumId w:val="14"/>
  </w:num>
  <w:num w:numId="15">
    <w:abstractNumId w:val="23"/>
  </w:num>
  <w:num w:numId="16">
    <w:abstractNumId w:val="15"/>
  </w:num>
  <w:num w:numId="17">
    <w:abstractNumId w:val="12"/>
  </w:num>
  <w:num w:numId="18">
    <w:abstractNumId w:val="19"/>
  </w:num>
  <w:num w:numId="19">
    <w:abstractNumId w:val="4"/>
  </w:num>
  <w:num w:numId="20">
    <w:abstractNumId w:val="3"/>
  </w:num>
  <w:num w:numId="21">
    <w:abstractNumId w:val="2"/>
  </w:num>
  <w:num w:numId="22">
    <w:abstractNumId w:val="1"/>
  </w:num>
  <w:num w:numId="23">
    <w:abstractNumId w:val="0"/>
  </w:num>
  <w:num w:numId="24">
    <w:abstractNumId w:val="6"/>
  </w:num>
  <w:num w:numId="25">
    <w:abstractNumId w:val="5"/>
  </w:num>
  <w:num w:numId="26">
    <w:abstractNumId w:val="17"/>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brlR8OepdKq5gCB25V+00oVOX503RG0iavu+rA3os/+zuWcqaM9xpy34U+vGd+RHdYEuJlvDTeFUMSGhD8Xg7A==" w:salt="Arxk8b8s0guhamabUB7E7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4287"/>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667B9"/>
    <w:rsid w:val="00071537"/>
    <w:rsid w:val="00072612"/>
    <w:rsid w:val="000735D6"/>
    <w:rsid w:val="00074B64"/>
    <w:rsid w:val="000769FD"/>
    <w:rsid w:val="00077000"/>
    <w:rsid w:val="00077040"/>
    <w:rsid w:val="00082637"/>
    <w:rsid w:val="00083102"/>
    <w:rsid w:val="000846CC"/>
    <w:rsid w:val="00085797"/>
    <w:rsid w:val="00087367"/>
    <w:rsid w:val="0008758D"/>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4516"/>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4415"/>
    <w:rsid w:val="001854EA"/>
    <w:rsid w:val="00185C26"/>
    <w:rsid w:val="00196C7C"/>
    <w:rsid w:val="001A1C71"/>
    <w:rsid w:val="001A1DF4"/>
    <w:rsid w:val="001A34C4"/>
    <w:rsid w:val="001B5ED0"/>
    <w:rsid w:val="001B6E76"/>
    <w:rsid w:val="001C3A3F"/>
    <w:rsid w:val="001D1087"/>
    <w:rsid w:val="001D2448"/>
    <w:rsid w:val="001D3ADE"/>
    <w:rsid w:val="001D58D3"/>
    <w:rsid w:val="001D776C"/>
    <w:rsid w:val="001D7BCC"/>
    <w:rsid w:val="001E18FE"/>
    <w:rsid w:val="001E2CCA"/>
    <w:rsid w:val="001E316A"/>
    <w:rsid w:val="001E43C8"/>
    <w:rsid w:val="001F70BC"/>
    <w:rsid w:val="001F7FBE"/>
    <w:rsid w:val="002016B1"/>
    <w:rsid w:val="00201875"/>
    <w:rsid w:val="00201AFD"/>
    <w:rsid w:val="00201FDC"/>
    <w:rsid w:val="002022D8"/>
    <w:rsid w:val="00206486"/>
    <w:rsid w:val="00206CC8"/>
    <w:rsid w:val="00211422"/>
    <w:rsid w:val="00212109"/>
    <w:rsid w:val="00224240"/>
    <w:rsid w:val="00226FA2"/>
    <w:rsid w:val="002304B7"/>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64A1"/>
    <w:rsid w:val="002F774B"/>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4770B"/>
    <w:rsid w:val="00351E90"/>
    <w:rsid w:val="00360206"/>
    <w:rsid w:val="003624EE"/>
    <w:rsid w:val="003632E1"/>
    <w:rsid w:val="00363CD3"/>
    <w:rsid w:val="003656A9"/>
    <w:rsid w:val="00366852"/>
    <w:rsid w:val="003706EF"/>
    <w:rsid w:val="00370BE4"/>
    <w:rsid w:val="00371D56"/>
    <w:rsid w:val="00374A30"/>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4A9B"/>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1AD0"/>
    <w:rsid w:val="004441CB"/>
    <w:rsid w:val="00450DB8"/>
    <w:rsid w:val="00453D2C"/>
    <w:rsid w:val="00454851"/>
    <w:rsid w:val="00456070"/>
    <w:rsid w:val="00456B26"/>
    <w:rsid w:val="004570E7"/>
    <w:rsid w:val="00457732"/>
    <w:rsid w:val="00460A1D"/>
    <w:rsid w:val="004613DF"/>
    <w:rsid w:val="00461BB2"/>
    <w:rsid w:val="00463F96"/>
    <w:rsid w:val="004660BE"/>
    <w:rsid w:val="0046696C"/>
    <w:rsid w:val="00466DD7"/>
    <w:rsid w:val="00471F7D"/>
    <w:rsid w:val="00473B19"/>
    <w:rsid w:val="00474CB3"/>
    <w:rsid w:val="00474ECD"/>
    <w:rsid w:val="004757B5"/>
    <w:rsid w:val="004816ED"/>
    <w:rsid w:val="00482586"/>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2ADF"/>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350"/>
    <w:rsid w:val="005B08F1"/>
    <w:rsid w:val="005B47BC"/>
    <w:rsid w:val="005B7F7A"/>
    <w:rsid w:val="005C00EC"/>
    <w:rsid w:val="005C15C9"/>
    <w:rsid w:val="005C30E9"/>
    <w:rsid w:val="005C663B"/>
    <w:rsid w:val="005D1C38"/>
    <w:rsid w:val="005D1ED6"/>
    <w:rsid w:val="005D767A"/>
    <w:rsid w:val="005E2628"/>
    <w:rsid w:val="005E280E"/>
    <w:rsid w:val="005E5F66"/>
    <w:rsid w:val="005F46EC"/>
    <w:rsid w:val="005F49C9"/>
    <w:rsid w:val="005F71CE"/>
    <w:rsid w:val="005F7A68"/>
    <w:rsid w:val="00601980"/>
    <w:rsid w:val="0060332C"/>
    <w:rsid w:val="00604C5A"/>
    <w:rsid w:val="00607F1D"/>
    <w:rsid w:val="00612DE8"/>
    <w:rsid w:val="00615A83"/>
    <w:rsid w:val="006170C5"/>
    <w:rsid w:val="00620EA0"/>
    <w:rsid w:val="00623E47"/>
    <w:rsid w:val="00624CD2"/>
    <w:rsid w:val="0062795C"/>
    <w:rsid w:val="00631A06"/>
    <w:rsid w:val="00633D28"/>
    <w:rsid w:val="00633F1B"/>
    <w:rsid w:val="00634D07"/>
    <w:rsid w:val="006354A7"/>
    <w:rsid w:val="00635799"/>
    <w:rsid w:val="00636A77"/>
    <w:rsid w:val="0064051B"/>
    <w:rsid w:val="006418EF"/>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0E28"/>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0B72"/>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4B6E"/>
    <w:rsid w:val="00796875"/>
    <w:rsid w:val="0079756E"/>
    <w:rsid w:val="007A1233"/>
    <w:rsid w:val="007A258F"/>
    <w:rsid w:val="007A3B3A"/>
    <w:rsid w:val="007B0BBA"/>
    <w:rsid w:val="007C0E56"/>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379D1"/>
    <w:rsid w:val="008406F5"/>
    <w:rsid w:val="00841F1E"/>
    <w:rsid w:val="00842203"/>
    <w:rsid w:val="0084655C"/>
    <w:rsid w:val="00850E3E"/>
    <w:rsid w:val="008525DE"/>
    <w:rsid w:val="00863466"/>
    <w:rsid w:val="00864432"/>
    <w:rsid w:val="008649A3"/>
    <w:rsid w:val="0086670A"/>
    <w:rsid w:val="00870BA1"/>
    <w:rsid w:val="00873CDE"/>
    <w:rsid w:val="00874421"/>
    <w:rsid w:val="008750CC"/>
    <w:rsid w:val="00875997"/>
    <w:rsid w:val="0087796C"/>
    <w:rsid w:val="00880932"/>
    <w:rsid w:val="008825B5"/>
    <w:rsid w:val="00885E74"/>
    <w:rsid w:val="00886B14"/>
    <w:rsid w:val="008927F4"/>
    <w:rsid w:val="00893B58"/>
    <w:rsid w:val="00894E4C"/>
    <w:rsid w:val="0089642A"/>
    <w:rsid w:val="008A1743"/>
    <w:rsid w:val="008A23DD"/>
    <w:rsid w:val="008A28AF"/>
    <w:rsid w:val="008A3DBE"/>
    <w:rsid w:val="008A6C51"/>
    <w:rsid w:val="008B0EA2"/>
    <w:rsid w:val="008B15CF"/>
    <w:rsid w:val="008B2242"/>
    <w:rsid w:val="008B4AD1"/>
    <w:rsid w:val="008B6D93"/>
    <w:rsid w:val="008B7AF1"/>
    <w:rsid w:val="008C3543"/>
    <w:rsid w:val="008D0690"/>
    <w:rsid w:val="008D0F0D"/>
    <w:rsid w:val="008D0FF2"/>
    <w:rsid w:val="008D14D6"/>
    <w:rsid w:val="008D1D7F"/>
    <w:rsid w:val="008D3526"/>
    <w:rsid w:val="008D7D37"/>
    <w:rsid w:val="008F0401"/>
    <w:rsid w:val="008F04C1"/>
    <w:rsid w:val="008F2457"/>
    <w:rsid w:val="008F252A"/>
    <w:rsid w:val="008F6AFD"/>
    <w:rsid w:val="008F7645"/>
    <w:rsid w:val="00900069"/>
    <w:rsid w:val="0090248F"/>
    <w:rsid w:val="00902F25"/>
    <w:rsid w:val="0090407E"/>
    <w:rsid w:val="00905334"/>
    <w:rsid w:val="00907ABB"/>
    <w:rsid w:val="00911307"/>
    <w:rsid w:val="00915110"/>
    <w:rsid w:val="009151B5"/>
    <w:rsid w:val="00915A28"/>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7FFD"/>
    <w:rsid w:val="009B4F83"/>
    <w:rsid w:val="009B6983"/>
    <w:rsid w:val="009C5450"/>
    <w:rsid w:val="009C5716"/>
    <w:rsid w:val="009D316A"/>
    <w:rsid w:val="009D3527"/>
    <w:rsid w:val="009D5368"/>
    <w:rsid w:val="009D54DF"/>
    <w:rsid w:val="009E56AC"/>
    <w:rsid w:val="009E56AF"/>
    <w:rsid w:val="009E678D"/>
    <w:rsid w:val="009F28E2"/>
    <w:rsid w:val="009F3364"/>
    <w:rsid w:val="009F4BDF"/>
    <w:rsid w:val="009F60BA"/>
    <w:rsid w:val="009F7F44"/>
    <w:rsid w:val="00A01B8D"/>
    <w:rsid w:val="00A034AE"/>
    <w:rsid w:val="00A035F5"/>
    <w:rsid w:val="00A11F34"/>
    <w:rsid w:val="00A1350A"/>
    <w:rsid w:val="00A167B8"/>
    <w:rsid w:val="00A231A4"/>
    <w:rsid w:val="00A27D21"/>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162"/>
    <w:rsid w:val="00AD5A78"/>
    <w:rsid w:val="00AE1517"/>
    <w:rsid w:val="00AE4078"/>
    <w:rsid w:val="00AE4230"/>
    <w:rsid w:val="00AE69D7"/>
    <w:rsid w:val="00AE71AA"/>
    <w:rsid w:val="00AF1374"/>
    <w:rsid w:val="00AF1E8A"/>
    <w:rsid w:val="00AF2DE8"/>
    <w:rsid w:val="00AF5076"/>
    <w:rsid w:val="00AF5947"/>
    <w:rsid w:val="00AF692A"/>
    <w:rsid w:val="00AF6D69"/>
    <w:rsid w:val="00AF7626"/>
    <w:rsid w:val="00B03D08"/>
    <w:rsid w:val="00B05BF7"/>
    <w:rsid w:val="00B079F6"/>
    <w:rsid w:val="00B1094A"/>
    <w:rsid w:val="00B129D1"/>
    <w:rsid w:val="00B12F61"/>
    <w:rsid w:val="00B14CBC"/>
    <w:rsid w:val="00B1760D"/>
    <w:rsid w:val="00B17FF0"/>
    <w:rsid w:val="00B20F1F"/>
    <w:rsid w:val="00B30468"/>
    <w:rsid w:val="00B32160"/>
    <w:rsid w:val="00B3260B"/>
    <w:rsid w:val="00B32B07"/>
    <w:rsid w:val="00B336E9"/>
    <w:rsid w:val="00B3397D"/>
    <w:rsid w:val="00B3426B"/>
    <w:rsid w:val="00B34F7B"/>
    <w:rsid w:val="00B35999"/>
    <w:rsid w:val="00B44237"/>
    <w:rsid w:val="00B45926"/>
    <w:rsid w:val="00B47D09"/>
    <w:rsid w:val="00B50108"/>
    <w:rsid w:val="00B525D3"/>
    <w:rsid w:val="00B55B5C"/>
    <w:rsid w:val="00B56290"/>
    <w:rsid w:val="00B61B54"/>
    <w:rsid w:val="00B6351D"/>
    <w:rsid w:val="00B64203"/>
    <w:rsid w:val="00B6519E"/>
    <w:rsid w:val="00B66AF1"/>
    <w:rsid w:val="00B70245"/>
    <w:rsid w:val="00B703C2"/>
    <w:rsid w:val="00B71F29"/>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2A0"/>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588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2C15"/>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28E4"/>
    <w:rsid w:val="00DA5459"/>
    <w:rsid w:val="00DA619A"/>
    <w:rsid w:val="00DB357A"/>
    <w:rsid w:val="00DB4233"/>
    <w:rsid w:val="00DB5097"/>
    <w:rsid w:val="00DC4441"/>
    <w:rsid w:val="00DC4F7C"/>
    <w:rsid w:val="00DC7134"/>
    <w:rsid w:val="00DC79F3"/>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279C5"/>
    <w:rsid w:val="00E319F9"/>
    <w:rsid w:val="00E321D9"/>
    <w:rsid w:val="00E331C7"/>
    <w:rsid w:val="00E35240"/>
    <w:rsid w:val="00E365CB"/>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3135"/>
    <w:rsid w:val="00EA4228"/>
    <w:rsid w:val="00EA6E8E"/>
    <w:rsid w:val="00EA7978"/>
    <w:rsid w:val="00EA7D19"/>
    <w:rsid w:val="00EB4D9F"/>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65D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4758E"/>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37D7"/>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3DCF"/>
    <w:rsid w:val="00FE2208"/>
    <w:rsid w:val="00FE2769"/>
    <w:rsid w:val="00FE2ED0"/>
    <w:rsid w:val="00FE3C8C"/>
    <w:rsid w:val="00FE430B"/>
    <w:rsid w:val="00FE46AF"/>
    <w:rsid w:val="00FE73C3"/>
    <w:rsid w:val="00FF1F94"/>
    <w:rsid w:val="00FF204C"/>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F7A"/>
  </w:style>
  <w:style w:type="paragraph" w:styleId="Heading1">
    <w:name w:val="heading 1"/>
    <w:basedOn w:val="Normal"/>
    <w:next w:val="Normal"/>
    <w:link w:val="Heading1Char"/>
    <w:uiPriority w:val="9"/>
    <w:qFormat/>
    <w:rsid w:val="005B7F7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B7F7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B7F7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B7F7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B7F7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B7F7A"/>
    <w:pPr>
      <w:keepNext/>
      <w:keepLines/>
      <w:spacing w:before="40" w:after="0"/>
      <w:outlineLvl w:val="5"/>
    </w:pPr>
  </w:style>
  <w:style w:type="paragraph" w:styleId="Heading7">
    <w:name w:val="heading 7"/>
    <w:basedOn w:val="Normal"/>
    <w:next w:val="Normal"/>
    <w:link w:val="Heading7Char"/>
    <w:uiPriority w:val="9"/>
    <w:semiHidden/>
    <w:unhideWhenUsed/>
    <w:qFormat/>
    <w:rsid w:val="005B7F7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B7F7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B7F7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F7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B7F7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B7F7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B7F7A"/>
    <w:rPr>
      <w:i/>
      <w:iCs/>
    </w:rPr>
  </w:style>
  <w:style w:type="character" w:customStyle="1" w:styleId="Heading5Char">
    <w:name w:val="Heading 5 Char"/>
    <w:basedOn w:val="DefaultParagraphFont"/>
    <w:link w:val="Heading5"/>
    <w:uiPriority w:val="9"/>
    <w:semiHidden/>
    <w:rsid w:val="005B7F7A"/>
    <w:rPr>
      <w:color w:val="404040" w:themeColor="text1" w:themeTint="BF"/>
    </w:rPr>
  </w:style>
  <w:style w:type="character" w:customStyle="1" w:styleId="Heading6Char">
    <w:name w:val="Heading 6 Char"/>
    <w:basedOn w:val="DefaultParagraphFont"/>
    <w:link w:val="Heading6"/>
    <w:uiPriority w:val="9"/>
    <w:semiHidden/>
    <w:rsid w:val="005B7F7A"/>
  </w:style>
  <w:style w:type="character" w:customStyle="1" w:styleId="Heading7Char">
    <w:name w:val="Heading 7 Char"/>
    <w:basedOn w:val="DefaultParagraphFont"/>
    <w:link w:val="Heading7"/>
    <w:uiPriority w:val="9"/>
    <w:semiHidden/>
    <w:rsid w:val="005B7F7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B7F7A"/>
    <w:rPr>
      <w:color w:val="262626" w:themeColor="text1" w:themeTint="D9"/>
      <w:sz w:val="21"/>
      <w:szCs w:val="21"/>
    </w:rPr>
  </w:style>
  <w:style w:type="character" w:customStyle="1" w:styleId="Heading9Char">
    <w:name w:val="Heading 9 Char"/>
    <w:basedOn w:val="DefaultParagraphFont"/>
    <w:link w:val="Heading9"/>
    <w:uiPriority w:val="9"/>
    <w:semiHidden/>
    <w:rsid w:val="005B7F7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B7F7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B7F7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B7F7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B7F7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B7F7A"/>
    <w:rPr>
      <w:color w:val="5A5A5A" w:themeColor="text1" w:themeTint="A5"/>
      <w:spacing w:val="15"/>
    </w:rPr>
  </w:style>
  <w:style w:type="character" w:styleId="Strong">
    <w:name w:val="Strong"/>
    <w:basedOn w:val="DefaultParagraphFont"/>
    <w:uiPriority w:val="22"/>
    <w:qFormat/>
    <w:rsid w:val="005B7F7A"/>
    <w:rPr>
      <w:b/>
      <w:bCs/>
      <w:color w:val="auto"/>
    </w:rPr>
  </w:style>
  <w:style w:type="character" w:styleId="Emphasis">
    <w:name w:val="Emphasis"/>
    <w:basedOn w:val="DefaultParagraphFont"/>
    <w:uiPriority w:val="20"/>
    <w:qFormat/>
    <w:rsid w:val="005B7F7A"/>
    <w:rPr>
      <w:i/>
      <w:iCs/>
      <w:color w:val="auto"/>
    </w:rPr>
  </w:style>
  <w:style w:type="paragraph" w:styleId="NoSpacing">
    <w:name w:val="No Spacing"/>
    <w:uiPriority w:val="1"/>
    <w:qFormat/>
    <w:rsid w:val="005B7F7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B7F7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B7F7A"/>
    <w:rPr>
      <w:i/>
      <w:iCs/>
      <w:color w:val="404040" w:themeColor="text1" w:themeTint="BF"/>
    </w:rPr>
  </w:style>
  <w:style w:type="paragraph" w:styleId="IntenseQuote">
    <w:name w:val="Intense Quote"/>
    <w:basedOn w:val="Normal"/>
    <w:next w:val="Normal"/>
    <w:link w:val="IntenseQuoteChar"/>
    <w:uiPriority w:val="30"/>
    <w:qFormat/>
    <w:rsid w:val="005B7F7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B7F7A"/>
    <w:rPr>
      <w:i/>
      <w:iCs/>
      <w:color w:val="404040" w:themeColor="text1" w:themeTint="BF"/>
    </w:rPr>
  </w:style>
  <w:style w:type="character" w:styleId="SubtleEmphasis">
    <w:name w:val="Subtle Emphasis"/>
    <w:basedOn w:val="DefaultParagraphFont"/>
    <w:uiPriority w:val="19"/>
    <w:qFormat/>
    <w:rsid w:val="005B7F7A"/>
    <w:rPr>
      <w:i/>
      <w:iCs/>
      <w:color w:val="404040" w:themeColor="text1" w:themeTint="BF"/>
    </w:rPr>
  </w:style>
  <w:style w:type="character" w:styleId="IntenseEmphasis">
    <w:name w:val="Intense Emphasis"/>
    <w:basedOn w:val="DefaultParagraphFont"/>
    <w:uiPriority w:val="21"/>
    <w:qFormat/>
    <w:rsid w:val="005B7F7A"/>
    <w:rPr>
      <w:b/>
      <w:bCs/>
      <w:i/>
      <w:iCs/>
      <w:color w:val="auto"/>
    </w:rPr>
  </w:style>
  <w:style w:type="character" w:styleId="SubtleReference">
    <w:name w:val="Subtle Reference"/>
    <w:basedOn w:val="DefaultParagraphFont"/>
    <w:uiPriority w:val="31"/>
    <w:qFormat/>
    <w:rsid w:val="005B7F7A"/>
    <w:rPr>
      <w:smallCaps/>
      <w:color w:val="404040" w:themeColor="text1" w:themeTint="BF"/>
    </w:rPr>
  </w:style>
  <w:style w:type="character" w:styleId="IntenseReference">
    <w:name w:val="Intense Reference"/>
    <w:basedOn w:val="DefaultParagraphFont"/>
    <w:uiPriority w:val="32"/>
    <w:qFormat/>
    <w:rsid w:val="005B7F7A"/>
    <w:rPr>
      <w:b/>
      <w:bCs/>
      <w:smallCaps/>
      <w:color w:val="404040" w:themeColor="text1" w:themeTint="BF"/>
      <w:spacing w:val="5"/>
    </w:rPr>
  </w:style>
  <w:style w:type="character" w:styleId="BookTitle">
    <w:name w:val="Book Title"/>
    <w:basedOn w:val="DefaultParagraphFont"/>
    <w:uiPriority w:val="33"/>
    <w:qFormat/>
    <w:rsid w:val="005B7F7A"/>
    <w:rPr>
      <w:b/>
      <w:bCs/>
      <w:i/>
      <w:iCs/>
      <w:spacing w:val="5"/>
    </w:rPr>
  </w:style>
  <w:style w:type="paragraph" w:styleId="TOCHeading">
    <w:name w:val="TOC Heading"/>
    <w:basedOn w:val="Heading1"/>
    <w:next w:val="Normal"/>
    <w:uiPriority w:val="39"/>
    <w:semiHidden/>
    <w:unhideWhenUsed/>
    <w:qFormat/>
    <w:rsid w:val="005B7F7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DC4441"/>
    <w:pPr>
      <w:autoSpaceDE w:val="0"/>
      <w:autoSpaceDN w:val="0"/>
      <w:adjustRightInd w:val="0"/>
      <w:spacing w:after="0" w:line="224" w:lineRule="exact"/>
      <w:ind w:left="100"/>
    </w:pPr>
    <w:rPr>
      <w:rFonts w:ascii="Garamond" w:hAnsi="Garamond" w:cs="Garamond"/>
      <w:sz w:val="20"/>
      <w:szCs w:val="20"/>
    </w:rPr>
  </w:style>
  <w:style w:type="character" w:customStyle="1" w:styleId="BodyTextChar">
    <w:name w:val="Body Text Char"/>
    <w:basedOn w:val="DefaultParagraphFont"/>
    <w:link w:val="BodyText"/>
    <w:uiPriority w:val="1"/>
    <w:rsid w:val="00DC4441"/>
    <w:rPr>
      <w:rFonts w:ascii="Garamond" w:hAnsi="Garamond" w:cs="Garamon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35385812">
      <w:bodyDiv w:val="1"/>
      <w:marLeft w:val="0"/>
      <w:marRight w:val="0"/>
      <w:marTop w:val="0"/>
      <w:marBottom w:val="0"/>
      <w:divBdr>
        <w:top w:val="none" w:sz="0" w:space="0" w:color="auto"/>
        <w:left w:val="none" w:sz="0" w:space="0" w:color="auto"/>
        <w:bottom w:val="none" w:sz="0" w:space="0" w:color="auto"/>
        <w:right w:val="none" w:sz="0" w:space="0" w:color="auto"/>
      </w:divBdr>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https:/doi.org/10.32873/unmc.dc.ihsej.000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digitalcommons.unmc.edu/cgi/viewcontent.cgi?article=1000&amp;context=ihsej"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5664</Words>
  <Characters>32290</Characters>
  <Application>Microsoft Office Word</Application>
  <DocSecurity>8</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2022-04-01T19:18:00Z</dcterms:created>
  <dcterms:modified xsi:type="dcterms:W3CDTF">2022-04-12T18:03:00Z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