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E5BEF" w14:textId="77777777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  <w:r w:rsidRPr="00C55499">
        <w:rPr>
          <w:rFonts w:cstheme="minorHAnsi"/>
          <w:b/>
          <w:bCs/>
          <w:sz w:val="22"/>
        </w:rPr>
        <w:t>N</w:t>
      </w:r>
      <w:bookmarkStart w:id="0" w:name="_GoBack"/>
      <w:bookmarkEnd w:id="0"/>
      <w:r w:rsidRPr="00C55499">
        <w:rPr>
          <w:rFonts w:cstheme="minorHAnsi"/>
          <w:b/>
          <w:bCs/>
          <w:sz w:val="22"/>
        </w:rPr>
        <w:t xml:space="preserve">ew Accounting Rules </w:t>
      </w:r>
      <w:r w:rsidR="00C55499" w:rsidRPr="00C55499">
        <w:rPr>
          <w:rFonts w:cstheme="minorHAnsi"/>
          <w:b/>
          <w:bCs/>
          <w:sz w:val="22"/>
        </w:rPr>
        <w:t>for</w:t>
      </w:r>
      <w:r w:rsidRPr="00C55499">
        <w:rPr>
          <w:rFonts w:cstheme="minorHAnsi"/>
          <w:b/>
          <w:bCs/>
          <w:sz w:val="22"/>
        </w:rPr>
        <w:t xml:space="preserve"> Special Assessments</w:t>
      </w:r>
    </w:p>
    <w:p w14:paraId="6999DA8E" w14:textId="77777777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Trebby, James P;</w:t>
      </w:r>
      <w:r w:rsidR="00C55499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Yahr, Robert B</w:t>
      </w:r>
    </w:p>
    <w:p w14:paraId="4E6267CE" w14:textId="77777777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i/>
          <w:iCs/>
          <w:sz w:val="22"/>
        </w:rPr>
        <w:t xml:space="preserve">Akron Business and Economic Review; </w:t>
      </w:r>
      <w:r w:rsidRPr="00C55499">
        <w:rPr>
          <w:rFonts w:cstheme="minorHAnsi"/>
          <w:sz w:val="22"/>
        </w:rPr>
        <w:t>Spring 1990; 21, 1; ProQuest</w:t>
      </w:r>
    </w:p>
    <w:p w14:paraId="30352B18" w14:textId="77777777" w:rsidR="00FB3A37" w:rsidRPr="00C55499" w:rsidRDefault="002C508F" w:rsidP="002C508F">
      <w:pPr>
        <w:rPr>
          <w:rFonts w:cstheme="minorHAnsi"/>
          <w:sz w:val="22"/>
        </w:rPr>
      </w:pPr>
      <w:r w:rsidRPr="00C55499">
        <w:rPr>
          <w:rFonts w:cstheme="minorHAnsi"/>
          <w:sz w:val="22"/>
        </w:rPr>
        <w:t>pg. 18</w:t>
      </w:r>
    </w:p>
    <w:p w14:paraId="02C308B8" w14:textId="77777777" w:rsidR="002C508F" w:rsidRPr="00C55499" w:rsidRDefault="002C508F" w:rsidP="002C508F">
      <w:pPr>
        <w:rPr>
          <w:rFonts w:cstheme="minorHAnsi"/>
          <w:sz w:val="22"/>
        </w:rPr>
      </w:pPr>
    </w:p>
    <w:p w14:paraId="0F323BE3" w14:textId="77777777" w:rsidR="002C508F" w:rsidRPr="00C55499" w:rsidRDefault="002C508F" w:rsidP="00D2713D">
      <w:pPr>
        <w:pStyle w:val="Title"/>
      </w:pPr>
      <w:r w:rsidRPr="00C55499">
        <w:t>New Accounting Rules</w:t>
      </w:r>
    </w:p>
    <w:p w14:paraId="15301A0F" w14:textId="77777777" w:rsidR="002C508F" w:rsidRPr="00C55499" w:rsidRDefault="002C508F" w:rsidP="00D2713D">
      <w:pPr>
        <w:pStyle w:val="Title"/>
      </w:pPr>
      <w:r w:rsidRPr="00C55499">
        <w:t>For Special Assessments</w:t>
      </w:r>
    </w:p>
    <w:p w14:paraId="71646A78" w14:textId="77777777" w:rsidR="00D2713D" w:rsidRDefault="00D2713D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2"/>
        </w:rPr>
      </w:pPr>
    </w:p>
    <w:p w14:paraId="34556033" w14:textId="77777777" w:rsidR="002C508F" w:rsidRPr="00D2713D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bCs/>
          <w:sz w:val="28"/>
        </w:rPr>
      </w:pPr>
      <w:r w:rsidRPr="00D2713D">
        <w:rPr>
          <w:rFonts w:cstheme="minorHAnsi"/>
          <w:b/>
          <w:bCs/>
          <w:sz w:val="28"/>
        </w:rPr>
        <w:t>By James P. Trebby and Robert B. Yahr</w:t>
      </w:r>
    </w:p>
    <w:p w14:paraId="4A585FDD" w14:textId="77777777" w:rsidR="00D2713D" w:rsidRDefault="00D2713D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72D617F" w14:textId="3686220F" w:rsidR="002C508F" w:rsidRPr="00C55499" w:rsidRDefault="002C508F" w:rsidP="00A27A9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When the National Council on Governmental Accounting (NCGA) revised the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basic accounting principles for governmental units in 1979, its final </w:t>
      </w:r>
      <w:proofErr w:type="spellStart"/>
      <w:r w:rsidRPr="00C55499">
        <w:rPr>
          <w:rFonts w:cstheme="minorHAnsi"/>
          <w:sz w:val="22"/>
        </w:rPr>
        <w:t>produc</w:t>
      </w:r>
      <w:proofErr w:type="spellEnd"/>
      <w:r w:rsidR="00A27A9F">
        <w:rPr>
          <w:rFonts w:cstheme="minorHAnsi"/>
          <w:sz w:val="22"/>
        </w:rPr>
        <w:t>--</w:t>
      </w:r>
      <w:proofErr w:type="spellStart"/>
      <w:r w:rsidRPr="00C55499">
        <w:rPr>
          <w:rFonts w:cstheme="minorHAnsi"/>
          <w:sz w:val="22"/>
        </w:rPr>
        <w:t>tNCGA</w:t>
      </w:r>
      <w:proofErr w:type="spellEnd"/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Statement No. 1 (4)-was generally acknowledged as eliminating several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inconsistencies in governmental accounting and, in many instances, simplifying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governmental accounting procedures. However, one issue that was neither fully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resolved at that time nor through subsequent NCGA actions was the accounting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special assessments. Consequently, the conclusions in NCGA Statement No.</w:t>
      </w:r>
      <w:r w:rsidR="00A27A9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1 regarding the accounting for these assessments continued to attract much criticism.</w:t>
      </w:r>
    </w:p>
    <w:p w14:paraId="2A2BDD72" w14:textId="131C2353" w:rsidR="002C508F" w:rsidRPr="00C55499" w:rsidRDefault="002C508F" w:rsidP="00A3178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Probably the primary reasons for this criticism were that (1) special assessment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bonds were recorded as a liability rather than as an "other financing source"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(2) the modified accrual basis of accounting was used for these activities,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where revenues had to be both "measurable" and "available" in order to be recognized.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Because of these requirements, the NCGA concluded that the only "other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financing sources" for special assessment funds were operating transfers from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other governmental funds (such as the general fund) and that only the current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portions of special assessments were revenue. Since construction-related expenditures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were recognized immediately as incurred, it was normal for a special assessment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fund to report a deficiency throughout most of its life. Thus, this fund's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"artificial" deficit led to potentially misleading inferences regarding the fund's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(and possibly the governmental unit's) financial health.</w:t>
      </w:r>
    </w:p>
    <w:p w14:paraId="33AFF271" w14:textId="2F59C37F" w:rsidR="002C508F" w:rsidRPr="00C55499" w:rsidRDefault="002C508F" w:rsidP="00A3178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Additional criticism also resulted from the argument that special assessment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activities (especially those involving capital improvements) were no different from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activities presently being accounted for in other funds-notably the capital projects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debt service funds. The ambiguity of the NCGA statement's conclusions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regarding service assessments was also noted, since questions had arisen regarding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whether a separate special assessment fund was even required for these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activities.</w:t>
      </w:r>
    </w:p>
    <w:p w14:paraId="00B7D8F7" w14:textId="75B43910" w:rsidR="002C508F" w:rsidRPr="00C55499" w:rsidRDefault="002C508F" w:rsidP="00A3178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Because of these concerns, the Governmental Accounting Standards Board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(GASB) placed this topic on its active agenda shortly after the Board's inception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in 1984. Its initial public document was an </w:t>
      </w:r>
      <w:proofErr w:type="gramStart"/>
      <w:r w:rsidRPr="00C55499">
        <w:rPr>
          <w:rFonts w:cstheme="minorHAnsi"/>
          <w:sz w:val="22"/>
        </w:rPr>
        <w:t>October,</w:t>
      </w:r>
      <w:proofErr w:type="gramEnd"/>
      <w:r w:rsidRPr="00C55499">
        <w:rPr>
          <w:rFonts w:cstheme="minorHAnsi"/>
          <w:sz w:val="22"/>
        </w:rPr>
        <w:t xml:space="preserve"> 1985, Discussion Memorandum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(1) that explored the alternative accounting treatments. After considering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input received from various respondents, the GASB reported its tentative conclusions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in a </w:t>
      </w:r>
      <w:proofErr w:type="gramStart"/>
      <w:r w:rsidRPr="00C55499">
        <w:rPr>
          <w:rFonts w:cstheme="minorHAnsi"/>
          <w:sz w:val="22"/>
        </w:rPr>
        <w:t>July,</w:t>
      </w:r>
      <w:proofErr w:type="gramEnd"/>
      <w:r w:rsidRPr="00C55499">
        <w:rPr>
          <w:rFonts w:cstheme="minorHAnsi"/>
          <w:sz w:val="22"/>
        </w:rPr>
        <w:t xml:space="preserve"> 1986, Exposure Draft (2). Again, additional comments were</w:t>
      </w:r>
      <w:r w:rsidR="00A31784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received from the public, and, after making several revisions, the GASB issued</w:t>
      </w:r>
    </w:p>
    <w:p w14:paraId="280B338E" w14:textId="77777777" w:rsidR="00E52044" w:rsidRDefault="00E52044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50C58E6D" w14:textId="77777777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iCs/>
          <w:sz w:val="22"/>
        </w:rPr>
      </w:pPr>
      <w:r w:rsidRPr="00C55499">
        <w:rPr>
          <w:rFonts w:cstheme="minorHAnsi"/>
          <w:sz w:val="22"/>
        </w:rPr>
        <w:t xml:space="preserve">JAMES P. TREBBY </w:t>
      </w:r>
      <w:r w:rsidRPr="00C55499">
        <w:rPr>
          <w:rFonts w:cstheme="minorHAnsi"/>
          <w:i/>
          <w:iCs/>
          <w:sz w:val="22"/>
        </w:rPr>
        <w:t>is Assistant Professor of Accounting at Marquette University.</w:t>
      </w:r>
    </w:p>
    <w:p w14:paraId="6A3EE585" w14:textId="4D4E3388" w:rsidR="002C508F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iCs/>
          <w:sz w:val="22"/>
        </w:rPr>
      </w:pPr>
      <w:r w:rsidRPr="00C55499">
        <w:rPr>
          <w:rFonts w:cstheme="minorHAnsi"/>
          <w:sz w:val="22"/>
        </w:rPr>
        <w:t xml:space="preserve">ROBERT B. YAHR </w:t>
      </w:r>
      <w:r w:rsidRPr="00C55499">
        <w:rPr>
          <w:rFonts w:cstheme="minorHAnsi"/>
          <w:i/>
          <w:iCs/>
          <w:sz w:val="22"/>
        </w:rPr>
        <w:t>is Associate Professor of Accounting at Marquette University</w:t>
      </w:r>
      <w:r w:rsidR="00541486">
        <w:rPr>
          <w:rFonts w:cstheme="minorHAnsi"/>
          <w:i/>
          <w:iCs/>
          <w:sz w:val="22"/>
        </w:rPr>
        <w:t xml:space="preserve"> </w:t>
      </w:r>
      <w:r w:rsidRPr="00C55499">
        <w:rPr>
          <w:rFonts w:cstheme="minorHAnsi"/>
          <w:i/>
          <w:iCs/>
          <w:sz w:val="22"/>
        </w:rPr>
        <w:t>and technical director of Wisconsin's GRATE (Governmental Reporting Awards</w:t>
      </w:r>
      <w:r w:rsidR="00541486">
        <w:rPr>
          <w:rFonts w:cstheme="minorHAnsi"/>
          <w:i/>
          <w:iCs/>
          <w:sz w:val="22"/>
        </w:rPr>
        <w:t xml:space="preserve"> </w:t>
      </w:r>
      <w:r w:rsidRPr="00C55499">
        <w:rPr>
          <w:rFonts w:cstheme="minorHAnsi"/>
          <w:i/>
          <w:iCs/>
          <w:sz w:val="22"/>
        </w:rPr>
        <w:t>Through Evaluation) Program.</w:t>
      </w:r>
    </w:p>
    <w:p w14:paraId="09F809B8" w14:textId="77777777" w:rsidR="00E52044" w:rsidRPr="00C55499" w:rsidRDefault="00E52044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i/>
          <w:iCs/>
          <w:sz w:val="22"/>
        </w:rPr>
      </w:pPr>
    </w:p>
    <w:p w14:paraId="0B999417" w14:textId="77777777" w:rsidR="002C508F" w:rsidRPr="00C55499" w:rsidRDefault="002C508F" w:rsidP="00E52044">
      <w:pPr>
        <w:jc w:val="right"/>
        <w:rPr>
          <w:rFonts w:cstheme="minorHAnsi"/>
          <w:i/>
          <w:iCs/>
          <w:sz w:val="22"/>
        </w:rPr>
      </w:pPr>
      <w:r w:rsidRPr="00C55499">
        <w:rPr>
          <w:rFonts w:cstheme="minorHAnsi"/>
          <w:i/>
          <w:iCs/>
          <w:sz w:val="22"/>
        </w:rPr>
        <w:t>ABER, Vol. 21, No. 1, Spring 1990: 18-26</w:t>
      </w:r>
    </w:p>
    <w:p w14:paraId="1DD2EB55" w14:textId="77777777" w:rsidR="002C508F" w:rsidRPr="00C55499" w:rsidRDefault="002C508F" w:rsidP="00E520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lastRenderedPageBreak/>
        <w:t xml:space="preserve">1990 </w:t>
      </w:r>
      <w:r w:rsidRPr="00C55499">
        <w:rPr>
          <w:rFonts w:cstheme="minorHAnsi"/>
          <w:i/>
          <w:iCs/>
          <w:sz w:val="22"/>
        </w:rPr>
        <w:t xml:space="preserve">New Accounting Rules </w:t>
      </w:r>
      <w:proofErr w:type="gramStart"/>
      <w:r w:rsidRPr="00C55499">
        <w:rPr>
          <w:rFonts w:cstheme="minorHAnsi"/>
          <w:i/>
          <w:iCs/>
          <w:sz w:val="22"/>
        </w:rPr>
        <w:t>For</w:t>
      </w:r>
      <w:proofErr w:type="gramEnd"/>
      <w:r w:rsidRPr="00C55499">
        <w:rPr>
          <w:rFonts w:cstheme="minorHAnsi"/>
          <w:i/>
          <w:iCs/>
          <w:sz w:val="22"/>
        </w:rPr>
        <w:t xml:space="preserve"> Special Assessments </w:t>
      </w:r>
      <w:r w:rsidRPr="00C55499">
        <w:rPr>
          <w:rFonts w:cstheme="minorHAnsi"/>
          <w:sz w:val="22"/>
        </w:rPr>
        <w:t>19</w:t>
      </w:r>
    </w:p>
    <w:p w14:paraId="3F9ADF77" w14:textId="77777777" w:rsidR="00E52044" w:rsidRDefault="00E52044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2A7F78D1" w14:textId="2891A767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its final pronouncement. "Accounting and Financial Reporting for Special Assessments"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(GASS Statement No. 6) [3) in </w:t>
      </w:r>
      <w:proofErr w:type="gramStart"/>
      <w:r w:rsidRPr="00C55499">
        <w:rPr>
          <w:rFonts w:cstheme="minorHAnsi"/>
          <w:sz w:val="22"/>
        </w:rPr>
        <w:t>January,</w:t>
      </w:r>
      <w:proofErr w:type="gramEnd"/>
      <w:r w:rsidRPr="00C55499">
        <w:rPr>
          <w:rFonts w:cstheme="minorHAnsi"/>
          <w:sz w:val="22"/>
        </w:rPr>
        <w:t xml:space="preserve"> 1987.</w:t>
      </w:r>
    </w:p>
    <w:p w14:paraId="0DE9FE4C" w14:textId="429C307A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As a result of the Board's deliberations, new accounting and reporting procedures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special assessments must now be implemented. These requirements,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most notable of which includes the termination of the separate fund type for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special assessments, are effective for financial statements issued for periods beginning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after </w:t>
      </w:r>
      <w:proofErr w:type="gramStart"/>
      <w:r w:rsidRPr="00C55499">
        <w:rPr>
          <w:rFonts w:cstheme="minorHAnsi"/>
          <w:sz w:val="22"/>
        </w:rPr>
        <w:t>June 15, 1987, and</w:t>
      </w:r>
      <w:proofErr w:type="gramEnd"/>
      <w:r w:rsidRPr="00C55499">
        <w:rPr>
          <w:rFonts w:cstheme="minorHAnsi"/>
          <w:sz w:val="22"/>
        </w:rPr>
        <w:t xml:space="preserve"> are applicable for all state and local governmental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entities that levy special assessments. Thus, all governmental units on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 calendar year must comply with these new standards in their 1988 financial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statements.</w:t>
      </w:r>
    </w:p>
    <w:p w14:paraId="64CD6806" w14:textId="77777777" w:rsidR="002C508F" w:rsidRPr="00C55499" w:rsidRDefault="002C508F" w:rsidP="00E52044">
      <w:pPr>
        <w:pStyle w:val="Heading1"/>
      </w:pPr>
      <w:r w:rsidRPr="00C55499">
        <w:t>THE NATURE OF SPECIAL ASSESSMENTS</w:t>
      </w:r>
    </w:p>
    <w:p w14:paraId="4868D239" w14:textId="1E02EDA6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Special assessments are typically divided into two categories, those providing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capital improvements and those providing services. In addition, when special assessment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bonds are issued by the municipality to provide resources for some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capital improvements, the municipality's legal responsibility for that debt can vary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significantly. This section summarizes the </w:t>
      </w:r>
      <w:proofErr w:type="gramStart"/>
      <w:r w:rsidRPr="00C55499">
        <w:rPr>
          <w:rFonts w:cstheme="minorHAnsi"/>
          <w:sz w:val="22"/>
        </w:rPr>
        <w:t>particular aspects</w:t>
      </w:r>
      <w:proofErr w:type="gramEnd"/>
      <w:r w:rsidRPr="00C55499">
        <w:rPr>
          <w:rFonts w:cstheme="minorHAnsi"/>
          <w:sz w:val="22"/>
        </w:rPr>
        <w:t xml:space="preserve"> of special assessments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that influenced the GASB's eventual conclusions.</w:t>
      </w:r>
    </w:p>
    <w:p w14:paraId="7221579F" w14:textId="4A372DC8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Capital improvement assessments have two separate phases, a construction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activity and a financing activity. The construction activity, which involves such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projects as street or sewer improvements, is generally accomplished within a short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time period. In contrast, the financing activity often involves (1) the sale of special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 bonds so that their proceeds can be used for construction expenditures,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(2) the levying of special assessments against the property owners benefited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by the capital project, and (3) the subsequent collection of special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assessments, with these proceeds used to retire the special assessment bonds.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This activity is typically conducted over a much longer time period than the construction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activity.</w:t>
      </w:r>
    </w:p>
    <w:p w14:paraId="66E79841" w14:textId="7E708B6C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Service assessments include such services of a governmental unit as snow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plowing, street lighting, and tree planting. These types of services are often normal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activities of that unit and are provided without charge to the unit's residents.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That unit may also provide these services, but on a fee basis, to users living outside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usual service area or to those living within that area but utilizing the service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on a more frequent interval than normal. These fees charged represent the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service assessments levied on these various users.</w:t>
      </w:r>
    </w:p>
    <w:p w14:paraId="27070F06" w14:textId="6892A6FB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While the assessments against benefiting property owners generally represent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primary source for repayment of special assessment debt, the governmental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unit may also have differing degrees of responsibility toward that debt. In some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instances, the governmental unit might have direct responsibility for a portion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of the debt, either because the improvement is a public benefit or because the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unit is a property owner who benefits from the improvement.</w:t>
      </w:r>
    </w:p>
    <w:p w14:paraId="2466FAF1" w14:textId="34FA7D4B" w:rsidR="002C508F" w:rsidRPr="00C55499" w:rsidRDefault="002C508F" w:rsidP="005414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Aside from the above, the unit may also have other types of liability for special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 debt in the event of default by the property owners. For example,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unit may pledge its full faith and credit as security for the special assessment</w:t>
      </w:r>
      <w:r w:rsidR="00541486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bonds, in which case a legal liability </w:t>
      </w:r>
      <w:proofErr w:type="gramStart"/>
      <w:r w:rsidRPr="00C55499">
        <w:rPr>
          <w:rFonts w:cstheme="minorHAnsi"/>
          <w:sz w:val="22"/>
        </w:rPr>
        <w:t>actually exists</w:t>
      </w:r>
      <w:proofErr w:type="gramEnd"/>
      <w:r w:rsidRPr="00C55499">
        <w:rPr>
          <w:rFonts w:cstheme="minorHAnsi"/>
          <w:sz w:val="22"/>
        </w:rPr>
        <w:t xml:space="preserve">. In other </w:t>
      </w:r>
      <w:proofErr w:type="gramStart"/>
      <w:r w:rsidRPr="00C55499">
        <w:rPr>
          <w:rFonts w:cstheme="minorHAnsi"/>
          <w:sz w:val="22"/>
        </w:rPr>
        <w:t>instances</w:t>
      </w:r>
      <w:proofErr w:type="gramEnd"/>
      <w:r w:rsidRPr="00C55499">
        <w:rPr>
          <w:rFonts w:cstheme="minorHAnsi"/>
          <w:sz w:val="22"/>
        </w:rPr>
        <w:t xml:space="preserve"> the gov</w:t>
      </w:r>
      <w:r w:rsidR="00135E67" w:rsidRPr="00C55499">
        <w:rPr>
          <w:rFonts w:cstheme="minorHAnsi"/>
          <w:sz w:val="22"/>
        </w:rPr>
        <w:t>ernmental</w:t>
      </w:r>
    </w:p>
    <w:p w14:paraId="1DB5B550" w14:textId="77777777" w:rsidR="002C508F" w:rsidRPr="00C55499" w:rsidRDefault="002C508F" w:rsidP="00135E6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20 </w:t>
      </w:r>
      <w:r w:rsidRPr="00C55499">
        <w:rPr>
          <w:rFonts w:cstheme="minorHAnsi"/>
          <w:i/>
          <w:iCs/>
          <w:sz w:val="22"/>
        </w:rPr>
        <w:t xml:space="preserve">Akron Business and Economic Review </w:t>
      </w:r>
      <w:r w:rsidRPr="00C55499">
        <w:rPr>
          <w:rFonts w:cstheme="minorHAnsi"/>
          <w:sz w:val="22"/>
        </w:rPr>
        <w:t>Spring</w:t>
      </w:r>
    </w:p>
    <w:p w14:paraId="5EF975A8" w14:textId="77777777" w:rsidR="00E52044" w:rsidRDefault="00E52044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04968739" w14:textId="16BDE564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unit may make a general commitment to back some or </w:t>
      </w:r>
      <w:proofErr w:type="gramStart"/>
      <w:r w:rsidRPr="00C55499">
        <w:rPr>
          <w:rFonts w:cstheme="minorHAnsi"/>
          <w:sz w:val="22"/>
        </w:rPr>
        <w:t>all of</w:t>
      </w:r>
      <w:proofErr w:type="gramEnd"/>
      <w:r w:rsidRPr="00C55499">
        <w:rPr>
          <w:rFonts w:cstheme="minorHAnsi"/>
          <w:sz w:val="22"/>
        </w:rPr>
        <w:t xml:space="preserve"> the bond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issue, thereby assuming a secondary liability on the debt. At other times the government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may have no liability at all and would not have to repay the debt should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property owner default. The GASS analyzed these different positions in which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 governmental unit may find itself in determining what standards should be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adopted in accounting for special assessments.</w:t>
      </w:r>
    </w:p>
    <w:p w14:paraId="1DCE3A80" w14:textId="77777777" w:rsidR="002C508F" w:rsidRPr="00C55499" w:rsidRDefault="002C508F" w:rsidP="00135E67">
      <w:pPr>
        <w:pStyle w:val="Heading1"/>
      </w:pPr>
      <w:r w:rsidRPr="00C55499">
        <w:lastRenderedPageBreak/>
        <w:t>NEW ACCOUNTING STANDARDS</w:t>
      </w:r>
    </w:p>
    <w:p w14:paraId="076B12C0" w14:textId="650B029C" w:rsidR="002C508F" w:rsidRDefault="002C508F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This section of the paper details the new accounting and financial reporting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requirements of GASS Statement No. 6. The reasoning behind the Board's conclusions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is also discussed as well as the changes from the Board's earlier Exposure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Draft.</w:t>
      </w:r>
    </w:p>
    <w:p w14:paraId="31BAFFDB" w14:textId="77777777" w:rsidR="002C508F" w:rsidRPr="00C55499" w:rsidRDefault="002C508F" w:rsidP="00135E67">
      <w:pPr>
        <w:pStyle w:val="Heading2"/>
      </w:pPr>
      <w:r w:rsidRPr="00C55499">
        <w:t>Services</w:t>
      </w:r>
    </w:p>
    <w:p w14:paraId="3C31B1F6" w14:textId="167714BB" w:rsidR="002C508F" w:rsidRPr="00C55499" w:rsidRDefault="002C508F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Special assessments for operating services provided to the public, such as snow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plowing, should be reported in the fund that best reflects the nature of the transaction.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Usually these services will be accounted for in the general fund, in a special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revenue fund, or in an enterprise fund. Special assessment revenues and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expenditures should be budgeted and accounted for using the same basis of accounting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as that normally used by that </w:t>
      </w:r>
      <w:proofErr w:type="gramStart"/>
      <w:r w:rsidRPr="00C55499">
        <w:rPr>
          <w:rFonts w:cstheme="minorHAnsi"/>
          <w:sz w:val="22"/>
        </w:rPr>
        <w:t>particular fund</w:t>
      </w:r>
      <w:proofErr w:type="gramEnd"/>
      <w:r w:rsidRPr="00C55499">
        <w:rPr>
          <w:rFonts w:cstheme="minorHAnsi"/>
          <w:sz w:val="22"/>
        </w:rPr>
        <w:t>.</w:t>
      </w:r>
    </w:p>
    <w:p w14:paraId="2CAA5B1E" w14:textId="70F2E3B8" w:rsidR="002C508F" w:rsidRPr="00C55499" w:rsidRDefault="002C508F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Thus, the GASS decided that service assessments revenue should be recorded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like user fees. While admitting that service-type assessments are often billed and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collected like property taxes, the GASS contends that the charge is more in the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nature of a user fee. This is because assessed amounts are normally based on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expenditures required to provide the services. Like user fees, there is a more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direct exchange relationship for service-type assessments than for services financed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by general property taxes.</w:t>
      </w:r>
    </w:p>
    <w:p w14:paraId="1E765BD4" w14:textId="77777777" w:rsidR="002C508F" w:rsidRPr="00C55499" w:rsidRDefault="002C508F" w:rsidP="00135E67">
      <w:pPr>
        <w:pStyle w:val="Heading2"/>
      </w:pPr>
      <w:r w:rsidRPr="00C55499">
        <w:t>Capital Improvements - Related Debt</w:t>
      </w:r>
    </w:p>
    <w:p w14:paraId="723C6312" w14:textId="75523000" w:rsidR="002C508F" w:rsidRPr="00C55499" w:rsidRDefault="002C508F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If government </w:t>
      </w:r>
      <w:r w:rsidRPr="00C55499">
        <w:rPr>
          <w:rFonts w:cstheme="minorHAnsi"/>
          <w:i/>
          <w:iCs/>
          <w:sz w:val="22"/>
        </w:rPr>
        <w:t xml:space="preserve">is </w:t>
      </w:r>
      <w:r w:rsidRPr="00C55499">
        <w:rPr>
          <w:rFonts w:cstheme="minorHAnsi"/>
          <w:sz w:val="22"/>
        </w:rPr>
        <w:t>obligated in any manner for payment of debt service should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property </w:t>
      </w:r>
      <w:proofErr w:type="gramStart"/>
      <w:r w:rsidRPr="00C55499">
        <w:rPr>
          <w:rFonts w:cstheme="minorHAnsi"/>
          <w:sz w:val="22"/>
        </w:rPr>
        <w:t>owners</w:t>
      </w:r>
      <w:proofErr w:type="gramEnd"/>
      <w:r w:rsidRPr="00C55499">
        <w:rPr>
          <w:rFonts w:cstheme="minorHAnsi"/>
          <w:sz w:val="22"/>
        </w:rPr>
        <w:t xml:space="preserve"> default (as discussed in the previous section), transactions of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debt service phase should be reported in the debt service fund, and the debt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itself is shown in the long-term obligations account group. When levied, special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assessments receivable should be recorded in the debt service fund and be offset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by deferred revenue. As assessments become measurable and available, deferred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revenue should be reduced. Construction phase transactions should be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reported in the capital projects fund. Fixed assets other than those of an enterprise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fund should be reported in the general fixed asset account group in accordance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with the entity's capitalization policy. A comparison between the previous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method of accounting for special assessments and the new requirement is shown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later in this article.</w:t>
      </w:r>
    </w:p>
    <w:p w14:paraId="6795F219" w14:textId="451951F6" w:rsidR="002C508F" w:rsidRDefault="002C508F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In the Exposure Draft, the Board did not provide for receivable recognition in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debt service fund for unbilled special assessment levies. The reasoning was</w:t>
      </w:r>
    </w:p>
    <w:p w14:paraId="776A1122" w14:textId="77777777" w:rsidR="00AD40C5" w:rsidRPr="00C55499" w:rsidRDefault="00AD40C5" w:rsidP="00AD40C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7E7586E4" w14:textId="77777777" w:rsidR="002C508F" w:rsidRPr="00C55499" w:rsidRDefault="002C508F" w:rsidP="009F6FE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1990 </w:t>
      </w:r>
      <w:r w:rsidRPr="00C55499">
        <w:rPr>
          <w:rFonts w:cstheme="minorHAnsi"/>
          <w:i/>
          <w:iCs/>
          <w:sz w:val="22"/>
        </w:rPr>
        <w:t xml:space="preserve">New Accounting Rules </w:t>
      </w:r>
      <w:proofErr w:type="gramStart"/>
      <w:r w:rsidRPr="00C55499">
        <w:rPr>
          <w:rFonts w:cstheme="minorHAnsi"/>
          <w:i/>
          <w:iCs/>
          <w:sz w:val="22"/>
        </w:rPr>
        <w:t>For</w:t>
      </w:r>
      <w:proofErr w:type="gramEnd"/>
      <w:r w:rsidRPr="00C55499">
        <w:rPr>
          <w:rFonts w:cstheme="minorHAnsi"/>
          <w:i/>
          <w:iCs/>
          <w:sz w:val="22"/>
        </w:rPr>
        <w:t xml:space="preserve"> Special Assessments </w:t>
      </w:r>
      <w:r w:rsidRPr="00C55499">
        <w:rPr>
          <w:rFonts w:cstheme="minorHAnsi"/>
          <w:sz w:val="22"/>
        </w:rPr>
        <w:t>21</w:t>
      </w:r>
    </w:p>
    <w:p w14:paraId="7DC4C28C" w14:textId="77777777" w:rsidR="009F6FE5" w:rsidRDefault="009F6FE5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7CC24912" w14:textId="23B2139F" w:rsidR="002C508F" w:rsidRPr="00C55499" w:rsidRDefault="002C508F" w:rsidP="002C508F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that the long-term receivable in the debt service fund and an amount to be provided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in the General </w:t>
      </w:r>
      <w:proofErr w:type="gramStart"/>
      <w:r w:rsidRPr="00C55499">
        <w:rPr>
          <w:rFonts w:cstheme="minorHAnsi"/>
          <w:sz w:val="22"/>
        </w:rPr>
        <w:t>Long Term</w:t>
      </w:r>
      <w:proofErr w:type="gramEnd"/>
      <w:r w:rsidRPr="00C55499">
        <w:rPr>
          <w:rFonts w:cstheme="minorHAnsi"/>
          <w:sz w:val="22"/>
        </w:rPr>
        <w:t xml:space="preserve"> Obligations Account Group was "double counting."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Many respondents disagreed, arguing that special assessments receivable</w:t>
      </w:r>
      <w:r w:rsidR="00AD40C5">
        <w:rPr>
          <w:rFonts w:cstheme="minorHAnsi"/>
          <w:sz w:val="22"/>
        </w:rPr>
        <w:t xml:space="preserve"> </w:t>
      </w:r>
      <w:proofErr w:type="gramStart"/>
      <w:r w:rsidRPr="00C55499">
        <w:rPr>
          <w:rFonts w:cstheme="minorHAnsi"/>
          <w:sz w:val="22"/>
        </w:rPr>
        <w:t>are</w:t>
      </w:r>
      <w:proofErr w:type="gramEnd"/>
      <w:r w:rsidRPr="00C55499">
        <w:rPr>
          <w:rFonts w:cstheme="minorHAnsi"/>
          <w:sz w:val="22"/>
        </w:rPr>
        <w:t xml:space="preserve"> a valid asset. In addition, the respondents pointed to the Board's proposed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inconsistent treatment of reporting special assessment receivable as a fund asset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when existing resources are used to finance construction but not reporting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receivable when debt proceeds were used. The Board reconsidered its position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concluded that special assessments receivable should be recognized.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benefits of consistent asset recognition outweighed the perceived double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counting of the receivable and the amount to be provided.</w:t>
      </w:r>
    </w:p>
    <w:p w14:paraId="447A3EEF" w14:textId="77777777" w:rsidR="002C508F" w:rsidRPr="00C55499" w:rsidRDefault="002C508F" w:rsidP="009F6FE5">
      <w:pPr>
        <w:pStyle w:val="Heading2"/>
      </w:pPr>
      <w:r w:rsidRPr="00C55499">
        <w:t>Capital Improvements - Government NOT Obligated</w:t>
      </w:r>
    </w:p>
    <w:p w14:paraId="206C4AF8" w14:textId="4273FC54" w:rsidR="002C508F" w:rsidRPr="00C55499" w:rsidRDefault="002C508F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In contrast, debt service for which </w:t>
      </w:r>
      <w:r w:rsidRPr="00C55499">
        <w:rPr>
          <w:rFonts w:cstheme="minorHAnsi"/>
          <w:i/>
          <w:iCs/>
          <w:sz w:val="22"/>
        </w:rPr>
        <w:t xml:space="preserve">no </w:t>
      </w:r>
      <w:r w:rsidRPr="00C55499">
        <w:rPr>
          <w:rFonts w:cstheme="minorHAnsi"/>
          <w:sz w:val="22"/>
        </w:rPr>
        <w:t>government has an obligation is to be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accounted for in an agency fund, not in a debt service fund. This treatment reflects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government's role as an agent for the assessed property owners and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creditors. In the agency fund, amounts received from property owners are shown</w:t>
      </w:r>
      <w:r w:rsidR="00AD40C5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as both assets (cash) and liabilities (amount held for debt service). Since the </w:t>
      </w:r>
      <w:r w:rsidRPr="00C55499">
        <w:rPr>
          <w:rFonts w:cstheme="minorHAnsi"/>
          <w:sz w:val="22"/>
        </w:rPr>
        <w:lastRenderedPageBreak/>
        <w:t>governmental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unit has no obligation for payment of the debt, the special assessment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bonds are excluded from that unit's financial statements.</w:t>
      </w:r>
    </w:p>
    <w:p w14:paraId="490717E8" w14:textId="7A134C64" w:rsidR="002C508F" w:rsidRPr="00C55499" w:rsidRDefault="002C508F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construction phase of the transaction should be reported in the capital projects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fund in the same manner as when the governmental unit is obligated. The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GASB advised that the source of funds in the capital projects fund be identified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specifically (such as "contribution from property owners") and not just be labeled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"bond proceeds." The fixed assets acquired should be reported in the general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fixed asset account group in accordance with normal capitalization policies.</w:t>
      </w:r>
    </w:p>
    <w:p w14:paraId="302D0735" w14:textId="77777777" w:rsidR="002C508F" w:rsidRPr="00C55499" w:rsidRDefault="002C508F" w:rsidP="009F6FE5">
      <w:pPr>
        <w:pStyle w:val="Heading2"/>
      </w:pPr>
      <w:r w:rsidRPr="00C55499">
        <w:t>Special Assessment Financing with Existing Government Resources</w:t>
      </w:r>
    </w:p>
    <w:p w14:paraId="5B1C7D1D" w14:textId="183F5DF1" w:rsidR="002C508F" w:rsidRPr="00C55499" w:rsidRDefault="002C508F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If, instead of using debt, an improvement is financed with existing resources,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 direct capital expenditure or a transfer to a capital projects fund is to be reported.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When levied, special assessments receivable equal to the amount of the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levy and deferred revenue in the amount not measurable and available should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be recognized in the fund providing the resources.</w:t>
      </w:r>
    </w:p>
    <w:p w14:paraId="609E20EF" w14:textId="61FFD72E" w:rsidR="002C508F" w:rsidRPr="00C55499" w:rsidRDefault="002C508F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This treatment contrasts with that proposed in the Exposure Draft, which advocated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recognizing as revenue the full amount of the levy in the fund that provided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resources. The original belief by the FASB was that a lien on the special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 properties justified the recognition of the receivable and that the corresponding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recognition of revenue for the full amount of the receivable was justified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to offset the outlay to the capital projects fund for the construction activity.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This change to recording deferred revenue was primarily made to conform to the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normal revenue recognition criteria of availability and measurability used for all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governmental funds.</w:t>
      </w:r>
    </w:p>
    <w:p w14:paraId="2D625FCB" w14:textId="77777777" w:rsidR="00326E8D" w:rsidRPr="00C55499" w:rsidRDefault="00326E8D" w:rsidP="009F6FE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22 </w:t>
      </w:r>
      <w:r w:rsidRPr="00C55499">
        <w:rPr>
          <w:rFonts w:cstheme="minorHAnsi"/>
          <w:i/>
          <w:iCs/>
          <w:sz w:val="22"/>
        </w:rPr>
        <w:t xml:space="preserve">Akron Business and Economic Review </w:t>
      </w:r>
      <w:r w:rsidRPr="00C55499">
        <w:rPr>
          <w:rFonts w:cstheme="minorHAnsi"/>
          <w:sz w:val="22"/>
        </w:rPr>
        <w:t>Spring</w:t>
      </w:r>
    </w:p>
    <w:p w14:paraId="3201C8F6" w14:textId="77777777" w:rsidR="009F6FE5" w:rsidRDefault="009F6FE5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09875385" w14:textId="77777777" w:rsidR="00326E8D" w:rsidRPr="00C55499" w:rsidRDefault="00326E8D" w:rsidP="009F6FE5">
      <w:pPr>
        <w:pStyle w:val="Heading2"/>
      </w:pPr>
      <w:r w:rsidRPr="00C55499">
        <w:t>Special Assessment and Enterprise Funds</w:t>
      </w:r>
    </w:p>
    <w:p w14:paraId="3F358405" w14:textId="4270150F" w:rsidR="00326E8D" w:rsidRPr="00C55499" w:rsidRDefault="00326E8D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The provisions under </w:t>
      </w:r>
      <w:r w:rsidRPr="00C55499">
        <w:rPr>
          <w:rFonts w:cstheme="minorHAnsi"/>
          <w:i/>
          <w:iCs/>
          <w:sz w:val="22"/>
        </w:rPr>
        <w:t xml:space="preserve">Capital Improvements </w:t>
      </w:r>
      <w:r w:rsidRPr="00C55499">
        <w:rPr>
          <w:rFonts w:cstheme="minorHAnsi"/>
          <w:sz w:val="22"/>
        </w:rPr>
        <w:t xml:space="preserve">- </w:t>
      </w:r>
      <w:r w:rsidRPr="00C55499">
        <w:rPr>
          <w:rFonts w:cstheme="minorHAnsi"/>
          <w:i/>
          <w:iCs/>
          <w:sz w:val="22"/>
        </w:rPr>
        <w:t xml:space="preserve">Related Debt </w:t>
      </w:r>
      <w:r w:rsidRPr="00C55499">
        <w:rPr>
          <w:rFonts w:cstheme="minorHAnsi"/>
          <w:sz w:val="22"/>
        </w:rPr>
        <w:t>should be followed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even when the improvements financed by special assessments provide capital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assets to a government's enterprise fund. However, the cost of the improvements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should be capitalized on the enterprise fund's balance sheet and be offset by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contributed capital (net of resources provided by the enterprise fund for construction).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The GASS took this position even though </w:t>
      </w:r>
      <w:proofErr w:type="gramStart"/>
      <w:r w:rsidRPr="00C55499">
        <w:rPr>
          <w:rFonts w:cstheme="minorHAnsi"/>
          <w:sz w:val="22"/>
        </w:rPr>
        <w:t>a majority of</w:t>
      </w:r>
      <w:proofErr w:type="gramEnd"/>
      <w:r w:rsidRPr="00C55499">
        <w:rPr>
          <w:rFonts w:cstheme="minorHAnsi"/>
          <w:sz w:val="22"/>
        </w:rPr>
        <w:t xml:space="preserve"> respondents to the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Discussion Memorandum and some of the respondents to the Exposure Draft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argued that a// transactions and balances (e.g., project cash, receivables, and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related debt) for capital improvements providing fixed assets to an enterprise fund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should be reported within the enterprise fund receiving the benefits of those assets.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Board contends that this position represents an inflexible requirement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that would often result in fragmented reporting and excessive accounting adjustments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allocations. The Board believes that its treatment offers a more flexible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standard that is adaptable to the different situations that exist in each state.</w:t>
      </w:r>
    </w:p>
    <w:p w14:paraId="03167742" w14:textId="77777777" w:rsidR="00326E8D" w:rsidRPr="00C55499" w:rsidRDefault="00326E8D" w:rsidP="00382640">
      <w:pPr>
        <w:pStyle w:val="Heading2"/>
      </w:pPr>
      <w:r w:rsidRPr="00C55499">
        <w:t>Special Assessment Districts as Units</w:t>
      </w:r>
    </w:p>
    <w:p w14:paraId="77ED474C" w14:textId="18D6D1F3" w:rsidR="00326E8D" w:rsidRPr="00C55499" w:rsidRDefault="00326E8D" w:rsidP="009B795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This area, not covered in the Exposure Draft, was added in response to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questions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regarding the method of reporting the accounts, including the debt, of a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special assessment district in a larger reporting entity. The Board decided that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the criteria governing the entity </w:t>
      </w:r>
      <w:proofErr w:type="spellStart"/>
      <w:r w:rsidRPr="00C55499">
        <w:rPr>
          <w:rFonts w:cstheme="minorHAnsi"/>
          <w:sz w:val="22"/>
        </w:rPr>
        <w:t>defintion</w:t>
      </w:r>
      <w:proofErr w:type="spellEnd"/>
      <w:r w:rsidRPr="00C55499">
        <w:rPr>
          <w:rFonts w:cstheme="minorHAnsi"/>
          <w:sz w:val="22"/>
        </w:rPr>
        <w:t xml:space="preserve"> should be used. Therefore, the accounts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of special assessment districts that constitute component units, including special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assessment debt for which government </w:t>
      </w:r>
      <w:r w:rsidRPr="00C55499">
        <w:rPr>
          <w:rFonts w:cstheme="minorHAnsi"/>
          <w:i/>
          <w:iCs/>
          <w:sz w:val="22"/>
        </w:rPr>
        <w:t xml:space="preserve">is </w:t>
      </w:r>
      <w:r w:rsidRPr="00C55499">
        <w:rPr>
          <w:rFonts w:cstheme="minorHAnsi"/>
          <w:sz w:val="22"/>
        </w:rPr>
        <w:t>obligated, are to be included in the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reporting entity in accordance with Codification Section 2600, "Reporting Entity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Component Unit Presentation and Disclosure." This manner of reporting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should be followed even though the oversight unit may have no obligation for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debt.</w:t>
      </w:r>
    </w:p>
    <w:p w14:paraId="03AE4C68" w14:textId="12109BF2" w:rsidR="00326E8D" w:rsidRPr="00C55499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Board noted that some members find it inconsistent to exclude some special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assessment debt where the entity is not obligated but to include the debt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if property owners are organized as a special assessment district constituting a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component unit. On the other hand, the Board recognized that </w:t>
      </w:r>
      <w:r w:rsidRPr="00C55499">
        <w:rPr>
          <w:rFonts w:cstheme="minorHAnsi"/>
          <w:sz w:val="22"/>
        </w:rPr>
        <w:lastRenderedPageBreak/>
        <w:t>there are other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situations where the debt of the component unit is included in the entity's financial</w:t>
      </w:r>
      <w:r w:rsidR="009B795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statements even though the oversight unit has no obligation. The Board would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like these issues resolved as part of its project on the governmental financial reporting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entity. At the present time, however, </w:t>
      </w:r>
      <w:proofErr w:type="gramStart"/>
      <w:r w:rsidRPr="00C55499">
        <w:rPr>
          <w:rFonts w:cstheme="minorHAnsi"/>
          <w:sz w:val="22"/>
        </w:rPr>
        <w:t>a majority of</w:t>
      </w:r>
      <w:proofErr w:type="gramEnd"/>
      <w:r w:rsidRPr="00C55499">
        <w:rPr>
          <w:rFonts w:cstheme="minorHAnsi"/>
          <w:sz w:val="22"/>
        </w:rPr>
        <w:t xml:space="preserve"> Board members believes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that, as long as the special assessment district is obligated for the debt and the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district meets the criteria for inclusion in the reporting entity, the reporting entity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presentation of Codification Section 2600 fairly presents the special assessment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debt of the reporting entity.</w:t>
      </w:r>
    </w:p>
    <w:p w14:paraId="50B5EE19" w14:textId="77777777" w:rsidR="00326E8D" w:rsidRPr="00C55499" w:rsidRDefault="00326E8D" w:rsidP="00382640">
      <w:pPr>
        <w:pStyle w:val="Heading2"/>
      </w:pPr>
      <w:r w:rsidRPr="00C55499">
        <w:t>Required Disclosures</w:t>
      </w:r>
    </w:p>
    <w:p w14:paraId="299A16CB" w14:textId="08668DAC" w:rsidR="002C508F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notes to the financial statements should disclose general government obligation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special assessment debt as required in Codification Section 2300,</w:t>
      </w:r>
    </w:p>
    <w:p w14:paraId="6155B49B" w14:textId="77777777" w:rsidR="008A052B" w:rsidRPr="00C55499" w:rsidRDefault="008A052B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17693DE5" w14:textId="77777777" w:rsidR="00326E8D" w:rsidRPr="00C55499" w:rsidRDefault="00326E8D" w:rsidP="00382640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1990 </w:t>
      </w:r>
      <w:r w:rsidRPr="00C55499">
        <w:rPr>
          <w:rFonts w:cstheme="minorHAnsi"/>
          <w:i/>
          <w:iCs/>
          <w:sz w:val="22"/>
        </w:rPr>
        <w:t xml:space="preserve">New Accounting Rules </w:t>
      </w:r>
      <w:proofErr w:type="gramStart"/>
      <w:r w:rsidRPr="00C55499">
        <w:rPr>
          <w:rFonts w:cstheme="minorHAnsi"/>
          <w:i/>
          <w:iCs/>
          <w:sz w:val="22"/>
        </w:rPr>
        <w:t>For</w:t>
      </w:r>
      <w:proofErr w:type="gramEnd"/>
      <w:r w:rsidRPr="00C55499">
        <w:rPr>
          <w:rFonts w:cstheme="minorHAnsi"/>
          <w:i/>
          <w:iCs/>
          <w:sz w:val="22"/>
        </w:rPr>
        <w:t xml:space="preserve"> Special Assessments </w:t>
      </w:r>
      <w:r w:rsidRPr="00C55499">
        <w:rPr>
          <w:rFonts w:cstheme="minorHAnsi"/>
          <w:sz w:val="22"/>
        </w:rPr>
        <w:t>23</w:t>
      </w:r>
    </w:p>
    <w:p w14:paraId="3B782CFE" w14:textId="77777777" w:rsidR="00382640" w:rsidRDefault="00382640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49CC6C4C" w14:textId="33084292" w:rsidR="00326E8D" w:rsidRPr="00C55499" w:rsidRDefault="00326E8D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"Notes to the Financial Statements," as it applies to long-term debt. In addition,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notes should describe the nature of the government's obligation and any guarantees,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reserves, or sinking funds that have been set up to cover property owner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defaults. If delinquent special assessments receivable </w:t>
      </w:r>
      <w:proofErr w:type="gramStart"/>
      <w:r w:rsidRPr="00C55499">
        <w:rPr>
          <w:rFonts w:cstheme="minorHAnsi"/>
          <w:sz w:val="22"/>
        </w:rPr>
        <w:t>are</w:t>
      </w:r>
      <w:proofErr w:type="gramEnd"/>
      <w:r w:rsidRPr="00C55499">
        <w:rPr>
          <w:rFonts w:cstheme="minorHAnsi"/>
          <w:sz w:val="22"/>
        </w:rPr>
        <w:t xml:space="preserve"> not identified directly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on the financial statements, the delinquent amount should be disclosed in the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notes to these statements.</w:t>
      </w:r>
    </w:p>
    <w:p w14:paraId="5ECDBBCE" w14:textId="6114CFD7" w:rsidR="00326E8D" w:rsidRPr="00C55499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footnotes should also disclose the amount of any special assessment for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which the general government has no obligation. The notes clearly indicate that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government is merely acting as an agent for the property owners and is not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itself liable for debt repayment.</w:t>
      </w:r>
    </w:p>
    <w:p w14:paraId="3CB976FA" w14:textId="165B5C4B" w:rsidR="00326E8D" w:rsidRPr="00C55499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If a comprehensive annual financial report (CAFR) is prepared, the statistical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section should include a schedule of special assessment billings and collections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the last ten fiscal years if the general government is obligated for special assessment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debt.</w:t>
      </w:r>
    </w:p>
    <w:p w14:paraId="32161BC7" w14:textId="77777777" w:rsidR="00326E8D" w:rsidRPr="00C55499" w:rsidRDefault="00326E8D" w:rsidP="00382640">
      <w:pPr>
        <w:pStyle w:val="Heading2"/>
      </w:pPr>
      <w:r w:rsidRPr="00C55499">
        <w:t>Effective Date of the Statement</w:t>
      </w:r>
    </w:p>
    <w:p w14:paraId="36385370" w14:textId="009AADB0" w:rsidR="00326E8D" w:rsidRPr="00C55499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accounting and financial reporting standards of Statement No. 6 are effective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periods beginning after June 15, 1987, although the Board urged an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earlier application of these standards. If possible, a retroactive application of any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accounting changes to conform to the provisions of this Statement is specified,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to be accomplished by restating the financial statements for all prior periods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presented. Footnotes to the financial statements in the year that Statement No.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6 is first applied should disclose the nature and effect of restatement. If prior periods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are not restated, the reasons for not doing so should be explained.</w:t>
      </w:r>
    </w:p>
    <w:p w14:paraId="29E5CDCD" w14:textId="77777777" w:rsidR="00326E8D" w:rsidRPr="00C55499" w:rsidRDefault="00326E8D" w:rsidP="00382640">
      <w:pPr>
        <w:pStyle w:val="Heading1"/>
      </w:pPr>
      <w:r w:rsidRPr="00C55499">
        <w:t>ILLUSTRATION OF NEW REPORTING REQUIREMENTS</w:t>
      </w:r>
    </w:p>
    <w:p w14:paraId="16A3F1FD" w14:textId="29B779D1" w:rsidR="00326E8D" w:rsidRDefault="00326E8D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differences in financial reporting between the old and the new requirements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a capital improvement assessment for which the governmental unit has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either directly or secondarily assumed liability are shown in Table 1 (for the Balance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Sheet) and Table 2 (for the Statement of Revenues, Expenditures, and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Changes in Fund Balance). The most obvious difference between these two requirements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is the replacement of the special assessment fund with a capital projects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fund, a debt service fund, and the general long-term obligations account</w:t>
      </w:r>
      <w:r w:rsidR="008A052B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group.</w:t>
      </w:r>
    </w:p>
    <w:p w14:paraId="7EC91C7E" w14:textId="77777777" w:rsidR="008A052B" w:rsidRDefault="008A052B" w:rsidP="008A052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2A872DE9" w14:textId="77777777" w:rsidR="001E638D" w:rsidRPr="00C55499" w:rsidRDefault="001E638D" w:rsidP="001E638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2</w:t>
      </w:r>
      <w:r>
        <w:rPr>
          <w:rFonts w:cstheme="minorHAnsi"/>
          <w:sz w:val="22"/>
        </w:rPr>
        <w:t>4</w:t>
      </w:r>
      <w:r w:rsidRPr="00C55499">
        <w:rPr>
          <w:rFonts w:cstheme="minorHAnsi"/>
          <w:sz w:val="22"/>
        </w:rPr>
        <w:t xml:space="preserve"> </w:t>
      </w:r>
      <w:r w:rsidRPr="00C55499">
        <w:rPr>
          <w:rFonts w:cstheme="minorHAnsi"/>
          <w:i/>
          <w:iCs/>
          <w:sz w:val="22"/>
        </w:rPr>
        <w:t xml:space="preserve">Akron Business and Economic Review </w:t>
      </w:r>
      <w:r w:rsidRPr="00C55499">
        <w:rPr>
          <w:rFonts w:cstheme="minorHAnsi"/>
          <w:sz w:val="22"/>
        </w:rPr>
        <w:t>Spring</w:t>
      </w:r>
    </w:p>
    <w:p w14:paraId="1EF90390" w14:textId="77777777" w:rsidR="001E638D" w:rsidRDefault="001E638D" w:rsidP="00326E8D">
      <w:pPr>
        <w:rPr>
          <w:rFonts w:cstheme="minorHAnsi"/>
          <w:sz w:val="22"/>
        </w:rPr>
      </w:pPr>
    </w:p>
    <w:p w14:paraId="5315BE10" w14:textId="77777777" w:rsidR="005D4EF8" w:rsidRDefault="005D4EF8">
      <w:pPr>
        <w:rPr>
          <w:rFonts w:cstheme="minorHAnsi"/>
          <w:sz w:val="22"/>
        </w:rPr>
      </w:pPr>
      <w:r>
        <w:rPr>
          <w:rFonts w:cstheme="minorHAnsi"/>
          <w:sz w:val="22"/>
        </w:rPr>
        <w:br w:type="page"/>
      </w:r>
    </w:p>
    <w:p w14:paraId="3DF45E63" w14:textId="53252553" w:rsidR="00EB7DA7" w:rsidRDefault="00EB7DA7" w:rsidP="005D4EF8">
      <w:pPr>
        <w:jc w:val="center"/>
        <w:rPr>
          <w:rFonts w:cstheme="minorHAnsi"/>
          <w:sz w:val="22"/>
        </w:rPr>
      </w:pPr>
      <w:r>
        <w:rPr>
          <w:rFonts w:cstheme="minorHAnsi"/>
          <w:sz w:val="22"/>
        </w:rPr>
        <w:lastRenderedPageBreak/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623"/>
        <w:gridCol w:w="892"/>
        <w:gridCol w:w="1520"/>
        <w:gridCol w:w="1139"/>
        <w:gridCol w:w="899"/>
        <w:gridCol w:w="892"/>
      </w:tblGrid>
      <w:tr w:rsidR="001A65AB" w:rsidRPr="005C47F3" w14:paraId="243BDA39" w14:textId="77777777" w:rsidTr="005C47F3">
        <w:tc>
          <w:tcPr>
            <w:tcW w:w="0" w:type="auto"/>
          </w:tcPr>
          <w:p w14:paraId="0E8E9BB1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FF77C7E" w14:textId="5A45C23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Current Practice</w:t>
            </w:r>
          </w:p>
        </w:tc>
        <w:tc>
          <w:tcPr>
            <w:tcW w:w="0" w:type="auto"/>
          </w:tcPr>
          <w:p w14:paraId="246FA12D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987060D" w14:textId="63322E91" w:rsidR="001A65AB" w:rsidRPr="005C47F3" w:rsidRDefault="008508D7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Revised Standards</w:t>
            </w:r>
          </w:p>
        </w:tc>
        <w:tc>
          <w:tcPr>
            <w:tcW w:w="0" w:type="auto"/>
          </w:tcPr>
          <w:p w14:paraId="7BFFFE3B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6C911A6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AB6DCA8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7140CF7B" w14:textId="77777777" w:rsidTr="005C47F3">
        <w:tc>
          <w:tcPr>
            <w:tcW w:w="0" w:type="auto"/>
          </w:tcPr>
          <w:p w14:paraId="272F713C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217CAEF" w14:textId="04E561D9" w:rsidR="001A65AB" w:rsidRPr="005C47F3" w:rsidRDefault="008508D7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Special Assessment</w:t>
            </w:r>
          </w:p>
        </w:tc>
        <w:tc>
          <w:tcPr>
            <w:tcW w:w="0" w:type="auto"/>
          </w:tcPr>
          <w:p w14:paraId="45D11F3F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2A8875C" w14:textId="7D1DA237" w:rsidR="001A65AB" w:rsidRPr="005C47F3" w:rsidRDefault="008508D7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Capital Projects</w:t>
            </w:r>
          </w:p>
        </w:tc>
        <w:tc>
          <w:tcPr>
            <w:tcW w:w="0" w:type="auto"/>
          </w:tcPr>
          <w:p w14:paraId="165D953D" w14:textId="7BEF47E6" w:rsidR="001A65AB" w:rsidRPr="005C47F3" w:rsidRDefault="002D06EE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Debt Service</w:t>
            </w:r>
          </w:p>
        </w:tc>
        <w:tc>
          <w:tcPr>
            <w:tcW w:w="0" w:type="auto"/>
          </w:tcPr>
          <w:p w14:paraId="1F32FD36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228C601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1D1F9998" w14:textId="77777777" w:rsidTr="005C47F3">
        <w:tc>
          <w:tcPr>
            <w:tcW w:w="0" w:type="auto"/>
          </w:tcPr>
          <w:p w14:paraId="5E648796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1B2779B" w14:textId="031B5F7B" w:rsidR="001A65AB" w:rsidRPr="005C47F3" w:rsidRDefault="002D06EE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Fund</w:t>
            </w:r>
          </w:p>
        </w:tc>
        <w:tc>
          <w:tcPr>
            <w:tcW w:w="0" w:type="auto"/>
          </w:tcPr>
          <w:p w14:paraId="46A367A6" w14:textId="522E6780" w:rsidR="001A65AB" w:rsidRPr="005C47F3" w:rsidRDefault="002D06EE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GFAAG*</w:t>
            </w:r>
          </w:p>
        </w:tc>
        <w:tc>
          <w:tcPr>
            <w:tcW w:w="0" w:type="auto"/>
          </w:tcPr>
          <w:p w14:paraId="05CC2C31" w14:textId="26966FA1" w:rsidR="001A65AB" w:rsidRPr="005C47F3" w:rsidRDefault="00A9518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Fund</w:t>
            </w:r>
          </w:p>
        </w:tc>
        <w:tc>
          <w:tcPr>
            <w:tcW w:w="0" w:type="auto"/>
          </w:tcPr>
          <w:p w14:paraId="04C801F6" w14:textId="078968F9" w:rsidR="001A65AB" w:rsidRPr="005C47F3" w:rsidRDefault="00A9518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Fund</w:t>
            </w:r>
          </w:p>
        </w:tc>
        <w:tc>
          <w:tcPr>
            <w:tcW w:w="0" w:type="auto"/>
          </w:tcPr>
          <w:p w14:paraId="07FFE9A7" w14:textId="26C34580" w:rsidR="001A65AB" w:rsidRPr="005C47F3" w:rsidRDefault="00A9518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GLTOAG</w:t>
            </w:r>
          </w:p>
        </w:tc>
        <w:tc>
          <w:tcPr>
            <w:tcW w:w="0" w:type="auto"/>
          </w:tcPr>
          <w:p w14:paraId="7FB35061" w14:textId="253C260D" w:rsidR="001A65AB" w:rsidRPr="005C47F3" w:rsidRDefault="00A9518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GFAAG*</w:t>
            </w:r>
          </w:p>
        </w:tc>
      </w:tr>
      <w:tr w:rsidR="001A65AB" w:rsidRPr="005C47F3" w14:paraId="6B741502" w14:textId="77777777" w:rsidTr="005C47F3">
        <w:tc>
          <w:tcPr>
            <w:tcW w:w="0" w:type="auto"/>
          </w:tcPr>
          <w:p w14:paraId="6054158A" w14:textId="5603CEF1" w:rsidR="001A65AB" w:rsidRPr="005C47F3" w:rsidRDefault="00A9518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Balance Sheet</w:t>
            </w:r>
          </w:p>
        </w:tc>
        <w:tc>
          <w:tcPr>
            <w:tcW w:w="0" w:type="auto"/>
          </w:tcPr>
          <w:p w14:paraId="14CB2740" w14:textId="6FFE178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0AD8D1A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D0B09E5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B875BCD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2D9977F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095BCAD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0BE06CC9" w14:textId="77777777" w:rsidTr="005C47F3">
        <w:tc>
          <w:tcPr>
            <w:tcW w:w="0" w:type="auto"/>
          </w:tcPr>
          <w:p w14:paraId="5F56D799" w14:textId="37C21E29" w:rsidR="001A65AB" w:rsidRPr="005C47F3" w:rsidRDefault="00C90EF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Assets</w:t>
            </w:r>
          </w:p>
        </w:tc>
        <w:tc>
          <w:tcPr>
            <w:tcW w:w="0" w:type="auto"/>
          </w:tcPr>
          <w:p w14:paraId="2199FBC0" w14:textId="110A1BCC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B5BAF32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75CDEB6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0D8EC3F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CEBF7BD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38BF91B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5B736219" w14:textId="77777777" w:rsidTr="005C47F3">
        <w:tc>
          <w:tcPr>
            <w:tcW w:w="0" w:type="auto"/>
          </w:tcPr>
          <w:p w14:paraId="3BBA04AE" w14:textId="1357FFC6" w:rsidR="001A65AB" w:rsidRPr="005C47F3" w:rsidRDefault="00C90EF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Cash</w:t>
            </w:r>
          </w:p>
        </w:tc>
        <w:tc>
          <w:tcPr>
            <w:tcW w:w="0" w:type="auto"/>
          </w:tcPr>
          <w:p w14:paraId="6A5260BF" w14:textId="4F9F8C4D" w:rsidR="001A65AB" w:rsidRPr="005C47F3" w:rsidRDefault="00C90EFD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304</w:t>
            </w:r>
            <w:r w:rsidR="00BA6F4F" w:rsidRPr="005C47F3">
              <w:rPr>
                <w:rFonts w:cstheme="minorHAnsi"/>
                <w:sz w:val="20"/>
                <w:szCs w:val="20"/>
              </w:rPr>
              <w:t>, 000</w:t>
            </w:r>
          </w:p>
        </w:tc>
        <w:tc>
          <w:tcPr>
            <w:tcW w:w="0" w:type="auto"/>
          </w:tcPr>
          <w:p w14:paraId="755681E9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12C2B185" w14:textId="49FE9AE1" w:rsidR="001A65AB" w:rsidRPr="005C47F3" w:rsidRDefault="00BA6F4F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300,000</w:t>
            </w:r>
          </w:p>
        </w:tc>
        <w:tc>
          <w:tcPr>
            <w:tcW w:w="0" w:type="auto"/>
          </w:tcPr>
          <w:p w14:paraId="5221081E" w14:textId="61858C8F" w:rsidR="001A65AB" w:rsidRPr="005C47F3" w:rsidRDefault="00BA6F4F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4,000</w:t>
            </w:r>
          </w:p>
        </w:tc>
        <w:tc>
          <w:tcPr>
            <w:tcW w:w="0" w:type="auto"/>
          </w:tcPr>
          <w:p w14:paraId="584147B4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B68B84E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48B994ED" w14:textId="77777777" w:rsidTr="005C47F3">
        <w:tc>
          <w:tcPr>
            <w:tcW w:w="0" w:type="auto"/>
          </w:tcPr>
          <w:p w14:paraId="61AE75C8" w14:textId="77777777" w:rsidR="00BA6F4F" w:rsidRPr="005C47F3" w:rsidRDefault="00BA6F4F" w:rsidP="00BA6F4F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Special Assessment</w:t>
            </w:r>
          </w:p>
          <w:p w14:paraId="74874A25" w14:textId="7CE96B2B" w:rsidR="001A65AB" w:rsidRPr="005C47F3" w:rsidRDefault="00BA6F4F" w:rsidP="00BA6F4F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Receivables--Deferred</w:t>
            </w:r>
          </w:p>
        </w:tc>
        <w:tc>
          <w:tcPr>
            <w:tcW w:w="0" w:type="auto"/>
          </w:tcPr>
          <w:p w14:paraId="05347152" w14:textId="1924575A" w:rsidR="001A65AB" w:rsidRPr="005C47F3" w:rsidRDefault="00DC1DE0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47EBFE47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386B911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276A1C3" w14:textId="360C5985" w:rsidR="001A65AB" w:rsidRPr="005C47F3" w:rsidRDefault="00DC1DE0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3C286E7C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7623712C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A65AB" w:rsidRPr="005C47F3" w14:paraId="7B3CB753" w14:textId="77777777" w:rsidTr="005C47F3">
        <w:tc>
          <w:tcPr>
            <w:tcW w:w="0" w:type="auto"/>
          </w:tcPr>
          <w:p w14:paraId="78ADD4A4" w14:textId="77777777" w:rsidR="00DC1DE0" w:rsidRPr="005C47F3" w:rsidRDefault="00DC1DE0" w:rsidP="00DC1DE0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 xml:space="preserve">Construction in </w:t>
            </w:r>
            <w:r w:rsidRPr="005C47F3">
              <w:rPr>
                <w:rFonts w:cstheme="minorHAnsi"/>
                <w:bCs/>
                <w:sz w:val="20"/>
                <w:szCs w:val="20"/>
              </w:rPr>
              <w:t>Progress</w:t>
            </w:r>
          </w:p>
          <w:p w14:paraId="3FC3917D" w14:textId="77777777" w:rsidR="00DC1DE0" w:rsidRPr="005C47F3" w:rsidRDefault="00DC1DE0" w:rsidP="00DC1DE0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 xml:space="preserve">Amount </w:t>
            </w:r>
            <w:r w:rsidRPr="005C47F3">
              <w:rPr>
                <w:rFonts w:cstheme="minorHAnsi"/>
                <w:sz w:val="20"/>
                <w:szCs w:val="20"/>
              </w:rPr>
              <w:t>to be Provided to</w:t>
            </w:r>
          </w:p>
          <w:p w14:paraId="12933053" w14:textId="4CB13044" w:rsidR="001A65AB" w:rsidRPr="005C47F3" w:rsidRDefault="00DC1DE0" w:rsidP="00DC1DE0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Retire Special Assessment</w:t>
            </w:r>
          </w:p>
        </w:tc>
        <w:tc>
          <w:tcPr>
            <w:tcW w:w="0" w:type="auto"/>
          </w:tcPr>
          <w:p w14:paraId="33B1AD08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247CD52" w14:textId="593A3F2F" w:rsidR="001A65AB" w:rsidRPr="005C47F3" w:rsidRDefault="00DC1DE0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350,000</w:t>
            </w:r>
          </w:p>
        </w:tc>
        <w:tc>
          <w:tcPr>
            <w:tcW w:w="0" w:type="auto"/>
          </w:tcPr>
          <w:p w14:paraId="579C8C38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2BBC1A7C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A50CE3A" w14:textId="77777777" w:rsidR="001A65AB" w:rsidRPr="005C47F3" w:rsidRDefault="001A65AB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9047657" w14:textId="3077A846" w:rsidR="001A65AB" w:rsidRPr="005C47F3" w:rsidRDefault="00DC1DE0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350,000</w:t>
            </w:r>
          </w:p>
        </w:tc>
      </w:tr>
      <w:tr w:rsidR="003115C6" w:rsidRPr="005C47F3" w14:paraId="5CC711E4" w14:textId="77777777" w:rsidTr="005C47F3">
        <w:tc>
          <w:tcPr>
            <w:tcW w:w="0" w:type="auto"/>
          </w:tcPr>
          <w:p w14:paraId="6F3FD089" w14:textId="5AD9DC32" w:rsidR="003115C6" w:rsidRPr="005C47F3" w:rsidRDefault="003115C6" w:rsidP="003115C6">
            <w:pPr>
              <w:autoSpaceDE w:val="0"/>
              <w:autoSpaceDN w:val="0"/>
              <w:adjustRightInd w:val="0"/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Bonds</w:t>
            </w:r>
          </w:p>
        </w:tc>
        <w:tc>
          <w:tcPr>
            <w:tcW w:w="0" w:type="auto"/>
          </w:tcPr>
          <w:p w14:paraId="7E300B01" w14:textId="77777777" w:rsidR="003115C6" w:rsidRPr="005C47F3" w:rsidRDefault="003115C6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42333A8" w14:textId="77777777" w:rsidR="003115C6" w:rsidRPr="005C47F3" w:rsidRDefault="003115C6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581651C" w14:textId="77777777" w:rsidR="003115C6" w:rsidRPr="005C47F3" w:rsidRDefault="003115C6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010BC09" w14:textId="77777777" w:rsidR="003115C6" w:rsidRPr="005C47F3" w:rsidRDefault="003115C6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D0A8F71" w14:textId="5ABC3CA4" w:rsidR="003115C6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400.000</w:t>
            </w:r>
          </w:p>
        </w:tc>
        <w:tc>
          <w:tcPr>
            <w:tcW w:w="0" w:type="auto"/>
          </w:tcPr>
          <w:p w14:paraId="292DCABA" w14:textId="77777777" w:rsidR="003115C6" w:rsidRPr="005C47F3" w:rsidRDefault="003115C6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DE0" w:rsidRPr="005C47F3" w14:paraId="453D3483" w14:textId="77777777" w:rsidTr="005C47F3">
        <w:tc>
          <w:tcPr>
            <w:tcW w:w="0" w:type="auto"/>
          </w:tcPr>
          <w:p w14:paraId="30606180" w14:textId="11AE9D74" w:rsidR="00DC1DE0" w:rsidRPr="005C47F3" w:rsidRDefault="005844DD" w:rsidP="003115C6">
            <w:pPr>
              <w:autoSpaceDE w:val="0"/>
              <w:autoSpaceDN w:val="0"/>
              <w:adjustRightInd w:val="0"/>
              <w:ind w:left="15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 xml:space="preserve">Total </w:t>
            </w:r>
            <w:r w:rsidRPr="005C47F3">
              <w:rPr>
                <w:rFonts w:cstheme="minorHAnsi"/>
                <w:bCs/>
                <w:sz w:val="20"/>
                <w:szCs w:val="20"/>
              </w:rPr>
              <w:t>Assets</w:t>
            </w:r>
          </w:p>
        </w:tc>
        <w:tc>
          <w:tcPr>
            <w:tcW w:w="0" w:type="auto"/>
          </w:tcPr>
          <w:p w14:paraId="7C89493B" w14:textId="21CA3633" w:rsidR="00DC1DE0" w:rsidRPr="005C47F3" w:rsidRDefault="0076514C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704,000</w:t>
            </w:r>
          </w:p>
        </w:tc>
        <w:tc>
          <w:tcPr>
            <w:tcW w:w="0" w:type="auto"/>
          </w:tcPr>
          <w:p w14:paraId="39CB658E" w14:textId="6D539D34" w:rsidR="00DC1DE0" w:rsidRPr="005C47F3" w:rsidRDefault="0076514C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350,000</w:t>
            </w:r>
          </w:p>
        </w:tc>
        <w:tc>
          <w:tcPr>
            <w:tcW w:w="0" w:type="auto"/>
          </w:tcPr>
          <w:p w14:paraId="4B03BBA5" w14:textId="11BB416E" w:rsidR="00DC1DE0" w:rsidRPr="005C47F3" w:rsidRDefault="003115C6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300,000</w:t>
            </w:r>
          </w:p>
        </w:tc>
        <w:tc>
          <w:tcPr>
            <w:tcW w:w="0" w:type="auto"/>
          </w:tcPr>
          <w:p w14:paraId="69429895" w14:textId="18C57406" w:rsidR="00DC1DE0" w:rsidRPr="005C47F3" w:rsidRDefault="003115C6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3AE47EB2" w14:textId="0A4B7A83" w:rsidR="00DC1DE0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400.000</w:t>
            </w:r>
          </w:p>
        </w:tc>
        <w:tc>
          <w:tcPr>
            <w:tcW w:w="0" w:type="auto"/>
          </w:tcPr>
          <w:p w14:paraId="6ADD4216" w14:textId="0E3E9D9D" w:rsidR="00DC1DE0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350,000</w:t>
            </w:r>
          </w:p>
        </w:tc>
      </w:tr>
      <w:tr w:rsidR="00C06B1A" w:rsidRPr="005C47F3" w14:paraId="6779BA6F" w14:textId="77777777" w:rsidTr="005C47F3">
        <w:tc>
          <w:tcPr>
            <w:tcW w:w="0" w:type="auto"/>
          </w:tcPr>
          <w:p w14:paraId="59CADF46" w14:textId="3DD030F9" w:rsidR="00C06B1A" w:rsidRPr="005C47F3" w:rsidRDefault="00C06B1A" w:rsidP="003115C6">
            <w:pPr>
              <w:autoSpaceDE w:val="0"/>
              <w:autoSpaceDN w:val="0"/>
              <w:adjustRightInd w:val="0"/>
              <w:ind w:left="15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 xml:space="preserve">Liabilities and </w:t>
            </w:r>
            <w:r w:rsidRPr="005C47F3">
              <w:rPr>
                <w:rFonts w:cstheme="minorHAnsi"/>
                <w:sz w:val="20"/>
                <w:szCs w:val="20"/>
              </w:rPr>
              <w:t>Fund Equity</w:t>
            </w:r>
          </w:p>
        </w:tc>
        <w:tc>
          <w:tcPr>
            <w:tcW w:w="0" w:type="auto"/>
          </w:tcPr>
          <w:p w14:paraId="56E462BC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2ACAC21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5541BB3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6B74DDD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132D4BA" w14:textId="77777777" w:rsidR="00C06B1A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5617BB4F" w14:textId="77777777" w:rsidR="00C06B1A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06B1A" w:rsidRPr="005C47F3" w14:paraId="09371CD7" w14:textId="77777777" w:rsidTr="005C47F3">
        <w:tc>
          <w:tcPr>
            <w:tcW w:w="0" w:type="auto"/>
          </w:tcPr>
          <w:p w14:paraId="33A1371B" w14:textId="07F40BE1" w:rsidR="00C06B1A" w:rsidRPr="005C47F3" w:rsidRDefault="004B35CF" w:rsidP="004B35CF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 xml:space="preserve">Contracts </w:t>
            </w:r>
            <w:r w:rsidRPr="005C47F3">
              <w:rPr>
                <w:rFonts w:cstheme="minorHAnsi"/>
                <w:bCs/>
                <w:sz w:val="20"/>
                <w:szCs w:val="20"/>
              </w:rPr>
              <w:t>Payable</w:t>
            </w:r>
          </w:p>
        </w:tc>
        <w:tc>
          <w:tcPr>
            <w:tcW w:w="0" w:type="auto"/>
          </w:tcPr>
          <w:p w14:paraId="4ACBC3BA" w14:textId="290FFEC9" w:rsidR="00C06B1A" w:rsidRPr="005C47F3" w:rsidRDefault="004B35CF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50,000</w:t>
            </w:r>
          </w:p>
        </w:tc>
        <w:tc>
          <w:tcPr>
            <w:tcW w:w="0" w:type="auto"/>
          </w:tcPr>
          <w:p w14:paraId="062083E6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870D36A" w14:textId="739C4B3A" w:rsidR="00C06B1A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50,000</w:t>
            </w:r>
          </w:p>
        </w:tc>
        <w:tc>
          <w:tcPr>
            <w:tcW w:w="0" w:type="auto"/>
          </w:tcPr>
          <w:p w14:paraId="0B6B6094" w14:textId="77777777" w:rsidR="00C06B1A" w:rsidRPr="005C47F3" w:rsidRDefault="00C06B1A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164C3CA" w14:textId="77777777" w:rsidR="00C06B1A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1B7F4CD" w14:textId="77777777" w:rsidR="00C06B1A" w:rsidRPr="005C47F3" w:rsidRDefault="00C06B1A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0D62" w:rsidRPr="005C47F3" w14:paraId="06EBFF98" w14:textId="77777777" w:rsidTr="005C47F3">
        <w:tc>
          <w:tcPr>
            <w:tcW w:w="0" w:type="auto"/>
          </w:tcPr>
          <w:p w14:paraId="0BD6FD0F" w14:textId="77777777" w:rsidR="00A40D62" w:rsidRPr="005C47F3" w:rsidRDefault="00A40D62" w:rsidP="00A40D62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 xml:space="preserve">Special Assessment </w:t>
            </w:r>
            <w:r w:rsidRPr="005C47F3">
              <w:rPr>
                <w:rFonts w:cstheme="minorHAnsi"/>
                <w:sz w:val="20"/>
                <w:szCs w:val="20"/>
              </w:rPr>
              <w:t>Bonds</w:t>
            </w:r>
          </w:p>
          <w:p w14:paraId="35236C11" w14:textId="51B6D8ED" w:rsidR="00A40D62" w:rsidRPr="005C47F3" w:rsidRDefault="00A40D62" w:rsidP="00A40D62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Payable</w:t>
            </w:r>
          </w:p>
        </w:tc>
        <w:tc>
          <w:tcPr>
            <w:tcW w:w="0" w:type="auto"/>
          </w:tcPr>
          <w:p w14:paraId="2AF596B4" w14:textId="0DD4C64F" w:rsidR="00A40D62" w:rsidRPr="005C47F3" w:rsidRDefault="001B138C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2AA34FA8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633B8D2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946337F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532557F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6706B21D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0D62" w:rsidRPr="005C47F3" w14:paraId="22258BA1" w14:textId="77777777" w:rsidTr="005C47F3">
        <w:tc>
          <w:tcPr>
            <w:tcW w:w="0" w:type="auto"/>
          </w:tcPr>
          <w:p w14:paraId="458B920E" w14:textId="44833ED6" w:rsidR="00A40D62" w:rsidRPr="005C47F3" w:rsidRDefault="001B138C" w:rsidP="004B35CF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Deferred Revenues</w:t>
            </w:r>
          </w:p>
        </w:tc>
        <w:tc>
          <w:tcPr>
            <w:tcW w:w="0" w:type="auto"/>
          </w:tcPr>
          <w:p w14:paraId="166F0E3D" w14:textId="193BFAE1" w:rsidR="00A40D62" w:rsidRPr="005C47F3" w:rsidRDefault="001B138C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3D81EF5C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3CC874EA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139FC56" w14:textId="7D29B0E4" w:rsidR="00A40D62" w:rsidRPr="005C47F3" w:rsidRDefault="001B138C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58926C72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4573F56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0D62" w:rsidRPr="005C47F3" w14:paraId="2B46ABA4" w14:textId="77777777" w:rsidTr="005C47F3">
        <w:tc>
          <w:tcPr>
            <w:tcW w:w="0" w:type="auto"/>
          </w:tcPr>
          <w:p w14:paraId="55E81E38" w14:textId="77777777" w:rsidR="00906EAC" w:rsidRPr="005C47F3" w:rsidRDefault="00906EAC" w:rsidP="00906EAC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 xml:space="preserve">Special Assessment </w:t>
            </w:r>
            <w:r w:rsidRPr="005C47F3">
              <w:rPr>
                <w:rFonts w:cstheme="minorHAnsi"/>
                <w:sz w:val="20"/>
                <w:szCs w:val="20"/>
              </w:rPr>
              <w:t>Debt</w:t>
            </w:r>
          </w:p>
          <w:p w14:paraId="5E021AD3" w14:textId="44DC1EDD" w:rsidR="00A40D62" w:rsidRPr="005C47F3" w:rsidRDefault="00906EAC" w:rsidP="00906EAC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 xml:space="preserve">with Government </w:t>
            </w:r>
            <w:proofErr w:type="spellStart"/>
            <w:r w:rsidRPr="005C47F3">
              <w:rPr>
                <w:rFonts w:cstheme="minorHAnsi"/>
                <w:sz w:val="20"/>
                <w:szCs w:val="20"/>
              </w:rPr>
              <w:t>Conrnitment</w:t>
            </w:r>
            <w:proofErr w:type="spellEnd"/>
          </w:p>
        </w:tc>
        <w:tc>
          <w:tcPr>
            <w:tcW w:w="0" w:type="auto"/>
          </w:tcPr>
          <w:p w14:paraId="11CBE925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6BBF7C6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41D3DC7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0D79C69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A984CED" w14:textId="3A516A29" w:rsidR="00A40D62" w:rsidRPr="005C47F3" w:rsidRDefault="00906EAC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5FCBDF69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0D62" w:rsidRPr="005C47F3" w14:paraId="36D47658" w14:textId="77777777" w:rsidTr="005C47F3">
        <w:tc>
          <w:tcPr>
            <w:tcW w:w="0" w:type="auto"/>
          </w:tcPr>
          <w:p w14:paraId="1C7D1E92" w14:textId="46F10FC1" w:rsidR="00A40D62" w:rsidRPr="005C47F3" w:rsidRDefault="00906EAC" w:rsidP="004B35CF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Fund Balance (Deficiency)</w:t>
            </w:r>
          </w:p>
        </w:tc>
        <w:tc>
          <w:tcPr>
            <w:tcW w:w="0" w:type="auto"/>
          </w:tcPr>
          <w:p w14:paraId="070A8A1B" w14:textId="7FDBE235" w:rsidR="00A40D62" w:rsidRPr="005C47F3" w:rsidRDefault="002967FA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(146,000)</w:t>
            </w:r>
          </w:p>
        </w:tc>
        <w:tc>
          <w:tcPr>
            <w:tcW w:w="0" w:type="auto"/>
          </w:tcPr>
          <w:p w14:paraId="3A60D0BA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F343BC6" w14:textId="6357CC2F" w:rsidR="00A40D62" w:rsidRPr="005C47F3" w:rsidRDefault="002967FA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250,000</w:t>
            </w:r>
          </w:p>
        </w:tc>
        <w:tc>
          <w:tcPr>
            <w:tcW w:w="0" w:type="auto"/>
          </w:tcPr>
          <w:p w14:paraId="01E5EA5C" w14:textId="2DB3DFF8" w:rsidR="00A40D62" w:rsidRPr="005C47F3" w:rsidRDefault="002967FA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4,000</w:t>
            </w:r>
          </w:p>
        </w:tc>
        <w:tc>
          <w:tcPr>
            <w:tcW w:w="0" w:type="auto"/>
          </w:tcPr>
          <w:p w14:paraId="6C5C6D36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30D6ADC0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40D62" w:rsidRPr="005C47F3" w14:paraId="0D2BBCC8" w14:textId="77777777" w:rsidTr="005C47F3">
        <w:tc>
          <w:tcPr>
            <w:tcW w:w="0" w:type="auto"/>
          </w:tcPr>
          <w:p w14:paraId="08F0E792" w14:textId="77777777" w:rsidR="0087253E" w:rsidRPr="005C47F3" w:rsidRDefault="0087253E" w:rsidP="0087253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Investment in General</w:t>
            </w:r>
          </w:p>
          <w:p w14:paraId="0D5265A9" w14:textId="1CF0867C" w:rsidR="00A40D62" w:rsidRPr="005C47F3" w:rsidRDefault="0087253E" w:rsidP="0087253E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Fixed Assets</w:t>
            </w:r>
          </w:p>
        </w:tc>
        <w:tc>
          <w:tcPr>
            <w:tcW w:w="0" w:type="auto"/>
          </w:tcPr>
          <w:p w14:paraId="2D12BF84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4349EA7E" w14:textId="2714908C" w:rsidR="00A40D62" w:rsidRPr="005C47F3" w:rsidRDefault="0087253E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350,000</w:t>
            </w:r>
          </w:p>
        </w:tc>
        <w:tc>
          <w:tcPr>
            <w:tcW w:w="0" w:type="auto"/>
          </w:tcPr>
          <w:p w14:paraId="05B5BED1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2865FFA4" w14:textId="77777777" w:rsidR="00A40D62" w:rsidRPr="005C47F3" w:rsidRDefault="00A40D62" w:rsidP="00326E8D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6C0CF464" w14:textId="77777777" w:rsidR="00A40D62" w:rsidRPr="005C47F3" w:rsidRDefault="00A40D62" w:rsidP="00326E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48089AE9" w14:textId="13AAE51A" w:rsidR="00A40D62" w:rsidRPr="005C47F3" w:rsidRDefault="0087253E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350,000</w:t>
            </w:r>
          </w:p>
        </w:tc>
      </w:tr>
      <w:tr w:rsidR="002967FA" w:rsidRPr="005C47F3" w14:paraId="4783F49C" w14:textId="77777777" w:rsidTr="005C47F3">
        <w:tc>
          <w:tcPr>
            <w:tcW w:w="0" w:type="auto"/>
          </w:tcPr>
          <w:p w14:paraId="42779F64" w14:textId="77777777" w:rsidR="00EB7DA7" w:rsidRPr="005C47F3" w:rsidRDefault="00EB7DA7" w:rsidP="00EB7DA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Total Liabilities,</w:t>
            </w:r>
          </w:p>
          <w:p w14:paraId="0BBB338E" w14:textId="022A84F1" w:rsidR="002967FA" w:rsidRPr="005C47F3" w:rsidRDefault="00EB7DA7" w:rsidP="00EB7DA7">
            <w:pPr>
              <w:autoSpaceDE w:val="0"/>
              <w:autoSpaceDN w:val="0"/>
              <w:adjustRightInd w:val="0"/>
              <w:ind w:left="-25"/>
              <w:jc w:val="left"/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Fund Equity</w:t>
            </w:r>
          </w:p>
        </w:tc>
        <w:tc>
          <w:tcPr>
            <w:tcW w:w="0" w:type="auto"/>
          </w:tcPr>
          <w:p w14:paraId="27B576AD" w14:textId="6D8CE7F9" w:rsidR="002967FA" w:rsidRPr="005C47F3" w:rsidRDefault="00EB7DA7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704,000</w:t>
            </w:r>
          </w:p>
        </w:tc>
        <w:tc>
          <w:tcPr>
            <w:tcW w:w="0" w:type="auto"/>
          </w:tcPr>
          <w:p w14:paraId="77968524" w14:textId="01A56046" w:rsidR="002967FA" w:rsidRPr="005C47F3" w:rsidRDefault="00EB7DA7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350,000</w:t>
            </w:r>
          </w:p>
        </w:tc>
        <w:tc>
          <w:tcPr>
            <w:tcW w:w="0" w:type="auto"/>
          </w:tcPr>
          <w:p w14:paraId="647E9C0E" w14:textId="5C75A40A" w:rsidR="002967FA" w:rsidRPr="005C47F3" w:rsidRDefault="00EB7DA7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250,000</w:t>
            </w:r>
          </w:p>
        </w:tc>
        <w:tc>
          <w:tcPr>
            <w:tcW w:w="0" w:type="auto"/>
          </w:tcPr>
          <w:p w14:paraId="6835A72A" w14:textId="2CA1F603" w:rsidR="002967FA" w:rsidRPr="005C47F3" w:rsidRDefault="00EB7DA7" w:rsidP="00326E8D">
            <w:pPr>
              <w:rPr>
                <w:rFonts w:cstheme="minorHAnsi"/>
                <w:bCs/>
                <w:sz w:val="20"/>
                <w:szCs w:val="20"/>
              </w:rPr>
            </w:pPr>
            <w:r w:rsidRPr="005C47F3">
              <w:rPr>
                <w:rFonts w:cstheme="minorHAnsi"/>
                <w:bCs/>
                <w:sz w:val="20"/>
                <w:szCs w:val="20"/>
              </w:rPr>
              <w:t>404,000</w:t>
            </w:r>
          </w:p>
        </w:tc>
        <w:tc>
          <w:tcPr>
            <w:tcW w:w="0" w:type="auto"/>
          </w:tcPr>
          <w:p w14:paraId="6D5AED8B" w14:textId="4D4BE1E2" w:rsidR="002967FA" w:rsidRPr="005C47F3" w:rsidRDefault="00EB7DA7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400,000</w:t>
            </w:r>
          </w:p>
        </w:tc>
        <w:tc>
          <w:tcPr>
            <w:tcW w:w="0" w:type="auto"/>
          </w:tcPr>
          <w:p w14:paraId="5457CDEE" w14:textId="2DE09CD0" w:rsidR="002967FA" w:rsidRPr="005C47F3" w:rsidRDefault="00EB7DA7" w:rsidP="00326E8D">
            <w:pPr>
              <w:rPr>
                <w:rFonts w:cstheme="minorHAnsi"/>
                <w:sz w:val="20"/>
                <w:szCs w:val="20"/>
              </w:rPr>
            </w:pPr>
            <w:r w:rsidRPr="005C47F3">
              <w:rPr>
                <w:rFonts w:cstheme="minorHAnsi"/>
                <w:sz w:val="20"/>
                <w:szCs w:val="20"/>
              </w:rPr>
              <w:t>350,000</w:t>
            </w:r>
          </w:p>
        </w:tc>
      </w:tr>
    </w:tbl>
    <w:p w14:paraId="728A2110" w14:textId="77777777" w:rsidR="00326E8D" w:rsidRPr="00326E8D" w:rsidRDefault="00326E8D" w:rsidP="00326E8D">
      <w:pPr>
        <w:kinsoku w:val="0"/>
        <w:overflowPunct w:val="0"/>
        <w:autoSpaceDE w:val="0"/>
        <w:autoSpaceDN w:val="0"/>
        <w:adjustRightInd w:val="0"/>
        <w:spacing w:before="60" w:after="0" w:line="240" w:lineRule="auto"/>
        <w:ind w:left="73"/>
        <w:jc w:val="left"/>
        <w:rPr>
          <w:rFonts w:cstheme="minorHAnsi"/>
          <w:w w:val="90"/>
          <w:sz w:val="22"/>
        </w:rPr>
      </w:pPr>
      <w:r w:rsidRPr="00326E8D">
        <w:rPr>
          <w:rFonts w:cstheme="minorHAnsi"/>
          <w:w w:val="90"/>
          <w:sz w:val="22"/>
        </w:rPr>
        <w:t>*Use of the General Fixed Asset Account Group is optional.</w:t>
      </w:r>
    </w:p>
    <w:p w14:paraId="382348DE" w14:textId="77777777" w:rsidR="00326E8D" w:rsidRPr="00C55499" w:rsidRDefault="00326E8D" w:rsidP="00326E8D">
      <w:pPr>
        <w:rPr>
          <w:rFonts w:cstheme="minorHAnsi"/>
          <w:sz w:val="22"/>
        </w:rPr>
      </w:pPr>
    </w:p>
    <w:p w14:paraId="3CAF2F69" w14:textId="77777777" w:rsidR="00326E8D" w:rsidRPr="00C55499" w:rsidRDefault="00326E8D" w:rsidP="00303E9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2"/>
        </w:rPr>
      </w:pPr>
      <w:r w:rsidRPr="00C55499">
        <w:rPr>
          <w:rFonts w:cstheme="minorHAnsi"/>
          <w:sz w:val="22"/>
        </w:rPr>
        <w:t xml:space="preserve">1990 </w:t>
      </w:r>
      <w:r w:rsidRPr="00C55499">
        <w:rPr>
          <w:rFonts w:cstheme="minorHAnsi"/>
          <w:i/>
          <w:iCs/>
          <w:sz w:val="22"/>
        </w:rPr>
        <w:t xml:space="preserve">New Accounting Rules </w:t>
      </w:r>
      <w:proofErr w:type="gramStart"/>
      <w:r w:rsidRPr="00C55499">
        <w:rPr>
          <w:rFonts w:cstheme="minorHAnsi"/>
          <w:i/>
          <w:iCs/>
          <w:sz w:val="22"/>
        </w:rPr>
        <w:t>For</w:t>
      </w:r>
      <w:proofErr w:type="gramEnd"/>
      <w:r w:rsidRPr="00C55499">
        <w:rPr>
          <w:rFonts w:cstheme="minorHAnsi"/>
          <w:i/>
          <w:iCs/>
          <w:sz w:val="22"/>
        </w:rPr>
        <w:t xml:space="preserve"> Special Assessments</w:t>
      </w:r>
    </w:p>
    <w:p w14:paraId="27BAA2EB" w14:textId="7554716C" w:rsidR="00303E9C" w:rsidRDefault="00454473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>
        <w:rPr>
          <w:rFonts w:cstheme="minorHAnsi"/>
          <w:sz w:val="22"/>
        </w:rPr>
        <w:t>Table 2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2"/>
        <w:tblDescription w:val="Table 2"/>
      </w:tblPr>
      <w:tblGrid>
        <w:gridCol w:w="3955"/>
        <w:gridCol w:w="2340"/>
        <w:gridCol w:w="1530"/>
        <w:gridCol w:w="1525"/>
      </w:tblGrid>
      <w:tr w:rsidR="00454473" w:rsidRPr="00023C89" w14:paraId="43B9E26C" w14:textId="77777777" w:rsidTr="00E26437">
        <w:tc>
          <w:tcPr>
            <w:tcW w:w="3955" w:type="dxa"/>
          </w:tcPr>
          <w:p w14:paraId="13D1A4E8" w14:textId="6E92F63F" w:rsidR="00454473" w:rsidRPr="00023C89" w:rsidRDefault="00C378E4" w:rsidP="004544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Statement </w:t>
            </w:r>
            <w:r w:rsidR="00FD3AF1" w:rsidRPr="00023C89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Revenues,</w:t>
            </w:r>
          </w:p>
          <w:p w14:paraId="6CB00F20" w14:textId="2C2566E7" w:rsidR="00454473" w:rsidRPr="00023C89" w:rsidRDefault="00C378E4" w:rsidP="0045447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Expenditures And</w:t>
            </w:r>
          </w:p>
          <w:p w14:paraId="7A87FF11" w14:textId="662CC3AA" w:rsidR="00454473" w:rsidRPr="00023C89" w:rsidRDefault="00C378E4" w:rsidP="00454473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Changes </w:t>
            </w:r>
            <w:proofErr w:type="gramStart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Fund Balance</w:t>
            </w:r>
          </w:p>
        </w:tc>
        <w:tc>
          <w:tcPr>
            <w:tcW w:w="2340" w:type="dxa"/>
          </w:tcPr>
          <w:p w14:paraId="2A88FE7E" w14:textId="6CF944AC" w:rsidR="00A20529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Current</w:t>
            </w:r>
          </w:p>
          <w:p w14:paraId="4E511AB3" w14:textId="0838D58E" w:rsidR="00454473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Practice</w:t>
            </w:r>
          </w:p>
        </w:tc>
        <w:tc>
          <w:tcPr>
            <w:tcW w:w="1530" w:type="dxa"/>
          </w:tcPr>
          <w:p w14:paraId="16F162A8" w14:textId="54DD56C1" w:rsidR="00A20529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Revised</w:t>
            </w:r>
          </w:p>
          <w:p w14:paraId="187A11AF" w14:textId="60D9D9B3" w:rsidR="00454473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Standards</w:t>
            </w:r>
          </w:p>
        </w:tc>
        <w:tc>
          <w:tcPr>
            <w:tcW w:w="1525" w:type="dxa"/>
          </w:tcPr>
          <w:p w14:paraId="1E051316" w14:textId="77777777" w:rsidR="00454473" w:rsidRPr="00023C89" w:rsidRDefault="00454473" w:rsidP="00326E8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454473" w:rsidRPr="00023C89" w14:paraId="6DB45526" w14:textId="77777777" w:rsidTr="00E26437">
        <w:tc>
          <w:tcPr>
            <w:tcW w:w="3955" w:type="dxa"/>
          </w:tcPr>
          <w:p w14:paraId="4D302240" w14:textId="77777777" w:rsidR="00454473" w:rsidRPr="00023C89" w:rsidRDefault="00454473" w:rsidP="00326E8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E23E1D3" w14:textId="248A052E" w:rsidR="00A20529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Special</w:t>
            </w:r>
          </w:p>
          <w:p w14:paraId="319B1ECA" w14:textId="2B07C5A7" w:rsidR="00A20529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Assessment</w:t>
            </w:r>
          </w:p>
          <w:p w14:paraId="4A9EC2FF" w14:textId="175FBD65" w:rsidR="00454473" w:rsidRPr="00023C89" w:rsidRDefault="00C378E4" w:rsidP="00A2052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Fund</w:t>
            </w:r>
          </w:p>
        </w:tc>
        <w:tc>
          <w:tcPr>
            <w:tcW w:w="1530" w:type="dxa"/>
          </w:tcPr>
          <w:p w14:paraId="07FFF93F" w14:textId="21048DAB" w:rsidR="00F06DEE" w:rsidRPr="00023C89" w:rsidRDefault="00C378E4" w:rsidP="00F06D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Capital</w:t>
            </w:r>
          </w:p>
          <w:p w14:paraId="0209A43B" w14:textId="24B173E2" w:rsidR="00F06DEE" w:rsidRPr="00023C89" w:rsidRDefault="00C378E4" w:rsidP="00F06D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Projects</w:t>
            </w:r>
          </w:p>
          <w:p w14:paraId="47AB90FF" w14:textId="07C75E26" w:rsidR="00454473" w:rsidRPr="00023C89" w:rsidRDefault="00C378E4" w:rsidP="00F06DE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Funds</w:t>
            </w:r>
          </w:p>
        </w:tc>
        <w:tc>
          <w:tcPr>
            <w:tcW w:w="1525" w:type="dxa"/>
          </w:tcPr>
          <w:p w14:paraId="67721DF8" w14:textId="1C006052" w:rsidR="00F06DEE" w:rsidRPr="00023C89" w:rsidRDefault="00C378E4" w:rsidP="00F06D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Debt</w:t>
            </w:r>
          </w:p>
          <w:p w14:paraId="1FF4AE0E" w14:textId="0BB36D94" w:rsidR="00F06DEE" w:rsidRPr="00023C89" w:rsidRDefault="00C378E4" w:rsidP="00F06D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Service</w:t>
            </w:r>
          </w:p>
          <w:p w14:paraId="1BE650BE" w14:textId="688FBB44" w:rsidR="00454473" w:rsidRPr="00023C89" w:rsidRDefault="00023C89" w:rsidP="00F06DEE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Fund</w:t>
            </w:r>
          </w:p>
        </w:tc>
      </w:tr>
      <w:tr w:rsidR="00454473" w:rsidRPr="00023C89" w14:paraId="775E43EC" w14:textId="77777777" w:rsidTr="00E26437">
        <w:tc>
          <w:tcPr>
            <w:tcW w:w="3955" w:type="dxa"/>
          </w:tcPr>
          <w:p w14:paraId="0A34E521" w14:textId="50F62B6B" w:rsidR="00384F47" w:rsidRPr="00023C89" w:rsidRDefault="00C378E4" w:rsidP="00384F4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Revenues</w:t>
            </w:r>
          </w:p>
          <w:p w14:paraId="2A46E2E7" w14:textId="23A8E43D" w:rsidR="00384F47" w:rsidRPr="00023C89" w:rsidRDefault="00C378E4" w:rsidP="00384F4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Special Assessments</w:t>
            </w:r>
          </w:p>
          <w:p w14:paraId="2B3A7529" w14:textId="7242FAA8" w:rsidR="00384F47" w:rsidRPr="00023C89" w:rsidRDefault="00C378E4" w:rsidP="00384F4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Interest </w:t>
            </w:r>
            <w:r w:rsidR="0050002B" w:rsidRPr="00023C89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Special</w:t>
            </w:r>
            <w:r w:rsidR="00FD3AF1"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Assessments</w:t>
            </w:r>
          </w:p>
          <w:p w14:paraId="3A3381A0" w14:textId="1703A28C" w:rsidR="00454473" w:rsidRPr="00023C89" w:rsidRDefault="00C378E4" w:rsidP="00384F4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Revenues</w:t>
            </w:r>
          </w:p>
        </w:tc>
        <w:tc>
          <w:tcPr>
            <w:tcW w:w="2340" w:type="dxa"/>
          </w:tcPr>
          <w:p w14:paraId="07C64A8F" w14:textId="18D9CC29" w:rsidR="00384F47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  <w:p w14:paraId="42782887" w14:textId="77777777" w:rsidR="00384F47" w:rsidRPr="00023C89" w:rsidRDefault="00384F47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6F317" w14:textId="42723D39" w:rsidR="00384F47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  <w:p w14:paraId="6500A37A" w14:textId="26D5AA60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530" w:type="dxa"/>
          </w:tcPr>
          <w:p w14:paraId="4B604C38" w14:textId="0DF229EB" w:rsidR="00384F47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  <w:p w14:paraId="51A9A2CB" w14:textId="77777777" w:rsidR="00FD3AF1" w:rsidRPr="00023C89" w:rsidRDefault="00FD3AF1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885E9" w14:textId="77777777" w:rsidR="00FD3AF1" w:rsidRPr="00023C89" w:rsidRDefault="00FD3AF1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C5CAE" w14:textId="73D7377C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525" w:type="dxa"/>
          </w:tcPr>
          <w:p w14:paraId="64CF497F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06B7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DC739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C657C" w14:textId="48DB6FD3" w:rsidR="0045447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78E4" w:rsidRPr="00023C8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54473" w:rsidRPr="00023C89" w14:paraId="47ED7E1E" w14:textId="77777777" w:rsidTr="00E26437">
        <w:tc>
          <w:tcPr>
            <w:tcW w:w="3955" w:type="dxa"/>
          </w:tcPr>
          <w:p w14:paraId="26E0857C" w14:textId="546A3D93" w:rsidR="00443A69" w:rsidRPr="00023C89" w:rsidRDefault="00C378E4" w:rsidP="00443A6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Expenditures</w:t>
            </w:r>
          </w:p>
          <w:p w14:paraId="0E6DB27A" w14:textId="5EA0526D" w:rsidR="00443A69" w:rsidRPr="00023C89" w:rsidRDefault="00C378E4" w:rsidP="00443A6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Capital Outlay</w:t>
            </w:r>
          </w:p>
          <w:p w14:paraId="7660BAEE" w14:textId="21556144" w:rsidR="00454473" w:rsidRPr="00023C89" w:rsidRDefault="00C378E4" w:rsidP="00443A69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Interest (Debt Service)</w:t>
            </w:r>
          </w:p>
        </w:tc>
        <w:tc>
          <w:tcPr>
            <w:tcW w:w="2340" w:type="dxa"/>
          </w:tcPr>
          <w:p w14:paraId="2709C50A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2DB52" w14:textId="19B099D2" w:rsidR="00443A69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  <w:p w14:paraId="77F02296" w14:textId="02299E80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16,000</w:t>
            </w:r>
          </w:p>
        </w:tc>
        <w:tc>
          <w:tcPr>
            <w:tcW w:w="1530" w:type="dxa"/>
          </w:tcPr>
          <w:p w14:paraId="63B72E88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BC482" w14:textId="3CD8C981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525" w:type="dxa"/>
          </w:tcPr>
          <w:p w14:paraId="40297EBF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8E431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5E9E59" w14:textId="12F04021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16,000</w:t>
            </w:r>
          </w:p>
        </w:tc>
      </w:tr>
      <w:tr w:rsidR="00454473" w:rsidRPr="00023C89" w14:paraId="644666C5" w14:textId="77777777" w:rsidTr="00E26437">
        <w:tc>
          <w:tcPr>
            <w:tcW w:w="3955" w:type="dxa"/>
          </w:tcPr>
          <w:p w14:paraId="7D0C312B" w14:textId="67ED8821" w:rsidR="00454473" w:rsidRPr="00023C89" w:rsidRDefault="00C378E4" w:rsidP="00326E8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Total Expenditures</w:t>
            </w:r>
          </w:p>
        </w:tc>
        <w:tc>
          <w:tcPr>
            <w:tcW w:w="2340" w:type="dxa"/>
          </w:tcPr>
          <w:p w14:paraId="57C72A84" w14:textId="06DD78F6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366,000</w:t>
            </w:r>
          </w:p>
        </w:tc>
        <w:tc>
          <w:tcPr>
            <w:tcW w:w="1530" w:type="dxa"/>
          </w:tcPr>
          <w:p w14:paraId="0EB6F960" w14:textId="47CCD854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350,000</w:t>
            </w:r>
          </w:p>
        </w:tc>
        <w:tc>
          <w:tcPr>
            <w:tcW w:w="1525" w:type="dxa"/>
          </w:tcPr>
          <w:p w14:paraId="1C898F2D" w14:textId="7AC1D9B2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16,000</w:t>
            </w:r>
          </w:p>
        </w:tc>
      </w:tr>
      <w:tr w:rsidR="00454473" w:rsidRPr="00023C89" w14:paraId="47A575CD" w14:textId="77777777" w:rsidTr="00E26437">
        <w:tc>
          <w:tcPr>
            <w:tcW w:w="3955" w:type="dxa"/>
          </w:tcPr>
          <w:p w14:paraId="7BE180F5" w14:textId="3DA55F78" w:rsidR="00454473" w:rsidRPr="00023C89" w:rsidRDefault="00C378E4" w:rsidP="00AA785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Excess </w:t>
            </w:r>
            <w:proofErr w:type="gramStart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gramEnd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Revenues Over (Under)</w:t>
            </w:r>
            <w:r w:rsidR="00500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Expenditures</w:t>
            </w:r>
          </w:p>
        </w:tc>
        <w:tc>
          <w:tcPr>
            <w:tcW w:w="2340" w:type="dxa"/>
          </w:tcPr>
          <w:p w14:paraId="62A58A2A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D3EB4" w14:textId="0CB6FA1B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(246,000)</w:t>
            </w:r>
          </w:p>
        </w:tc>
        <w:tc>
          <w:tcPr>
            <w:tcW w:w="1530" w:type="dxa"/>
          </w:tcPr>
          <w:p w14:paraId="6C6C3893" w14:textId="77777777" w:rsidR="001C5F63" w:rsidRPr="00023C89" w:rsidRDefault="001C5F63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B3112" w14:textId="03B25B7B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(250,000)</w:t>
            </w:r>
          </w:p>
        </w:tc>
        <w:tc>
          <w:tcPr>
            <w:tcW w:w="1525" w:type="dxa"/>
          </w:tcPr>
          <w:p w14:paraId="74A980AC" w14:textId="77777777" w:rsidR="00023C89" w:rsidRPr="00023C89" w:rsidRDefault="00023C89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6436D" w14:textId="1AFCF0AB" w:rsidR="00454473" w:rsidRPr="00023C89" w:rsidRDefault="00023C89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</w:tr>
      <w:tr w:rsidR="00454473" w:rsidRPr="00023C89" w14:paraId="47C5A576" w14:textId="77777777" w:rsidTr="00E26437">
        <w:tc>
          <w:tcPr>
            <w:tcW w:w="3955" w:type="dxa"/>
          </w:tcPr>
          <w:p w14:paraId="06635CDC" w14:textId="1BBEB795" w:rsidR="00A933B9" w:rsidRPr="00023C89" w:rsidRDefault="00C378E4" w:rsidP="00A933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Other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Financing Sources</w:t>
            </w:r>
          </w:p>
          <w:p w14:paraId="472C5CE5" w14:textId="2A735982" w:rsidR="00A933B9" w:rsidRPr="00023C89" w:rsidRDefault="00C378E4" w:rsidP="00A933B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Operating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Transfer </w:t>
            </w:r>
            <w:r w:rsidR="009F6326" w:rsidRPr="00023C89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r w:rsidR="009F63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General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Fund</w:t>
            </w:r>
          </w:p>
          <w:p w14:paraId="31A52512" w14:textId="7689B1D6" w:rsidR="00454473" w:rsidRPr="00023C89" w:rsidRDefault="00C378E4" w:rsidP="00E26437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Proceeds </w:t>
            </w:r>
            <w:r w:rsidR="009F6326" w:rsidRPr="00023C89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Special</w:t>
            </w:r>
            <w:r w:rsidR="00E26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Assessment Bonds</w:t>
            </w:r>
          </w:p>
        </w:tc>
        <w:tc>
          <w:tcPr>
            <w:tcW w:w="2340" w:type="dxa"/>
          </w:tcPr>
          <w:p w14:paraId="5E03686C" w14:textId="77777777" w:rsidR="00AA785D" w:rsidRDefault="00AA785D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BF716" w14:textId="68AD5E31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530" w:type="dxa"/>
          </w:tcPr>
          <w:p w14:paraId="2C8E4A3F" w14:textId="77777777" w:rsidR="00AA785D" w:rsidRDefault="00AA785D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08042" w14:textId="17A83F3A" w:rsidR="00A933B9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  <w:p w14:paraId="3F92CEC6" w14:textId="43C9E348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400,000</w:t>
            </w:r>
          </w:p>
        </w:tc>
        <w:tc>
          <w:tcPr>
            <w:tcW w:w="1525" w:type="dxa"/>
          </w:tcPr>
          <w:p w14:paraId="7E135C37" w14:textId="77777777" w:rsidR="00454473" w:rsidRPr="00023C89" w:rsidRDefault="00454473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454473" w:rsidRPr="00023C89" w14:paraId="421C8F69" w14:textId="77777777" w:rsidTr="00E26437">
        <w:tc>
          <w:tcPr>
            <w:tcW w:w="3955" w:type="dxa"/>
          </w:tcPr>
          <w:p w14:paraId="046986E6" w14:textId="61212FF6" w:rsidR="00454473" w:rsidRPr="00023C89" w:rsidRDefault="00C378E4" w:rsidP="00326E8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Total Other Financing Sources</w:t>
            </w:r>
          </w:p>
        </w:tc>
        <w:tc>
          <w:tcPr>
            <w:tcW w:w="2340" w:type="dxa"/>
          </w:tcPr>
          <w:p w14:paraId="5F68CFAA" w14:textId="34705E00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530" w:type="dxa"/>
          </w:tcPr>
          <w:p w14:paraId="52F389BE" w14:textId="18B0E3AC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525" w:type="dxa"/>
          </w:tcPr>
          <w:p w14:paraId="63F827D2" w14:textId="059DBEEA" w:rsidR="00454473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A933B9" w:rsidRPr="00023C89" w14:paraId="0FE67FA6" w14:textId="77777777" w:rsidTr="00E26437">
        <w:tc>
          <w:tcPr>
            <w:tcW w:w="3955" w:type="dxa"/>
          </w:tcPr>
          <w:p w14:paraId="7DE7E4C6" w14:textId="3202709C" w:rsidR="00BD0729" w:rsidRPr="00023C89" w:rsidRDefault="00C378E4" w:rsidP="00BD07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Excess </w:t>
            </w:r>
            <w:proofErr w:type="gramStart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gramEnd"/>
            <w:r w:rsidRPr="00023C89">
              <w:rPr>
                <w:rFonts w:ascii="Times New Roman" w:hAnsi="Times New Roman" w:cs="Times New Roman"/>
                <w:sz w:val="20"/>
                <w:szCs w:val="20"/>
              </w:rPr>
              <w:t xml:space="preserve"> Revenues And Other</w:t>
            </w:r>
          </w:p>
          <w:p w14:paraId="1352DC26" w14:textId="2A80CA7B" w:rsidR="00A933B9" w:rsidRPr="00023C89" w:rsidRDefault="00C378E4" w:rsidP="00AA785D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Financing Sources Less</w:t>
            </w:r>
            <w:r w:rsidR="00AA7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Expenditures</w:t>
            </w:r>
          </w:p>
        </w:tc>
        <w:tc>
          <w:tcPr>
            <w:tcW w:w="2340" w:type="dxa"/>
          </w:tcPr>
          <w:p w14:paraId="40A31410" w14:textId="77777777" w:rsidR="00AA785D" w:rsidRDefault="00AA785D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45074" w14:textId="29E49133" w:rsidR="00A933B9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(146,000)</w:t>
            </w:r>
          </w:p>
        </w:tc>
        <w:tc>
          <w:tcPr>
            <w:tcW w:w="1530" w:type="dxa"/>
          </w:tcPr>
          <w:p w14:paraId="468D5BAF" w14:textId="77777777" w:rsidR="00AA785D" w:rsidRDefault="00AA785D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F6A41" w14:textId="4B458F0A" w:rsidR="00A933B9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250,000</w:t>
            </w:r>
          </w:p>
        </w:tc>
        <w:tc>
          <w:tcPr>
            <w:tcW w:w="1525" w:type="dxa"/>
          </w:tcPr>
          <w:p w14:paraId="6957E4AE" w14:textId="77777777" w:rsidR="00AA785D" w:rsidRDefault="00AA785D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BF9AE" w14:textId="38031560" w:rsidR="00A933B9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</w:tr>
      <w:tr w:rsidR="00A91A96" w:rsidRPr="00023C89" w14:paraId="772EFE12" w14:textId="77777777" w:rsidTr="00E26437">
        <w:tc>
          <w:tcPr>
            <w:tcW w:w="3955" w:type="dxa"/>
          </w:tcPr>
          <w:p w14:paraId="02D067B4" w14:textId="2C11F787" w:rsidR="00A91A96" w:rsidRPr="00023C89" w:rsidRDefault="00C378E4" w:rsidP="00BD07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Fund Balance--Beginning</w:t>
            </w:r>
          </w:p>
        </w:tc>
        <w:tc>
          <w:tcPr>
            <w:tcW w:w="2340" w:type="dxa"/>
          </w:tcPr>
          <w:p w14:paraId="102718EB" w14:textId="01A190D1" w:rsidR="00A91A96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0" w:type="dxa"/>
          </w:tcPr>
          <w:p w14:paraId="46F3AF83" w14:textId="035552D6" w:rsidR="00A91A96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5" w:type="dxa"/>
          </w:tcPr>
          <w:p w14:paraId="0DA111A7" w14:textId="66E392B0" w:rsidR="00A91A96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2800" w:rsidRPr="00023C89" w14:paraId="71BF82CD" w14:textId="77777777" w:rsidTr="00E26437">
        <w:tc>
          <w:tcPr>
            <w:tcW w:w="3955" w:type="dxa"/>
          </w:tcPr>
          <w:p w14:paraId="381EFE9D" w14:textId="06B95F8D" w:rsidR="00622800" w:rsidRPr="00023C89" w:rsidRDefault="00C378E4" w:rsidP="00BD07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sz w:val="20"/>
                <w:szCs w:val="20"/>
              </w:rPr>
              <w:t>Fund Balance--Ending</w:t>
            </w:r>
          </w:p>
        </w:tc>
        <w:tc>
          <w:tcPr>
            <w:tcW w:w="2340" w:type="dxa"/>
          </w:tcPr>
          <w:p w14:paraId="181A9CD6" w14:textId="00D4717A" w:rsidR="00622800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(146,000)</w:t>
            </w:r>
          </w:p>
        </w:tc>
        <w:tc>
          <w:tcPr>
            <w:tcW w:w="1530" w:type="dxa"/>
          </w:tcPr>
          <w:p w14:paraId="4FFF8260" w14:textId="5CE54066" w:rsidR="00622800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250,000</w:t>
            </w:r>
          </w:p>
        </w:tc>
        <w:tc>
          <w:tcPr>
            <w:tcW w:w="1525" w:type="dxa"/>
          </w:tcPr>
          <w:p w14:paraId="18398567" w14:textId="16810584" w:rsidR="00622800" w:rsidRPr="00023C89" w:rsidRDefault="00C378E4" w:rsidP="00C378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3C89">
              <w:rPr>
                <w:rFonts w:ascii="Times New Roman" w:hAnsi="Times New Roman" w:cs="Times New Roman"/>
                <w:bCs/>
                <w:sz w:val="20"/>
                <w:szCs w:val="20"/>
              </w:rPr>
              <w:t>4,000</w:t>
            </w:r>
          </w:p>
        </w:tc>
      </w:tr>
    </w:tbl>
    <w:p w14:paraId="3E08C7B2" w14:textId="005D2023" w:rsidR="007D139D" w:rsidRDefault="00C378E4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  <w:r>
        <w:rPr>
          <w:rFonts w:ascii="Times New Roman" w:hAnsi="Times New Roman" w:cs="Times New Roman"/>
          <w:sz w:val="17"/>
          <w:szCs w:val="17"/>
        </w:rPr>
        <w:t>Assumptions regarding above illustrations:</w:t>
      </w:r>
    </w:p>
    <w:p w14:paraId="71E1C596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sz w:val="18"/>
        </w:rPr>
        <w:t>1. Resources for construction included (a) $100,000 operating transfer from the General</w:t>
      </w:r>
    </w:p>
    <w:p w14:paraId="7D660818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sz w:val="18"/>
        </w:rPr>
        <w:t>Fund, (b) $400,000 special assessment bonds, and (c) $100,000 from the initial</w:t>
      </w:r>
    </w:p>
    <w:p w14:paraId="4E51839E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sz w:val="18"/>
        </w:rPr>
        <w:t>special assessment of property owners.</w:t>
      </w:r>
    </w:p>
    <w:p w14:paraId="28332AD4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sz w:val="18"/>
        </w:rPr>
        <w:t>2. Contract price for construction is $595,000; at year-end $350,000 had been billed</w:t>
      </w:r>
    </w:p>
    <w:p w14:paraId="4DFEC61B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sz w:val="18"/>
        </w:rPr>
        <w:t>and $300,000 had been paid.</w:t>
      </w:r>
    </w:p>
    <w:p w14:paraId="4202D166" w14:textId="77777777" w:rsidR="00326E8D" w:rsidRPr="00037E2D" w:rsidRDefault="00326E8D" w:rsidP="00037E2D">
      <w:pPr>
        <w:pStyle w:val="NoSpacing"/>
        <w:rPr>
          <w:sz w:val="18"/>
        </w:rPr>
      </w:pPr>
      <w:r w:rsidRPr="00037E2D">
        <w:rPr>
          <w:bCs/>
          <w:sz w:val="18"/>
        </w:rPr>
        <w:t xml:space="preserve">3. Interest income and expense are collected and </w:t>
      </w:r>
      <w:r w:rsidRPr="00037E2D">
        <w:rPr>
          <w:sz w:val="18"/>
        </w:rPr>
        <w:t>paid at the same time; therefore, the</w:t>
      </w:r>
    </w:p>
    <w:p w14:paraId="01281CDC" w14:textId="77777777" w:rsidR="00326E8D" w:rsidRPr="00037E2D" w:rsidRDefault="00326E8D" w:rsidP="00037E2D">
      <w:pPr>
        <w:pStyle w:val="NoSpacing"/>
        <w:rPr>
          <w:bCs/>
          <w:sz w:val="18"/>
        </w:rPr>
      </w:pPr>
      <w:r w:rsidRPr="00037E2D">
        <w:rPr>
          <w:bCs/>
          <w:sz w:val="18"/>
        </w:rPr>
        <w:t>modified accrual basis of accounting is appropriate.</w:t>
      </w:r>
    </w:p>
    <w:p w14:paraId="7AE7DF7D" w14:textId="77777777" w:rsidR="00037E2D" w:rsidRDefault="00037E2D" w:rsidP="00326E8D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65B9D586" w14:textId="4B289D87" w:rsidR="00326E8D" w:rsidRDefault="00326E8D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capital projects fund is used for all activities relating to construction. The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proceeds from the sale of the special assessment bonds and operating transfers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other governmental funds are both shown on the Statement of Revenues, Expenditures,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and Changes in Fund Balance as "Other Financing Sources." The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initial assessment of property owners benefited by the improvement is recorded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as revenue (</w:t>
      </w:r>
      <w:proofErr w:type="gramStart"/>
      <w:r w:rsidRPr="00C55499">
        <w:rPr>
          <w:rFonts w:cstheme="minorHAnsi"/>
          <w:sz w:val="22"/>
        </w:rPr>
        <w:t>assuming that</w:t>
      </w:r>
      <w:proofErr w:type="gramEnd"/>
      <w:r w:rsidRPr="00C55499">
        <w:rPr>
          <w:rFonts w:cstheme="minorHAnsi"/>
          <w:sz w:val="22"/>
        </w:rPr>
        <w:t xml:space="preserve"> the proceeds from this original installment are used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construction-related expenditures). Accounting for the expenditures remains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unchanged.</w:t>
      </w:r>
    </w:p>
    <w:p w14:paraId="70302932" w14:textId="77777777" w:rsidR="008D1B33" w:rsidRPr="00C55499" w:rsidRDefault="008D1B33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</w:p>
    <w:p w14:paraId="25415AFC" w14:textId="77777777" w:rsidR="00C55499" w:rsidRPr="00C55499" w:rsidRDefault="00C55499" w:rsidP="00037E2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2"/>
        </w:rPr>
      </w:pPr>
      <w:r w:rsidRPr="00C55499">
        <w:rPr>
          <w:rFonts w:cstheme="minorHAnsi"/>
          <w:sz w:val="22"/>
        </w:rPr>
        <w:t xml:space="preserve">26 </w:t>
      </w:r>
      <w:r w:rsidRPr="00C55499">
        <w:rPr>
          <w:rFonts w:cstheme="minorHAnsi"/>
          <w:i/>
          <w:iCs/>
          <w:sz w:val="22"/>
        </w:rPr>
        <w:t xml:space="preserve">Akron Business and Economic Review </w:t>
      </w:r>
      <w:r w:rsidRPr="00C55499">
        <w:rPr>
          <w:rFonts w:cstheme="minorHAnsi"/>
          <w:sz w:val="22"/>
        </w:rPr>
        <w:t>Spring</w:t>
      </w:r>
    </w:p>
    <w:p w14:paraId="574C3F33" w14:textId="77777777" w:rsidR="00037E2D" w:rsidRDefault="00037E2D" w:rsidP="00C55499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sz w:val="22"/>
        </w:rPr>
      </w:pPr>
    </w:p>
    <w:p w14:paraId="353EC007" w14:textId="05CF353B" w:rsidR="00C55499" w:rsidRPr="00C55499" w:rsidRDefault="00C55499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debt service fund is used for all financing aspects of the capital project.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primary change involves the recording of assessments to be collected after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first year as both a receivable and a deferred revenue on that fund's balance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sheet. As these assessments and related interest are collected, these items are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recognized as revenues. Payments for interest expense and retirement of principal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special assessment bonds are now reported in this fund in the same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manner as all other interest expenditures and principal retirements.</w:t>
      </w:r>
    </w:p>
    <w:p w14:paraId="4AB4E97C" w14:textId="25B637A1" w:rsidR="00C55499" w:rsidRPr="00C55499" w:rsidRDefault="00C55499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The general long-term obligations account group previously included only debt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which the governmental unit had a direct obligation (usually general obligation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bonds). This account group now includes special assessment bonds for which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unit has either direct or secondary obligation for their repayment.</w:t>
      </w:r>
    </w:p>
    <w:p w14:paraId="26CEC5DA" w14:textId="68E0403B" w:rsidR="00C55499" w:rsidRPr="00C55499" w:rsidRDefault="00C55499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It must again be emphasized that the above reporting for special assessment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activity is consistent with all state laws, even those requiring separate accounting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special assessment activity. As the GASB concluded, a separate type of fund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used exclusively for special assessments was unnecessary; requirements for separate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accounts are met </w:t>
      </w:r>
      <w:proofErr w:type="gramStart"/>
      <w:r w:rsidRPr="00C55499">
        <w:rPr>
          <w:rFonts w:cstheme="minorHAnsi"/>
          <w:sz w:val="22"/>
        </w:rPr>
        <w:t>through the use of</w:t>
      </w:r>
      <w:proofErr w:type="gramEnd"/>
      <w:r w:rsidRPr="00C55499">
        <w:rPr>
          <w:rFonts w:cstheme="minorHAnsi"/>
          <w:sz w:val="22"/>
        </w:rPr>
        <w:t xml:space="preserve"> individual capital projects and debt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service funds for each special assessment project.</w:t>
      </w:r>
    </w:p>
    <w:p w14:paraId="6588F4D7" w14:textId="77777777" w:rsidR="00C55499" w:rsidRPr="00C55499" w:rsidRDefault="00C55499" w:rsidP="00767FCF">
      <w:pPr>
        <w:pStyle w:val="Heading1"/>
      </w:pPr>
      <w:r w:rsidRPr="00C55499">
        <w:t>CONCLUSION</w:t>
      </w:r>
    </w:p>
    <w:p w14:paraId="5044D9CE" w14:textId="148C7EB0" w:rsidR="00C55499" w:rsidRPr="00C55499" w:rsidRDefault="00C55499" w:rsidP="008D1B3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GASB Statement No. 6, "Accounting and Financial Reporting for Special Assessments,"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eliminates the special assessment fund type for financial reporting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purposes for periods beginning after June 15, 1987. The Statement discusses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the accounting and financial reporting for services and capital improvements that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are financed in whole or in part by special assessments paid by the property owners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receiving the services or benefiting from the capital improvements. With respect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to capital improvements, the Statement distinguishes between projects for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which general government is obligated </w:t>
      </w:r>
      <w:r w:rsidRPr="00C55499">
        <w:rPr>
          <w:rFonts w:cstheme="minorHAnsi"/>
          <w:sz w:val="22"/>
        </w:rPr>
        <w:lastRenderedPageBreak/>
        <w:t>for payment of the debt should property</w:t>
      </w:r>
      <w:r w:rsidR="008D1B33">
        <w:rPr>
          <w:rFonts w:cstheme="minorHAnsi"/>
          <w:sz w:val="22"/>
        </w:rPr>
        <w:t xml:space="preserve"> </w:t>
      </w:r>
      <w:proofErr w:type="gramStart"/>
      <w:r w:rsidRPr="00C55499">
        <w:rPr>
          <w:rFonts w:cstheme="minorHAnsi"/>
          <w:sz w:val="22"/>
        </w:rPr>
        <w:t>owners</w:t>
      </w:r>
      <w:proofErr w:type="gramEnd"/>
      <w:r w:rsidRPr="00C55499">
        <w:rPr>
          <w:rFonts w:cstheme="minorHAnsi"/>
          <w:sz w:val="22"/>
        </w:rPr>
        <w:t xml:space="preserve"> default and those for which the general government has no obligation</w:t>
      </w:r>
      <w:r w:rsidR="008D1B33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for the related debt service.</w:t>
      </w:r>
    </w:p>
    <w:p w14:paraId="7C64A619" w14:textId="77777777" w:rsidR="00C55499" w:rsidRPr="00C55499" w:rsidRDefault="00C55499" w:rsidP="00767FCF">
      <w:pPr>
        <w:pStyle w:val="Heading1"/>
      </w:pPr>
      <w:r w:rsidRPr="00C55499">
        <w:t>REFERENCES</w:t>
      </w:r>
    </w:p>
    <w:p w14:paraId="3C450D5C" w14:textId="77777777" w:rsidR="00C55499" w:rsidRPr="00C55499" w:rsidRDefault="00C55499" w:rsidP="00767FC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1. Governmental Accounting Standards Board. '' Accounting and Financial Reporting for Special Assessments (Discussion</w:t>
      </w:r>
      <w:r w:rsidR="00767FC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Memorandum)." Stamford, Connecticut: Governmental Accounting Standards Board, </w:t>
      </w:r>
      <w:proofErr w:type="gramStart"/>
      <w:r w:rsidRPr="00C55499">
        <w:rPr>
          <w:rFonts w:cstheme="minorHAnsi"/>
          <w:sz w:val="22"/>
        </w:rPr>
        <w:t>October,</w:t>
      </w:r>
      <w:proofErr w:type="gramEnd"/>
      <w:r w:rsidRPr="00C55499">
        <w:rPr>
          <w:rFonts w:cstheme="minorHAnsi"/>
          <w:sz w:val="22"/>
        </w:rPr>
        <w:t xml:space="preserve"> 1985.</w:t>
      </w:r>
    </w:p>
    <w:p w14:paraId="401E5B10" w14:textId="77777777" w:rsidR="00C55499" w:rsidRPr="00C55499" w:rsidRDefault="00C55499" w:rsidP="00767FC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2. _____</w:t>
      </w:r>
      <w:proofErr w:type="gramStart"/>
      <w:r w:rsidRPr="00C55499">
        <w:rPr>
          <w:rFonts w:cstheme="minorHAnsi"/>
          <w:sz w:val="22"/>
        </w:rPr>
        <w:t>_ .</w:t>
      </w:r>
      <w:proofErr w:type="gramEnd"/>
      <w:r w:rsidRPr="00C55499">
        <w:rPr>
          <w:rFonts w:cstheme="minorHAnsi"/>
          <w:sz w:val="22"/>
        </w:rPr>
        <w:t xml:space="preserve"> "Accounting and Financial Reporting for Special Assessments (Exposure Draft)." Stamford,</w:t>
      </w:r>
      <w:r w:rsidR="00767FC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Connecticut: Governmental Accounting Standards Board, </w:t>
      </w:r>
      <w:proofErr w:type="gramStart"/>
      <w:r w:rsidRPr="00C55499">
        <w:rPr>
          <w:rFonts w:cstheme="minorHAnsi"/>
          <w:sz w:val="22"/>
        </w:rPr>
        <w:t>July,</w:t>
      </w:r>
      <w:proofErr w:type="gramEnd"/>
      <w:r w:rsidRPr="00C55499">
        <w:rPr>
          <w:rFonts w:cstheme="minorHAnsi"/>
          <w:sz w:val="22"/>
        </w:rPr>
        <w:t xml:space="preserve"> 1986.</w:t>
      </w:r>
    </w:p>
    <w:p w14:paraId="67984A14" w14:textId="77777777" w:rsidR="00C55499" w:rsidRPr="00C55499" w:rsidRDefault="00C55499" w:rsidP="00767FC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3. _____</w:t>
      </w:r>
      <w:proofErr w:type="gramStart"/>
      <w:r w:rsidRPr="00C55499">
        <w:rPr>
          <w:rFonts w:cstheme="minorHAnsi"/>
          <w:sz w:val="22"/>
        </w:rPr>
        <w:t>_ .</w:t>
      </w:r>
      <w:proofErr w:type="gramEnd"/>
      <w:r w:rsidRPr="00C55499">
        <w:rPr>
          <w:rFonts w:cstheme="minorHAnsi"/>
          <w:sz w:val="22"/>
        </w:rPr>
        <w:t xml:space="preserve"> "Accounting and Financial Reporting for Special Assessments (Statement No. 6)." Stamford.</w:t>
      </w:r>
      <w:r w:rsidR="00767FC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Connecticut: Governmental Accounting Standards Board, </w:t>
      </w:r>
      <w:proofErr w:type="gramStart"/>
      <w:r w:rsidRPr="00C55499">
        <w:rPr>
          <w:rFonts w:cstheme="minorHAnsi"/>
          <w:sz w:val="22"/>
        </w:rPr>
        <w:t>January,</w:t>
      </w:r>
      <w:proofErr w:type="gramEnd"/>
      <w:r w:rsidRPr="00C55499">
        <w:rPr>
          <w:rFonts w:cstheme="minorHAnsi"/>
          <w:sz w:val="22"/>
        </w:rPr>
        <w:t xml:space="preserve"> 1987. Included in GASB, </w:t>
      </w:r>
      <w:r w:rsidRPr="00C55499">
        <w:rPr>
          <w:rFonts w:cstheme="minorHAnsi"/>
          <w:i/>
          <w:iCs/>
          <w:sz w:val="22"/>
        </w:rPr>
        <w:t>Codification</w:t>
      </w:r>
      <w:r w:rsidR="007E5ECF">
        <w:rPr>
          <w:rFonts w:cstheme="minorHAnsi"/>
          <w:i/>
          <w:iCs/>
          <w:sz w:val="22"/>
        </w:rPr>
        <w:t xml:space="preserve"> </w:t>
      </w:r>
      <w:r w:rsidRPr="00C55499">
        <w:rPr>
          <w:rFonts w:cstheme="minorHAnsi"/>
          <w:i/>
          <w:iCs/>
          <w:sz w:val="22"/>
        </w:rPr>
        <w:t xml:space="preserve">of Governmental Accounting and Financial Reporting Standards as of June 15, 1987, </w:t>
      </w:r>
      <w:r w:rsidRPr="00C55499">
        <w:rPr>
          <w:rFonts w:cstheme="minorHAnsi"/>
          <w:sz w:val="22"/>
        </w:rPr>
        <w:t>Stamford, Connecticut, Section</w:t>
      </w:r>
      <w:r w:rsidR="007E5EC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>S40.</w:t>
      </w:r>
    </w:p>
    <w:p w14:paraId="585ED63A" w14:textId="77777777" w:rsidR="00326E8D" w:rsidRPr="00C55499" w:rsidRDefault="00C55499" w:rsidP="007E5ECF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sz w:val="22"/>
        </w:rPr>
      </w:pPr>
      <w:r w:rsidRPr="00C55499">
        <w:rPr>
          <w:rFonts w:cstheme="minorHAnsi"/>
          <w:sz w:val="22"/>
        </w:rPr>
        <w:t>4. National Council on Governmental Accounting. "Governmental Accounting and Financial Reporting Principles</w:t>
      </w:r>
      <w:r w:rsidR="007E5ECF">
        <w:rPr>
          <w:rFonts w:cstheme="minorHAnsi"/>
          <w:sz w:val="22"/>
        </w:rPr>
        <w:t xml:space="preserve"> </w:t>
      </w:r>
      <w:r w:rsidRPr="00C55499">
        <w:rPr>
          <w:rFonts w:cstheme="minorHAnsi"/>
          <w:sz w:val="22"/>
        </w:rPr>
        <w:t xml:space="preserve">(Statement No. 1)." Chicago, Illinois: </w:t>
      </w:r>
      <w:r w:rsidRPr="007E5ECF">
        <w:rPr>
          <w:rFonts w:cstheme="minorHAnsi"/>
          <w:bCs/>
          <w:sz w:val="22"/>
        </w:rPr>
        <w:t>National</w:t>
      </w:r>
      <w:r w:rsidRPr="00C55499">
        <w:rPr>
          <w:rFonts w:cstheme="minorHAnsi"/>
          <w:b/>
          <w:bCs/>
          <w:sz w:val="22"/>
        </w:rPr>
        <w:t xml:space="preserve"> </w:t>
      </w:r>
      <w:r w:rsidRPr="00C55499">
        <w:rPr>
          <w:rFonts w:cstheme="minorHAnsi"/>
          <w:sz w:val="22"/>
        </w:rPr>
        <w:t>Council on Governmental Accounting, 1979.</w:t>
      </w:r>
    </w:p>
    <w:sectPr w:rsidR="00326E8D" w:rsidRPr="00C5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WBehvsLpZfUTmma8/4DeLhYnJG9TnikpsFfIGLYl7JsCVbc4/lljXtJ5oH3UlA/xLTjfqd0UoL1eME0j8lKfeQ==" w:salt="VK0zJGKBMGfHFm69NDeFt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8F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3C89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37E2D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5E6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3EB0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A65AB"/>
    <w:rsid w:val="001B138C"/>
    <w:rsid w:val="001B2D35"/>
    <w:rsid w:val="001B3C8F"/>
    <w:rsid w:val="001B4979"/>
    <w:rsid w:val="001B6E76"/>
    <w:rsid w:val="001C06CD"/>
    <w:rsid w:val="001C2604"/>
    <w:rsid w:val="001C3A3F"/>
    <w:rsid w:val="001C436E"/>
    <w:rsid w:val="001C5F63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638D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35646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7FA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508F"/>
    <w:rsid w:val="002C6160"/>
    <w:rsid w:val="002C7C23"/>
    <w:rsid w:val="002D02F2"/>
    <w:rsid w:val="002D05E3"/>
    <w:rsid w:val="002D06EE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3E9C"/>
    <w:rsid w:val="00304B99"/>
    <w:rsid w:val="00305181"/>
    <w:rsid w:val="00305FF6"/>
    <w:rsid w:val="0030615E"/>
    <w:rsid w:val="003115C6"/>
    <w:rsid w:val="00311ABE"/>
    <w:rsid w:val="00313440"/>
    <w:rsid w:val="00313AF8"/>
    <w:rsid w:val="00314FCD"/>
    <w:rsid w:val="00315692"/>
    <w:rsid w:val="00324290"/>
    <w:rsid w:val="003259C5"/>
    <w:rsid w:val="00326409"/>
    <w:rsid w:val="00326E8D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2640"/>
    <w:rsid w:val="0038265C"/>
    <w:rsid w:val="00383740"/>
    <w:rsid w:val="003842A0"/>
    <w:rsid w:val="00384AF3"/>
    <w:rsid w:val="00384F47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3A69"/>
    <w:rsid w:val="004441CB"/>
    <w:rsid w:val="00445DAC"/>
    <w:rsid w:val="00450416"/>
    <w:rsid w:val="00450DB8"/>
    <w:rsid w:val="00450FCC"/>
    <w:rsid w:val="0045279A"/>
    <w:rsid w:val="00453D2C"/>
    <w:rsid w:val="00454473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BAD"/>
    <w:rsid w:val="004B0F40"/>
    <w:rsid w:val="004B1076"/>
    <w:rsid w:val="004B2226"/>
    <w:rsid w:val="004B35CF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002B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48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4DD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47F3"/>
    <w:rsid w:val="005C619B"/>
    <w:rsid w:val="005C663B"/>
    <w:rsid w:val="005C6C79"/>
    <w:rsid w:val="005D1410"/>
    <w:rsid w:val="005D1C38"/>
    <w:rsid w:val="005D1ED6"/>
    <w:rsid w:val="005D4EF8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2800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14C"/>
    <w:rsid w:val="00765995"/>
    <w:rsid w:val="00767FCF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139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5ECF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0BC4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8D7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53E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052B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B33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6EAC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1663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1E09"/>
    <w:rsid w:val="009A2639"/>
    <w:rsid w:val="009A397F"/>
    <w:rsid w:val="009B4970"/>
    <w:rsid w:val="009B4F83"/>
    <w:rsid w:val="009B5DDC"/>
    <w:rsid w:val="009B6983"/>
    <w:rsid w:val="009B7813"/>
    <w:rsid w:val="009B783F"/>
    <w:rsid w:val="009B795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326"/>
    <w:rsid w:val="009F66B0"/>
    <w:rsid w:val="009F6FE5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529"/>
    <w:rsid w:val="00A207B7"/>
    <w:rsid w:val="00A22225"/>
    <w:rsid w:val="00A231A4"/>
    <w:rsid w:val="00A24FF6"/>
    <w:rsid w:val="00A27965"/>
    <w:rsid w:val="00A27A9F"/>
    <w:rsid w:val="00A310DA"/>
    <w:rsid w:val="00A31784"/>
    <w:rsid w:val="00A32FCB"/>
    <w:rsid w:val="00A34262"/>
    <w:rsid w:val="00A3561C"/>
    <w:rsid w:val="00A356DE"/>
    <w:rsid w:val="00A400BC"/>
    <w:rsid w:val="00A4029B"/>
    <w:rsid w:val="00A40701"/>
    <w:rsid w:val="00A40D62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A96"/>
    <w:rsid w:val="00A91CF2"/>
    <w:rsid w:val="00A933B9"/>
    <w:rsid w:val="00A93BA4"/>
    <w:rsid w:val="00A9416E"/>
    <w:rsid w:val="00A9518D"/>
    <w:rsid w:val="00A95E52"/>
    <w:rsid w:val="00AA0723"/>
    <w:rsid w:val="00AA1794"/>
    <w:rsid w:val="00AA2739"/>
    <w:rsid w:val="00AA30B5"/>
    <w:rsid w:val="00AA4696"/>
    <w:rsid w:val="00AA493D"/>
    <w:rsid w:val="00AA785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40C5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2CFF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6F4F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729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1A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378E4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499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0EFD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13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DE0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3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044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DA7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6DEE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3AF1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AF2E912"/>
  <w15:chartTrackingRefBased/>
  <w15:docId w15:val="{D97B8C77-6B12-42A9-A5A3-C26814A9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paragraph" w:styleId="BodyText">
    <w:name w:val="Body Text"/>
    <w:basedOn w:val="Normal"/>
    <w:link w:val="BodyTextChar"/>
    <w:uiPriority w:val="1"/>
    <w:qFormat/>
    <w:rsid w:val="00326E8D"/>
    <w:pPr>
      <w:autoSpaceDE w:val="0"/>
      <w:autoSpaceDN w:val="0"/>
      <w:adjustRightInd w:val="0"/>
      <w:spacing w:after="0" w:line="240" w:lineRule="auto"/>
      <w:jc w:val="left"/>
    </w:pPr>
    <w:rPr>
      <w:rFonts w:ascii="Courier New" w:hAnsi="Courier New" w:cs="Courier New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326E8D"/>
    <w:rPr>
      <w:rFonts w:ascii="Courier New" w:hAnsi="Courier New" w:cs="Courier New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4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A6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1666B7-71B6-4BCE-814E-1B05BC6B4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44702-8B02-4150-8B51-C53C4B3BE2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64AB5-6E34-4EF5-8C35-F2C78411132E}">
  <ds:schemaRefs>
    <ds:schemaRef ds:uri="http://purl.org/dc/terms/"/>
    <ds:schemaRef ds:uri="1dc5a16d-a9e1-4107-81af-b56e13c8526c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55b151d-75b8-4438-a72d-e06b314124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3500</Words>
  <Characters>19950</Characters>
  <Application>Microsoft Office Word</Application>
  <DocSecurity>8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52</cp:revision>
  <dcterms:created xsi:type="dcterms:W3CDTF">2019-04-11T14:09:00Z</dcterms:created>
  <dcterms:modified xsi:type="dcterms:W3CDTF">2019-04-11T15:24:00Z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