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A0642B" w:rsidRDefault="000A7622" w:rsidP="000A7622">
      <w:pPr>
        <w:pStyle w:val="Default"/>
        <w:rPr>
          <w:rFonts w:asciiTheme="minorHAnsi" w:hAnsiTheme="minorHAnsi" w:cstheme="minorHAnsi"/>
          <w:sz w:val="22"/>
          <w:szCs w:val="22"/>
        </w:rPr>
      </w:pPr>
    </w:p>
    <w:p w14:paraId="2538F7F5" w14:textId="77777777" w:rsidR="000A7622" w:rsidRPr="00A0642B"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A0642B">
        <w:rPr>
          <w:rFonts w:cstheme="minorHAnsi"/>
          <w:b/>
          <w:bCs/>
          <w:color w:val="316192"/>
          <w:sz w:val="28"/>
          <w:szCs w:val="26"/>
        </w:rPr>
        <w:t>Marquette University</w:t>
      </w:r>
    </w:p>
    <w:p w14:paraId="158D4B9F" w14:textId="77777777" w:rsidR="000A7622" w:rsidRPr="00A0642B" w:rsidRDefault="000A7622" w:rsidP="00D14423">
      <w:pPr>
        <w:autoSpaceDE w:val="0"/>
        <w:autoSpaceDN w:val="0"/>
        <w:adjustRightInd w:val="0"/>
        <w:rPr>
          <w:rFonts w:cstheme="minorHAnsi"/>
          <w:b/>
          <w:bCs/>
          <w:color w:val="316192"/>
          <w:sz w:val="40"/>
          <w:szCs w:val="36"/>
        </w:rPr>
      </w:pPr>
      <w:r w:rsidRPr="00A0642B">
        <w:rPr>
          <w:rFonts w:cstheme="minorHAnsi"/>
          <w:b/>
          <w:bCs/>
          <w:color w:val="316192"/>
          <w:sz w:val="40"/>
          <w:szCs w:val="36"/>
        </w:rPr>
        <w:t>e-Publications@Marquette</w:t>
      </w:r>
    </w:p>
    <w:p w14:paraId="689ACF87" w14:textId="77777777" w:rsidR="000A7622" w:rsidRPr="00A0642B" w:rsidRDefault="000A7622" w:rsidP="00D14423">
      <w:pPr>
        <w:autoSpaceDE w:val="0"/>
        <w:autoSpaceDN w:val="0"/>
        <w:adjustRightInd w:val="0"/>
        <w:rPr>
          <w:rFonts w:cstheme="minorHAnsi"/>
          <w:b/>
          <w:bCs/>
          <w:i/>
          <w:iCs/>
        </w:rPr>
      </w:pPr>
    </w:p>
    <w:p w14:paraId="161853CC" w14:textId="5288E12A" w:rsidR="000A7622" w:rsidRPr="00A0642B" w:rsidRDefault="00DB4879" w:rsidP="00D14423">
      <w:pPr>
        <w:autoSpaceDE w:val="0"/>
        <w:autoSpaceDN w:val="0"/>
        <w:adjustRightInd w:val="0"/>
        <w:rPr>
          <w:rFonts w:cstheme="minorHAnsi"/>
          <w:b/>
          <w:bCs/>
          <w:i/>
          <w:iCs/>
          <w:sz w:val="32"/>
          <w:szCs w:val="32"/>
        </w:rPr>
      </w:pPr>
      <w:r w:rsidRPr="00A0642B">
        <w:rPr>
          <w:rFonts w:cstheme="minorHAnsi"/>
          <w:b/>
          <w:bCs/>
          <w:i/>
          <w:iCs/>
          <w:sz w:val="32"/>
          <w:szCs w:val="32"/>
        </w:rPr>
        <w:t xml:space="preserve">Accounting </w:t>
      </w:r>
      <w:r w:rsidR="000A7622" w:rsidRPr="00A0642B">
        <w:rPr>
          <w:rFonts w:cstheme="minorHAnsi"/>
          <w:b/>
          <w:bCs/>
          <w:i/>
          <w:iCs/>
          <w:sz w:val="32"/>
          <w:szCs w:val="32"/>
        </w:rPr>
        <w:t>Faculty Research and Publications/</w:t>
      </w:r>
      <w:r w:rsidR="009732A9" w:rsidRPr="00A0642B">
        <w:rPr>
          <w:rFonts w:cstheme="minorHAnsi"/>
          <w:b/>
          <w:bCs/>
          <w:i/>
          <w:iCs/>
          <w:sz w:val="32"/>
          <w:szCs w:val="32"/>
        </w:rPr>
        <w:t xml:space="preserve">College of </w:t>
      </w:r>
      <w:r w:rsidRPr="00A0642B">
        <w:rPr>
          <w:rFonts w:cstheme="minorHAnsi"/>
          <w:b/>
          <w:bCs/>
          <w:i/>
          <w:iCs/>
          <w:sz w:val="32"/>
          <w:szCs w:val="32"/>
        </w:rPr>
        <w:t>Business</w:t>
      </w:r>
    </w:p>
    <w:bookmarkEnd w:id="0"/>
    <w:p w14:paraId="3E538636" w14:textId="77777777" w:rsidR="000A7622" w:rsidRPr="00A0642B" w:rsidRDefault="000A7622" w:rsidP="00D14423">
      <w:pPr>
        <w:jc w:val="center"/>
        <w:rPr>
          <w:rFonts w:cstheme="minorHAnsi"/>
          <w:b/>
          <w:bCs/>
          <w:i/>
          <w:iCs/>
        </w:rPr>
      </w:pPr>
    </w:p>
    <w:p w14:paraId="25509BF0" w14:textId="28841EF8" w:rsidR="000A7622" w:rsidRPr="00A0642B" w:rsidRDefault="000A7622" w:rsidP="00D14423">
      <w:pPr>
        <w:jc w:val="center"/>
        <w:rPr>
          <w:rFonts w:cstheme="minorHAnsi"/>
          <w:sz w:val="24"/>
          <w:szCs w:val="24"/>
        </w:rPr>
      </w:pPr>
      <w:r w:rsidRPr="00A0642B">
        <w:rPr>
          <w:rFonts w:cstheme="minorHAnsi"/>
          <w:b/>
          <w:bCs/>
          <w:i/>
          <w:iCs/>
          <w:sz w:val="24"/>
          <w:szCs w:val="24"/>
        </w:rPr>
        <w:t xml:space="preserve">This paper is NOT THE PUBLISHED VERSION; </w:t>
      </w:r>
      <w:r w:rsidRPr="00A0642B">
        <w:rPr>
          <w:rFonts w:cstheme="minorHAnsi"/>
          <w:b/>
          <w:bCs/>
          <w:sz w:val="24"/>
          <w:szCs w:val="24"/>
        </w:rPr>
        <w:t xml:space="preserve">but the author’s final, peer-reviewed manuscript. </w:t>
      </w:r>
      <w:r w:rsidRPr="00A0642B">
        <w:rPr>
          <w:rFonts w:cstheme="minorHAnsi"/>
          <w:sz w:val="24"/>
          <w:szCs w:val="24"/>
        </w:rPr>
        <w:t>The published version may be accessed by following the link in th</w:t>
      </w:r>
      <w:r w:rsidR="00DA619A" w:rsidRPr="00A0642B">
        <w:rPr>
          <w:rFonts w:cstheme="minorHAnsi"/>
          <w:sz w:val="24"/>
          <w:szCs w:val="24"/>
        </w:rPr>
        <w:t>e</w:t>
      </w:r>
      <w:r w:rsidRPr="00A0642B">
        <w:rPr>
          <w:rFonts w:cstheme="minorHAnsi"/>
          <w:sz w:val="24"/>
          <w:szCs w:val="24"/>
        </w:rPr>
        <w:t xml:space="preserve"> citation below.</w:t>
      </w:r>
    </w:p>
    <w:p w14:paraId="207B0342" w14:textId="77777777" w:rsidR="000A7622" w:rsidRPr="00A0642B" w:rsidRDefault="000A7622" w:rsidP="00D14423">
      <w:pPr>
        <w:jc w:val="center"/>
        <w:rPr>
          <w:rFonts w:cstheme="minorHAnsi"/>
          <w:sz w:val="24"/>
          <w:szCs w:val="24"/>
        </w:rPr>
      </w:pPr>
    </w:p>
    <w:p w14:paraId="2A38AFE1" w14:textId="176ED2DF" w:rsidR="000A7622" w:rsidRDefault="00F15DDE" w:rsidP="00D14423">
      <w:pPr>
        <w:rPr>
          <w:rFonts w:cstheme="minorHAnsi"/>
          <w:sz w:val="24"/>
          <w:szCs w:val="24"/>
        </w:rPr>
      </w:pPr>
      <w:r w:rsidRPr="00A0642B">
        <w:rPr>
          <w:rFonts w:cstheme="minorHAnsi"/>
          <w:i/>
          <w:sz w:val="24"/>
          <w:szCs w:val="24"/>
          <w:lang w:val="fr-FR"/>
        </w:rPr>
        <w:t>School Business Affairs</w:t>
      </w:r>
      <w:r w:rsidR="000A7622" w:rsidRPr="00A0642B">
        <w:rPr>
          <w:rFonts w:cstheme="minorHAnsi"/>
          <w:sz w:val="24"/>
          <w:szCs w:val="24"/>
          <w:lang w:val="fr-FR"/>
        </w:rPr>
        <w:t xml:space="preserve">, Vol. </w:t>
      </w:r>
      <w:r w:rsidR="00C17F66" w:rsidRPr="00A0642B">
        <w:rPr>
          <w:rFonts w:cstheme="minorHAnsi"/>
          <w:sz w:val="24"/>
          <w:szCs w:val="24"/>
          <w:lang w:val="fr-FR"/>
        </w:rPr>
        <w:t>55</w:t>
      </w:r>
      <w:r w:rsidR="000A7622" w:rsidRPr="00A0642B">
        <w:rPr>
          <w:rFonts w:cstheme="minorHAnsi"/>
          <w:sz w:val="24"/>
          <w:szCs w:val="24"/>
          <w:lang w:val="fr-FR"/>
        </w:rPr>
        <w:t xml:space="preserve">, No. </w:t>
      </w:r>
      <w:r w:rsidR="00C17F66" w:rsidRPr="00A0642B">
        <w:rPr>
          <w:rFonts w:cstheme="minorHAnsi"/>
          <w:sz w:val="24"/>
          <w:szCs w:val="24"/>
          <w:lang w:val="fr-FR"/>
        </w:rPr>
        <w:t>10</w:t>
      </w:r>
      <w:r w:rsidR="000A7622" w:rsidRPr="00A0642B">
        <w:rPr>
          <w:rFonts w:cstheme="minorHAnsi"/>
          <w:sz w:val="24"/>
          <w:szCs w:val="24"/>
          <w:lang w:val="fr-FR"/>
        </w:rPr>
        <w:t xml:space="preserve"> (</w:t>
      </w:r>
      <w:r w:rsidR="005A2D42" w:rsidRPr="00A0642B">
        <w:rPr>
          <w:rFonts w:cstheme="minorHAnsi"/>
          <w:sz w:val="24"/>
          <w:szCs w:val="24"/>
          <w:lang w:val="fr-FR"/>
        </w:rPr>
        <w:t>October</w:t>
      </w:r>
      <w:r w:rsidR="005A2D42" w:rsidRPr="00A0642B">
        <w:rPr>
          <w:rFonts w:cstheme="minorHAnsi"/>
          <w:sz w:val="24"/>
          <w:szCs w:val="24"/>
          <w:lang w:val="fr-FR"/>
        </w:rPr>
        <w:t xml:space="preserve"> </w:t>
      </w:r>
      <w:r w:rsidR="00C17F66" w:rsidRPr="00A0642B">
        <w:rPr>
          <w:rFonts w:cstheme="minorHAnsi"/>
          <w:sz w:val="24"/>
          <w:szCs w:val="24"/>
          <w:lang w:val="fr-FR"/>
        </w:rPr>
        <w:t>1989</w:t>
      </w:r>
      <w:r w:rsidR="000A7622" w:rsidRPr="00A0642B">
        <w:rPr>
          <w:rFonts w:cstheme="minorHAnsi"/>
          <w:sz w:val="24"/>
          <w:szCs w:val="24"/>
          <w:lang w:val="fr-FR"/>
        </w:rPr>
        <w:t xml:space="preserve">): </w:t>
      </w:r>
      <w:r w:rsidR="00CC3C26" w:rsidRPr="00A0642B">
        <w:rPr>
          <w:rFonts w:cstheme="minorHAnsi"/>
          <w:sz w:val="24"/>
          <w:szCs w:val="24"/>
          <w:lang w:val="fr-FR"/>
        </w:rPr>
        <w:t>20</w:t>
      </w:r>
      <w:r w:rsidR="000A7622" w:rsidRPr="00A0642B">
        <w:rPr>
          <w:rFonts w:cstheme="minorHAnsi"/>
          <w:sz w:val="24"/>
          <w:szCs w:val="24"/>
          <w:lang w:val="fr-FR"/>
        </w:rPr>
        <w:t>-</w:t>
      </w:r>
      <w:r w:rsidR="00CC3C26" w:rsidRPr="00A0642B">
        <w:rPr>
          <w:rFonts w:cstheme="minorHAnsi"/>
          <w:sz w:val="24"/>
          <w:szCs w:val="24"/>
          <w:lang w:val="fr-FR"/>
        </w:rPr>
        <w:t>27</w:t>
      </w:r>
      <w:r w:rsidR="000A7622" w:rsidRPr="00A0642B">
        <w:rPr>
          <w:rFonts w:cstheme="minorHAnsi"/>
          <w:sz w:val="24"/>
          <w:szCs w:val="24"/>
          <w:lang w:val="fr-FR"/>
        </w:rPr>
        <w:t xml:space="preserve">. </w:t>
      </w:r>
      <w:hyperlink r:id="rId8" w:history="1">
        <w:r w:rsidR="00177F05">
          <w:rPr>
            <w:rFonts w:cstheme="minorHAnsi"/>
            <w:color w:val="0563C1" w:themeColor="hyperlink"/>
            <w:sz w:val="24"/>
            <w:szCs w:val="24"/>
            <w:u w:val="single"/>
            <w:lang w:val="fr-FR"/>
          </w:rPr>
          <w:t>Publisher link</w:t>
        </w:r>
      </w:hyperlink>
      <w:r w:rsidR="000A7622" w:rsidRPr="00A0642B">
        <w:rPr>
          <w:rFonts w:cstheme="minorHAnsi"/>
          <w:sz w:val="24"/>
          <w:szCs w:val="24"/>
          <w:lang w:val="fr-FR"/>
        </w:rPr>
        <w:t xml:space="preserve">. </w:t>
      </w:r>
      <w:r w:rsidR="000A7622" w:rsidRPr="00A0642B">
        <w:rPr>
          <w:rFonts w:cstheme="minorHAnsi"/>
          <w:sz w:val="24"/>
          <w:szCs w:val="24"/>
        </w:rPr>
        <w:t xml:space="preserve">This article is © </w:t>
      </w:r>
      <w:bookmarkStart w:id="2" w:name="_Hlk77329014"/>
      <w:r w:rsidR="0089015A" w:rsidRPr="00A0642B">
        <w:rPr>
          <w:rFonts w:cstheme="minorHAnsi"/>
          <w:sz w:val="24"/>
          <w:szCs w:val="24"/>
        </w:rPr>
        <w:t xml:space="preserve">ASBO Association of School Business Officials </w:t>
      </w:r>
      <w:bookmarkEnd w:id="2"/>
      <w:r w:rsidR="000A7622" w:rsidRPr="00A0642B">
        <w:rPr>
          <w:rFonts w:cstheme="minorHAnsi"/>
          <w:sz w:val="24"/>
          <w:szCs w:val="24"/>
        </w:rPr>
        <w:t xml:space="preserve">and permission has been granted for this version to appear in </w:t>
      </w:r>
      <w:hyperlink r:id="rId9" w:history="1">
        <w:r w:rsidR="000A7622" w:rsidRPr="00A0642B">
          <w:rPr>
            <w:rFonts w:cstheme="minorHAnsi"/>
            <w:color w:val="0563C1" w:themeColor="hyperlink"/>
            <w:sz w:val="24"/>
            <w:szCs w:val="24"/>
            <w:u w:val="single"/>
          </w:rPr>
          <w:t>e-Publications@Marquette</w:t>
        </w:r>
      </w:hyperlink>
      <w:r w:rsidR="000A7622" w:rsidRPr="00A0642B">
        <w:rPr>
          <w:rFonts w:cstheme="minorHAnsi"/>
          <w:sz w:val="24"/>
          <w:szCs w:val="24"/>
        </w:rPr>
        <w:t xml:space="preserve">. </w:t>
      </w:r>
      <w:r w:rsidR="0089015A" w:rsidRPr="00A0642B">
        <w:rPr>
          <w:rFonts w:cstheme="minorHAnsi"/>
          <w:sz w:val="24"/>
          <w:szCs w:val="24"/>
        </w:rPr>
        <w:t xml:space="preserve">ASBO Association of School Business Officials </w:t>
      </w:r>
      <w:r w:rsidR="000A7622" w:rsidRPr="00A0642B">
        <w:rPr>
          <w:rFonts w:cstheme="minorHAnsi"/>
          <w:sz w:val="24"/>
          <w:szCs w:val="24"/>
        </w:rPr>
        <w:t xml:space="preserve">does not grant permission for this article to be further copied/distributed or hosted elsewhere without the express permission from </w:t>
      </w:r>
      <w:r w:rsidR="000E4392" w:rsidRPr="00A0642B">
        <w:rPr>
          <w:rFonts w:cstheme="minorHAnsi"/>
          <w:sz w:val="24"/>
          <w:szCs w:val="24"/>
        </w:rPr>
        <w:t>ASBO Association of School Business Officials</w:t>
      </w:r>
      <w:r w:rsidR="000A7622" w:rsidRPr="00A0642B">
        <w:rPr>
          <w:rFonts w:cstheme="minorHAnsi"/>
          <w:sz w:val="24"/>
          <w:szCs w:val="24"/>
        </w:rPr>
        <w:t xml:space="preserve">. </w:t>
      </w:r>
    </w:p>
    <w:p w14:paraId="05C024F4" w14:textId="373E3619" w:rsidR="004B4D86" w:rsidRPr="00A0642B" w:rsidRDefault="004B4D86" w:rsidP="00D14423">
      <w:pPr>
        <w:rPr>
          <w:rFonts w:cstheme="minorHAnsi"/>
          <w:sz w:val="24"/>
          <w:szCs w:val="24"/>
        </w:rPr>
      </w:pPr>
      <w:r w:rsidRPr="004B4D86">
        <w:rPr>
          <w:rFonts w:cstheme="minorHAnsi"/>
          <w:sz w:val="24"/>
          <w:szCs w:val="24"/>
        </w:rPr>
        <w:t xml:space="preserve">"This article originally appeared in the </w:t>
      </w:r>
      <w:r>
        <w:rPr>
          <w:rFonts w:cstheme="minorHAnsi"/>
          <w:sz w:val="24"/>
          <w:szCs w:val="24"/>
        </w:rPr>
        <w:t>October 1989</w:t>
      </w:r>
      <w:r w:rsidRPr="004B4D86">
        <w:rPr>
          <w:rFonts w:cstheme="minorHAnsi"/>
          <w:sz w:val="24"/>
          <w:szCs w:val="24"/>
        </w:rPr>
        <w:t xml:space="preserve"> School Business Affairs magazine and is reprinted with permission of the Association of School Business Officials International (ASBO). The text herein does not necessarily represent the views or policies of ASBO International, and use of this imprint does not imply any endorsement or recognition by ASBO International and its officers or affiliates."</w:t>
      </w:r>
    </w:p>
    <w:p w14:paraId="05A80D45" w14:textId="138F1483" w:rsidR="00DB4879" w:rsidRPr="00A0642B" w:rsidRDefault="0058393D" w:rsidP="005016FB">
      <w:pPr>
        <w:pStyle w:val="Title"/>
        <w:rPr>
          <w:rFonts w:asciiTheme="minorHAnsi" w:hAnsiTheme="minorHAnsi" w:cstheme="minorHAnsi"/>
        </w:rPr>
      </w:pPr>
      <w:r w:rsidRPr="00A0642B">
        <w:rPr>
          <w:rFonts w:asciiTheme="minorHAnsi" w:hAnsiTheme="minorHAnsi" w:cstheme="minorHAnsi"/>
        </w:rPr>
        <w:t xml:space="preserve">Risk Management Practices and </w:t>
      </w:r>
      <w:r w:rsidR="002D3A5A" w:rsidRPr="00A0642B">
        <w:rPr>
          <w:rFonts w:asciiTheme="minorHAnsi" w:hAnsiTheme="minorHAnsi" w:cstheme="minorHAnsi"/>
        </w:rPr>
        <w:t>Accounting</w:t>
      </w:r>
      <w:r w:rsidRPr="00A0642B">
        <w:rPr>
          <w:rFonts w:asciiTheme="minorHAnsi" w:hAnsiTheme="minorHAnsi" w:cstheme="minorHAnsi"/>
        </w:rPr>
        <w:t xml:space="preserve"> </w:t>
      </w:r>
      <w:r w:rsidR="002D3A5A" w:rsidRPr="00A0642B">
        <w:rPr>
          <w:rFonts w:asciiTheme="minorHAnsi" w:hAnsiTheme="minorHAnsi" w:cstheme="minorHAnsi"/>
        </w:rPr>
        <w:t>Requirements</w:t>
      </w:r>
    </w:p>
    <w:p w14:paraId="2B8AEC93" w14:textId="77777777" w:rsidR="00C5182B" w:rsidRPr="00A0642B" w:rsidRDefault="00C5182B" w:rsidP="00F10CD2">
      <w:pPr>
        <w:rPr>
          <w:rFonts w:cstheme="minorHAnsi"/>
          <w:sz w:val="28"/>
          <w:szCs w:val="28"/>
        </w:rPr>
      </w:pPr>
    </w:p>
    <w:p w14:paraId="2565563C" w14:textId="77777777" w:rsidR="00A30270" w:rsidRDefault="00F7569B" w:rsidP="00A30270">
      <w:pPr>
        <w:spacing w:after="0"/>
        <w:rPr>
          <w:rFonts w:cstheme="minorHAnsi"/>
          <w:sz w:val="28"/>
          <w:szCs w:val="28"/>
        </w:rPr>
      </w:pPr>
      <w:r w:rsidRPr="00A0642B">
        <w:rPr>
          <w:rFonts w:cstheme="minorHAnsi"/>
          <w:sz w:val="28"/>
          <w:szCs w:val="28"/>
        </w:rPr>
        <w:t>Dr. Rita Hartung Cheng</w:t>
      </w:r>
    </w:p>
    <w:p w14:paraId="7312A799" w14:textId="2FA699C1" w:rsidR="002D3A5A" w:rsidRPr="00A0642B" w:rsidRDefault="00F10CD2" w:rsidP="00A30270">
      <w:pPr>
        <w:spacing w:after="0"/>
        <w:rPr>
          <w:rFonts w:cstheme="minorHAnsi"/>
        </w:rPr>
      </w:pPr>
      <w:r w:rsidRPr="00A0642B">
        <w:rPr>
          <w:rFonts w:cstheme="minorHAnsi"/>
        </w:rPr>
        <w:t>Assistant Professor of Accounting at the University of Wisconsin-Milwaukee</w:t>
      </w:r>
    </w:p>
    <w:p w14:paraId="0696BBA9" w14:textId="77777777" w:rsidR="00A30270" w:rsidRDefault="00F7569B" w:rsidP="00A30270">
      <w:pPr>
        <w:spacing w:after="0"/>
        <w:rPr>
          <w:rFonts w:cstheme="minorHAnsi"/>
          <w:sz w:val="28"/>
          <w:szCs w:val="28"/>
        </w:rPr>
      </w:pPr>
      <w:r w:rsidRPr="00A0642B">
        <w:rPr>
          <w:rFonts w:cstheme="minorHAnsi"/>
          <w:sz w:val="28"/>
          <w:szCs w:val="28"/>
        </w:rPr>
        <w:t>Dr. Robert B. Yahr</w:t>
      </w:r>
    </w:p>
    <w:p w14:paraId="3AB1C3E7" w14:textId="578AE597" w:rsidR="00F7569B" w:rsidRPr="00A0642B" w:rsidRDefault="00570041" w:rsidP="00A30270">
      <w:pPr>
        <w:spacing w:after="0"/>
        <w:rPr>
          <w:rFonts w:cstheme="minorHAnsi"/>
        </w:rPr>
      </w:pPr>
      <w:r w:rsidRPr="00A0642B">
        <w:rPr>
          <w:rFonts w:cstheme="minorHAnsi"/>
        </w:rPr>
        <w:t>Associate Professor of Accounting at Marquette University</w:t>
      </w:r>
      <w:r w:rsidR="008F338B" w:rsidRPr="00A0642B">
        <w:rPr>
          <w:rFonts w:cstheme="minorHAnsi"/>
        </w:rPr>
        <w:t xml:space="preserve"> </w:t>
      </w:r>
    </w:p>
    <w:p w14:paraId="7E44E693" w14:textId="7C9412CD" w:rsidR="008F338B" w:rsidRPr="00A0642B" w:rsidRDefault="008F338B" w:rsidP="00A30270">
      <w:pPr>
        <w:spacing w:after="0"/>
        <w:rPr>
          <w:rFonts w:cstheme="minorHAnsi"/>
        </w:rPr>
      </w:pPr>
      <w:r w:rsidRPr="00A0642B">
        <w:rPr>
          <w:rFonts w:cstheme="minorHAnsi"/>
        </w:rPr>
        <w:t>Technical Coordinator for the GRATE</w:t>
      </w:r>
      <w:r w:rsidR="00CE50C3" w:rsidRPr="00A0642B">
        <w:rPr>
          <w:rFonts w:cstheme="minorHAnsi"/>
        </w:rPr>
        <w:t xml:space="preserve"> program in Wisconsin</w:t>
      </w:r>
    </w:p>
    <w:p w14:paraId="16BA58A5" w14:textId="77777777" w:rsidR="00A30270" w:rsidRDefault="00A30270" w:rsidP="004842EF">
      <w:pPr>
        <w:rPr>
          <w:rFonts w:cstheme="minorHAnsi"/>
        </w:rPr>
      </w:pPr>
    </w:p>
    <w:p w14:paraId="71A81F58" w14:textId="5FA9F8CA" w:rsidR="00B75B95" w:rsidRPr="00A0642B" w:rsidRDefault="00B75B95" w:rsidP="004842EF">
      <w:pPr>
        <w:rPr>
          <w:rFonts w:cstheme="minorHAnsi"/>
        </w:rPr>
      </w:pPr>
      <w:r w:rsidRPr="00A0642B">
        <w:rPr>
          <w:rFonts w:cstheme="minorHAnsi"/>
        </w:rPr>
        <w:t>How much indebtedness is missing from your school district's balance sheet? How much of a burden is</w:t>
      </w:r>
      <w:r w:rsidR="004842EF" w:rsidRPr="00A0642B">
        <w:rPr>
          <w:rFonts w:cstheme="minorHAnsi"/>
        </w:rPr>
        <w:t xml:space="preserve"> </w:t>
      </w:r>
      <w:r w:rsidRPr="00A0642B">
        <w:rPr>
          <w:rFonts w:cstheme="minorHAnsi"/>
        </w:rPr>
        <w:t>being shifted to future generations of taxpayers by failing to provide</w:t>
      </w:r>
      <w:r w:rsidR="00902C22" w:rsidRPr="00A0642B">
        <w:rPr>
          <w:rFonts w:cstheme="minorHAnsi"/>
        </w:rPr>
        <w:t xml:space="preserve"> </w:t>
      </w:r>
      <w:r w:rsidRPr="00A0642B">
        <w:rPr>
          <w:rFonts w:cstheme="minorHAnsi"/>
        </w:rPr>
        <w:t>for these obligations in this year's</w:t>
      </w:r>
      <w:r w:rsidR="004842EF" w:rsidRPr="00A0642B">
        <w:rPr>
          <w:rFonts w:cstheme="minorHAnsi"/>
        </w:rPr>
        <w:t xml:space="preserve"> </w:t>
      </w:r>
      <w:r w:rsidRPr="00A0642B">
        <w:rPr>
          <w:rFonts w:cstheme="minorHAnsi"/>
        </w:rPr>
        <w:t>budget? Both of these questions</w:t>
      </w:r>
      <w:r w:rsidR="00902C22" w:rsidRPr="00A0642B">
        <w:rPr>
          <w:rFonts w:cstheme="minorHAnsi"/>
        </w:rPr>
        <w:t xml:space="preserve"> </w:t>
      </w:r>
      <w:r w:rsidRPr="00A0642B">
        <w:rPr>
          <w:rFonts w:cstheme="minorHAnsi"/>
        </w:rPr>
        <w:t>are prompted by the changing insurance environment, where sky-</w:t>
      </w:r>
      <w:r w:rsidR="00D84167" w:rsidRPr="00A0642B">
        <w:rPr>
          <w:rFonts w:cstheme="minorHAnsi"/>
        </w:rPr>
        <w:t>roc</w:t>
      </w:r>
      <w:r w:rsidRPr="00A0642B">
        <w:rPr>
          <w:rFonts w:cstheme="minorHAnsi"/>
        </w:rPr>
        <w:t>keting costs of commercial insurance have forced school</w:t>
      </w:r>
      <w:r w:rsidR="00D179CE" w:rsidRPr="00A0642B">
        <w:rPr>
          <w:rFonts w:cstheme="minorHAnsi"/>
        </w:rPr>
        <w:t xml:space="preserve"> d</w:t>
      </w:r>
      <w:r w:rsidRPr="00A0642B">
        <w:rPr>
          <w:rFonts w:cstheme="minorHAnsi"/>
        </w:rPr>
        <w:t>istricts and all other governmental units to reevaluate their risk</w:t>
      </w:r>
      <w:r w:rsidR="00D179CE" w:rsidRPr="00A0642B">
        <w:rPr>
          <w:rFonts w:cstheme="minorHAnsi"/>
        </w:rPr>
        <w:t xml:space="preserve"> m</w:t>
      </w:r>
      <w:r w:rsidRPr="00A0642B">
        <w:rPr>
          <w:rFonts w:cstheme="minorHAnsi"/>
        </w:rPr>
        <w:t>anagement practices. A common response has been a shift</w:t>
      </w:r>
      <w:r w:rsidR="00CA0B86" w:rsidRPr="00A0642B">
        <w:rPr>
          <w:rFonts w:cstheme="minorHAnsi"/>
        </w:rPr>
        <w:t xml:space="preserve"> a</w:t>
      </w:r>
      <w:r w:rsidRPr="00A0642B">
        <w:rPr>
          <w:rFonts w:cstheme="minorHAnsi"/>
        </w:rPr>
        <w:t>way from commercial insurance</w:t>
      </w:r>
      <w:r w:rsidR="006655C8" w:rsidRPr="00A0642B">
        <w:rPr>
          <w:rFonts w:cstheme="minorHAnsi"/>
        </w:rPr>
        <w:t xml:space="preserve"> to </w:t>
      </w:r>
      <w:r w:rsidRPr="00A0642B">
        <w:rPr>
          <w:rFonts w:cstheme="minorHAnsi"/>
        </w:rPr>
        <w:t>other means of protecting</w:t>
      </w:r>
      <w:r w:rsidR="006655C8" w:rsidRPr="00A0642B">
        <w:rPr>
          <w:rFonts w:cstheme="minorHAnsi"/>
        </w:rPr>
        <w:t xml:space="preserve"> </w:t>
      </w:r>
      <w:r w:rsidRPr="00A0642B">
        <w:rPr>
          <w:rFonts w:cstheme="minorHAnsi"/>
        </w:rPr>
        <w:t>against risk. To the extent that</w:t>
      </w:r>
      <w:r w:rsidR="006655C8" w:rsidRPr="00A0642B">
        <w:rPr>
          <w:rFonts w:cstheme="minorHAnsi"/>
        </w:rPr>
        <w:t xml:space="preserve"> </w:t>
      </w:r>
      <w:r w:rsidRPr="00A0642B">
        <w:rPr>
          <w:rFonts w:cstheme="minorHAnsi"/>
        </w:rPr>
        <w:t>school districts assume additional</w:t>
      </w:r>
      <w:r w:rsidR="00D26039" w:rsidRPr="00A0642B">
        <w:rPr>
          <w:rFonts w:cstheme="minorHAnsi"/>
        </w:rPr>
        <w:t xml:space="preserve"> r</w:t>
      </w:r>
      <w:r w:rsidRPr="00A0642B">
        <w:rPr>
          <w:rFonts w:cstheme="minorHAnsi"/>
        </w:rPr>
        <w:t>isks themselves, liabilities for</w:t>
      </w:r>
      <w:r w:rsidR="004842EF" w:rsidRPr="00A0642B">
        <w:rPr>
          <w:rFonts w:cstheme="minorHAnsi"/>
        </w:rPr>
        <w:t xml:space="preserve"> </w:t>
      </w:r>
      <w:r w:rsidRPr="00A0642B">
        <w:rPr>
          <w:rFonts w:cstheme="minorHAnsi"/>
        </w:rPr>
        <w:t>losses resulting from these added</w:t>
      </w:r>
      <w:r w:rsidR="004842EF" w:rsidRPr="00A0642B">
        <w:rPr>
          <w:rFonts w:cstheme="minorHAnsi"/>
        </w:rPr>
        <w:t xml:space="preserve"> </w:t>
      </w:r>
      <w:r w:rsidRPr="00A0642B">
        <w:rPr>
          <w:rFonts w:cstheme="minorHAnsi"/>
        </w:rPr>
        <w:t>risks must be reported on their</w:t>
      </w:r>
      <w:r w:rsidR="004842EF" w:rsidRPr="00A0642B">
        <w:rPr>
          <w:rFonts w:cstheme="minorHAnsi"/>
        </w:rPr>
        <w:t xml:space="preserve"> </w:t>
      </w:r>
      <w:r w:rsidRPr="00A0642B">
        <w:rPr>
          <w:rFonts w:cstheme="minorHAnsi"/>
        </w:rPr>
        <w:t>balance sheets.</w:t>
      </w:r>
    </w:p>
    <w:p w14:paraId="316FF2D3" w14:textId="66DB6966" w:rsidR="00B75B95" w:rsidRPr="00A0642B" w:rsidRDefault="00B75B95" w:rsidP="00B75B95">
      <w:pPr>
        <w:rPr>
          <w:rFonts w:cstheme="minorHAnsi"/>
        </w:rPr>
      </w:pPr>
      <w:r w:rsidRPr="00A0642B">
        <w:rPr>
          <w:rFonts w:cstheme="minorHAnsi"/>
        </w:rPr>
        <w:t>In attempting to answer the</w:t>
      </w:r>
      <w:r w:rsidR="00E10D5B" w:rsidRPr="00A0642B">
        <w:rPr>
          <w:rFonts w:cstheme="minorHAnsi"/>
        </w:rPr>
        <w:t xml:space="preserve"> </w:t>
      </w:r>
      <w:r w:rsidRPr="00A0642B">
        <w:rPr>
          <w:rFonts w:cstheme="minorHAnsi"/>
        </w:rPr>
        <w:t>above questions, it should be</w:t>
      </w:r>
      <w:r w:rsidR="00A72CD6" w:rsidRPr="00A0642B">
        <w:rPr>
          <w:rFonts w:cstheme="minorHAnsi"/>
        </w:rPr>
        <w:t xml:space="preserve"> re</w:t>
      </w:r>
      <w:r w:rsidRPr="00A0642B">
        <w:rPr>
          <w:rFonts w:cstheme="minorHAnsi"/>
        </w:rPr>
        <w:t>cognized that, depending on</w:t>
      </w:r>
      <w:r w:rsidR="00852613" w:rsidRPr="00A0642B">
        <w:rPr>
          <w:rFonts w:cstheme="minorHAnsi"/>
        </w:rPr>
        <w:t xml:space="preserve"> </w:t>
      </w:r>
      <w:r w:rsidR="00A72CD6" w:rsidRPr="00A0642B">
        <w:rPr>
          <w:rFonts w:cstheme="minorHAnsi"/>
        </w:rPr>
        <w:t>ho</w:t>
      </w:r>
      <w:r w:rsidRPr="00A0642B">
        <w:rPr>
          <w:rFonts w:cstheme="minorHAnsi"/>
        </w:rPr>
        <w:t>w their insurance coverage has</w:t>
      </w:r>
      <w:r w:rsidR="00852613" w:rsidRPr="00A0642B">
        <w:rPr>
          <w:rFonts w:cstheme="minorHAnsi"/>
        </w:rPr>
        <w:t xml:space="preserve"> </w:t>
      </w:r>
      <w:r w:rsidRPr="00A0642B">
        <w:rPr>
          <w:rFonts w:cstheme="minorHAnsi"/>
        </w:rPr>
        <w:t>changed, the amount of indebted</w:t>
      </w:r>
      <w:r w:rsidR="00852613" w:rsidRPr="00A0642B">
        <w:rPr>
          <w:rFonts w:cstheme="minorHAnsi"/>
        </w:rPr>
        <w:t xml:space="preserve">ness </w:t>
      </w:r>
      <w:r w:rsidRPr="00A0642B">
        <w:rPr>
          <w:rFonts w:cstheme="minorHAnsi"/>
        </w:rPr>
        <w:t>for</w:t>
      </w:r>
      <w:r w:rsidR="00852613" w:rsidRPr="00A0642B">
        <w:rPr>
          <w:rFonts w:cstheme="minorHAnsi"/>
        </w:rPr>
        <w:t xml:space="preserve"> </w:t>
      </w:r>
      <w:r w:rsidRPr="00A0642B">
        <w:rPr>
          <w:rFonts w:cstheme="minorHAnsi"/>
        </w:rPr>
        <w:t>individual school districts</w:t>
      </w:r>
      <w:r w:rsidR="00852613" w:rsidRPr="00A0642B">
        <w:rPr>
          <w:rFonts w:cstheme="minorHAnsi"/>
        </w:rPr>
        <w:t xml:space="preserve"> m</w:t>
      </w:r>
      <w:r w:rsidRPr="00A0642B">
        <w:rPr>
          <w:rFonts w:cstheme="minorHAnsi"/>
        </w:rPr>
        <w:t>ay or may not be significant,</w:t>
      </w:r>
      <w:r w:rsidR="00852613" w:rsidRPr="00A0642B">
        <w:rPr>
          <w:rFonts w:cstheme="minorHAnsi"/>
        </w:rPr>
        <w:t xml:space="preserve"> h</w:t>
      </w:r>
      <w:r w:rsidRPr="00A0642B">
        <w:rPr>
          <w:rFonts w:cstheme="minorHAnsi"/>
        </w:rPr>
        <w:t>owever, for all school districts,</w:t>
      </w:r>
      <w:r w:rsidR="001602A2" w:rsidRPr="00A0642B">
        <w:rPr>
          <w:rFonts w:cstheme="minorHAnsi"/>
        </w:rPr>
        <w:t xml:space="preserve"> the </w:t>
      </w:r>
      <w:r w:rsidRPr="00A0642B">
        <w:rPr>
          <w:rFonts w:cstheme="minorHAnsi"/>
        </w:rPr>
        <w:t>aggregate amounts are, in all</w:t>
      </w:r>
      <w:r w:rsidR="00703E6E" w:rsidRPr="00A0642B">
        <w:rPr>
          <w:rFonts w:cstheme="minorHAnsi"/>
        </w:rPr>
        <w:t xml:space="preserve"> </w:t>
      </w:r>
      <w:r w:rsidR="001602A2" w:rsidRPr="00A0642B">
        <w:rPr>
          <w:rFonts w:cstheme="minorHAnsi"/>
        </w:rPr>
        <w:t>like</w:t>
      </w:r>
      <w:r w:rsidRPr="00A0642B">
        <w:rPr>
          <w:rFonts w:cstheme="minorHAnsi"/>
        </w:rPr>
        <w:t>li</w:t>
      </w:r>
      <w:r w:rsidR="00703E6E" w:rsidRPr="00A0642B">
        <w:rPr>
          <w:rFonts w:cstheme="minorHAnsi"/>
        </w:rPr>
        <w:t>h</w:t>
      </w:r>
      <w:r w:rsidRPr="00A0642B">
        <w:rPr>
          <w:rFonts w:cstheme="minorHAnsi"/>
        </w:rPr>
        <w:t>ood, potentially staggering</w:t>
      </w:r>
      <w:r w:rsidR="00343BA4">
        <w:rPr>
          <w:rFonts w:cstheme="minorHAnsi"/>
        </w:rPr>
        <w:t>.</w:t>
      </w:r>
      <w:r w:rsidR="009066A7" w:rsidRPr="00A0642B">
        <w:rPr>
          <w:rFonts w:cstheme="minorHAnsi"/>
        </w:rPr>
        <w:t xml:space="preserve"> Th</w:t>
      </w:r>
      <w:r w:rsidRPr="00A0642B">
        <w:rPr>
          <w:rFonts w:cstheme="minorHAnsi"/>
        </w:rPr>
        <w:t>e reasons for this are twofold.</w:t>
      </w:r>
      <w:r w:rsidR="00892DC7" w:rsidRPr="00A0642B">
        <w:rPr>
          <w:rFonts w:cstheme="minorHAnsi"/>
        </w:rPr>
        <w:t xml:space="preserve"> </w:t>
      </w:r>
      <w:r w:rsidRPr="00A0642B">
        <w:rPr>
          <w:rFonts w:cstheme="minorHAnsi"/>
        </w:rPr>
        <w:t>First, most governmental units</w:t>
      </w:r>
      <w:r w:rsidR="00892DC7" w:rsidRPr="00A0642B">
        <w:rPr>
          <w:rFonts w:cstheme="minorHAnsi"/>
        </w:rPr>
        <w:t xml:space="preserve"> h</w:t>
      </w:r>
      <w:r w:rsidRPr="00A0642B">
        <w:rPr>
          <w:rFonts w:cstheme="minorHAnsi"/>
        </w:rPr>
        <w:t>ave emphasized accounting for</w:t>
      </w:r>
      <w:r w:rsidR="00892DC7" w:rsidRPr="00A0642B">
        <w:rPr>
          <w:rFonts w:cstheme="minorHAnsi"/>
        </w:rPr>
        <w:t xml:space="preserve"> cla</w:t>
      </w:r>
      <w:r w:rsidRPr="00A0642B">
        <w:rPr>
          <w:rFonts w:cstheme="minorHAnsi"/>
        </w:rPr>
        <w:t xml:space="preserve">ims. Second, even for </w:t>
      </w:r>
      <w:r w:rsidRPr="00A0642B">
        <w:rPr>
          <w:rFonts w:cstheme="minorHAnsi"/>
        </w:rPr>
        <w:lastRenderedPageBreak/>
        <w:t>those</w:t>
      </w:r>
      <w:r w:rsidR="005F5E46" w:rsidRPr="00A0642B">
        <w:rPr>
          <w:rFonts w:cstheme="minorHAnsi"/>
        </w:rPr>
        <w:t xml:space="preserve"> </w:t>
      </w:r>
      <w:r w:rsidRPr="00A0642B">
        <w:rPr>
          <w:rFonts w:cstheme="minorHAnsi"/>
        </w:rPr>
        <w:t>units attempting to follow authoritative pronouncements, as</w:t>
      </w:r>
      <w:r w:rsidR="005F5E46" w:rsidRPr="00A0642B">
        <w:rPr>
          <w:rFonts w:cstheme="minorHAnsi"/>
        </w:rPr>
        <w:t xml:space="preserve"> </w:t>
      </w:r>
      <w:r w:rsidRPr="00A0642B">
        <w:rPr>
          <w:rFonts w:cstheme="minorHAnsi"/>
        </w:rPr>
        <w:t>changes in obtaining insurance</w:t>
      </w:r>
      <w:r w:rsidR="005F5E46" w:rsidRPr="00A0642B">
        <w:rPr>
          <w:rFonts w:cstheme="minorHAnsi"/>
        </w:rPr>
        <w:t xml:space="preserve"> </w:t>
      </w:r>
      <w:r w:rsidRPr="00A0642B">
        <w:rPr>
          <w:rFonts w:cstheme="minorHAnsi"/>
        </w:rPr>
        <w:t>coverage have developed, accounting has not kept pace with</w:t>
      </w:r>
      <w:r w:rsidR="00AC4AAF" w:rsidRPr="00A0642B">
        <w:rPr>
          <w:rFonts w:cstheme="minorHAnsi"/>
        </w:rPr>
        <w:t xml:space="preserve"> </w:t>
      </w:r>
      <w:r w:rsidRPr="00A0642B">
        <w:rPr>
          <w:rFonts w:cstheme="minorHAnsi"/>
        </w:rPr>
        <w:t>the changing insurance environment.</w:t>
      </w:r>
    </w:p>
    <w:p w14:paraId="78D794D0" w14:textId="7437ED1C" w:rsidR="00B75B95" w:rsidRPr="00A0642B" w:rsidRDefault="00B75B95" w:rsidP="00B75B95">
      <w:pPr>
        <w:rPr>
          <w:rFonts w:cstheme="minorHAnsi"/>
        </w:rPr>
      </w:pPr>
      <w:r w:rsidRPr="00A0642B">
        <w:rPr>
          <w:rFonts w:cstheme="minorHAnsi"/>
        </w:rPr>
        <w:t>Since 1986 the Governmental</w:t>
      </w:r>
      <w:r w:rsidR="00AC4AAF" w:rsidRPr="00A0642B">
        <w:rPr>
          <w:rFonts w:cstheme="minorHAnsi"/>
        </w:rPr>
        <w:t xml:space="preserve"> </w:t>
      </w:r>
      <w:r w:rsidRPr="00A0642B">
        <w:rPr>
          <w:rFonts w:cstheme="minorHAnsi"/>
        </w:rPr>
        <w:t>Accounting Standards Board</w:t>
      </w:r>
      <w:r w:rsidR="00AC4AAF" w:rsidRPr="00A0642B">
        <w:rPr>
          <w:rFonts w:cstheme="minorHAnsi"/>
        </w:rPr>
        <w:t xml:space="preserve"> </w:t>
      </w:r>
      <w:r w:rsidRPr="00A0642B">
        <w:rPr>
          <w:rFonts w:cstheme="minorHAnsi"/>
        </w:rPr>
        <w:t>(GASB) has been investigating</w:t>
      </w:r>
      <w:r w:rsidR="00AC4AAF" w:rsidRPr="00A0642B">
        <w:rPr>
          <w:rFonts w:cstheme="minorHAnsi"/>
        </w:rPr>
        <w:t xml:space="preserve"> </w:t>
      </w:r>
      <w:r w:rsidRPr="00A0642B">
        <w:rPr>
          <w:rFonts w:cstheme="minorHAnsi"/>
        </w:rPr>
        <w:t>issues associated with accounting</w:t>
      </w:r>
      <w:r w:rsidR="009354E9" w:rsidRPr="00A0642B">
        <w:rPr>
          <w:rFonts w:cstheme="minorHAnsi"/>
        </w:rPr>
        <w:t xml:space="preserve"> </w:t>
      </w:r>
      <w:r w:rsidRPr="00A0642B">
        <w:rPr>
          <w:rFonts w:cstheme="minorHAnsi"/>
        </w:rPr>
        <w:t>for risk management, trying to</w:t>
      </w:r>
      <w:r w:rsidR="009354E9" w:rsidRPr="00A0642B">
        <w:rPr>
          <w:rFonts w:cstheme="minorHAnsi"/>
        </w:rPr>
        <w:t xml:space="preserve"> </w:t>
      </w:r>
      <w:r w:rsidRPr="00A0642B">
        <w:rPr>
          <w:rFonts w:cstheme="minorHAnsi"/>
        </w:rPr>
        <w:t>determine whether the limited</w:t>
      </w:r>
      <w:r w:rsidR="009354E9" w:rsidRPr="00A0642B">
        <w:rPr>
          <w:rFonts w:cstheme="minorHAnsi"/>
        </w:rPr>
        <w:t xml:space="preserve"> gu</w:t>
      </w:r>
      <w:r w:rsidRPr="00A0642B">
        <w:rPr>
          <w:rFonts w:cstheme="minorHAnsi"/>
        </w:rPr>
        <w:t>idance contained in present</w:t>
      </w:r>
      <w:r w:rsidR="00E7280E" w:rsidRPr="00A0642B">
        <w:rPr>
          <w:rFonts w:cstheme="minorHAnsi"/>
        </w:rPr>
        <w:t xml:space="preserve"> </w:t>
      </w:r>
      <w:r w:rsidRPr="00A0642B">
        <w:rPr>
          <w:rFonts w:cstheme="minorHAnsi"/>
        </w:rPr>
        <w:t>accounting standards should be</w:t>
      </w:r>
      <w:r w:rsidR="00A14CDD" w:rsidRPr="00A0642B">
        <w:rPr>
          <w:rFonts w:cstheme="minorHAnsi"/>
        </w:rPr>
        <w:t xml:space="preserve"> ex</w:t>
      </w:r>
      <w:r w:rsidRPr="00A0642B">
        <w:rPr>
          <w:rFonts w:cstheme="minorHAnsi"/>
        </w:rPr>
        <w:t>panded to incorporate these</w:t>
      </w:r>
      <w:r w:rsidR="00764E66" w:rsidRPr="00A0642B">
        <w:rPr>
          <w:rFonts w:cstheme="minorHAnsi"/>
        </w:rPr>
        <w:t xml:space="preserve"> </w:t>
      </w:r>
      <w:r w:rsidRPr="00A0642B">
        <w:rPr>
          <w:rFonts w:cstheme="minorHAnsi"/>
        </w:rPr>
        <w:t>i</w:t>
      </w:r>
      <w:r w:rsidR="00764E66" w:rsidRPr="00A0642B">
        <w:rPr>
          <w:rFonts w:cstheme="minorHAnsi"/>
        </w:rPr>
        <w:t>n</w:t>
      </w:r>
      <w:r w:rsidRPr="00A0642B">
        <w:rPr>
          <w:rFonts w:cstheme="minorHAnsi"/>
        </w:rPr>
        <w:t>surance arrangements. GASB's</w:t>
      </w:r>
      <w:r w:rsidR="008D6F65" w:rsidRPr="00A0642B">
        <w:rPr>
          <w:rFonts w:cstheme="minorHAnsi"/>
        </w:rPr>
        <w:t xml:space="preserve"> </w:t>
      </w:r>
      <w:r w:rsidRPr="00A0642B">
        <w:rPr>
          <w:rFonts w:cstheme="minorHAnsi"/>
        </w:rPr>
        <w:t>tentative conclusions are con</w:t>
      </w:r>
      <w:r w:rsidR="005D67E5" w:rsidRPr="00A0642B">
        <w:rPr>
          <w:rFonts w:cstheme="minorHAnsi"/>
        </w:rPr>
        <w:t xml:space="preserve">tained </w:t>
      </w:r>
      <w:r w:rsidRPr="00A0642B">
        <w:rPr>
          <w:rFonts w:cstheme="minorHAnsi"/>
        </w:rPr>
        <w:t>in their exposure draft,</w:t>
      </w:r>
      <w:r w:rsidR="00B31615" w:rsidRPr="00A0642B">
        <w:rPr>
          <w:rFonts w:cstheme="minorHAnsi"/>
        </w:rPr>
        <w:t xml:space="preserve"> </w:t>
      </w:r>
      <w:r w:rsidRPr="00A0642B">
        <w:rPr>
          <w:rFonts w:cstheme="minorHAnsi"/>
        </w:rPr>
        <w:t>"Accounting and Financial</w:t>
      </w:r>
      <w:r w:rsidR="00B31615" w:rsidRPr="00A0642B">
        <w:rPr>
          <w:rFonts w:cstheme="minorHAnsi"/>
        </w:rPr>
        <w:t xml:space="preserve"> </w:t>
      </w:r>
      <w:r w:rsidRPr="00A0642B">
        <w:rPr>
          <w:rFonts w:cstheme="minorHAnsi"/>
        </w:rPr>
        <w:t xml:space="preserve">Reporting for Risk Financing </w:t>
      </w:r>
      <w:r w:rsidR="00B31615" w:rsidRPr="00A0642B">
        <w:rPr>
          <w:rFonts w:cstheme="minorHAnsi"/>
        </w:rPr>
        <w:t xml:space="preserve">and </w:t>
      </w:r>
      <w:r w:rsidRPr="00A0642B">
        <w:rPr>
          <w:rFonts w:cstheme="minorHAnsi"/>
        </w:rPr>
        <w:t xml:space="preserve">Related Insurance Issues," </w:t>
      </w:r>
      <w:r w:rsidRPr="00A0642B">
        <w:rPr>
          <w:rFonts w:cstheme="minorHAnsi"/>
          <w:vertAlign w:val="superscript"/>
        </w:rPr>
        <w:t>1</w:t>
      </w:r>
      <w:r w:rsidRPr="00A0642B">
        <w:rPr>
          <w:rFonts w:cstheme="minorHAnsi"/>
        </w:rPr>
        <w:t xml:space="preserve"> issued</w:t>
      </w:r>
      <w:r w:rsidR="00387C5A" w:rsidRPr="00A0642B">
        <w:rPr>
          <w:rFonts w:cstheme="minorHAnsi"/>
        </w:rPr>
        <w:t xml:space="preserve"> </w:t>
      </w:r>
      <w:r w:rsidR="007753B9" w:rsidRPr="00A0642B">
        <w:rPr>
          <w:rFonts w:cstheme="minorHAnsi"/>
        </w:rPr>
        <w:t xml:space="preserve">in </w:t>
      </w:r>
      <w:r w:rsidRPr="00A0642B">
        <w:rPr>
          <w:rFonts w:cstheme="minorHAnsi"/>
        </w:rPr>
        <w:t>December 1988. If these</w:t>
      </w:r>
      <w:r w:rsidR="007753B9" w:rsidRPr="00A0642B">
        <w:rPr>
          <w:rFonts w:cstheme="minorHAnsi"/>
        </w:rPr>
        <w:t xml:space="preserve"> </w:t>
      </w:r>
      <w:r w:rsidRPr="00A0642B">
        <w:rPr>
          <w:rFonts w:cstheme="minorHAnsi"/>
        </w:rPr>
        <w:t>conclusions are adopted in their</w:t>
      </w:r>
      <w:r w:rsidR="007753B9" w:rsidRPr="00A0642B">
        <w:rPr>
          <w:rFonts w:cstheme="minorHAnsi"/>
        </w:rPr>
        <w:t xml:space="preserve"> p</w:t>
      </w:r>
      <w:r w:rsidRPr="00A0642B">
        <w:rPr>
          <w:rFonts w:cstheme="minorHAnsi"/>
        </w:rPr>
        <w:t>resent form, major changes in</w:t>
      </w:r>
      <w:r w:rsidR="003772EC" w:rsidRPr="00A0642B">
        <w:rPr>
          <w:rFonts w:cstheme="minorHAnsi"/>
        </w:rPr>
        <w:t xml:space="preserve"> </w:t>
      </w:r>
      <w:r w:rsidRPr="00A0642B">
        <w:rPr>
          <w:rFonts w:cstheme="minorHAnsi"/>
        </w:rPr>
        <w:t>accounting for some risk management activities will result.</w:t>
      </w:r>
    </w:p>
    <w:p w14:paraId="234835C5" w14:textId="06F66571" w:rsidR="00B75B95" w:rsidRPr="00A0642B" w:rsidRDefault="00B75B95" w:rsidP="00B75B95">
      <w:pPr>
        <w:rPr>
          <w:rFonts w:cstheme="minorHAnsi"/>
        </w:rPr>
      </w:pPr>
      <w:r w:rsidRPr="00A0642B">
        <w:rPr>
          <w:rFonts w:cstheme="minorHAnsi"/>
        </w:rPr>
        <w:t>Before summarizing GASB's</w:t>
      </w:r>
      <w:r w:rsidR="00470698" w:rsidRPr="00A0642B">
        <w:rPr>
          <w:rFonts w:cstheme="minorHAnsi"/>
        </w:rPr>
        <w:t xml:space="preserve"> </w:t>
      </w:r>
      <w:r w:rsidRPr="00A0642B">
        <w:rPr>
          <w:rFonts w:cstheme="minorHAnsi"/>
        </w:rPr>
        <w:t>conclusions in the exposure draft</w:t>
      </w:r>
      <w:r w:rsidR="00470698" w:rsidRPr="00A0642B">
        <w:rPr>
          <w:rFonts w:cstheme="minorHAnsi"/>
        </w:rPr>
        <w:t xml:space="preserve"> </w:t>
      </w:r>
      <w:r w:rsidRPr="00A0642B">
        <w:rPr>
          <w:rFonts w:cstheme="minorHAnsi"/>
        </w:rPr>
        <w:t>and discussing the impact of these</w:t>
      </w:r>
      <w:r w:rsidR="00470698" w:rsidRPr="00A0642B">
        <w:rPr>
          <w:rFonts w:cstheme="minorHAnsi"/>
        </w:rPr>
        <w:t xml:space="preserve"> </w:t>
      </w:r>
      <w:r w:rsidRPr="00A0642B">
        <w:rPr>
          <w:rFonts w:cstheme="minorHAnsi"/>
        </w:rPr>
        <w:t>proposed accounting standards on</w:t>
      </w:r>
      <w:r w:rsidR="00470698" w:rsidRPr="00A0642B">
        <w:rPr>
          <w:rFonts w:cstheme="minorHAnsi"/>
        </w:rPr>
        <w:t xml:space="preserve"> </w:t>
      </w:r>
      <w:r w:rsidRPr="00A0642B">
        <w:rPr>
          <w:rFonts w:cstheme="minorHAnsi"/>
        </w:rPr>
        <w:t>school districts' risk management</w:t>
      </w:r>
      <w:r w:rsidR="00470698" w:rsidRPr="00A0642B">
        <w:rPr>
          <w:rFonts w:cstheme="minorHAnsi"/>
        </w:rPr>
        <w:t xml:space="preserve"> </w:t>
      </w:r>
      <w:r w:rsidRPr="00A0642B">
        <w:rPr>
          <w:rFonts w:cstheme="minorHAnsi"/>
        </w:rPr>
        <w:t>practices and on their financial</w:t>
      </w:r>
      <w:r w:rsidR="00470698" w:rsidRPr="00A0642B">
        <w:rPr>
          <w:rFonts w:cstheme="minorHAnsi"/>
        </w:rPr>
        <w:t xml:space="preserve"> </w:t>
      </w:r>
      <w:r w:rsidRPr="00A0642B">
        <w:rPr>
          <w:rFonts w:cstheme="minorHAnsi"/>
        </w:rPr>
        <w:t>statements, this article will review</w:t>
      </w:r>
      <w:r w:rsidR="00470698" w:rsidRPr="00A0642B">
        <w:rPr>
          <w:rFonts w:cstheme="minorHAnsi"/>
        </w:rPr>
        <w:t xml:space="preserve"> </w:t>
      </w:r>
      <w:r w:rsidRPr="00A0642B">
        <w:rPr>
          <w:rFonts w:cstheme="minorHAnsi"/>
        </w:rPr>
        <w:t>current school district risk management practices and the related</w:t>
      </w:r>
      <w:r w:rsidR="00470698" w:rsidRPr="00A0642B">
        <w:rPr>
          <w:rFonts w:cstheme="minorHAnsi"/>
        </w:rPr>
        <w:t xml:space="preserve"> </w:t>
      </w:r>
      <w:r w:rsidRPr="00A0642B">
        <w:rPr>
          <w:rFonts w:cstheme="minorHAnsi"/>
        </w:rPr>
        <w:t>accounting requirements.</w:t>
      </w:r>
    </w:p>
    <w:p w14:paraId="4BEFE6B1" w14:textId="75D0C84B" w:rsidR="00B75B95" w:rsidRPr="00A0642B" w:rsidRDefault="00B75B95" w:rsidP="00470698">
      <w:pPr>
        <w:pStyle w:val="Heading1"/>
        <w:rPr>
          <w:rFonts w:asciiTheme="minorHAnsi" w:hAnsiTheme="minorHAnsi" w:cstheme="minorHAnsi"/>
        </w:rPr>
      </w:pPr>
      <w:r w:rsidRPr="00A0642B">
        <w:rPr>
          <w:rFonts w:asciiTheme="minorHAnsi" w:hAnsiTheme="minorHAnsi" w:cstheme="minorHAnsi"/>
        </w:rPr>
        <w:t>Present Risk Management</w:t>
      </w:r>
      <w:r w:rsidR="00470698" w:rsidRPr="00A0642B">
        <w:rPr>
          <w:rFonts w:asciiTheme="minorHAnsi" w:hAnsiTheme="minorHAnsi" w:cstheme="minorHAnsi"/>
        </w:rPr>
        <w:t xml:space="preserve"> </w:t>
      </w:r>
      <w:r w:rsidRPr="00A0642B">
        <w:rPr>
          <w:rFonts w:asciiTheme="minorHAnsi" w:hAnsiTheme="minorHAnsi" w:cstheme="minorHAnsi"/>
        </w:rPr>
        <w:t>Practices</w:t>
      </w:r>
    </w:p>
    <w:p w14:paraId="46A0685B" w14:textId="1A2436C7" w:rsidR="00B75B95" w:rsidRPr="00A0642B" w:rsidRDefault="00B75B95" w:rsidP="00B75B95">
      <w:pPr>
        <w:rPr>
          <w:rFonts w:cstheme="minorHAnsi"/>
        </w:rPr>
      </w:pPr>
      <w:r w:rsidRPr="00A0642B">
        <w:rPr>
          <w:rFonts w:cstheme="minorHAnsi"/>
        </w:rPr>
        <w:t>Most businesses and governmental units attempt to find ways</w:t>
      </w:r>
      <w:r w:rsidR="00470698" w:rsidRPr="00A0642B">
        <w:rPr>
          <w:rFonts w:cstheme="minorHAnsi"/>
        </w:rPr>
        <w:t xml:space="preserve"> </w:t>
      </w:r>
      <w:r w:rsidRPr="00A0642B">
        <w:rPr>
          <w:rFonts w:cstheme="minorHAnsi"/>
        </w:rPr>
        <w:t>to reduce the amount of risk to</w:t>
      </w:r>
      <w:r w:rsidR="00470698" w:rsidRPr="00A0642B">
        <w:rPr>
          <w:rFonts w:cstheme="minorHAnsi"/>
        </w:rPr>
        <w:t xml:space="preserve"> </w:t>
      </w:r>
      <w:r w:rsidRPr="00A0642B">
        <w:rPr>
          <w:rFonts w:cstheme="minorHAnsi"/>
        </w:rPr>
        <w:t>which they are daily exposed. The</w:t>
      </w:r>
      <w:r w:rsidR="00470698" w:rsidRPr="00A0642B">
        <w:rPr>
          <w:rFonts w:cstheme="minorHAnsi"/>
        </w:rPr>
        <w:t xml:space="preserve"> </w:t>
      </w:r>
      <w:r w:rsidRPr="00A0642B">
        <w:rPr>
          <w:rFonts w:cstheme="minorHAnsi"/>
        </w:rPr>
        <w:t>process through which these</w:t>
      </w:r>
      <w:r w:rsidR="00470698" w:rsidRPr="00A0642B">
        <w:rPr>
          <w:rFonts w:cstheme="minorHAnsi"/>
        </w:rPr>
        <w:t xml:space="preserve"> </w:t>
      </w:r>
      <w:r w:rsidRPr="00A0642B">
        <w:rPr>
          <w:rFonts w:cstheme="minorHAnsi"/>
        </w:rPr>
        <w:t>entities seek either to avoid</w:t>
      </w:r>
      <w:r w:rsidR="00470698" w:rsidRPr="00A0642B">
        <w:rPr>
          <w:rFonts w:cstheme="minorHAnsi"/>
        </w:rPr>
        <w:t xml:space="preserve"> </w:t>
      </w:r>
      <w:r w:rsidRPr="00A0642B">
        <w:rPr>
          <w:rFonts w:cstheme="minorHAnsi"/>
        </w:rPr>
        <w:t>accidental loss or, when it occurs,</w:t>
      </w:r>
      <w:r w:rsidR="00470698" w:rsidRPr="00A0642B">
        <w:rPr>
          <w:rFonts w:cstheme="minorHAnsi"/>
        </w:rPr>
        <w:t xml:space="preserve"> </w:t>
      </w:r>
      <w:r w:rsidRPr="00A0642B">
        <w:rPr>
          <w:rFonts w:cstheme="minorHAnsi"/>
        </w:rPr>
        <w:t>to minimize its consequences is</w:t>
      </w:r>
      <w:r w:rsidR="00470698" w:rsidRPr="00A0642B">
        <w:rPr>
          <w:rFonts w:cstheme="minorHAnsi"/>
        </w:rPr>
        <w:t xml:space="preserve"> </w:t>
      </w:r>
      <w:r w:rsidRPr="00A0642B">
        <w:rPr>
          <w:rFonts w:cstheme="minorHAnsi"/>
        </w:rPr>
        <w:t>called risk management. Generally speaking, all entities manage</w:t>
      </w:r>
      <w:r w:rsidR="00470698" w:rsidRPr="00A0642B">
        <w:rPr>
          <w:rFonts w:cstheme="minorHAnsi"/>
        </w:rPr>
        <w:t xml:space="preserve"> </w:t>
      </w:r>
      <w:r w:rsidRPr="00A0642B">
        <w:rPr>
          <w:rFonts w:cstheme="minorHAnsi"/>
        </w:rPr>
        <w:t>risk through risk control and risk</w:t>
      </w:r>
      <w:r w:rsidR="00470698" w:rsidRPr="00A0642B">
        <w:rPr>
          <w:rFonts w:cstheme="minorHAnsi"/>
        </w:rPr>
        <w:t xml:space="preserve"> </w:t>
      </w:r>
      <w:r w:rsidRPr="00A0642B">
        <w:rPr>
          <w:rFonts w:cstheme="minorHAnsi"/>
        </w:rPr>
        <w:t>financing. Risk control refers to</w:t>
      </w:r>
      <w:r w:rsidR="00470698" w:rsidRPr="00A0642B">
        <w:rPr>
          <w:rFonts w:cstheme="minorHAnsi"/>
        </w:rPr>
        <w:t xml:space="preserve"> </w:t>
      </w:r>
      <w:r w:rsidRPr="00A0642B">
        <w:rPr>
          <w:rFonts w:cstheme="minorHAnsi"/>
        </w:rPr>
        <w:t>procedures which may be instituted to reduce exposure to risk</w:t>
      </w:r>
      <w:r w:rsidR="008755AA" w:rsidRPr="00A0642B">
        <w:rPr>
          <w:rFonts w:cstheme="minorHAnsi"/>
        </w:rPr>
        <w:t xml:space="preserve"> </w:t>
      </w:r>
      <w:r w:rsidRPr="00A0642B">
        <w:rPr>
          <w:rFonts w:cstheme="minorHAnsi"/>
        </w:rPr>
        <w:t>(e.g. locking doors to prevent theft</w:t>
      </w:r>
      <w:r w:rsidR="008755AA" w:rsidRPr="00A0642B">
        <w:rPr>
          <w:rFonts w:cstheme="minorHAnsi"/>
        </w:rPr>
        <w:t xml:space="preserve"> </w:t>
      </w:r>
      <w:r w:rsidRPr="00A0642B">
        <w:rPr>
          <w:rFonts w:cstheme="minorHAnsi"/>
        </w:rPr>
        <w:t>or vandalism), while risk financing refers to a conscious decision</w:t>
      </w:r>
      <w:r w:rsidR="00F4573E" w:rsidRPr="00A0642B">
        <w:rPr>
          <w:rFonts w:cstheme="minorHAnsi"/>
        </w:rPr>
        <w:t xml:space="preserve"> </w:t>
      </w:r>
      <w:r w:rsidRPr="00A0642B">
        <w:rPr>
          <w:rFonts w:cstheme="minorHAnsi"/>
        </w:rPr>
        <w:t>by the entity's management of</w:t>
      </w:r>
      <w:r w:rsidR="00F4573E" w:rsidRPr="00A0642B">
        <w:rPr>
          <w:rFonts w:cstheme="minorHAnsi"/>
        </w:rPr>
        <w:t xml:space="preserve"> </w:t>
      </w:r>
      <w:r w:rsidRPr="00A0642B">
        <w:rPr>
          <w:rFonts w:cstheme="minorHAnsi"/>
        </w:rPr>
        <w:t>whether to transfer risk to others</w:t>
      </w:r>
      <w:r w:rsidR="00F4573E" w:rsidRPr="00A0642B">
        <w:rPr>
          <w:rFonts w:cstheme="minorHAnsi"/>
        </w:rPr>
        <w:t xml:space="preserve"> </w:t>
      </w:r>
      <w:r w:rsidRPr="00A0642B">
        <w:rPr>
          <w:rFonts w:cstheme="minorHAnsi"/>
        </w:rPr>
        <w:t>(through insurance policies) or to</w:t>
      </w:r>
      <w:r w:rsidR="00F4573E" w:rsidRPr="00A0642B">
        <w:rPr>
          <w:rFonts w:cstheme="minorHAnsi"/>
        </w:rPr>
        <w:t xml:space="preserve"> </w:t>
      </w:r>
      <w:r w:rsidRPr="00A0642B">
        <w:rPr>
          <w:rFonts w:cstheme="minorHAnsi"/>
        </w:rPr>
        <w:t>retain risk internally (through</w:t>
      </w:r>
      <w:r w:rsidR="00F4573E" w:rsidRPr="00A0642B">
        <w:rPr>
          <w:rFonts w:cstheme="minorHAnsi"/>
        </w:rPr>
        <w:t xml:space="preserve"> </w:t>
      </w:r>
      <w:r w:rsidRPr="00A0642B">
        <w:rPr>
          <w:rFonts w:cstheme="minorHAnsi"/>
        </w:rPr>
        <w:t>what is often called self-insurance). While risk control is an</w:t>
      </w:r>
      <w:r w:rsidR="00F4573E" w:rsidRPr="00A0642B">
        <w:rPr>
          <w:rFonts w:cstheme="minorHAnsi"/>
        </w:rPr>
        <w:t xml:space="preserve"> </w:t>
      </w:r>
      <w:r w:rsidRPr="00A0642B">
        <w:rPr>
          <w:rFonts w:cstheme="minorHAnsi"/>
        </w:rPr>
        <w:t>essential part of risk management,</w:t>
      </w:r>
      <w:r w:rsidR="00F4573E" w:rsidRPr="00A0642B">
        <w:rPr>
          <w:rFonts w:cstheme="minorHAnsi"/>
        </w:rPr>
        <w:t xml:space="preserve"> </w:t>
      </w:r>
      <w:r w:rsidRPr="00A0642B">
        <w:rPr>
          <w:rFonts w:cstheme="minorHAnsi"/>
        </w:rPr>
        <w:t>this article focuses principally</w:t>
      </w:r>
      <w:r w:rsidR="00F4573E" w:rsidRPr="00A0642B">
        <w:rPr>
          <w:rFonts w:cstheme="minorHAnsi"/>
        </w:rPr>
        <w:t xml:space="preserve"> </w:t>
      </w:r>
      <w:r w:rsidRPr="00A0642B">
        <w:rPr>
          <w:rFonts w:cstheme="minorHAnsi"/>
        </w:rPr>
        <w:t>upon risk financing.</w:t>
      </w:r>
    </w:p>
    <w:p w14:paraId="08664A46" w14:textId="62AB3041" w:rsidR="00B75B95" w:rsidRPr="00A0642B" w:rsidRDefault="00B75B95" w:rsidP="00B75B95">
      <w:pPr>
        <w:rPr>
          <w:rFonts w:cstheme="minorHAnsi"/>
        </w:rPr>
      </w:pPr>
      <w:r w:rsidRPr="00A0642B">
        <w:rPr>
          <w:rFonts w:cstheme="minorHAnsi"/>
        </w:rPr>
        <w:t>There are two ways by which</w:t>
      </w:r>
      <w:r w:rsidR="00F4573E" w:rsidRPr="00A0642B">
        <w:rPr>
          <w:rFonts w:cstheme="minorHAnsi"/>
        </w:rPr>
        <w:t xml:space="preserve"> </w:t>
      </w:r>
      <w:r w:rsidRPr="00A0642B">
        <w:rPr>
          <w:rFonts w:cstheme="minorHAnsi"/>
        </w:rPr>
        <w:t>school districts finance their risks.</w:t>
      </w:r>
      <w:r w:rsidR="00027271" w:rsidRPr="00A0642B">
        <w:rPr>
          <w:rFonts w:cstheme="minorHAnsi"/>
        </w:rPr>
        <w:t xml:space="preserve"> </w:t>
      </w:r>
      <w:r w:rsidRPr="00A0642B">
        <w:rPr>
          <w:rFonts w:cstheme="minorHAnsi"/>
        </w:rPr>
        <w:t>In general, these involve transferring risk by obtaining insurance</w:t>
      </w:r>
      <w:r w:rsidR="00027271" w:rsidRPr="00A0642B">
        <w:rPr>
          <w:rFonts w:cstheme="minorHAnsi"/>
        </w:rPr>
        <w:t xml:space="preserve"> </w:t>
      </w:r>
      <w:r w:rsidRPr="00A0642B">
        <w:rPr>
          <w:rFonts w:cstheme="minorHAnsi"/>
        </w:rPr>
        <w:t>coverage externally, either through</w:t>
      </w:r>
      <w:r w:rsidR="00027271" w:rsidRPr="00A0642B">
        <w:rPr>
          <w:rFonts w:cstheme="minorHAnsi"/>
        </w:rPr>
        <w:t xml:space="preserve"> </w:t>
      </w:r>
      <w:r w:rsidRPr="00A0642B">
        <w:rPr>
          <w:rFonts w:cstheme="minorHAnsi"/>
        </w:rPr>
        <w:t>commercial insurance companies</w:t>
      </w:r>
      <w:r w:rsidR="00027271" w:rsidRPr="00A0642B">
        <w:rPr>
          <w:rFonts w:cstheme="minorHAnsi"/>
        </w:rPr>
        <w:t xml:space="preserve"> </w:t>
      </w:r>
      <w:r w:rsidRPr="00A0642B">
        <w:rPr>
          <w:rFonts w:cstheme="minorHAnsi"/>
        </w:rPr>
        <w:t>or through risk pools with other</w:t>
      </w:r>
      <w:r w:rsidR="00027271" w:rsidRPr="00A0642B">
        <w:rPr>
          <w:rFonts w:cstheme="minorHAnsi"/>
        </w:rPr>
        <w:t xml:space="preserve"> </w:t>
      </w:r>
      <w:r w:rsidRPr="00A0642B">
        <w:rPr>
          <w:rFonts w:cstheme="minorHAnsi"/>
        </w:rPr>
        <w:t>governmental units, and retaining</w:t>
      </w:r>
      <w:r w:rsidR="00027271" w:rsidRPr="00A0642B">
        <w:rPr>
          <w:rFonts w:cstheme="minorHAnsi"/>
        </w:rPr>
        <w:t xml:space="preserve"> </w:t>
      </w:r>
      <w:r w:rsidRPr="00A0642B">
        <w:rPr>
          <w:rFonts w:cstheme="minorHAnsi"/>
        </w:rPr>
        <w:t>risk by not obtaining outside</w:t>
      </w:r>
      <w:r w:rsidR="00027271" w:rsidRPr="00A0642B">
        <w:rPr>
          <w:rFonts w:cstheme="minorHAnsi"/>
        </w:rPr>
        <w:t xml:space="preserve"> </w:t>
      </w:r>
      <w:r w:rsidRPr="00A0642B">
        <w:rPr>
          <w:rFonts w:cstheme="minorHAnsi"/>
        </w:rPr>
        <w:t>coverage for all or a portion of</w:t>
      </w:r>
      <w:r w:rsidR="00027271" w:rsidRPr="00A0642B">
        <w:rPr>
          <w:rFonts w:cstheme="minorHAnsi"/>
        </w:rPr>
        <w:t xml:space="preserve"> </w:t>
      </w:r>
      <w:r w:rsidRPr="00A0642B">
        <w:rPr>
          <w:rFonts w:cstheme="minorHAnsi"/>
        </w:rPr>
        <w:t>potential losses. These two basic</w:t>
      </w:r>
      <w:r w:rsidR="00027271" w:rsidRPr="00A0642B">
        <w:rPr>
          <w:rFonts w:cstheme="minorHAnsi"/>
        </w:rPr>
        <w:t xml:space="preserve"> </w:t>
      </w:r>
      <w:r w:rsidRPr="00A0642B">
        <w:rPr>
          <w:rFonts w:cstheme="minorHAnsi"/>
        </w:rPr>
        <w:t>alternatives—risk transfer and risk</w:t>
      </w:r>
      <w:r w:rsidR="00027271" w:rsidRPr="00A0642B">
        <w:rPr>
          <w:rFonts w:cstheme="minorHAnsi"/>
        </w:rPr>
        <w:t xml:space="preserve"> </w:t>
      </w:r>
      <w:r w:rsidRPr="00A0642B">
        <w:rPr>
          <w:rFonts w:cstheme="minorHAnsi"/>
        </w:rPr>
        <w:t>retention—are described as</w:t>
      </w:r>
      <w:r w:rsidR="00912BFF">
        <w:rPr>
          <w:rFonts w:cstheme="minorHAnsi"/>
        </w:rPr>
        <w:t xml:space="preserve"> </w:t>
      </w:r>
      <w:r w:rsidRPr="00A0642B">
        <w:rPr>
          <w:rFonts w:cstheme="minorHAnsi"/>
        </w:rPr>
        <w:t>follows.</w:t>
      </w:r>
    </w:p>
    <w:p w14:paraId="7FD79698" w14:textId="0CE1C1CA" w:rsidR="00027271" w:rsidRPr="00A0642B" w:rsidRDefault="00B75B95" w:rsidP="00027271">
      <w:pPr>
        <w:pStyle w:val="Heading2"/>
        <w:rPr>
          <w:rFonts w:asciiTheme="minorHAnsi" w:hAnsiTheme="minorHAnsi" w:cstheme="minorHAnsi"/>
        </w:rPr>
      </w:pPr>
      <w:r w:rsidRPr="00A0642B">
        <w:rPr>
          <w:rFonts w:asciiTheme="minorHAnsi" w:hAnsiTheme="minorHAnsi" w:cstheme="minorHAnsi"/>
        </w:rPr>
        <w:t>Risk Transfer (Including Risk</w:t>
      </w:r>
      <w:r w:rsidR="00027271" w:rsidRPr="00A0642B">
        <w:rPr>
          <w:rFonts w:asciiTheme="minorHAnsi" w:hAnsiTheme="minorHAnsi" w:cstheme="minorHAnsi"/>
        </w:rPr>
        <w:t xml:space="preserve"> </w:t>
      </w:r>
      <w:r w:rsidRPr="00A0642B">
        <w:rPr>
          <w:rFonts w:asciiTheme="minorHAnsi" w:hAnsiTheme="minorHAnsi" w:cstheme="minorHAnsi"/>
        </w:rPr>
        <w:t xml:space="preserve">Pools). </w:t>
      </w:r>
    </w:p>
    <w:p w14:paraId="7CFC8642" w14:textId="3D1E1A11" w:rsidR="00B75B95" w:rsidRPr="00A0642B" w:rsidRDefault="00B75B95" w:rsidP="00B75B95">
      <w:pPr>
        <w:rPr>
          <w:rFonts w:cstheme="minorHAnsi"/>
        </w:rPr>
      </w:pPr>
      <w:r w:rsidRPr="00A0642B">
        <w:rPr>
          <w:rFonts w:cstheme="minorHAnsi"/>
        </w:rPr>
        <w:t>Risk is transferred when a</w:t>
      </w:r>
      <w:r w:rsidR="00027271" w:rsidRPr="00A0642B">
        <w:rPr>
          <w:rFonts w:cstheme="minorHAnsi"/>
        </w:rPr>
        <w:t xml:space="preserve"> </w:t>
      </w:r>
      <w:r w:rsidRPr="00A0642B">
        <w:rPr>
          <w:rFonts w:cstheme="minorHAnsi"/>
        </w:rPr>
        <w:t>school district obtains insurance</w:t>
      </w:r>
      <w:r w:rsidR="00027271" w:rsidRPr="00A0642B">
        <w:rPr>
          <w:rFonts w:cstheme="minorHAnsi"/>
        </w:rPr>
        <w:t xml:space="preserve"> </w:t>
      </w:r>
      <w:r w:rsidRPr="00A0642B">
        <w:rPr>
          <w:rFonts w:cstheme="minorHAnsi"/>
        </w:rPr>
        <w:t>coverage from outside parties.</w:t>
      </w:r>
      <w:r w:rsidR="00027271" w:rsidRPr="00A0642B">
        <w:rPr>
          <w:rFonts w:cstheme="minorHAnsi"/>
        </w:rPr>
        <w:t xml:space="preserve"> </w:t>
      </w:r>
      <w:r w:rsidRPr="00A0642B">
        <w:rPr>
          <w:rFonts w:cstheme="minorHAnsi"/>
        </w:rPr>
        <w:t>One common practice is to purchase individual policies with</w:t>
      </w:r>
      <w:r w:rsidR="00027271" w:rsidRPr="00A0642B">
        <w:rPr>
          <w:rFonts w:cstheme="minorHAnsi"/>
        </w:rPr>
        <w:t xml:space="preserve"> </w:t>
      </w:r>
      <w:r w:rsidRPr="00A0642B">
        <w:rPr>
          <w:rFonts w:cstheme="minorHAnsi"/>
        </w:rPr>
        <w:t>insurance companies, so that the</w:t>
      </w:r>
      <w:r w:rsidR="00027271" w:rsidRPr="00A0642B">
        <w:rPr>
          <w:rFonts w:cstheme="minorHAnsi"/>
        </w:rPr>
        <w:t xml:space="preserve"> </w:t>
      </w:r>
      <w:r w:rsidRPr="00A0642B">
        <w:rPr>
          <w:rFonts w:cstheme="minorHAnsi"/>
        </w:rPr>
        <w:t>risk of loss is transferred from the</w:t>
      </w:r>
      <w:r w:rsidR="00027271" w:rsidRPr="00A0642B">
        <w:rPr>
          <w:rFonts w:cstheme="minorHAnsi"/>
        </w:rPr>
        <w:t xml:space="preserve"> </w:t>
      </w:r>
      <w:r w:rsidRPr="00A0642B">
        <w:rPr>
          <w:rFonts w:cstheme="minorHAnsi"/>
        </w:rPr>
        <w:t>school district to the insurer.</w:t>
      </w:r>
      <w:r w:rsidR="00027271" w:rsidRPr="00A0642B">
        <w:rPr>
          <w:rFonts w:cstheme="minorHAnsi"/>
        </w:rPr>
        <w:t xml:space="preserve"> </w:t>
      </w:r>
      <w:r w:rsidRPr="00A0642B">
        <w:rPr>
          <w:rFonts w:cstheme="minorHAnsi"/>
        </w:rPr>
        <w:t>While this effectively reduces risk,</w:t>
      </w:r>
      <w:r w:rsidR="00027271" w:rsidRPr="00A0642B">
        <w:rPr>
          <w:rFonts w:cstheme="minorHAnsi"/>
        </w:rPr>
        <w:t xml:space="preserve"> </w:t>
      </w:r>
      <w:r w:rsidRPr="00A0642B">
        <w:rPr>
          <w:rFonts w:cstheme="minorHAnsi"/>
        </w:rPr>
        <w:t>its major disadvantage — the</w:t>
      </w:r>
      <w:r w:rsidR="00027271" w:rsidRPr="00A0642B">
        <w:rPr>
          <w:rFonts w:cstheme="minorHAnsi"/>
        </w:rPr>
        <w:t xml:space="preserve"> </w:t>
      </w:r>
      <w:r w:rsidRPr="00A0642B">
        <w:rPr>
          <w:rFonts w:cstheme="minorHAnsi"/>
        </w:rPr>
        <w:t>increasing cost of this insurance —</w:t>
      </w:r>
      <w:r w:rsidR="00027271" w:rsidRPr="00A0642B">
        <w:rPr>
          <w:rFonts w:cstheme="minorHAnsi"/>
        </w:rPr>
        <w:t xml:space="preserve"> </w:t>
      </w:r>
      <w:r w:rsidRPr="00A0642B">
        <w:rPr>
          <w:rFonts w:cstheme="minorHAnsi"/>
        </w:rPr>
        <w:t>has led school districts to seek</w:t>
      </w:r>
      <w:r w:rsidR="00027271" w:rsidRPr="00A0642B">
        <w:rPr>
          <w:rFonts w:cstheme="minorHAnsi"/>
        </w:rPr>
        <w:t xml:space="preserve"> </w:t>
      </w:r>
      <w:r w:rsidRPr="00A0642B">
        <w:rPr>
          <w:rFonts w:cstheme="minorHAnsi"/>
        </w:rPr>
        <w:t>alternative means to finance their</w:t>
      </w:r>
      <w:r w:rsidR="00027271" w:rsidRPr="00A0642B">
        <w:rPr>
          <w:rFonts w:cstheme="minorHAnsi"/>
        </w:rPr>
        <w:t xml:space="preserve"> </w:t>
      </w:r>
      <w:r w:rsidRPr="00A0642B">
        <w:rPr>
          <w:rFonts w:cstheme="minorHAnsi"/>
        </w:rPr>
        <w:t>risks. An increasingly popular</w:t>
      </w:r>
      <w:r w:rsidR="00027271" w:rsidRPr="00A0642B">
        <w:rPr>
          <w:rFonts w:cstheme="minorHAnsi"/>
        </w:rPr>
        <w:t xml:space="preserve"> </w:t>
      </w:r>
      <w:r w:rsidRPr="00A0642B">
        <w:rPr>
          <w:rFonts w:cstheme="minorHAnsi"/>
        </w:rPr>
        <w:t>alternative to transferring risk is</w:t>
      </w:r>
      <w:r w:rsidR="00027271" w:rsidRPr="00A0642B">
        <w:rPr>
          <w:rFonts w:cstheme="minorHAnsi"/>
        </w:rPr>
        <w:t xml:space="preserve"> </w:t>
      </w:r>
      <w:r w:rsidRPr="00A0642B">
        <w:rPr>
          <w:rFonts w:cstheme="minorHAnsi"/>
        </w:rPr>
        <w:t>through joining or forming a risk</w:t>
      </w:r>
      <w:r w:rsidR="00027271" w:rsidRPr="00A0642B">
        <w:rPr>
          <w:rFonts w:cstheme="minorHAnsi"/>
        </w:rPr>
        <w:t xml:space="preserve"> </w:t>
      </w:r>
      <w:r w:rsidRPr="00A0642B">
        <w:rPr>
          <w:rFonts w:cstheme="minorHAnsi"/>
        </w:rPr>
        <w:t>pool with other governmental</w:t>
      </w:r>
      <w:r w:rsidR="0088683E" w:rsidRPr="00A0642B">
        <w:rPr>
          <w:rFonts w:cstheme="minorHAnsi"/>
        </w:rPr>
        <w:t xml:space="preserve"> </w:t>
      </w:r>
      <w:r w:rsidRPr="00A0642B">
        <w:rPr>
          <w:rFonts w:cstheme="minorHAnsi"/>
        </w:rPr>
        <w:t>entities, whereby several governmental units combine their</w:t>
      </w:r>
      <w:r w:rsidR="0088683E" w:rsidRPr="00A0642B">
        <w:rPr>
          <w:rFonts w:cstheme="minorHAnsi"/>
        </w:rPr>
        <w:t xml:space="preserve"> </w:t>
      </w:r>
      <w:r w:rsidRPr="00A0642B">
        <w:rPr>
          <w:rFonts w:cstheme="minorHAnsi"/>
        </w:rPr>
        <w:t>resources to provide insurance</w:t>
      </w:r>
      <w:r w:rsidR="0088683E" w:rsidRPr="00A0642B">
        <w:rPr>
          <w:rFonts w:cstheme="minorHAnsi"/>
        </w:rPr>
        <w:t xml:space="preserve"> </w:t>
      </w:r>
      <w:r w:rsidRPr="00A0642B">
        <w:rPr>
          <w:rFonts w:cstheme="minorHAnsi"/>
        </w:rPr>
        <w:t>coverage. By pooling with similar</w:t>
      </w:r>
      <w:r w:rsidR="0088683E" w:rsidRPr="00A0642B">
        <w:rPr>
          <w:rFonts w:cstheme="minorHAnsi"/>
        </w:rPr>
        <w:t xml:space="preserve"> </w:t>
      </w:r>
      <w:r w:rsidRPr="00A0642B">
        <w:rPr>
          <w:rFonts w:cstheme="minorHAnsi"/>
        </w:rPr>
        <w:t>units, the cost of the coverage may</w:t>
      </w:r>
      <w:r w:rsidR="0088683E" w:rsidRPr="00A0642B">
        <w:rPr>
          <w:rFonts w:cstheme="minorHAnsi"/>
        </w:rPr>
        <w:t xml:space="preserve"> </w:t>
      </w:r>
      <w:r w:rsidRPr="00A0642B">
        <w:rPr>
          <w:rFonts w:cstheme="minorHAnsi"/>
        </w:rPr>
        <w:t>be substantially below the amount</w:t>
      </w:r>
      <w:r w:rsidR="0088683E" w:rsidRPr="00A0642B">
        <w:rPr>
          <w:rFonts w:cstheme="minorHAnsi"/>
        </w:rPr>
        <w:t xml:space="preserve"> </w:t>
      </w:r>
      <w:r w:rsidRPr="00A0642B">
        <w:rPr>
          <w:rFonts w:cstheme="minorHAnsi"/>
        </w:rPr>
        <w:t>that would be expended for</w:t>
      </w:r>
      <w:r w:rsidR="0088683E" w:rsidRPr="00A0642B">
        <w:rPr>
          <w:rFonts w:cstheme="minorHAnsi"/>
        </w:rPr>
        <w:t xml:space="preserve"> </w:t>
      </w:r>
      <w:r w:rsidRPr="00A0642B">
        <w:rPr>
          <w:rFonts w:cstheme="minorHAnsi"/>
        </w:rPr>
        <w:t>individual policies obtained from</w:t>
      </w:r>
      <w:r w:rsidR="0088683E" w:rsidRPr="00A0642B">
        <w:rPr>
          <w:rFonts w:cstheme="minorHAnsi"/>
        </w:rPr>
        <w:t xml:space="preserve"> </w:t>
      </w:r>
      <w:r w:rsidRPr="00A0642B">
        <w:rPr>
          <w:rFonts w:cstheme="minorHAnsi"/>
        </w:rPr>
        <w:t>commercial insurers.</w:t>
      </w:r>
    </w:p>
    <w:p w14:paraId="51FD4163" w14:textId="34E7DFE9" w:rsidR="0088683E" w:rsidRPr="00A0642B" w:rsidRDefault="00B75B95" w:rsidP="0088683E">
      <w:pPr>
        <w:pStyle w:val="Heading2"/>
        <w:rPr>
          <w:rFonts w:asciiTheme="minorHAnsi" w:hAnsiTheme="minorHAnsi" w:cstheme="minorHAnsi"/>
        </w:rPr>
      </w:pPr>
      <w:r w:rsidRPr="00A0642B">
        <w:rPr>
          <w:rFonts w:asciiTheme="minorHAnsi" w:hAnsiTheme="minorHAnsi" w:cstheme="minorHAnsi"/>
        </w:rPr>
        <w:t xml:space="preserve">Risk Retention. </w:t>
      </w:r>
    </w:p>
    <w:p w14:paraId="02FC8E01" w14:textId="728DB1D6" w:rsidR="00B75B95" w:rsidRPr="00A0642B" w:rsidRDefault="00B75B95" w:rsidP="00B75B95">
      <w:pPr>
        <w:rPr>
          <w:rFonts w:cstheme="minorHAnsi"/>
        </w:rPr>
      </w:pPr>
      <w:r w:rsidRPr="00A0642B">
        <w:rPr>
          <w:rFonts w:cstheme="minorHAnsi"/>
        </w:rPr>
        <w:t>This approach</w:t>
      </w:r>
      <w:r w:rsidR="0088683E" w:rsidRPr="00A0642B">
        <w:rPr>
          <w:rFonts w:cstheme="minorHAnsi"/>
        </w:rPr>
        <w:t xml:space="preserve"> </w:t>
      </w:r>
      <w:r w:rsidRPr="00A0642B">
        <w:rPr>
          <w:rFonts w:cstheme="minorHAnsi"/>
        </w:rPr>
        <w:t>is often called self-insurance,</w:t>
      </w:r>
      <w:r w:rsidR="0088683E" w:rsidRPr="00A0642B">
        <w:rPr>
          <w:rFonts w:cstheme="minorHAnsi"/>
        </w:rPr>
        <w:t xml:space="preserve"> </w:t>
      </w:r>
      <w:r w:rsidRPr="00A0642B">
        <w:rPr>
          <w:rFonts w:cstheme="minorHAnsi"/>
        </w:rPr>
        <w:t>whereby the district retains the</w:t>
      </w:r>
      <w:r w:rsidR="0088683E" w:rsidRPr="00A0642B">
        <w:rPr>
          <w:rFonts w:cstheme="minorHAnsi"/>
        </w:rPr>
        <w:t xml:space="preserve"> </w:t>
      </w:r>
      <w:r w:rsidRPr="00A0642B">
        <w:rPr>
          <w:rFonts w:cstheme="minorHAnsi"/>
        </w:rPr>
        <w:t>risk of loss. In actuality, self</w:t>
      </w:r>
      <w:r w:rsidR="00C5182B" w:rsidRPr="00A0642B">
        <w:rPr>
          <w:rFonts w:cstheme="minorHAnsi"/>
        </w:rPr>
        <w:t>-</w:t>
      </w:r>
      <w:r w:rsidRPr="00A0642B">
        <w:rPr>
          <w:rFonts w:cstheme="minorHAnsi"/>
        </w:rPr>
        <w:t>insurance</w:t>
      </w:r>
      <w:r w:rsidR="00C5182B" w:rsidRPr="00A0642B">
        <w:rPr>
          <w:rFonts w:cstheme="minorHAnsi"/>
        </w:rPr>
        <w:t xml:space="preserve"> </w:t>
      </w:r>
      <w:r w:rsidRPr="00A0642B">
        <w:rPr>
          <w:rFonts w:cstheme="minorHAnsi"/>
        </w:rPr>
        <w:t>represents no formal</w:t>
      </w:r>
      <w:r w:rsidR="00C5182B" w:rsidRPr="00A0642B">
        <w:rPr>
          <w:rFonts w:cstheme="minorHAnsi"/>
        </w:rPr>
        <w:t xml:space="preserve"> </w:t>
      </w:r>
      <w:r w:rsidRPr="00A0642B">
        <w:rPr>
          <w:rFonts w:cstheme="minorHAnsi"/>
        </w:rPr>
        <w:t>insurance coverage at all, as no</w:t>
      </w:r>
      <w:r w:rsidR="00C5182B" w:rsidRPr="00A0642B">
        <w:rPr>
          <w:rFonts w:cstheme="minorHAnsi"/>
        </w:rPr>
        <w:t xml:space="preserve"> </w:t>
      </w:r>
      <w:r w:rsidRPr="00A0642B">
        <w:rPr>
          <w:rFonts w:cstheme="minorHAnsi"/>
        </w:rPr>
        <w:t>risk has been transferred to</w:t>
      </w:r>
      <w:r w:rsidR="00C5182B" w:rsidRPr="00A0642B">
        <w:rPr>
          <w:rFonts w:cstheme="minorHAnsi"/>
        </w:rPr>
        <w:t xml:space="preserve"> </w:t>
      </w:r>
      <w:r w:rsidRPr="00A0642B">
        <w:rPr>
          <w:rFonts w:cstheme="minorHAnsi"/>
        </w:rPr>
        <w:t>outside parties. When risk is</w:t>
      </w:r>
      <w:r w:rsidR="00C5182B" w:rsidRPr="00A0642B">
        <w:rPr>
          <w:rFonts w:cstheme="minorHAnsi"/>
        </w:rPr>
        <w:t xml:space="preserve"> </w:t>
      </w:r>
      <w:r w:rsidRPr="00A0642B">
        <w:rPr>
          <w:rFonts w:cstheme="minorHAnsi"/>
        </w:rPr>
        <w:t>retained, the unit may either "go</w:t>
      </w:r>
      <w:r w:rsidR="00C5182B" w:rsidRPr="00A0642B">
        <w:rPr>
          <w:rFonts w:cstheme="minorHAnsi"/>
        </w:rPr>
        <w:t xml:space="preserve"> </w:t>
      </w:r>
      <w:r w:rsidRPr="00A0642B">
        <w:rPr>
          <w:rFonts w:cstheme="minorHAnsi"/>
        </w:rPr>
        <w:t>bare" by not funding any potential</w:t>
      </w:r>
      <w:r w:rsidR="00C5182B" w:rsidRPr="00A0642B">
        <w:rPr>
          <w:rFonts w:cstheme="minorHAnsi"/>
        </w:rPr>
        <w:t xml:space="preserve"> </w:t>
      </w:r>
      <w:r w:rsidRPr="00A0642B">
        <w:rPr>
          <w:rFonts w:cstheme="minorHAnsi"/>
        </w:rPr>
        <w:t>liabilities or may fund in advance</w:t>
      </w:r>
      <w:r w:rsidR="00C5182B" w:rsidRPr="00A0642B">
        <w:rPr>
          <w:rFonts w:cstheme="minorHAnsi"/>
        </w:rPr>
        <w:t xml:space="preserve"> </w:t>
      </w:r>
      <w:r w:rsidRPr="00A0642B">
        <w:rPr>
          <w:rFonts w:cstheme="minorHAnsi"/>
        </w:rPr>
        <w:t>at least a portion of these potential</w:t>
      </w:r>
      <w:r w:rsidR="00C5182B" w:rsidRPr="00A0642B">
        <w:rPr>
          <w:rFonts w:cstheme="minorHAnsi"/>
        </w:rPr>
        <w:t xml:space="preserve"> </w:t>
      </w:r>
      <w:r w:rsidRPr="00A0642B">
        <w:rPr>
          <w:rFonts w:cstheme="minorHAnsi"/>
        </w:rPr>
        <w:t>liabilities. Under the unfunded</w:t>
      </w:r>
      <w:r w:rsidR="00C5182B" w:rsidRPr="00A0642B">
        <w:rPr>
          <w:rFonts w:cstheme="minorHAnsi"/>
        </w:rPr>
        <w:t xml:space="preserve"> </w:t>
      </w:r>
      <w:r w:rsidRPr="00A0642B">
        <w:rPr>
          <w:rFonts w:cstheme="minorHAnsi"/>
        </w:rPr>
        <w:t>alternative, as a loss is incurred,</w:t>
      </w:r>
      <w:r w:rsidR="00C5182B" w:rsidRPr="00A0642B">
        <w:rPr>
          <w:rFonts w:cstheme="minorHAnsi"/>
        </w:rPr>
        <w:t xml:space="preserve"> </w:t>
      </w:r>
      <w:r w:rsidRPr="00A0642B">
        <w:rPr>
          <w:rFonts w:cstheme="minorHAnsi"/>
        </w:rPr>
        <w:t>all costs associated with that loss</w:t>
      </w:r>
      <w:r w:rsidR="00C5182B" w:rsidRPr="00A0642B">
        <w:rPr>
          <w:rFonts w:cstheme="minorHAnsi"/>
        </w:rPr>
        <w:t xml:space="preserve"> </w:t>
      </w:r>
      <w:r w:rsidRPr="00A0642B">
        <w:rPr>
          <w:rFonts w:cstheme="minorHAnsi"/>
        </w:rPr>
        <w:t>are to be borne by current and</w:t>
      </w:r>
      <w:r w:rsidR="00C5182B" w:rsidRPr="00A0642B">
        <w:rPr>
          <w:rFonts w:cstheme="minorHAnsi"/>
        </w:rPr>
        <w:t xml:space="preserve"> </w:t>
      </w:r>
      <w:r w:rsidRPr="00A0642B">
        <w:rPr>
          <w:rFonts w:cstheme="minorHAnsi"/>
        </w:rPr>
        <w:t>future periods. In contrast, if the</w:t>
      </w:r>
      <w:r w:rsidR="00C5182B" w:rsidRPr="00A0642B">
        <w:rPr>
          <w:rFonts w:cstheme="minorHAnsi"/>
        </w:rPr>
        <w:t xml:space="preserve"> </w:t>
      </w:r>
      <w:r w:rsidRPr="00A0642B">
        <w:rPr>
          <w:rFonts w:cstheme="minorHAnsi"/>
        </w:rPr>
        <w:t>school district provides funding</w:t>
      </w:r>
      <w:r w:rsidR="00C5182B" w:rsidRPr="00A0642B">
        <w:rPr>
          <w:rFonts w:cstheme="minorHAnsi"/>
        </w:rPr>
        <w:t xml:space="preserve"> </w:t>
      </w:r>
      <w:r w:rsidRPr="00A0642B">
        <w:rPr>
          <w:rFonts w:cstheme="minorHAnsi"/>
        </w:rPr>
        <w:t>for potential liabilities, the cost of</w:t>
      </w:r>
      <w:r w:rsidR="00C5182B" w:rsidRPr="00A0642B">
        <w:rPr>
          <w:rFonts w:cstheme="minorHAnsi"/>
        </w:rPr>
        <w:t xml:space="preserve"> </w:t>
      </w:r>
      <w:r w:rsidRPr="00A0642B">
        <w:rPr>
          <w:rFonts w:cstheme="minorHAnsi"/>
        </w:rPr>
        <w:t>some, if not all, of the loss will be</w:t>
      </w:r>
      <w:r w:rsidR="00C5182B" w:rsidRPr="00A0642B">
        <w:rPr>
          <w:rFonts w:cstheme="minorHAnsi"/>
        </w:rPr>
        <w:t xml:space="preserve"> </w:t>
      </w:r>
      <w:r w:rsidRPr="00A0642B">
        <w:rPr>
          <w:rFonts w:cstheme="minorHAnsi"/>
        </w:rPr>
        <w:t>covered by resources already</w:t>
      </w:r>
      <w:r w:rsidR="00C5182B" w:rsidRPr="00A0642B">
        <w:rPr>
          <w:rFonts w:cstheme="minorHAnsi"/>
        </w:rPr>
        <w:t xml:space="preserve"> </w:t>
      </w:r>
      <w:r w:rsidRPr="00A0642B">
        <w:rPr>
          <w:rFonts w:cstheme="minorHAnsi"/>
        </w:rPr>
        <w:t>available; resources to be generated in future periods will have to</w:t>
      </w:r>
      <w:r w:rsidR="00C5182B" w:rsidRPr="00A0642B">
        <w:rPr>
          <w:rFonts w:cstheme="minorHAnsi"/>
        </w:rPr>
        <w:t xml:space="preserve"> </w:t>
      </w:r>
      <w:r w:rsidRPr="00A0642B">
        <w:rPr>
          <w:rFonts w:cstheme="minorHAnsi"/>
        </w:rPr>
        <w:t>cover, at most, only a portion of</w:t>
      </w:r>
      <w:r w:rsidR="00C5182B" w:rsidRPr="00A0642B">
        <w:rPr>
          <w:rFonts w:cstheme="minorHAnsi"/>
        </w:rPr>
        <w:t xml:space="preserve"> </w:t>
      </w:r>
      <w:r w:rsidRPr="00A0642B">
        <w:rPr>
          <w:rFonts w:cstheme="minorHAnsi"/>
        </w:rPr>
        <w:t>the total loss. The amounts to be</w:t>
      </w:r>
      <w:r w:rsidR="00C5182B" w:rsidRPr="00A0642B">
        <w:rPr>
          <w:rFonts w:cstheme="minorHAnsi"/>
        </w:rPr>
        <w:t xml:space="preserve"> </w:t>
      </w:r>
      <w:r w:rsidRPr="00A0642B">
        <w:rPr>
          <w:rFonts w:cstheme="minorHAnsi"/>
        </w:rPr>
        <w:t>funded can be determined either</w:t>
      </w:r>
      <w:r w:rsidR="00C5182B" w:rsidRPr="00A0642B">
        <w:rPr>
          <w:rFonts w:cstheme="minorHAnsi"/>
        </w:rPr>
        <w:t xml:space="preserve"> </w:t>
      </w:r>
      <w:r w:rsidRPr="00A0642B">
        <w:rPr>
          <w:rFonts w:cstheme="minorHAnsi"/>
        </w:rPr>
        <w:t>through actuarial assumptions or</w:t>
      </w:r>
      <w:r w:rsidR="00C5182B" w:rsidRPr="00A0642B">
        <w:rPr>
          <w:rFonts w:cstheme="minorHAnsi"/>
        </w:rPr>
        <w:t xml:space="preserve"> </w:t>
      </w:r>
      <w:r w:rsidRPr="00A0642B">
        <w:rPr>
          <w:rFonts w:cstheme="minorHAnsi"/>
        </w:rPr>
        <w:t>by other procedures, which</w:t>
      </w:r>
      <w:r w:rsidR="00C5182B" w:rsidRPr="00A0642B">
        <w:rPr>
          <w:rFonts w:cstheme="minorHAnsi"/>
        </w:rPr>
        <w:t xml:space="preserve"> </w:t>
      </w:r>
      <w:r w:rsidRPr="00A0642B">
        <w:rPr>
          <w:rFonts w:cstheme="minorHAnsi"/>
        </w:rPr>
        <w:t>depending on the risks being</w:t>
      </w:r>
      <w:r w:rsidR="00C5182B" w:rsidRPr="00A0642B">
        <w:rPr>
          <w:rFonts w:cstheme="minorHAnsi"/>
        </w:rPr>
        <w:t xml:space="preserve"> </w:t>
      </w:r>
      <w:r w:rsidRPr="00A0642B">
        <w:rPr>
          <w:rFonts w:cstheme="minorHAnsi"/>
        </w:rPr>
        <w:t>assumed, may vary from analyzing past experience to simply</w:t>
      </w:r>
      <w:r w:rsidR="00C5182B" w:rsidRPr="00A0642B">
        <w:rPr>
          <w:rFonts w:cstheme="minorHAnsi"/>
        </w:rPr>
        <w:t xml:space="preserve"> </w:t>
      </w:r>
      <w:r w:rsidRPr="00A0642B">
        <w:rPr>
          <w:rFonts w:cstheme="minorHAnsi"/>
        </w:rPr>
        <w:t>designating an arbitrary amount.</w:t>
      </w:r>
    </w:p>
    <w:p w14:paraId="04C6086A" w14:textId="73E1C3C1" w:rsidR="00F7569B" w:rsidRPr="00A0642B" w:rsidRDefault="00B75B95" w:rsidP="00361EF9">
      <w:pPr>
        <w:rPr>
          <w:rFonts w:cstheme="minorHAnsi"/>
        </w:rPr>
      </w:pPr>
      <w:r w:rsidRPr="00A0642B">
        <w:rPr>
          <w:rFonts w:cstheme="minorHAnsi"/>
        </w:rPr>
        <w:t>Many school districts elect a</w:t>
      </w:r>
      <w:r w:rsidR="00C5182B" w:rsidRPr="00A0642B">
        <w:rPr>
          <w:rFonts w:cstheme="minorHAnsi"/>
        </w:rPr>
        <w:t xml:space="preserve"> </w:t>
      </w:r>
      <w:r w:rsidRPr="00A0642B">
        <w:rPr>
          <w:rFonts w:cstheme="minorHAnsi"/>
        </w:rPr>
        <w:t>combination of these two approaches. For example, most have</w:t>
      </w:r>
      <w:r w:rsidR="00C5182B" w:rsidRPr="00A0642B">
        <w:rPr>
          <w:rFonts w:cstheme="minorHAnsi"/>
        </w:rPr>
        <w:t xml:space="preserve"> </w:t>
      </w:r>
      <w:r w:rsidRPr="00A0642B">
        <w:rPr>
          <w:rFonts w:cstheme="minorHAnsi"/>
        </w:rPr>
        <w:t>a deductible with each insurance</w:t>
      </w:r>
      <w:r w:rsidR="00C5182B" w:rsidRPr="00A0642B">
        <w:rPr>
          <w:rFonts w:cstheme="minorHAnsi"/>
        </w:rPr>
        <w:t xml:space="preserve"> </w:t>
      </w:r>
      <w:r w:rsidRPr="00A0642B">
        <w:rPr>
          <w:rFonts w:cstheme="minorHAnsi"/>
        </w:rPr>
        <w:t>policy. The district retains the risk</w:t>
      </w:r>
      <w:r w:rsidR="00C5182B" w:rsidRPr="00A0642B">
        <w:rPr>
          <w:rFonts w:cstheme="minorHAnsi"/>
        </w:rPr>
        <w:t xml:space="preserve"> </w:t>
      </w:r>
      <w:r w:rsidRPr="00A0642B">
        <w:rPr>
          <w:rFonts w:cstheme="minorHAnsi"/>
        </w:rPr>
        <w:t>from losses up to the amount of</w:t>
      </w:r>
      <w:r w:rsidR="00C5182B" w:rsidRPr="00A0642B">
        <w:rPr>
          <w:rFonts w:cstheme="minorHAnsi"/>
        </w:rPr>
        <w:t xml:space="preserve"> </w:t>
      </w:r>
      <w:r w:rsidRPr="00A0642B">
        <w:rPr>
          <w:rFonts w:cstheme="minorHAnsi"/>
        </w:rPr>
        <w:t>the deductible, while risk for</w:t>
      </w:r>
      <w:r w:rsidR="00C5182B" w:rsidRPr="00A0642B">
        <w:rPr>
          <w:rFonts w:cstheme="minorHAnsi"/>
        </w:rPr>
        <w:t xml:space="preserve"> </w:t>
      </w:r>
      <w:r w:rsidRPr="00A0642B">
        <w:rPr>
          <w:rFonts w:cstheme="minorHAnsi"/>
        </w:rPr>
        <w:t>losses above that amount is</w:t>
      </w:r>
      <w:r w:rsidR="00C5182B" w:rsidRPr="00A0642B">
        <w:rPr>
          <w:rFonts w:cstheme="minorHAnsi"/>
        </w:rPr>
        <w:t xml:space="preserve"> </w:t>
      </w:r>
      <w:r w:rsidRPr="00A0642B">
        <w:rPr>
          <w:rFonts w:cstheme="minorHAnsi"/>
        </w:rPr>
        <w:t>transferred to an external insurer.</w:t>
      </w:r>
      <w:r w:rsidR="00C5182B" w:rsidRPr="00A0642B">
        <w:rPr>
          <w:rFonts w:cstheme="minorHAnsi"/>
        </w:rPr>
        <w:t xml:space="preserve"> </w:t>
      </w:r>
      <w:r w:rsidRPr="00A0642B">
        <w:rPr>
          <w:rFonts w:cstheme="minorHAnsi"/>
        </w:rPr>
        <w:t>Another combination involves</w:t>
      </w:r>
      <w:r w:rsidR="00C5182B" w:rsidRPr="00A0642B">
        <w:rPr>
          <w:rFonts w:cstheme="minorHAnsi"/>
        </w:rPr>
        <w:t xml:space="preserve"> </w:t>
      </w:r>
      <w:r w:rsidRPr="00A0642B">
        <w:rPr>
          <w:rFonts w:cstheme="minorHAnsi"/>
        </w:rPr>
        <w:t>transferring only some risks</w:t>
      </w:r>
      <w:r w:rsidR="00C5182B" w:rsidRPr="00A0642B">
        <w:rPr>
          <w:rFonts w:cstheme="minorHAnsi"/>
        </w:rPr>
        <w:t xml:space="preserve"> </w:t>
      </w:r>
      <w:r w:rsidRPr="00A0642B">
        <w:rPr>
          <w:rFonts w:cstheme="minorHAnsi"/>
        </w:rPr>
        <w:t>through commercial insurance</w:t>
      </w:r>
      <w:r w:rsidR="00361EF9" w:rsidRPr="00A0642B">
        <w:rPr>
          <w:rFonts w:cstheme="minorHAnsi"/>
        </w:rPr>
        <w:t xml:space="preserve"> policies, using insurance pools and/or self-insurance for the remaining risks.</w:t>
      </w:r>
    </w:p>
    <w:p w14:paraId="371FBD2C" w14:textId="1D849349" w:rsidR="00A30377" w:rsidRPr="00A0642B" w:rsidRDefault="00A30377" w:rsidP="00A30377">
      <w:pPr>
        <w:rPr>
          <w:rFonts w:cstheme="minorHAnsi"/>
        </w:rPr>
      </w:pPr>
      <w:r w:rsidRPr="00A0642B">
        <w:rPr>
          <w:rFonts w:cstheme="minorHAnsi"/>
        </w:rPr>
        <w:t>How can school districts respond to the increasing costs of insurance? One approach is through increased emphasis on risk control. For example, some risks can be avoided if certain extra-curricular activities (e.g., football) are eliminated. Other risks, such as property losses from</w:t>
      </w:r>
      <w:r w:rsidR="001962CE" w:rsidRPr="00A0642B">
        <w:rPr>
          <w:rFonts w:cstheme="minorHAnsi"/>
        </w:rPr>
        <w:t xml:space="preserve"> </w:t>
      </w:r>
      <w:r w:rsidRPr="00A0642B">
        <w:rPr>
          <w:rFonts w:cstheme="minorHAnsi"/>
        </w:rPr>
        <w:t>theft and vandalism, might be</w:t>
      </w:r>
      <w:r w:rsidR="001962CE" w:rsidRPr="00A0642B">
        <w:rPr>
          <w:rFonts w:cstheme="minorHAnsi"/>
        </w:rPr>
        <w:t xml:space="preserve"> </w:t>
      </w:r>
      <w:r w:rsidRPr="00A0642B">
        <w:rPr>
          <w:rFonts w:cstheme="minorHAnsi"/>
        </w:rPr>
        <w:t>reduced if improved security</w:t>
      </w:r>
      <w:r w:rsidR="001962CE" w:rsidRPr="00A0642B">
        <w:rPr>
          <w:rFonts w:cstheme="minorHAnsi"/>
        </w:rPr>
        <w:t xml:space="preserve"> </w:t>
      </w:r>
      <w:r w:rsidRPr="00A0642B">
        <w:rPr>
          <w:rFonts w:cstheme="minorHAnsi"/>
        </w:rPr>
        <w:t>systems are installed. A second</w:t>
      </w:r>
      <w:r w:rsidR="001962CE" w:rsidRPr="00A0642B">
        <w:rPr>
          <w:rFonts w:cstheme="minorHAnsi"/>
        </w:rPr>
        <w:t xml:space="preserve"> </w:t>
      </w:r>
      <w:r w:rsidRPr="00A0642B">
        <w:rPr>
          <w:rFonts w:cstheme="minorHAnsi"/>
        </w:rPr>
        <w:t>method is by changes in risk</w:t>
      </w:r>
      <w:r w:rsidR="001962CE" w:rsidRPr="00A0642B">
        <w:rPr>
          <w:rFonts w:cstheme="minorHAnsi"/>
        </w:rPr>
        <w:t xml:space="preserve"> </w:t>
      </w:r>
      <w:r w:rsidRPr="00A0642B">
        <w:rPr>
          <w:rFonts w:cstheme="minorHAnsi"/>
        </w:rPr>
        <w:t>financing. School districts may</w:t>
      </w:r>
      <w:r w:rsidR="001962CE" w:rsidRPr="00A0642B">
        <w:rPr>
          <w:rFonts w:cstheme="minorHAnsi"/>
        </w:rPr>
        <w:t xml:space="preserve"> </w:t>
      </w:r>
      <w:r w:rsidRPr="00A0642B">
        <w:rPr>
          <w:rFonts w:cstheme="minorHAnsi"/>
        </w:rPr>
        <w:t>elect to retain additional levels of</w:t>
      </w:r>
      <w:r w:rsidR="001962CE" w:rsidRPr="00A0642B">
        <w:rPr>
          <w:rFonts w:cstheme="minorHAnsi"/>
        </w:rPr>
        <w:t xml:space="preserve"> </w:t>
      </w:r>
      <w:r w:rsidRPr="00A0642B">
        <w:rPr>
          <w:rFonts w:cstheme="minorHAnsi"/>
        </w:rPr>
        <w:t>risk through larger deductibles on</w:t>
      </w:r>
      <w:r w:rsidR="001962CE" w:rsidRPr="00A0642B">
        <w:rPr>
          <w:rFonts w:cstheme="minorHAnsi"/>
        </w:rPr>
        <w:t xml:space="preserve"> </w:t>
      </w:r>
      <w:r w:rsidRPr="00A0642B">
        <w:rPr>
          <w:rFonts w:cstheme="minorHAnsi"/>
        </w:rPr>
        <w:t>their commercial insurance</w:t>
      </w:r>
      <w:r w:rsidR="001962CE" w:rsidRPr="00A0642B">
        <w:rPr>
          <w:rFonts w:cstheme="minorHAnsi"/>
        </w:rPr>
        <w:t xml:space="preserve"> </w:t>
      </w:r>
      <w:r w:rsidRPr="00A0642B">
        <w:rPr>
          <w:rFonts w:cstheme="minorHAnsi"/>
        </w:rPr>
        <w:t>policies, or they may elect to</w:t>
      </w:r>
      <w:r w:rsidR="001962CE" w:rsidRPr="00A0642B">
        <w:rPr>
          <w:rFonts w:cstheme="minorHAnsi"/>
        </w:rPr>
        <w:t xml:space="preserve"> </w:t>
      </w:r>
      <w:r w:rsidRPr="00A0642B">
        <w:rPr>
          <w:rFonts w:cstheme="minorHAnsi"/>
        </w:rPr>
        <w:t>discontinue certain types of</w:t>
      </w:r>
      <w:r w:rsidR="001962CE" w:rsidRPr="00A0642B">
        <w:rPr>
          <w:rFonts w:cstheme="minorHAnsi"/>
        </w:rPr>
        <w:t xml:space="preserve"> </w:t>
      </w:r>
      <w:r w:rsidRPr="00A0642B">
        <w:rPr>
          <w:rFonts w:cstheme="minorHAnsi"/>
        </w:rPr>
        <w:t>insurance coverage. For example,</w:t>
      </w:r>
      <w:r w:rsidR="001962CE" w:rsidRPr="00A0642B">
        <w:rPr>
          <w:rFonts w:cstheme="minorHAnsi"/>
        </w:rPr>
        <w:t xml:space="preserve"> </w:t>
      </w:r>
      <w:r w:rsidRPr="00A0642B">
        <w:rPr>
          <w:rFonts w:cstheme="minorHAnsi"/>
        </w:rPr>
        <w:t>a school district may self-insure its</w:t>
      </w:r>
      <w:r w:rsidR="001962CE" w:rsidRPr="00A0642B">
        <w:rPr>
          <w:rFonts w:cstheme="minorHAnsi"/>
        </w:rPr>
        <w:t xml:space="preserve"> </w:t>
      </w:r>
      <w:r w:rsidRPr="00A0642B">
        <w:rPr>
          <w:rFonts w:cstheme="minorHAnsi"/>
        </w:rPr>
        <w:t>employees' accident and health</w:t>
      </w:r>
      <w:r w:rsidR="001962CE" w:rsidRPr="00A0642B">
        <w:rPr>
          <w:rFonts w:cstheme="minorHAnsi"/>
        </w:rPr>
        <w:t xml:space="preserve"> </w:t>
      </w:r>
      <w:r w:rsidRPr="00A0642B">
        <w:rPr>
          <w:rFonts w:cstheme="minorHAnsi"/>
        </w:rPr>
        <w:t>coverage, use an insurance pool</w:t>
      </w:r>
      <w:r w:rsidR="001962CE" w:rsidRPr="00A0642B">
        <w:rPr>
          <w:rFonts w:cstheme="minorHAnsi"/>
        </w:rPr>
        <w:t xml:space="preserve"> </w:t>
      </w:r>
      <w:r w:rsidRPr="00A0642B">
        <w:rPr>
          <w:rFonts w:cstheme="minorHAnsi"/>
        </w:rPr>
        <w:t>for property insurance, and</w:t>
      </w:r>
      <w:r w:rsidR="001962CE" w:rsidRPr="00A0642B">
        <w:rPr>
          <w:rFonts w:cstheme="minorHAnsi"/>
        </w:rPr>
        <w:t xml:space="preserve"> </w:t>
      </w:r>
      <w:r w:rsidRPr="00A0642B">
        <w:rPr>
          <w:rFonts w:cstheme="minorHAnsi"/>
        </w:rPr>
        <w:t>transfer other risks to commercial</w:t>
      </w:r>
      <w:r w:rsidR="001962CE" w:rsidRPr="00A0642B">
        <w:rPr>
          <w:rFonts w:cstheme="minorHAnsi"/>
        </w:rPr>
        <w:t xml:space="preserve"> </w:t>
      </w:r>
      <w:r w:rsidRPr="00A0642B">
        <w:rPr>
          <w:rFonts w:cstheme="minorHAnsi"/>
        </w:rPr>
        <w:t>insurers rather than use commercial insurance for all risk</w:t>
      </w:r>
      <w:r w:rsidR="001962CE" w:rsidRPr="00A0642B">
        <w:rPr>
          <w:rFonts w:cstheme="minorHAnsi"/>
        </w:rPr>
        <w:t xml:space="preserve"> </w:t>
      </w:r>
      <w:r w:rsidRPr="00A0642B">
        <w:rPr>
          <w:rFonts w:cstheme="minorHAnsi"/>
        </w:rPr>
        <w:t>financing.</w:t>
      </w:r>
    </w:p>
    <w:p w14:paraId="02130DD9" w14:textId="78445889" w:rsidR="00B80811" w:rsidRPr="00A0642B" w:rsidRDefault="00B80811" w:rsidP="00B80811">
      <w:pPr>
        <w:rPr>
          <w:rFonts w:cstheme="minorHAnsi"/>
        </w:rPr>
      </w:pPr>
      <w:r w:rsidRPr="00A0642B">
        <w:rPr>
          <w:rFonts w:cstheme="minorHAnsi"/>
        </w:rPr>
        <w:t>These changes in risk financing should be accompanied by changes in budgeting for risk management. The budget for each year should provide for more than the payments to commercial insurers and risk pools. To the extent that the school district retains a greater level of risk, either through self-insurance or increased deductibles, the budget should contain provisions for all anticipated losses for which the district itself will have responsibility. Actuarial assistance might be necessary to develop estimates o</w:t>
      </w:r>
      <w:r w:rsidR="00F24854" w:rsidRPr="00A0642B">
        <w:rPr>
          <w:rFonts w:cstheme="minorHAnsi"/>
        </w:rPr>
        <w:t xml:space="preserve">f </w:t>
      </w:r>
      <w:r w:rsidRPr="00A0642B">
        <w:rPr>
          <w:rFonts w:cstheme="minorHAnsi"/>
        </w:rPr>
        <w:t>these losses for which the district</w:t>
      </w:r>
      <w:r w:rsidR="00F24854" w:rsidRPr="00A0642B">
        <w:rPr>
          <w:rFonts w:cstheme="minorHAnsi"/>
        </w:rPr>
        <w:t xml:space="preserve"> </w:t>
      </w:r>
      <w:r w:rsidRPr="00A0642B">
        <w:rPr>
          <w:rFonts w:cstheme="minorHAnsi"/>
        </w:rPr>
        <w:t>retains the risk, although a less</w:t>
      </w:r>
      <w:r w:rsidR="00F24854" w:rsidRPr="00A0642B">
        <w:rPr>
          <w:rFonts w:cstheme="minorHAnsi"/>
        </w:rPr>
        <w:t xml:space="preserve"> </w:t>
      </w:r>
      <w:r w:rsidRPr="00A0642B">
        <w:rPr>
          <w:rFonts w:cstheme="minorHAnsi"/>
        </w:rPr>
        <w:t>formal analysis of past experience</w:t>
      </w:r>
      <w:r w:rsidR="00F24854" w:rsidRPr="00A0642B">
        <w:rPr>
          <w:rFonts w:cstheme="minorHAnsi"/>
        </w:rPr>
        <w:t xml:space="preserve"> </w:t>
      </w:r>
      <w:r w:rsidRPr="00A0642B">
        <w:rPr>
          <w:rFonts w:cstheme="minorHAnsi"/>
        </w:rPr>
        <w:t>may also provide a reasonable</w:t>
      </w:r>
      <w:r w:rsidR="00F24854" w:rsidRPr="00A0642B">
        <w:rPr>
          <w:rFonts w:cstheme="minorHAnsi"/>
        </w:rPr>
        <w:t xml:space="preserve"> </w:t>
      </w:r>
      <w:r w:rsidRPr="00A0642B">
        <w:rPr>
          <w:rFonts w:cstheme="minorHAnsi"/>
        </w:rPr>
        <w:t>estimate of potential losses.</w:t>
      </w:r>
    </w:p>
    <w:p w14:paraId="71057B79" w14:textId="3AC4AD00" w:rsidR="00CD3DD6" w:rsidRPr="00A0642B" w:rsidRDefault="00CD3DD6" w:rsidP="00CD3DD6">
      <w:pPr>
        <w:pStyle w:val="Heading1"/>
        <w:rPr>
          <w:rFonts w:asciiTheme="minorHAnsi" w:hAnsiTheme="minorHAnsi" w:cstheme="minorHAnsi"/>
        </w:rPr>
      </w:pPr>
      <w:r w:rsidRPr="00A0642B">
        <w:rPr>
          <w:rFonts w:asciiTheme="minorHAnsi" w:hAnsiTheme="minorHAnsi" w:cstheme="minorHAnsi"/>
        </w:rPr>
        <w:t>Present Accounting Requirements</w:t>
      </w:r>
    </w:p>
    <w:p w14:paraId="262DB431" w14:textId="327F6D3E" w:rsidR="00A2600E" w:rsidRPr="00A0642B" w:rsidRDefault="00A2600E" w:rsidP="00862DCE">
      <w:pPr>
        <w:rPr>
          <w:rFonts w:cstheme="minorHAnsi"/>
        </w:rPr>
      </w:pPr>
      <w:r w:rsidRPr="00A0642B">
        <w:rPr>
          <w:rFonts w:cstheme="minorHAnsi"/>
        </w:rPr>
        <w:t>Currently, two pronouncements guide accounting for risk management. These are National Council on Governmental Accounting Statement No. 4</w:t>
      </w:r>
      <w:r w:rsidRPr="006D04BF">
        <w:rPr>
          <w:rFonts w:cstheme="minorHAnsi"/>
          <w:vertAlign w:val="superscript"/>
        </w:rPr>
        <w:t>2</w:t>
      </w:r>
      <w:r w:rsidRPr="00A0642B">
        <w:rPr>
          <w:rFonts w:cstheme="minorHAnsi"/>
        </w:rPr>
        <w:t xml:space="preserve"> (as modified by NCGA Interpretation No. 11</w:t>
      </w:r>
      <w:r w:rsidRPr="00870743">
        <w:rPr>
          <w:rFonts w:cstheme="minorHAnsi"/>
          <w:vertAlign w:val="superscript"/>
        </w:rPr>
        <w:t>3</w:t>
      </w:r>
      <w:r w:rsidRPr="00A0642B">
        <w:rPr>
          <w:rFonts w:cstheme="minorHAnsi"/>
        </w:rPr>
        <w:t>)</w:t>
      </w:r>
      <w:r w:rsidR="00C51F97" w:rsidRPr="00A0642B">
        <w:rPr>
          <w:rFonts w:cstheme="minorHAnsi"/>
        </w:rPr>
        <w:t xml:space="preserve"> </w:t>
      </w:r>
      <w:r w:rsidRPr="00A0642B">
        <w:rPr>
          <w:rFonts w:cstheme="minorHAnsi"/>
        </w:rPr>
        <w:t>and SFAS No. 5.</w:t>
      </w:r>
      <w:r w:rsidRPr="00870743">
        <w:rPr>
          <w:rFonts w:cstheme="minorHAnsi"/>
          <w:vertAlign w:val="superscript"/>
        </w:rPr>
        <w:t>4</w:t>
      </w:r>
      <w:r w:rsidRPr="00A0642B">
        <w:rPr>
          <w:rFonts w:cstheme="minorHAnsi"/>
        </w:rPr>
        <w:t xml:space="preserve"> The first of</w:t>
      </w:r>
      <w:r w:rsidR="00C51F97" w:rsidRPr="00A0642B">
        <w:rPr>
          <w:rFonts w:cstheme="minorHAnsi"/>
        </w:rPr>
        <w:t xml:space="preserve"> </w:t>
      </w:r>
      <w:r w:rsidRPr="00A0642B">
        <w:rPr>
          <w:rFonts w:cstheme="minorHAnsi"/>
        </w:rPr>
        <w:t>these focuses on accounting for</w:t>
      </w:r>
      <w:r w:rsidR="00C51F97" w:rsidRPr="00A0642B">
        <w:rPr>
          <w:rFonts w:cstheme="minorHAnsi"/>
        </w:rPr>
        <w:t xml:space="preserve"> </w:t>
      </w:r>
      <w:r w:rsidRPr="00A0642B">
        <w:rPr>
          <w:rFonts w:cstheme="minorHAnsi"/>
        </w:rPr>
        <w:t>those claims and judgments for</w:t>
      </w:r>
      <w:r w:rsidR="00862DCE" w:rsidRPr="00A0642B">
        <w:rPr>
          <w:rFonts w:cstheme="minorHAnsi"/>
        </w:rPr>
        <w:t xml:space="preserve"> which a governmental unit has some responsibility, while the latter is a broader pronouncement, emphasizing accounting for contingencies by all enterprises, both governments and private businesses. These two pronouncements do not provide authoritative support for all potential risk management activities of governmental units. Thus, one reason for the GASB's interest in these issues is to offer guidance for those risk financing activities excluded from current authoritative literature. A second reason is that present standards require only limited disclosures relating to the entity's risk management practices.</w:t>
      </w:r>
    </w:p>
    <w:p w14:paraId="2B6F889D" w14:textId="1041DAA4" w:rsidR="00750A84" w:rsidRPr="00A0642B" w:rsidRDefault="00750A84" w:rsidP="00750A84">
      <w:pPr>
        <w:rPr>
          <w:rFonts w:cstheme="minorHAnsi"/>
        </w:rPr>
      </w:pPr>
      <w:r w:rsidRPr="00A0642B">
        <w:rPr>
          <w:rFonts w:cstheme="minorHAnsi"/>
        </w:rPr>
        <w:t>The general guidelines on recognizing losses from claims and judgments are stated in SFAS No. 5. According to that statement, a loss should be accrued when it is both probable and measurable, with the amount of the accrual depending on the amount of the risk transferred. If the risk of loss has not been transferred to an outside party, then the full amount of the loss should be accrued. If some of the risk has been transferred (for example, through an insurance policy containing a deductible), only the portion of the loss to be borne by the school district needs to be accrued. While IBNR</w:t>
      </w:r>
      <w:r w:rsidR="00E679B9" w:rsidRPr="00A0642B">
        <w:rPr>
          <w:rFonts w:cstheme="minorHAnsi"/>
        </w:rPr>
        <w:t xml:space="preserve"> </w:t>
      </w:r>
      <w:r w:rsidRPr="00A0642B">
        <w:rPr>
          <w:rFonts w:cstheme="minorHAnsi"/>
        </w:rPr>
        <w:t>(incurred but not reported) claims</w:t>
      </w:r>
      <w:r w:rsidR="00E679B9" w:rsidRPr="00A0642B">
        <w:rPr>
          <w:rFonts w:cstheme="minorHAnsi"/>
        </w:rPr>
        <w:t xml:space="preserve"> </w:t>
      </w:r>
      <w:r w:rsidRPr="00A0642B">
        <w:rPr>
          <w:rFonts w:cstheme="minorHAnsi"/>
        </w:rPr>
        <w:t>should be recorded as liabilities (at</w:t>
      </w:r>
      <w:r w:rsidR="00E679B9" w:rsidRPr="00A0642B">
        <w:rPr>
          <w:rFonts w:cstheme="minorHAnsi"/>
        </w:rPr>
        <w:t xml:space="preserve"> </w:t>
      </w:r>
      <w:r w:rsidRPr="00A0642B">
        <w:rPr>
          <w:rFonts w:cstheme="minorHAnsi"/>
        </w:rPr>
        <w:t>their estimated settlement value),</w:t>
      </w:r>
      <w:r w:rsidR="00E679B9" w:rsidRPr="00A0642B">
        <w:rPr>
          <w:rFonts w:cstheme="minorHAnsi"/>
        </w:rPr>
        <w:t xml:space="preserve"> </w:t>
      </w:r>
      <w:r w:rsidRPr="00A0642B">
        <w:rPr>
          <w:rFonts w:cstheme="minorHAnsi"/>
        </w:rPr>
        <w:t>in practice, governmental units</w:t>
      </w:r>
      <w:r w:rsidR="00E679B9" w:rsidRPr="00A0642B">
        <w:rPr>
          <w:rFonts w:cstheme="minorHAnsi"/>
        </w:rPr>
        <w:t xml:space="preserve"> </w:t>
      </w:r>
      <w:r w:rsidRPr="00A0642B">
        <w:rPr>
          <w:rFonts w:cstheme="minorHAnsi"/>
        </w:rPr>
        <w:t>may delay reporting the liability</w:t>
      </w:r>
      <w:r w:rsidR="00E679B9" w:rsidRPr="00A0642B">
        <w:rPr>
          <w:rFonts w:cstheme="minorHAnsi"/>
        </w:rPr>
        <w:t xml:space="preserve"> </w:t>
      </w:r>
      <w:r w:rsidRPr="00A0642B">
        <w:rPr>
          <w:rFonts w:cstheme="minorHAnsi"/>
        </w:rPr>
        <w:t xml:space="preserve">until a claim </w:t>
      </w:r>
      <w:r w:rsidR="002A11F9" w:rsidRPr="00A0642B">
        <w:rPr>
          <w:rFonts w:cstheme="minorHAnsi"/>
        </w:rPr>
        <w:t>h</w:t>
      </w:r>
      <w:r w:rsidRPr="00A0642B">
        <w:rPr>
          <w:rFonts w:cstheme="minorHAnsi"/>
        </w:rPr>
        <w:t>as been asserted.</w:t>
      </w:r>
    </w:p>
    <w:p w14:paraId="496D8A23" w14:textId="12729E06" w:rsidR="005F6BC1" w:rsidRPr="00A0642B" w:rsidRDefault="005F6BC1" w:rsidP="00FE41CC">
      <w:pPr>
        <w:rPr>
          <w:rFonts w:cstheme="minorHAnsi"/>
        </w:rPr>
      </w:pPr>
      <w:r w:rsidRPr="00A0642B">
        <w:rPr>
          <w:rFonts w:cstheme="minorHAnsi"/>
        </w:rPr>
        <w:t>NCGA Statement No. 4 requires this loss liability to be recognized as an expenditure when paid or expected to be paid from available expendable resources; in all likelihood, this</w:t>
      </w:r>
      <w:r w:rsidR="00807790" w:rsidRPr="00A0642B">
        <w:rPr>
          <w:rFonts w:cstheme="minorHAnsi"/>
        </w:rPr>
        <w:t xml:space="preserve"> </w:t>
      </w:r>
      <w:r w:rsidRPr="00A0642B">
        <w:rPr>
          <w:rFonts w:cstheme="minorHAnsi"/>
        </w:rPr>
        <w:t>liability would be reported in the</w:t>
      </w:r>
      <w:r w:rsidR="00807790" w:rsidRPr="00A0642B">
        <w:rPr>
          <w:rFonts w:cstheme="minorHAnsi"/>
        </w:rPr>
        <w:t xml:space="preserve"> </w:t>
      </w:r>
      <w:r w:rsidRPr="00A0642B">
        <w:rPr>
          <w:rFonts w:cstheme="minorHAnsi"/>
        </w:rPr>
        <w:t>General Fund. Additional</w:t>
      </w:r>
      <w:r w:rsidR="00807790" w:rsidRPr="00A0642B">
        <w:rPr>
          <w:rFonts w:cstheme="minorHAnsi"/>
        </w:rPr>
        <w:t xml:space="preserve"> </w:t>
      </w:r>
      <w:r w:rsidRPr="00A0642B">
        <w:rPr>
          <w:rFonts w:cstheme="minorHAnsi"/>
        </w:rPr>
        <w:t>amounts to be paid using future</w:t>
      </w:r>
      <w:r w:rsidR="00807790" w:rsidRPr="00A0642B">
        <w:rPr>
          <w:rFonts w:cstheme="minorHAnsi"/>
        </w:rPr>
        <w:t xml:space="preserve"> </w:t>
      </w:r>
      <w:r w:rsidRPr="00A0642B">
        <w:rPr>
          <w:rFonts w:cstheme="minorHAnsi"/>
        </w:rPr>
        <w:t>resources accumulations are then</w:t>
      </w:r>
      <w:r w:rsidR="00807790" w:rsidRPr="00A0642B">
        <w:rPr>
          <w:rFonts w:cstheme="minorHAnsi"/>
        </w:rPr>
        <w:t xml:space="preserve"> </w:t>
      </w:r>
      <w:r w:rsidRPr="00A0642B">
        <w:rPr>
          <w:rFonts w:cstheme="minorHAnsi"/>
        </w:rPr>
        <w:t>shown in the General Long-Term</w:t>
      </w:r>
      <w:r w:rsidR="00807790" w:rsidRPr="00A0642B">
        <w:rPr>
          <w:rFonts w:cstheme="minorHAnsi"/>
        </w:rPr>
        <w:t xml:space="preserve"> </w:t>
      </w:r>
      <w:r w:rsidRPr="00A0642B">
        <w:rPr>
          <w:rFonts w:cstheme="minorHAnsi"/>
        </w:rPr>
        <w:t>Obligations Account Group. A</w:t>
      </w:r>
      <w:r w:rsidR="00807790" w:rsidRPr="00A0642B">
        <w:rPr>
          <w:rFonts w:cstheme="minorHAnsi"/>
        </w:rPr>
        <w:t xml:space="preserve"> </w:t>
      </w:r>
      <w:r w:rsidRPr="00A0642B">
        <w:rPr>
          <w:rFonts w:cstheme="minorHAnsi"/>
        </w:rPr>
        <w:t>disadvantage of this accounting</w:t>
      </w:r>
      <w:r w:rsidR="00807790" w:rsidRPr="00A0642B">
        <w:rPr>
          <w:rFonts w:cstheme="minorHAnsi"/>
        </w:rPr>
        <w:t xml:space="preserve"> </w:t>
      </w:r>
      <w:r w:rsidRPr="00A0642B">
        <w:rPr>
          <w:rFonts w:cstheme="minorHAnsi"/>
        </w:rPr>
        <w:t>procedure is that the entire loss</w:t>
      </w:r>
      <w:r w:rsidR="00807790" w:rsidRPr="00A0642B">
        <w:rPr>
          <w:rFonts w:cstheme="minorHAnsi"/>
        </w:rPr>
        <w:t xml:space="preserve"> </w:t>
      </w:r>
      <w:r w:rsidRPr="00A0642B">
        <w:rPr>
          <w:rFonts w:cstheme="minorHAnsi"/>
        </w:rPr>
        <w:t>may not be recorded as an expenditure when the loss is incurred;</w:t>
      </w:r>
      <w:r w:rsidR="00CE19A7" w:rsidRPr="00A0642B">
        <w:rPr>
          <w:rFonts w:cstheme="minorHAnsi"/>
        </w:rPr>
        <w:t xml:space="preserve"> </w:t>
      </w:r>
      <w:r w:rsidRPr="00A0642B">
        <w:rPr>
          <w:rFonts w:cstheme="minorHAnsi"/>
        </w:rPr>
        <w:t>instead, an expenditure is reported only as payment is made</w:t>
      </w:r>
      <w:r w:rsidR="00CE19A7" w:rsidRPr="00A0642B">
        <w:rPr>
          <w:rFonts w:cstheme="minorHAnsi"/>
        </w:rPr>
        <w:t xml:space="preserve"> </w:t>
      </w:r>
      <w:r w:rsidRPr="00A0642B">
        <w:rPr>
          <w:rFonts w:cstheme="minorHAnsi"/>
        </w:rPr>
        <w:t>(or is expected to be made). Thus,</w:t>
      </w:r>
      <w:r w:rsidR="00CE19A7" w:rsidRPr="00A0642B">
        <w:rPr>
          <w:rFonts w:cstheme="minorHAnsi"/>
        </w:rPr>
        <w:t xml:space="preserve"> </w:t>
      </w:r>
      <w:r w:rsidRPr="00A0642B">
        <w:rPr>
          <w:rFonts w:cstheme="minorHAnsi"/>
        </w:rPr>
        <w:t>to the extent that future resources</w:t>
      </w:r>
      <w:r w:rsidR="00CE19A7" w:rsidRPr="00A0642B">
        <w:rPr>
          <w:rFonts w:cstheme="minorHAnsi"/>
        </w:rPr>
        <w:t xml:space="preserve"> </w:t>
      </w:r>
      <w:r w:rsidRPr="00A0642B">
        <w:rPr>
          <w:rFonts w:cstheme="minorHAnsi"/>
        </w:rPr>
        <w:t>will be required to pay for this</w:t>
      </w:r>
      <w:r w:rsidR="00FE41CC" w:rsidRPr="00A0642B">
        <w:rPr>
          <w:rFonts w:cstheme="minorHAnsi"/>
        </w:rPr>
        <w:t xml:space="preserve"> loss, the overall effect of the loss may be understated in the </w:t>
      </w:r>
      <w:r w:rsidR="00424414" w:rsidRPr="00A0642B">
        <w:rPr>
          <w:rFonts w:cstheme="minorHAnsi"/>
        </w:rPr>
        <w:t>G</w:t>
      </w:r>
      <w:r w:rsidR="00FE41CC" w:rsidRPr="00A0642B">
        <w:rPr>
          <w:rFonts w:cstheme="minorHAnsi"/>
        </w:rPr>
        <w:t>eneral</w:t>
      </w:r>
      <w:r w:rsidR="00424414" w:rsidRPr="00A0642B">
        <w:rPr>
          <w:rFonts w:cstheme="minorHAnsi"/>
        </w:rPr>
        <w:t xml:space="preserve"> </w:t>
      </w:r>
      <w:r w:rsidR="00FE41CC" w:rsidRPr="00A0642B">
        <w:rPr>
          <w:rFonts w:cstheme="minorHAnsi"/>
        </w:rPr>
        <w:t>Fund's Statement of Reve</w:t>
      </w:r>
      <w:r w:rsidR="00C76D9B" w:rsidRPr="00A0642B">
        <w:rPr>
          <w:rFonts w:cstheme="minorHAnsi"/>
        </w:rPr>
        <w:t>nu</w:t>
      </w:r>
      <w:r w:rsidR="00FE41CC" w:rsidRPr="00A0642B">
        <w:rPr>
          <w:rFonts w:cstheme="minorHAnsi"/>
        </w:rPr>
        <w:t>es,</w:t>
      </w:r>
      <w:r w:rsidR="00424414" w:rsidRPr="00A0642B">
        <w:rPr>
          <w:rFonts w:cstheme="minorHAnsi"/>
        </w:rPr>
        <w:t xml:space="preserve"> </w:t>
      </w:r>
      <w:r w:rsidR="00FE41CC" w:rsidRPr="00A0642B">
        <w:rPr>
          <w:rFonts w:cstheme="minorHAnsi"/>
        </w:rPr>
        <w:t>Expenditures, and Change</w:t>
      </w:r>
      <w:r w:rsidR="00DC056B" w:rsidRPr="00A0642B">
        <w:rPr>
          <w:rFonts w:cstheme="minorHAnsi"/>
        </w:rPr>
        <w:t>s</w:t>
      </w:r>
      <w:r w:rsidR="00FE41CC" w:rsidRPr="00A0642B">
        <w:rPr>
          <w:rFonts w:cstheme="minorHAnsi"/>
        </w:rPr>
        <w:t xml:space="preserve"> </w:t>
      </w:r>
      <w:r w:rsidR="00C76D9B" w:rsidRPr="00A0642B">
        <w:rPr>
          <w:rFonts w:cstheme="minorHAnsi"/>
        </w:rPr>
        <w:t>i</w:t>
      </w:r>
      <w:r w:rsidR="00FE41CC" w:rsidRPr="00A0642B">
        <w:rPr>
          <w:rFonts w:cstheme="minorHAnsi"/>
        </w:rPr>
        <w:t>n</w:t>
      </w:r>
      <w:r w:rsidR="00C76D9B" w:rsidRPr="00A0642B">
        <w:rPr>
          <w:rFonts w:cstheme="minorHAnsi"/>
        </w:rPr>
        <w:t xml:space="preserve"> </w:t>
      </w:r>
      <w:r w:rsidR="00FE41CC" w:rsidRPr="00A0642B">
        <w:rPr>
          <w:rFonts w:cstheme="minorHAnsi"/>
        </w:rPr>
        <w:t>Fund Balances for the curr</w:t>
      </w:r>
      <w:r w:rsidR="00C76D9B" w:rsidRPr="00A0642B">
        <w:rPr>
          <w:rFonts w:cstheme="minorHAnsi"/>
        </w:rPr>
        <w:t>en</w:t>
      </w:r>
      <w:r w:rsidR="00FE41CC" w:rsidRPr="00A0642B">
        <w:rPr>
          <w:rFonts w:cstheme="minorHAnsi"/>
        </w:rPr>
        <w:t>t</w:t>
      </w:r>
      <w:r w:rsidR="00C76D9B" w:rsidRPr="00A0642B">
        <w:rPr>
          <w:rFonts w:cstheme="minorHAnsi"/>
        </w:rPr>
        <w:t xml:space="preserve"> </w:t>
      </w:r>
      <w:r w:rsidR="00FE41CC" w:rsidRPr="00A0642B">
        <w:rPr>
          <w:rFonts w:cstheme="minorHAnsi"/>
        </w:rPr>
        <w:t>year. Similarly, if the liabi</w:t>
      </w:r>
      <w:r w:rsidR="0000436D" w:rsidRPr="00A0642B">
        <w:rPr>
          <w:rFonts w:cstheme="minorHAnsi"/>
        </w:rPr>
        <w:t>lity</w:t>
      </w:r>
      <w:r w:rsidR="00FE41CC" w:rsidRPr="00A0642B">
        <w:rPr>
          <w:rFonts w:cstheme="minorHAnsi"/>
        </w:rPr>
        <w:t xml:space="preserve"> for</w:t>
      </w:r>
      <w:r w:rsidR="0000436D" w:rsidRPr="00A0642B">
        <w:rPr>
          <w:rFonts w:cstheme="minorHAnsi"/>
        </w:rPr>
        <w:t xml:space="preserve"> </w:t>
      </w:r>
      <w:r w:rsidR="00FE41CC" w:rsidRPr="00A0642B">
        <w:rPr>
          <w:rFonts w:cstheme="minorHAnsi"/>
        </w:rPr>
        <w:t>the loss has not been finall</w:t>
      </w:r>
      <w:r w:rsidR="0000436D" w:rsidRPr="00A0642B">
        <w:rPr>
          <w:rFonts w:cstheme="minorHAnsi"/>
        </w:rPr>
        <w:t xml:space="preserve">y </w:t>
      </w:r>
      <w:r w:rsidR="00FE41CC" w:rsidRPr="00A0642B">
        <w:rPr>
          <w:rFonts w:cstheme="minorHAnsi"/>
        </w:rPr>
        <w:t xml:space="preserve">adjudicated, this liability </w:t>
      </w:r>
      <w:r w:rsidR="002A500F" w:rsidRPr="00A0642B">
        <w:rPr>
          <w:rFonts w:cstheme="minorHAnsi"/>
        </w:rPr>
        <w:t>mig</w:t>
      </w:r>
      <w:r w:rsidR="00FE41CC" w:rsidRPr="00A0642B">
        <w:rPr>
          <w:rFonts w:cstheme="minorHAnsi"/>
        </w:rPr>
        <w:t>ht</w:t>
      </w:r>
      <w:r w:rsidR="002A500F" w:rsidRPr="00A0642B">
        <w:rPr>
          <w:rFonts w:cstheme="minorHAnsi"/>
        </w:rPr>
        <w:t xml:space="preserve"> </w:t>
      </w:r>
      <w:r w:rsidR="00FE41CC" w:rsidRPr="00A0642B">
        <w:rPr>
          <w:rFonts w:cstheme="minorHAnsi"/>
        </w:rPr>
        <w:t>not even be reported in th</w:t>
      </w:r>
      <w:r w:rsidR="002A500F" w:rsidRPr="00A0642B">
        <w:rPr>
          <w:rFonts w:cstheme="minorHAnsi"/>
        </w:rPr>
        <w:t xml:space="preserve">e </w:t>
      </w:r>
      <w:r w:rsidR="00FE41CC" w:rsidRPr="00A0642B">
        <w:rPr>
          <w:rFonts w:cstheme="minorHAnsi"/>
        </w:rPr>
        <w:t>financial statements.</w:t>
      </w:r>
    </w:p>
    <w:p w14:paraId="52250413" w14:textId="54CB885E" w:rsidR="002908B4" w:rsidRPr="00A0642B" w:rsidRDefault="002908B4" w:rsidP="002908B4">
      <w:pPr>
        <w:rPr>
          <w:rFonts w:cstheme="minorHAnsi"/>
        </w:rPr>
      </w:pPr>
      <w:r w:rsidRPr="00A0642B">
        <w:rPr>
          <w:rFonts w:cstheme="minorHAnsi"/>
        </w:rPr>
        <w:t xml:space="preserve">As noted above, the extent that risk has been transferred to outside parties affects the </w:t>
      </w:r>
      <w:r w:rsidR="00931BEF" w:rsidRPr="00A0642B">
        <w:rPr>
          <w:rFonts w:cstheme="minorHAnsi"/>
        </w:rPr>
        <w:t>am</w:t>
      </w:r>
      <w:r w:rsidRPr="00A0642B">
        <w:rPr>
          <w:rFonts w:cstheme="minorHAnsi"/>
        </w:rPr>
        <w:t>ount</w:t>
      </w:r>
      <w:r w:rsidR="003242E9" w:rsidRPr="00A0642B">
        <w:rPr>
          <w:rFonts w:cstheme="minorHAnsi"/>
        </w:rPr>
        <w:t xml:space="preserve"> </w:t>
      </w:r>
      <w:r w:rsidRPr="00A0642B">
        <w:rPr>
          <w:rFonts w:cstheme="minorHAnsi"/>
        </w:rPr>
        <w:t>of loss for which the schoo</w:t>
      </w:r>
      <w:r w:rsidR="003242E9" w:rsidRPr="00A0642B">
        <w:rPr>
          <w:rFonts w:cstheme="minorHAnsi"/>
        </w:rPr>
        <w:t xml:space="preserve">l </w:t>
      </w:r>
      <w:r w:rsidRPr="00A0642B">
        <w:rPr>
          <w:rFonts w:cstheme="minorHAnsi"/>
        </w:rPr>
        <w:t xml:space="preserve">district is responsible. In </w:t>
      </w:r>
      <w:r w:rsidR="003242E9" w:rsidRPr="00A0642B">
        <w:rPr>
          <w:rFonts w:cstheme="minorHAnsi"/>
        </w:rPr>
        <w:t>addition</w:t>
      </w:r>
      <w:r w:rsidRPr="00A0642B">
        <w:rPr>
          <w:rFonts w:cstheme="minorHAnsi"/>
        </w:rPr>
        <w:t>,</w:t>
      </w:r>
      <w:r w:rsidR="003242E9" w:rsidRPr="00A0642B">
        <w:rPr>
          <w:rFonts w:cstheme="minorHAnsi"/>
        </w:rPr>
        <w:t xml:space="preserve"> </w:t>
      </w:r>
      <w:r w:rsidRPr="00A0642B">
        <w:rPr>
          <w:rFonts w:cstheme="minorHAnsi"/>
        </w:rPr>
        <w:t xml:space="preserve">the decision of the school </w:t>
      </w:r>
      <w:r w:rsidR="003242E9" w:rsidRPr="00A0642B">
        <w:rPr>
          <w:rFonts w:cstheme="minorHAnsi"/>
        </w:rPr>
        <w:t>dis</w:t>
      </w:r>
      <w:r w:rsidRPr="00A0642B">
        <w:rPr>
          <w:rFonts w:cstheme="minorHAnsi"/>
        </w:rPr>
        <w:t>trict</w:t>
      </w:r>
      <w:r w:rsidR="003242E9" w:rsidRPr="00A0642B">
        <w:rPr>
          <w:rFonts w:cstheme="minorHAnsi"/>
        </w:rPr>
        <w:t xml:space="preserve"> </w:t>
      </w:r>
      <w:r w:rsidRPr="00A0642B">
        <w:rPr>
          <w:rFonts w:cstheme="minorHAnsi"/>
        </w:rPr>
        <w:t>of whether to accumulate</w:t>
      </w:r>
      <w:r w:rsidR="00FA58D9">
        <w:rPr>
          <w:rFonts w:cstheme="minorHAnsi"/>
        </w:rPr>
        <w:t xml:space="preserve"> the </w:t>
      </w:r>
      <w:r w:rsidRPr="00A0642B">
        <w:rPr>
          <w:rFonts w:cstheme="minorHAnsi"/>
        </w:rPr>
        <w:t>sources to provide for loss</w:t>
      </w:r>
      <w:r w:rsidR="00BD2279" w:rsidRPr="00A0642B">
        <w:rPr>
          <w:rFonts w:cstheme="minorHAnsi"/>
        </w:rPr>
        <w:t xml:space="preserve"> </w:t>
      </w:r>
      <w:r w:rsidRPr="00A0642B">
        <w:rPr>
          <w:rFonts w:cstheme="minorHAnsi"/>
        </w:rPr>
        <w:t>which may develop also h</w:t>
      </w:r>
      <w:r w:rsidR="001B05E7">
        <w:rPr>
          <w:rFonts w:cstheme="minorHAnsi"/>
        </w:rPr>
        <w:t>uma</w:t>
      </w:r>
      <w:r w:rsidRPr="00A0642B">
        <w:rPr>
          <w:rFonts w:cstheme="minorHAnsi"/>
        </w:rPr>
        <w:t>n</w:t>
      </w:r>
      <w:r w:rsidR="00BD2695" w:rsidRPr="00A0642B">
        <w:rPr>
          <w:rFonts w:cstheme="minorHAnsi"/>
        </w:rPr>
        <w:t xml:space="preserve"> </w:t>
      </w:r>
      <w:r w:rsidRPr="00A0642B">
        <w:rPr>
          <w:rFonts w:cstheme="minorHAnsi"/>
        </w:rPr>
        <w:t>impact. It resources are ac</w:t>
      </w:r>
      <w:r w:rsidR="00062EC0">
        <w:rPr>
          <w:rFonts w:cstheme="minorHAnsi"/>
        </w:rPr>
        <w:t>cu</w:t>
      </w:r>
      <w:r w:rsidRPr="00A0642B">
        <w:rPr>
          <w:rFonts w:cstheme="minorHAnsi"/>
        </w:rPr>
        <w:t>mulated prior to the losses be</w:t>
      </w:r>
      <w:r w:rsidR="00062EC0">
        <w:rPr>
          <w:rFonts w:cstheme="minorHAnsi"/>
        </w:rPr>
        <w:t xml:space="preserve">ing </w:t>
      </w:r>
      <w:r w:rsidRPr="00A0642B">
        <w:rPr>
          <w:rFonts w:cstheme="minorHAnsi"/>
        </w:rPr>
        <w:t>incurred, then the account</w:t>
      </w:r>
      <w:r w:rsidR="00062EC0">
        <w:rPr>
          <w:rFonts w:cstheme="minorHAnsi"/>
        </w:rPr>
        <w:t>ing</w:t>
      </w:r>
      <w:r w:rsidRPr="00A0642B">
        <w:rPr>
          <w:rFonts w:cstheme="minorHAnsi"/>
        </w:rPr>
        <w:t xml:space="preserve"> for</w:t>
      </w:r>
      <w:r w:rsidR="00062EC0">
        <w:rPr>
          <w:rFonts w:cstheme="minorHAnsi"/>
        </w:rPr>
        <w:t xml:space="preserve"> </w:t>
      </w:r>
      <w:r w:rsidRPr="00A0642B">
        <w:rPr>
          <w:rFonts w:cstheme="minorHAnsi"/>
        </w:rPr>
        <w:t>the loss depends on the fu</w:t>
      </w:r>
      <w:r w:rsidR="00A27675">
        <w:rPr>
          <w:rFonts w:cstheme="minorHAnsi"/>
        </w:rPr>
        <w:t>nd</w:t>
      </w:r>
      <w:r w:rsidRPr="00A0642B">
        <w:rPr>
          <w:rFonts w:cstheme="minorHAnsi"/>
        </w:rPr>
        <w:t xml:space="preserve"> used</w:t>
      </w:r>
      <w:r w:rsidR="00A27675">
        <w:rPr>
          <w:rFonts w:cstheme="minorHAnsi"/>
        </w:rPr>
        <w:t xml:space="preserve"> </w:t>
      </w:r>
      <w:r w:rsidRPr="00A0642B">
        <w:rPr>
          <w:rFonts w:cstheme="minorHAnsi"/>
        </w:rPr>
        <w:t>in accounting for these res</w:t>
      </w:r>
      <w:r w:rsidR="00A27675">
        <w:rPr>
          <w:rFonts w:cstheme="minorHAnsi"/>
        </w:rPr>
        <w:t>our</w:t>
      </w:r>
      <w:r w:rsidRPr="00A0642B">
        <w:rPr>
          <w:rFonts w:cstheme="minorHAnsi"/>
        </w:rPr>
        <w:t>ces.</w:t>
      </w:r>
      <w:r w:rsidR="00391D8B">
        <w:rPr>
          <w:rFonts w:cstheme="minorHAnsi"/>
        </w:rPr>
        <w:t xml:space="preserve"> </w:t>
      </w:r>
      <w:r w:rsidRPr="00A0642B">
        <w:rPr>
          <w:rFonts w:cstheme="minorHAnsi"/>
        </w:rPr>
        <w:t>At the present time, many verse</w:t>
      </w:r>
      <w:r w:rsidR="00391D8B">
        <w:rPr>
          <w:rFonts w:cstheme="minorHAnsi"/>
        </w:rPr>
        <w:t xml:space="preserve"> </w:t>
      </w:r>
      <w:r w:rsidRPr="00A0642B">
        <w:rPr>
          <w:rFonts w:cstheme="minorHAnsi"/>
        </w:rPr>
        <w:t>funds are being used; so</w:t>
      </w:r>
      <w:r w:rsidR="00A742B5">
        <w:rPr>
          <w:rFonts w:cstheme="minorHAnsi"/>
        </w:rPr>
        <w:t xml:space="preserve">me </w:t>
      </w:r>
      <w:r w:rsidRPr="00A0642B">
        <w:rPr>
          <w:rFonts w:cstheme="minorHAnsi"/>
        </w:rPr>
        <w:t>governmental units contin</w:t>
      </w:r>
      <w:r w:rsidR="00A742B5">
        <w:rPr>
          <w:rFonts w:cstheme="minorHAnsi"/>
        </w:rPr>
        <w:t>ue</w:t>
      </w:r>
      <w:r w:rsidRPr="00A0642B">
        <w:rPr>
          <w:rFonts w:cstheme="minorHAnsi"/>
        </w:rPr>
        <w:t xml:space="preserve"> to</w:t>
      </w:r>
      <w:r w:rsidR="00A742B5">
        <w:rPr>
          <w:rFonts w:cstheme="minorHAnsi"/>
        </w:rPr>
        <w:t xml:space="preserve"> </w:t>
      </w:r>
      <w:r w:rsidRPr="00A0642B">
        <w:rPr>
          <w:rFonts w:cstheme="minorHAnsi"/>
        </w:rPr>
        <w:t>include the resources in th</w:t>
      </w:r>
      <w:r w:rsidR="00A742B5">
        <w:rPr>
          <w:rFonts w:cstheme="minorHAnsi"/>
        </w:rPr>
        <w:t xml:space="preserve">e </w:t>
      </w:r>
      <w:r w:rsidRPr="00A0642B">
        <w:rPr>
          <w:rFonts w:cstheme="minorHAnsi"/>
        </w:rPr>
        <w:t xml:space="preserve">general fund, while others </w:t>
      </w:r>
      <w:r w:rsidR="005A2B27">
        <w:rPr>
          <w:rFonts w:cstheme="minorHAnsi"/>
        </w:rPr>
        <w:t>cr</w:t>
      </w:r>
      <w:r w:rsidRPr="00A0642B">
        <w:rPr>
          <w:rFonts w:cstheme="minorHAnsi"/>
        </w:rPr>
        <w:t>eate a</w:t>
      </w:r>
      <w:r w:rsidR="005A2B27">
        <w:rPr>
          <w:rFonts w:cstheme="minorHAnsi"/>
        </w:rPr>
        <w:t xml:space="preserve"> </w:t>
      </w:r>
      <w:r w:rsidRPr="00A0642B">
        <w:rPr>
          <w:rFonts w:cstheme="minorHAnsi"/>
        </w:rPr>
        <w:t>separate fund, using either</w:t>
      </w:r>
      <w:r w:rsidR="005A2B27">
        <w:rPr>
          <w:rFonts w:cstheme="minorHAnsi"/>
        </w:rPr>
        <w:t xml:space="preserve"> </w:t>
      </w:r>
      <w:r w:rsidRPr="00A0642B">
        <w:rPr>
          <w:rFonts w:cstheme="minorHAnsi"/>
        </w:rPr>
        <w:t>special revenue fund, exp</w:t>
      </w:r>
      <w:r w:rsidR="004C65AF">
        <w:rPr>
          <w:rFonts w:cstheme="minorHAnsi"/>
        </w:rPr>
        <w:t>end</w:t>
      </w:r>
      <w:r w:rsidRPr="00A0642B">
        <w:rPr>
          <w:rFonts w:cstheme="minorHAnsi"/>
        </w:rPr>
        <w:t>able</w:t>
      </w:r>
      <w:r w:rsidR="004C65AF">
        <w:rPr>
          <w:rFonts w:cstheme="minorHAnsi"/>
        </w:rPr>
        <w:t xml:space="preserve"> </w:t>
      </w:r>
      <w:r w:rsidRPr="00A0642B">
        <w:rPr>
          <w:rFonts w:cstheme="minorHAnsi"/>
        </w:rPr>
        <w:t>or nonexpendable trust fu</w:t>
      </w:r>
      <w:r w:rsidR="004C65AF">
        <w:rPr>
          <w:rFonts w:cstheme="minorHAnsi"/>
        </w:rPr>
        <w:t>nd</w:t>
      </w:r>
      <w:r w:rsidRPr="00A0642B">
        <w:rPr>
          <w:rFonts w:cstheme="minorHAnsi"/>
        </w:rPr>
        <w:t xml:space="preserve"> or</w:t>
      </w:r>
      <w:r w:rsidR="004C65AF">
        <w:rPr>
          <w:rFonts w:cstheme="minorHAnsi"/>
        </w:rPr>
        <w:t xml:space="preserve"> </w:t>
      </w:r>
      <w:r w:rsidRPr="00A0642B">
        <w:rPr>
          <w:rFonts w:cstheme="minorHAnsi"/>
        </w:rPr>
        <w:t>internal service fund.</w:t>
      </w:r>
    </w:p>
    <w:p w14:paraId="1559901D" w14:textId="1C2E1968" w:rsidR="008A6172" w:rsidRPr="008A6172" w:rsidRDefault="008A6172" w:rsidP="008A6172">
      <w:pPr>
        <w:rPr>
          <w:rFonts w:cstheme="minorHAnsi"/>
        </w:rPr>
      </w:pPr>
      <w:r w:rsidRPr="008A6172">
        <w:rPr>
          <w:rFonts w:cstheme="minorHAnsi"/>
        </w:rPr>
        <w:t xml:space="preserve">NCGA Statement No. 4 </w:t>
      </w:r>
      <w:r>
        <w:rPr>
          <w:rFonts w:cstheme="minorHAnsi"/>
        </w:rPr>
        <w:t>allows</w:t>
      </w:r>
      <w:r w:rsidRPr="008A6172">
        <w:rPr>
          <w:rFonts w:cstheme="minorHAnsi"/>
        </w:rPr>
        <w:t xml:space="preserve"> wide variation in the choic</w:t>
      </w:r>
      <w:r w:rsidR="002E57A9">
        <w:rPr>
          <w:rFonts w:cstheme="minorHAnsi"/>
        </w:rPr>
        <w:t>e o</w:t>
      </w:r>
      <w:r w:rsidRPr="008A6172">
        <w:rPr>
          <w:rFonts w:cstheme="minorHAnsi"/>
        </w:rPr>
        <w:t>f funds to be used in accoun</w:t>
      </w:r>
      <w:r w:rsidR="002E57A9">
        <w:rPr>
          <w:rFonts w:cstheme="minorHAnsi"/>
        </w:rPr>
        <w:t>tin</w:t>
      </w:r>
      <w:r w:rsidRPr="008A6172">
        <w:rPr>
          <w:rFonts w:cstheme="minorHAnsi"/>
        </w:rPr>
        <w:t>g for this resource accumulation</w:t>
      </w:r>
      <w:r w:rsidR="002E57A9">
        <w:rPr>
          <w:rFonts w:cstheme="minorHAnsi"/>
        </w:rPr>
        <w:t>.</w:t>
      </w:r>
      <w:r w:rsidRPr="008A6172">
        <w:rPr>
          <w:rFonts w:cstheme="minorHAnsi"/>
        </w:rPr>
        <w:t xml:space="preserve"> Specifically, while it permi</w:t>
      </w:r>
      <w:r w:rsidR="002E57A9">
        <w:rPr>
          <w:rFonts w:cstheme="minorHAnsi"/>
        </w:rPr>
        <w:t>ts</w:t>
      </w:r>
      <w:r w:rsidRPr="008A6172">
        <w:rPr>
          <w:rFonts w:cstheme="minorHAnsi"/>
        </w:rPr>
        <w:t>, governmental units to crea</w:t>
      </w:r>
      <w:r w:rsidR="002E57A9">
        <w:rPr>
          <w:rFonts w:cstheme="minorHAnsi"/>
        </w:rPr>
        <w:t>te</w:t>
      </w:r>
      <w:r w:rsidRPr="008A6172">
        <w:rPr>
          <w:rFonts w:cstheme="minorHAnsi"/>
        </w:rPr>
        <w:t xml:space="preserve"> a separate Internal Service F</w:t>
      </w:r>
      <w:r w:rsidR="002E57A9">
        <w:rPr>
          <w:rFonts w:cstheme="minorHAnsi"/>
        </w:rPr>
        <w:t>un</w:t>
      </w:r>
      <w:r w:rsidRPr="008A6172">
        <w:rPr>
          <w:rFonts w:cstheme="minorHAnsi"/>
        </w:rPr>
        <w:t xml:space="preserve"> d (or other such fund) for payin</w:t>
      </w:r>
      <w:r w:rsidR="002E57A9">
        <w:rPr>
          <w:rFonts w:cstheme="minorHAnsi"/>
        </w:rPr>
        <w:t>g c</w:t>
      </w:r>
      <w:r w:rsidRPr="008A6172">
        <w:rPr>
          <w:rFonts w:cstheme="minorHAnsi"/>
        </w:rPr>
        <w:t>laims and judgments of all govern</w:t>
      </w:r>
      <w:r w:rsidR="002E57A9">
        <w:rPr>
          <w:rFonts w:cstheme="minorHAnsi"/>
        </w:rPr>
        <w:t>men</w:t>
      </w:r>
      <w:r w:rsidRPr="008A6172">
        <w:rPr>
          <w:rFonts w:cstheme="minorHAnsi"/>
        </w:rPr>
        <w:t>tal funds, it neither require</w:t>
      </w:r>
      <w:r w:rsidR="001E5CFF">
        <w:rPr>
          <w:rFonts w:cstheme="minorHAnsi"/>
        </w:rPr>
        <w:t>s</w:t>
      </w:r>
      <w:r w:rsidRPr="008A6172">
        <w:rPr>
          <w:rFonts w:cstheme="minorHAnsi"/>
        </w:rPr>
        <w:t xml:space="preserve"> hat a separate fund be created n</w:t>
      </w:r>
      <w:r w:rsidR="001E5CFF">
        <w:rPr>
          <w:rFonts w:cstheme="minorHAnsi"/>
        </w:rPr>
        <w:t>or</w:t>
      </w:r>
      <w:r w:rsidRPr="008A6172">
        <w:rPr>
          <w:rFonts w:cstheme="minorHAnsi"/>
        </w:rPr>
        <w:t xml:space="preserve"> does it specify the nature of that specific fund. In addition, </w:t>
      </w:r>
      <w:r w:rsidR="001E5CFF">
        <w:rPr>
          <w:rFonts w:cstheme="minorHAnsi"/>
        </w:rPr>
        <w:t>w</w:t>
      </w:r>
      <w:r w:rsidRPr="008A6172">
        <w:rPr>
          <w:rFonts w:cstheme="minorHAnsi"/>
        </w:rPr>
        <w:t>hen a separate fund is used, the s</w:t>
      </w:r>
      <w:r w:rsidR="00B30022">
        <w:rPr>
          <w:rFonts w:cstheme="minorHAnsi"/>
        </w:rPr>
        <w:t>ta</w:t>
      </w:r>
      <w:r w:rsidRPr="008A6172">
        <w:rPr>
          <w:rFonts w:cstheme="minorHAnsi"/>
        </w:rPr>
        <w:t>tement does not permit the i</w:t>
      </w:r>
      <w:r w:rsidR="009B0DEC">
        <w:rPr>
          <w:rFonts w:cstheme="minorHAnsi"/>
        </w:rPr>
        <w:t>ns</w:t>
      </w:r>
      <w:r w:rsidRPr="008A6172">
        <w:rPr>
          <w:rFonts w:cstheme="minorHAnsi"/>
        </w:rPr>
        <w:t>ured fund to record expenditure</w:t>
      </w:r>
      <w:r w:rsidR="009B0DEC">
        <w:rPr>
          <w:rFonts w:cstheme="minorHAnsi"/>
        </w:rPr>
        <w:t>s</w:t>
      </w:r>
      <w:r w:rsidRPr="008A6172">
        <w:rPr>
          <w:rFonts w:cstheme="minorHAnsi"/>
        </w:rPr>
        <w:t xml:space="preserve"> for any amounts remitted to th</w:t>
      </w:r>
      <w:r w:rsidR="009B0DEC">
        <w:rPr>
          <w:rFonts w:cstheme="minorHAnsi"/>
        </w:rPr>
        <w:t>e</w:t>
      </w:r>
      <w:r w:rsidRPr="008A6172">
        <w:rPr>
          <w:rFonts w:cstheme="minorHAnsi"/>
        </w:rPr>
        <w:t xml:space="preserve"> separate fund; instead, </w:t>
      </w:r>
      <w:r w:rsidR="0072120E" w:rsidRPr="008A6172">
        <w:rPr>
          <w:rFonts w:cstheme="minorHAnsi"/>
        </w:rPr>
        <w:t>reso</w:t>
      </w:r>
      <w:r w:rsidR="0072120E">
        <w:rPr>
          <w:rFonts w:cstheme="minorHAnsi"/>
        </w:rPr>
        <w:t>ur</w:t>
      </w:r>
      <w:r w:rsidR="0072120E" w:rsidRPr="008A6172">
        <w:rPr>
          <w:rFonts w:cstheme="minorHAnsi"/>
        </w:rPr>
        <w:t>ces</w:t>
      </w:r>
      <w:r w:rsidRPr="008A6172">
        <w:rPr>
          <w:rFonts w:cstheme="minorHAnsi"/>
        </w:rPr>
        <w:t xml:space="preserve"> transferred to that fund up </w:t>
      </w:r>
      <w:r w:rsidR="00E507BF">
        <w:rPr>
          <w:rFonts w:cstheme="minorHAnsi"/>
        </w:rPr>
        <w:t>to</w:t>
      </w:r>
      <w:r w:rsidRPr="008A6172">
        <w:rPr>
          <w:rFonts w:cstheme="minorHAnsi"/>
        </w:rPr>
        <w:t xml:space="preserve"> an actuarially determined leve</w:t>
      </w:r>
      <w:r w:rsidR="00E507BF">
        <w:rPr>
          <w:rFonts w:cstheme="minorHAnsi"/>
        </w:rPr>
        <w:t>l a</w:t>
      </w:r>
      <w:r w:rsidRPr="008A6172">
        <w:rPr>
          <w:rFonts w:cstheme="minorHAnsi"/>
        </w:rPr>
        <w:t>re an operating transfer, and add</w:t>
      </w:r>
      <w:r w:rsidR="0072120E">
        <w:rPr>
          <w:rFonts w:cstheme="minorHAnsi"/>
        </w:rPr>
        <w:t>it</w:t>
      </w:r>
      <w:r w:rsidRPr="008A6172">
        <w:rPr>
          <w:rFonts w:cstheme="minorHAnsi"/>
        </w:rPr>
        <w:t>ional amounts are a residual equ</w:t>
      </w:r>
      <w:r w:rsidR="00C938B6">
        <w:rPr>
          <w:rFonts w:cstheme="minorHAnsi"/>
        </w:rPr>
        <w:t>ity</w:t>
      </w:r>
      <w:r w:rsidRPr="008A6172">
        <w:rPr>
          <w:rFonts w:cstheme="minorHAnsi"/>
          <w:i/>
          <w:iCs/>
        </w:rPr>
        <w:t xml:space="preserve"> </w:t>
      </w:r>
      <w:r w:rsidRPr="008A6172">
        <w:rPr>
          <w:rFonts w:cstheme="minorHAnsi"/>
        </w:rPr>
        <w:t>transfer.</w:t>
      </w:r>
      <w:r w:rsidRPr="008A6172">
        <w:rPr>
          <w:rFonts w:cstheme="minorHAnsi"/>
          <w:vertAlign w:val="superscript"/>
        </w:rPr>
        <w:t>5</w:t>
      </w:r>
    </w:p>
    <w:p w14:paraId="5C71E5C1" w14:textId="1662546F" w:rsidR="005F2295" w:rsidRPr="005F2295" w:rsidRDefault="008A6172" w:rsidP="005F2295">
      <w:pPr>
        <w:rPr>
          <w:rFonts w:cstheme="minorHAnsi"/>
        </w:rPr>
      </w:pPr>
      <w:r w:rsidRPr="008A6172">
        <w:rPr>
          <w:rFonts w:cstheme="minorHAnsi"/>
        </w:rPr>
        <w:t>If a governmental entity</w:t>
      </w:r>
      <w:r w:rsidR="00C938B6">
        <w:rPr>
          <w:rFonts w:cstheme="minorHAnsi"/>
        </w:rPr>
        <w:t xml:space="preserve"> el</w:t>
      </w:r>
      <w:r w:rsidRPr="008A6172">
        <w:rPr>
          <w:rFonts w:cstheme="minorHAnsi"/>
        </w:rPr>
        <w:t xml:space="preserve">ects not to use a separate fund </w:t>
      </w:r>
      <w:r w:rsidR="00C938B6">
        <w:rPr>
          <w:rFonts w:cstheme="minorHAnsi"/>
        </w:rPr>
        <w:t>when</w:t>
      </w:r>
      <w:r w:rsidRPr="008A6172">
        <w:rPr>
          <w:rFonts w:cstheme="minorHAnsi"/>
        </w:rPr>
        <w:t xml:space="preserve"> it does not carry insurance, it </w:t>
      </w:r>
      <w:r w:rsidR="00240BFD">
        <w:rPr>
          <w:rFonts w:cstheme="minorHAnsi"/>
        </w:rPr>
        <w:t>m</w:t>
      </w:r>
      <w:r w:rsidRPr="008A6172">
        <w:rPr>
          <w:rFonts w:cstheme="minorHAnsi"/>
        </w:rPr>
        <w:t>ay designate (not reserve) a p</w:t>
      </w:r>
      <w:r w:rsidR="00240BFD">
        <w:rPr>
          <w:rFonts w:cstheme="minorHAnsi"/>
        </w:rPr>
        <w:t>or</w:t>
      </w:r>
      <w:r w:rsidRPr="008A6172">
        <w:rPr>
          <w:rFonts w:cstheme="minorHAnsi"/>
        </w:rPr>
        <w:t xml:space="preserve">tion of fund equity as a reserve </w:t>
      </w:r>
      <w:r w:rsidR="00240BFD">
        <w:rPr>
          <w:rFonts w:cstheme="minorHAnsi"/>
        </w:rPr>
        <w:t>fo</w:t>
      </w:r>
      <w:r w:rsidRPr="008A6172">
        <w:rPr>
          <w:rFonts w:cstheme="minorHAnsi"/>
        </w:rPr>
        <w:t>r loss</w:t>
      </w:r>
      <w:r w:rsidR="00C1668D">
        <w:rPr>
          <w:rFonts w:cstheme="minorHAnsi"/>
        </w:rPr>
        <w:t xml:space="preserve"> </w:t>
      </w:r>
      <w:r w:rsidRPr="008A6172">
        <w:rPr>
          <w:rFonts w:cstheme="minorHAnsi"/>
        </w:rPr>
        <w:t>contingencies. However,</w:t>
      </w:r>
      <w:r w:rsidR="00C1668D">
        <w:rPr>
          <w:rFonts w:cstheme="minorHAnsi"/>
        </w:rPr>
        <w:t xml:space="preserve"> no</w:t>
      </w:r>
      <w:r w:rsidRPr="008A6172">
        <w:rPr>
          <w:rFonts w:cstheme="minorHAnsi"/>
        </w:rPr>
        <w:t xml:space="preserve"> losses can be charged to the amou</w:t>
      </w:r>
      <w:r w:rsidR="00C1668D">
        <w:rPr>
          <w:rFonts w:cstheme="minorHAnsi"/>
        </w:rPr>
        <w:t>n</w:t>
      </w:r>
      <w:r w:rsidRPr="008A6172">
        <w:rPr>
          <w:rFonts w:cstheme="minorHAnsi"/>
        </w:rPr>
        <w:t>t so</w:t>
      </w:r>
      <w:r w:rsidR="00C1668D">
        <w:rPr>
          <w:rFonts w:cstheme="minorHAnsi"/>
        </w:rPr>
        <w:t xml:space="preserve"> </w:t>
      </w:r>
      <w:r w:rsidRPr="008A6172">
        <w:rPr>
          <w:rFonts w:cstheme="minorHAnsi"/>
        </w:rPr>
        <w:t>designated. Instead, the los</w:t>
      </w:r>
      <w:r w:rsidR="00E953CF">
        <w:rPr>
          <w:rFonts w:cstheme="minorHAnsi"/>
        </w:rPr>
        <w:t>s</w:t>
      </w:r>
      <w:r w:rsidRPr="008A6172">
        <w:rPr>
          <w:rFonts w:cstheme="minorHAnsi"/>
        </w:rPr>
        <w:t>es are shown as an expenditure on</w:t>
      </w:r>
      <w:r w:rsidR="00E953CF">
        <w:rPr>
          <w:rFonts w:cstheme="minorHAnsi"/>
        </w:rPr>
        <w:t>l</w:t>
      </w:r>
      <w:r w:rsidRPr="008A6172">
        <w:rPr>
          <w:rFonts w:cstheme="minorHAnsi"/>
        </w:rPr>
        <w:t>y</w:t>
      </w:r>
      <w:r w:rsidR="00E953CF">
        <w:rPr>
          <w:rFonts w:cstheme="minorHAnsi"/>
        </w:rPr>
        <w:t xml:space="preserve"> </w:t>
      </w:r>
      <w:r w:rsidR="005F2295" w:rsidRPr="005F2295">
        <w:rPr>
          <w:rFonts w:cstheme="minorHAnsi"/>
        </w:rPr>
        <w:t>when payments are made (or expected to be made) from expendable available resources.</w:t>
      </w:r>
    </w:p>
    <w:p w14:paraId="1887F8AE" w14:textId="47AA32B6" w:rsidR="005F2295" w:rsidRPr="005F2295" w:rsidRDefault="005F2295" w:rsidP="005F2295">
      <w:pPr>
        <w:rPr>
          <w:rFonts w:cstheme="minorHAnsi"/>
        </w:rPr>
      </w:pPr>
      <w:r w:rsidRPr="005F2295">
        <w:rPr>
          <w:rFonts w:cstheme="minorHAnsi"/>
        </w:rPr>
        <w:t>Currently there is no official guidance surrounding the amounts to be shown</w:t>
      </w:r>
      <w:r w:rsidR="000A5901">
        <w:rPr>
          <w:rFonts w:cstheme="minorHAnsi"/>
        </w:rPr>
        <w:t xml:space="preserve"> </w:t>
      </w:r>
      <w:r w:rsidRPr="005F2295">
        <w:rPr>
          <w:rFonts w:cstheme="minorHAnsi"/>
        </w:rPr>
        <w:t>as expenditures when other types of insurance coverage exist.  Normally, this is not a prob</w:t>
      </w:r>
      <w:r w:rsidR="00AE1DC1">
        <w:rPr>
          <w:rFonts w:cstheme="minorHAnsi"/>
        </w:rPr>
        <w:t>le</w:t>
      </w:r>
      <w:r w:rsidRPr="005F2295">
        <w:rPr>
          <w:rFonts w:cstheme="minorHAnsi"/>
        </w:rPr>
        <w:t>m when risk is transferred to either insurance companies or a risk pool.  In both cases,</w:t>
      </w:r>
      <w:r w:rsidRPr="005F2295">
        <w:rPr>
          <w:rFonts w:cstheme="minorHAnsi"/>
          <w:b/>
          <w:bCs/>
        </w:rPr>
        <w:t xml:space="preserve"> </w:t>
      </w:r>
      <w:r w:rsidRPr="005F2295">
        <w:rPr>
          <w:rFonts w:cstheme="minorHAnsi"/>
        </w:rPr>
        <w:t>the amount expended for insurance is merely written off as an expenditure (or allocated over the periods benefited as a prepaid expenditure).  If the loss experience is unfavorable for the insurer (either the insurance company or the risk pool), then the premiums for the next year are increased, and the district then reports increased expenditures for that subsequent year.</w:t>
      </w:r>
    </w:p>
    <w:p w14:paraId="50BAE307" w14:textId="31DEB40F" w:rsidR="005F2295" w:rsidRPr="005F2295" w:rsidRDefault="005F2295" w:rsidP="005F2295">
      <w:pPr>
        <w:rPr>
          <w:rFonts w:cstheme="minorHAnsi"/>
        </w:rPr>
      </w:pPr>
      <w:r w:rsidRPr="005F2295">
        <w:rPr>
          <w:rFonts w:cstheme="minorHAnsi"/>
        </w:rPr>
        <w:t>However, in some situations involving risk pools, risk is not actually</w:t>
      </w:r>
      <w:r w:rsidRPr="005F2295">
        <w:rPr>
          <w:rFonts w:cstheme="minorHAnsi"/>
          <w:b/>
          <w:bCs/>
        </w:rPr>
        <w:t xml:space="preserve"> </w:t>
      </w:r>
      <w:r w:rsidRPr="005F2295">
        <w:rPr>
          <w:rFonts w:cstheme="minorHAnsi"/>
        </w:rPr>
        <w:t>transferred t</w:t>
      </w:r>
      <w:r w:rsidR="00A177BA">
        <w:rPr>
          <w:rFonts w:cstheme="minorHAnsi"/>
        </w:rPr>
        <w:t>o</w:t>
      </w:r>
      <w:r w:rsidRPr="005F2295">
        <w:rPr>
          <w:rFonts w:cstheme="minorHAnsi"/>
        </w:rPr>
        <w:t xml:space="preserve"> the pool. For example, the pool may write policies which are 100 percent retrospectively rated. Premiums remitted to the pool at the start of the policy year might be viewed only as deposits; based on the year's experience, either a full or partial refund of this premium would be issued or additional amounts would later be contributed to cover the deficiency. This situation raises serious questions about</w:t>
      </w:r>
      <w:r w:rsidRPr="005F2295">
        <w:rPr>
          <w:rFonts w:cstheme="minorHAnsi"/>
          <w:b/>
          <w:bCs/>
        </w:rPr>
        <w:t xml:space="preserve"> </w:t>
      </w:r>
      <w:r w:rsidRPr="005F2295">
        <w:rPr>
          <w:rFonts w:cstheme="minorHAnsi"/>
        </w:rPr>
        <w:t>the proper accounting for this insurance arrangement. Is the school district actually acting as an insurance</w:t>
      </w:r>
      <w:r w:rsidR="00FA2DBC">
        <w:rPr>
          <w:rFonts w:cstheme="minorHAnsi"/>
        </w:rPr>
        <w:t xml:space="preserve"> </w:t>
      </w:r>
      <w:r w:rsidRPr="005F2295">
        <w:rPr>
          <w:rFonts w:cstheme="minorHAnsi"/>
        </w:rPr>
        <w:t>company for itself?</w:t>
      </w:r>
      <w:r w:rsidR="00FA2DBC">
        <w:rPr>
          <w:rFonts w:cstheme="minorHAnsi"/>
        </w:rPr>
        <w:t xml:space="preserve"> </w:t>
      </w:r>
      <w:r w:rsidRPr="005F2295">
        <w:rPr>
          <w:rFonts w:cstheme="minorHAnsi"/>
        </w:rPr>
        <w:t>If</w:t>
      </w:r>
      <w:r w:rsidR="00FA2DBC">
        <w:rPr>
          <w:rFonts w:cstheme="minorHAnsi"/>
        </w:rPr>
        <w:t xml:space="preserve"> </w:t>
      </w:r>
      <w:r w:rsidRPr="005F2295">
        <w:rPr>
          <w:rFonts w:cstheme="minorHAnsi"/>
        </w:rPr>
        <w:t>so, should the accounting for the</w:t>
      </w:r>
      <w:r w:rsidR="00FA2DBC">
        <w:rPr>
          <w:rFonts w:cstheme="minorHAnsi"/>
        </w:rPr>
        <w:t xml:space="preserve"> </w:t>
      </w:r>
      <w:r w:rsidRPr="005F2295">
        <w:rPr>
          <w:rFonts w:cstheme="minorHAnsi"/>
        </w:rPr>
        <w:t xml:space="preserve">risks it chooses to retain parallel the </w:t>
      </w:r>
      <w:r w:rsidR="00FA2DBC" w:rsidRPr="005F2295">
        <w:rPr>
          <w:rFonts w:cstheme="minorHAnsi"/>
        </w:rPr>
        <w:t>accounting</w:t>
      </w:r>
      <w:r w:rsidRPr="005F2295">
        <w:rPr>
          <w:rFonts w:cstheme="minorHAnsi"/>
        </w:rPr>
        <w:t xml:space="preserve"> required of commercial</w:t>
      </w:r>
      <w:r w:rsidRPr="005F2295">
        <w:rPr>
          <w:rFonts w:cstheme="minorHAnsi"/>
          <w:b/>
          <w:bCs/>
        </w:rPr>
        <w:t xml:space="preserve"> </w:t>
      </w:r>
      <w:r w:rsidRPr="005F2295">
        <w:rPr>
          <w:rFonts w:cstheme="minorHAnsi"/>
        </w:rPr>
        <w:t>insurance companies (or of public entity risk pools)?</w:t>
      </w:r>
    </w:p>
    <w:p w14:paraId="2CA47164" w14:textId="1F1C55BF" w:rsidR="005F2295" w:rsidRPr="005F2295" w:rsidRDefault="005F2295" w:rsidP="005F2295">
      <w:pPr>
        <w:rPr>
          <w:rFonts w:cstheme="minorHAnsi"/>
        </w:rPr>
      </w:pPr>
      <w:r w:rsidRPr="005F2295">
        <w:rPr>
          <w:rFonts w:cstheme="minorHAnsi"/>
        </w:rPr>
        <w:t>With regard to risk pools, it should be noted that there are no formal accounting standards detailing the accounting</w:t>
      </w:r>
      <w:r w:rsidR="00C1796C">
        <w:rPr>
          <w:rFonts w:cstheme="minorHAnsi"/>
        </w:rPr>
        <w:t xml:space="preserve"> </w:t>
      </w:r>
      <w:r w:rsidRPr="005F2295">
        <w:rPr>
          <w:rFonts w:cstheme="minorHAnsi"/>
        </w:rPr>
        <w:t>procedures to be followed when they prepare statements.  Thus, school district personnel wishing to evaluate</w:t>
      </w:r>
      <w:r w:rsidRPr="005F2295">
        <w:rPr>
          <w:rFonts w:cstheme="minorHAnsi"/>
          <w:b/>
          <w:bCs/>
        </w:rPr>
        <w:t xml:space="preserve"> </w:t>
      </w:r>
      <w:r w:rsidRPr="005F2295">
        <w:rPr>
          <w:rFonts w:cstheme="minorHAnsi"/>
        </w:rPr>
        <w:t>financial statements of a risk pool, to which they either belong</w:t>
      </w:r>
      <w:r w:rsidRPr="005F2295">
        <w:rPr>
          <w:rFonts w:cstheme="minorHAnsi"/>
          <w:b/>
          <w:bCs/>
        </w:rPr>
        <w:t xml:space="preserve"> </w:t>
      </w:r>
      <w:r w:rsidRPr="005F2295">
        <w:rPr>
          <w:rFonts w:cstheme="minorHAnsi"/>
        </w:rPr>
        <w:t>or are considering joining, often</w:t>
      </w:r>
      <w:r w:rsidRPr="005F2295">
        <w:rPr>
          <w:rFonts w:cstheme="minorHAnsi"/>
          <w:b/>
          <w:bCs/>
        </w:rPr>
        <w:t xml:space="preserve"> </w:t>
      </w:r>
      <w:r w:rsidRPr="005F2295">
        <w:rPr>
          <w:rFonts w:cstheme="minorHAnsi"/>
        </w:rPr>
        <w:t>find that financial statements are either nonexistent or are prepared</w:t>
      </w:r>
      <w:r w:rsidRPr="005F2295">
        <w:rPr>
          <w:rFonts w:cstheme="minorHAnsi"/>
          <w:b/>
          <w:bCs/>
        </w:rPr>
        <w:t xml:space="preserve"> </w:t>
      </w:r>
      <w:r w:rsidRPr="005F2295">
        <w:rPr>
          <w:rFonts w:cstheme="minorHAnsi"/>
        </w:rPr>
        <w:t>in a manner which makes it difficult to determine their true financial position</w:t>
      </w:r>
      <w:r w:rsidR="00D05B14">
        <w:rPr>
          <w:rFonts w:cstheme="minorHAnsi"/>
        </w:rPr>
        <w:t xml:space="preserve"> </w:t>
      </w:r>
      <w:r w:rsidRPr="005F2295">
        <w:rPr>
          <w:rFonts w:cstheme="minorHAnsi"/>
        </w:rPr>
        <w:t>and results of operation</w:t>
      </w:r>
      <w:r w:rsidR="00D05B14">
        <w:rPr>
          <w:rFonts w:cstheme="minorHAnsi"/>
        </w:rPr>
        <w:t xml:space="preserve"> </w:t>
      </w:r>
      <w:r w:rsidRPr="005F2295">
        <w:rPr>
          <w:rFonts w:cstheme="minorHAnsi"/>
        </w:rPr>
        <w:t>such as when the</w:t>
      </w:r>
      <w:r w:rsidRPr="005F2295">
        <w:rPr>
          <w:rFonts w:cstheme="minorHAnsi"/>
          <w:b/>
          <w:bCs/>
        </w:rPr>
        <w:t xml:space="preserve"> </w:t>
      </w:r>
      <w:r w:rsidRPr="005F2295">
        <w:rPr>
          <w:rFonts w:cstheme="minorHAnsi"/>
        </w:rPr>
        <w:t>pools use the cash basis of accounting.</w:t>
      </w:r>
    </w:p>
    <w:p w14:paraId="3B9EC7BE" w14:textId="77777777" w:rsidR="005F2295" w:rsidRPr="005F2295" w:rsidRDefault="005F2295" w:rsidP="000E5631">
      <w:pPr>
        <w:pStyle w:val="Heading1"/>
      </w:pPr>
      <w:r w:rsidRPr="005F2295">
        <w:t>Proposed Accounting Requirements</w:t>
      </w:r>
    </w:p>
    <w:p w14:paraId="5561A9A0" w14:textId="2B824A82" w:rsidR="005F2295" w:rsidRPr="005F2295" w:rsidRDefault="005F2295" w:rsidP="005F2295">
      <w:pPr>
        <w:rPr>
          <w:rFonts w:cstheme="minorHAnsi"/>
        </w:rPr>
      </w:pPr>
      <w:r w:rsidRPr="005F2295">
        <w:rPr>
          <w:rFonts w:cstheme="minorHAnsi"/>
        </w:rPr>
        <w:t>GASB's exposure draft, which arose in response to the general lack of consistency in accounting for and reporting of governm</w:t>
      </w:r>
      <w:r w:rsidR="000E5631">
        <w:rPr>
          <w:rFonts w:cstheme="minorHAnsi"/>
        </w:rPr>
        <w:t>e</w:t>
      </w:r>
      <w:r w:rsidRPr="005F2295">
        <w:rPr>
          <w:rFonts w:cstheme="minorHAnsi"/>
        </w:rPr>
        <w:t>ntal risk financing and related insurance transactions, proposes accounting standards for risk financing and insurance-related activities for all state and local governmental entities, including public entity risk pools and other governmental organizations.  The risks of losses within the scope of this proposed statement include potential losses arising</w:t>
      </w:r>
      <w:r w:rsidR="003F5C0C">
        <w:rPr>
          <w:rFonts w:cstheme="minorHAnsi"/>
        </w:rPr>
        <w:t xml:space="preserve"> </w:t>
      </w:r>
      <w:r w:rsidRPr="005F2295">
        <w:rPr>
          <w:rFonts w:cstheme="minorHAnsi"/>
        </w:rPr>
        <w:t>from the commission of torts; theft, damage, or destruction of assets; interruption of business; errors or omissions; employees· injuries; and acts of God, as well as accident and health, dental, and other employee medical plans that may or may not be covered by insurance contracts.</w:t>
      </w:r>
      <w:r w:rsidRPr="005F2295">
        <w:rPr>
          <w:rFonts w:cstheme="minorHAnsi"/>
          <w:vertAlign w:val="superscript"/>
        </w:rPr>
        <w:t>6</w:t>
      </w:r>
    </w:p>
    <w:p w14:paraId="1EB544A8" w14:textId="77777777" w:rsidR="005F2295" w:rsidRPr="005F2295" w:rsidRDefault="005F2295" w:rsidP="000E5631">
      <w:pPr>
        <w:pStyle w:val="Heading1"/>
      </w:pPr>
      <w:r w:rsidRPr="005F2295">
        <w:t>Entities Other Than Risk Pools</w:t>
      </w:r>
    </w:p>
    <w:p w14:paraId="2B17993B" w14:textId="420F2811" w:rsidR="005F2295" w:rsidRPr="005F2295" w:rsidRDefault="005F2295" w:rsidP="005F2295">
      <w:pPr>
        <w:rPr>
          <w:rFonts w:cstheme="minorHAnsi"/>
        </w:rPr>
      </w:pPr>
      <w:r w:rsidRPr="005F2295">
        <w:rPr>
          <w:rFonts w:cstheme="minorHAnsi"/>
        </w:rPr>
        <w:t>In considering the alternatives for recognizing and measuring expenditures/expenses</w:t>
      </w:r>
      <w:r w:rsidR="00A26E11">
        <w:rPr>
          <w:rFonts w:cstheme="minorHAnsi"/>
        </w:rPr>
        <w:t xml:space="preserve"> </w:t>
      </w:r>
      <w:r w:rsidRPr="005F2295">
        <w:rPr>
          <w:rFonts w:cstheme="minorHAnsi"/>
        </w:rPr>
        <w:t>and liabilities resulting from risk financing for entities other than pools, GASB noted that how risk is financed has significant financial and public policy implications that impact on the notion of interperiod equity, the subject of the second question posed at the start of this article.</w:t>
      </w:r>
      <w:r w:rsidRPr="005F2295">
        <w:rPr>
          <w:rFonts w:cstheme="minorHAnsi"/>
          <w:vertAlign w:val="superscript"/>
        </w:rPr>
        <w:t>7</w:t>
      </w:r>
    </w:p>
    <w:p w14:paraId="6E29DB13" w14:textId="1C7744DC" w:rsidR="005F2295" w:rsidRPr="005F2295" w:rsidRDefault="005F2295" w:rsidP="005F2295">
      <w:pPr>
        <w:rPr>
          <w:rFonts w:cstheme="minorHAnsi"/>
        </w:rPr>
      </w:pPr>
      <w:r w:rsidRPr="005F2295">
        <w:rPr>
          <w:rFonts w:cstheme="minorHAnsi"/>
        </w:rPr>
        <w:t>When risk of loss</w:t>
      </w:r>
      <w:r w:rsidR="00686187">
        <w:rPr>
          <w:rFonts w:cstheme="minorHAnsi"/>
        </w:rPr>
        <w:t xml:space="preserve"> </w:t>
      </w:r>
      <w:r w:rsidRPr="005F2295">
        <w:rPr>
          <w:rFonts w:cstheme="minorHAnsi"/>
        </w:rPr>
        <w:t>is transferred to a third party, cash disbursements are typically required (a) at the time of transfer and (b) through a series of level</w:t>
      </w:r>
      <w:r w:rsidR="00686187">
        <w:rPr>
          <w:rFonts w:cstheme="minorHAnsi"/>
        </w:rPr>
        <w:t xml:space="preserve"> </w:t>
      </w:r>
      <w:r w:rsidRPr="005F2295">
        <w:rPr>
          <w:rFonts w:cstheme="minorHAnsi"/>
        </w:rPr>
        <w:t>insurance premium payments over the period of time risk is financed.</w:t>
      </w:r>
      <w:r w:rsidR="00686187">
        <w:rPr>
          <w:rFonts w:cstheme="minorHAnsi"/>
        </w:rPr>
        <w:t xml:space="preserve"> </w:t>
      </w:r>
      <w:r w:rsidRPr="005F2295">
        <w:rPr>
          <w:rFonts w:cstheme="minorHAnsi"/>
        </w:rPr>
        <w:t>When risk is retained, however,</w:t>
      </w:r>
      <w:r w:rsidR="00686187">
        <w:rPr>
          <w:rFonts w:cstheme="minorHAnsi"/>
        </w:rPr>
        <w:t xml:space="preserve"> </w:t>
      </w:r>
      <w:r w:rsidRPr="005F2295">
        <w:rPr>
          <w:rFonts w:cstheme="minorHAnsi"/>
        </w:rPr>
        <w:t>there are no cash disbursements for insurance, no leveling of</w:t>
      </w:r>
      <w:r w:rsidR="00686187">
        <w:rPr>
          <w:rFonts w:cstheme="minorHAnsi"/>
        </w:rPr>
        <w:t xml:space="preserve"> </w:t>
      </w:r>
      <w:r w:rsidRPr="005F2295">
        <w:rPr>
          <w:rFonts w:cstheme="minorHAnsi"/>
        </w:rPr>
        <w:t>premiums to "cushion against catastrophic events or year-to-year fluctuations in the severity of claims."</w:t>
      </w:r>
      <w:r w:rsidRPr="005F2295">
        <w:rPr>
          <w:rFonts w:cstheme="minorHAnsi"/>
          <w:vertAlign w:val="superscript"/>
        </w:rPr>
        <w:t>8</w:t>
      </w:r>
      <w:r w:rsidRPr="005F2295">
        <w:rPr>
          <w:rFonts w:cstheme="minorHAnsi"/>
        </w:rPr>
        <w:t xml:space="preserve"> In its deliberations, GASB was concerned that the fluctuations that arise from recognizing</w:t>
      </w:r>
      <w:r w:rsidR="002B0BDF">
        <w:rPr>
          <w:rFonts w:cstheme="minorHAnsi"/>
        </w:rPr>
        <w:t xml:space="preserve"> </w:t>
      </w:r>
      <w:r w:rsidRPr="005F2295">
        <w:rPr>
          <w:rFonts w:cstheme="minorHAnsi"/>
        </w:rPr>
        <w:t>and measuring claims expenditures/expenses solely on the basis of the incurrence</w:t>
      </w:r>
      <w:r w:rsidR="002B0BDF">
        <w:rPr>
          <w:rFonts w:cstheme="minorHAnsi"/>
        </w:rPr>
        <w:t xml:space="preserve"> </w:t>
      </w:r>
      <w:r w:rsidRPr="005F2295">
        <w:rPr>
          <w:rFonts w:cstheme="minorHAnsi"/>
        </w:rPr>
        <w:t>of events giving rise to claims might distort the measurement of interperiod equity.</w:t>
      </w:r>
    </w:p>
    <w:p w14:paraId="136F72C0" w14:textId="0F983718" w:rsidR="005F2295" w:rsidRPr="005F2295" w:rsidRDefault="005F2295" w:rsidP="002B0BDF">
      <w:pPr>
        <w:ind w:left="720"/>
        <w:rPr>
          <w:rFonts w:cstheme="minorHAnsi"/>
          <w:i/>
          <w:iCs/>
        </w:rPr>
      </w:pPr>
      <w:r w:rsidRPr="005F2295">
        <w:rPr>
          <w:rFonts w:cstheme="minorHAnsi"/>
          <w:i/>
          <w:iCs/>
        </w:rPr>
        <w:t xml:space="preserve">School district personnel wishing to evaluate financial statements of a risk pool </w:t>
      </w:r>
      <w:r w:rsidRPr="005F2295">
        <w:rPr>
          <w:rFonts w:cstheme="minorHAnsi"/>
        </w:rPr>
        <w:t xml:space="preserve">... </w:t>
      </w:r>
      <w:r w:rsidRPr="005F2295">
        <w:rPr>
          <w:rFonts w:cstheme="minorHAnsi"/>
          <w:i/>
          <w:iCs/>
        </w:rPr>
        <w:t>often find that</w:t>
      </w:r>
      <w:r w:rsidR="002B0BDF">
        <w:rPr>
          <w:rFonts w:cstheme="minorHAnsi"/>
          <w:i/>
          <w:iCs/>
        </w:rPr>
        <w:t xml:space="preserve"> </w:t>
      </w:r>
      <w:r w:rsidRPr="005F2295">
        <w:rPr>
          <w:rFonts w:cstheme="minorHAnsi"/>
          <w:i/>
          <w:iCs/>
        </w:rPr>
        <w:t>financial statements are either nonexistent or are prepared in a manner which makes it difficult to determine their true financial position and results of operation.</w:t>
      </w:r>
    </w:p>
    <w:p w14:paraId="62FA3337" w14:textId="13E997E9" w:rsidR="00A1655C" w:rsidRPr="00A1655C" w:rsidRDefault="00A1655C" w:rsidP="008B61C0">
      <w:pPr>
        <w:pStyle w:val="Heading1"/>
      </w:pPr>
      <w:r w:rsidRPr="00A1655C">
        <w:t>General Accounting Provi</w:t>
      </w:r>
      <w:r w:rsidR="008B61C0">
        <w:t>s</w:t>
      </w:r>
      <w:r w:rsidRPr="00A1655C">
        <w:t>ions</w:t>
      </w:r>
    </w:p>
    <w:p w14:paraId="207F1FD4" w14:textId="4FC9B7BC" w:rsidR="00A1655C" w:rsidRPr="00A1655C" w:rsidRDefault="00A1655C" w:rsidP="00A1655C">
      <w:pPr>
        <w:rPr>
          <w:rFonts w:cstheme="minorHAnsi"/>
        </w:rPr>
      </w:pPr>
      <w:r w:rsidRPr="00A1655C">
        <w:rPr>
          <w:rFonts w:cstheme="minorHAnsi"/>
        </w:rPr>
        <w:t>GASB's conclusion in this area was that state and local govern­ mental entities,</w:t>
      </w:r>
      <w:r w:rsidR="008B61C0">
        <w:rPr>
          <w:rFonts w:cstheme="minorHAnsi"/>
        </w:rPr>
        <w:t xml:space="preserve"> </w:t>
      </w:r>
      <w:r w:rsidRPr="00A1655C">
        <w:rPr>
          <w:rFonts w:cstheme="minorHAnsi"/>
        </w:rPr>
        <w:t>other than public entity risk pools, who have not transferred risk of loss to an unrelated third party, would be required to report an estimated loss from a contingency as an expenditure/ expense and as a liability if a claim is asserted and</w:t>
      </w:r>
      <w:r w:rsidR="008B61C0">
        <w:rPr>
          <w:rFonts w:cstheme="minorHAnsi"/>
        </w:rPr>
        <w:t xml:space="preserve"> </w:t>
      </w:r>
      <w:r w:rsidRPr="00A1655C">
        <w:rPr>
          <w:rFonts w:cstheme="minorHAnsi"/>
        </w:rPr>
        <w:t>reasonably estimated.</w:t>
      </w:r>
      <w:r w:rsidRPr="00A1655C">
        <w:rPr>
          <w:rFonts w:cstheme="minorHAnsi"/>
          <w:vertAlign w:val="superscript"/>
        </w:rPr>
        <w:t>9</w:t>
      </w:r>
      <w:r w:rsidRPr="00A1655C">
        <w:rPr>
          <w:rFonts w:cstheme="minorHAnsi"/>
        </w:rPr>
        <w:t xml:space="preserve"> In addition, in situations where incidents have occurred before the financial statement date, but no claim has been asserted, the exposure draft requires recognition of a liability if the two SFAS 5 criteria are met:</w:t>
      </w:r>
      <w:r w:rsidR="001B6DDC">
        <w:rPr>
          <w:rFonts w:cstheme="minorHAnsi"/>
        </w:rPr>
        <w:t xml:space="preserve"> </w:t>
      </w:r>
      <w:r w:rsidRPr="00A1655C">
        <w:rPr>
          <w:rFonts w:cstheme="minorHAnsi"/>
        </w:rPr>
        <w:t>(1) if it is probable that an asset has been impaired or a liability has been incurred at the date of the financial statements, and (2) the amount of the loss ca n be re</w:t>
      </w:r>
      <w:r w:rsidR="00AA1B10">
        <w:rPr>
          <w:rFonts w:cstheme="minorHAnsi"/>
        </w:rPr>
        <w:t>a</w:t>
      </w:r>
      <w:r w:rsidRPr="00A1655C">
        <w:rPr>
          <w:rFonts w:cstheme="minorHAnsi"/>
        </w:rPr>
        <w:t>sonably estimated.</w:t>
      </w:r>
    </w:p>
    <w:p w14:paraId="67600D56" w14:textId="29D9C916" w:rsidR="00A1655C" w:rsidRPr="00A1655C" w:rsidRDefault="00A1655C" w:rsidP="00A1655C">
      <w:pPr>
        <w:rPr>
          <w:rFonts w:cstheme="minorHAnsi"/>
        </w:rPr>
      </w:pPr>
      <w:r w:rsidRPr="00A1655C">
        <w:rPr>
          <w:rFonts w:cstheme="minorHAnsi"/>
        </w:rPr>
        <w:t>The proposed standard allows liabilities to be estimated through a case-by-case review of all claims, the application of historical</w:t>
      </w:r>
      <w:r w:rsidR="00AA1B10">
        <w:rPr>
          <w:rFonts w:cstheme="minorHAnsi"/>
        </w:rPr>
        <w:t xml:space="preserve"> </w:t>
      </w:r>
      <w:r w:rsidRPr="00A1655C">
        <w:rPr>
          <w:rFonts w:cstheme="minorHAnsi"/>
        </w:rPr>
        <w:t>experience to the outstanding claims, or a combination of these methods. As noted shortly, actuarial analysis is also permitted in some instances. Claims liabilities may be presented either at the full amount of future cash payments or at their estimated present value; in the latter case, the entity should use a discounting rate determined after considering such factors as the entity's settlement rate for those liabilities and its investment rate. Discounting is required, however, if the liability represents a contractual obligation to pay money on fixed dates.</w:t>
      </w:r>
    </w:p>
    <w:p w14:paraId="2D7A55D0" w14:textId="69315DF2" w:rsidR="00A1655C" w:rsidRPr="00A1655C" w:rsidRDefault="00A1655C" w:rsidP="00A1655C">
      <w:pPr>
        <w:rPr>
          <w:rFonts w:cstheme="minorHAnsi"/>
        </w:rPr>
      </w:pPr>
      <w:r w:rsidRPr="00A1655C">
        <w:rPr>
          <w:rFonts w:cstheme="minorHAnsi"/>
        </w:rPr>
        <w:t>In those instances when a</w:t>
      </w:r>
      <w:r w:rsidR="00B421BE">
        <w:rPr>
          <w:rFonts w:cstheme="minorHAnsi"/>
        </w:rPr>
        <w:t xml:space="preserve"> </w:t>
      </w:r>
      <w:r w:rsidRPr="00A1655C">
        <w:rPr>
          <w:rFonts w:cstheme="minorHAnsi"/>
        </w:rPr>
        <w:t>governmental entity contracts with other entities to service uninsured claims, there is no transfer of risk to a pool or an independent third party. Therefore, payments to the third party should be treated as dep sits or reductions of the claims liability.</w:t>
      </w:r>
    </w:p>
    <w:p w14:paraId="493AC5CF" w14:textId="77777777" w:rsidR="00A1655C" w:rsidRPr="00A1655C" w:rsidRDefault="00A1655C" w:rsidP="00DF6E60">
      <w:pPr>
        <w:pStyle w:val="Heading1"/>
      </w:pPr>
      <w:r w:rsidRPr="00A1655C">
        <w:t>Fund Type</w:t>
      </w:r>
    </w:p>
    <w:p w14:paraId="0135A405" w14:textId="79103684" w:rsidR="00A1655C" w:rsidRPr="00A1655C" w:rsidRDefault="00A1655C" w:rsidP="00A1655C">
      <w:pPr>
        <w:rPr>
          <w:rFonts w:cstheme="minorHAnsi"/>
        </w:rPr>
      </w:pPr>
      <w:r w:rsidRPr="00A1655C">
        <w:rPr>
          <w:rFonts w:cstheme="minorHAnsi"/>
        </w:rPr>
        <w:t>If a single fund is used to account for risk financing activities, that fund should be either the general fund or an internal service fund. The use of a legally restricted trust fund was considered</w:t>
      </w:r>
      <w:r w:rsidR="00DF6E60">
        <w:rPr>
          <w:rFonts w:cstheme="minorHAnsi"/>
        </w:rPr>
        <w:t xml:space="preserve"> </w:t>
      </w:r>
      <w:r w:rsidRPr="00A1655C">
        <w:rPr>
          <w:rFonts w:cstheme="minorHAnsi"/>
        </w:rPr>
        <w:t>inappropriate by GASB because of the absence of a trust relationship. GASB indicated that the use of an internal service fund was appropriate in most instances because of the perceived benefit of being able to more easily review and evaluate the risk financing function.</w:t>
      </w:r>
      <w:r w:rsidR="00D90E00">
        <w:rPr>
          <w:rFonts w:cstheme="minorHAnsi"/>
        </w:rPr>
        <w:t xml:space="preserve"> </w:t>
      </w:r>
      <w:r w:rsidRPr="00A1655C">
        <w:rPr>
          <w:rFonts w:cstheme="minorHAnsi"/>
        </w:rPr>
        <w:t>However, in accordance with their objective of minimizing the</w:t>
      </w:r>
      <w:r w:rsidR="00D90E00">
        <w:rPr>
          <w:rFonts w:cstheme="minorHAnsi"/>
        </w:rPr>
        <w:t xml:space="preserve"> </w:t>
      </w:r>
      <w:r w:rsidRPr="00A1655C">
        <w:rPr>
          <w:rFonts w:cstheme="minorHAnsi"/>
        </w:rPr>
        <w:t>number of funds used by governmental units, GASB also permitted the use of the general fund.</w:t>
      </w:r>
    </w:p>
    <w:p w14:paraId="01E209D8" w14:textId="77777777" w:rsidR="00A1655C" w:rsidRPr="00A1655C" w:rsidRDefault="00A1655C" w:rsidP="00F21DA9">
      <w:pPr>
        <w:pStyle w:val="Heading1"/>
      </w:pPr>
      <w:r w:rsidRPr="00A1655C">
        <w:t>General Fund</w:t>
      </w:r>
    </w:p>
    <w:p w14:paraId="3CFDC18B" w14:textId="15920D3E" w:rsidR="00A1655C" w:rsidRPr="00A1655C" w:rsidRDefault="00A1655C" w:rsidP="00A1655C">
      <w:pPr>
        <w:rPr>
          <w:rFonts w:cstheme="minorHAnsi"/>
        </w:rPr>
      </w:pPr>
      <w:r w:rsidRPr="00A1655C">
        <w:rPr>
          <w:rFonts w:cstheme="minorHAnsi"/>
        </w:rPr>
        <w:t>When a general fund is used, both expenditures and liabilities must be reported in accordance with the SFAS No. 5 guidelines enumerated above. The use of the general fund may be appropriate for small government entities that do not have numerous funds.</w:t>
      </w:r>
      <w:r w:rsidR="002A00D9">
        <w:rPr>
          <w:rFonts w:cstheme="minorHAnsi"/>
        </w:rPr>
        <w:t xml:space="preserve"> </w:t>
      </w:r>
      <w:r w:rsidRPr="00A1655C">
        <w:rPr>
          <w:rFonts w:cstheme="minorHAnsi"/>
        </w:rPr>
        <w:t>Accounting for risk financing is, in this case, included with the accounting for other activities in the general fund.</w:t>
      </w:r>
    </w:p>
    <w:p w14:paraId="7F4A638D" w14:textId="0E4FD2EF" w:rsidR="00A1655C" w:rsidRPr="00A1655C" w:rsidRDefault="00A1655C" w:rsidP="00A1655C">
      <w:pPr>
        <w:rPr>
          <w:rFonts w:cstheme="minorHAnsi"/>
        </w:rPr>
      </w:pPr>
      <w:r w:rsidRPr="00A1655C">
        <w:rPr>
          <w:rFonts w:cstheme="minorHAnsi"/>
        </w:rPr>
        <w:t>An additional consideration for governmental entities using the general fund is the effect of the proposed provisions of GASB's December 1987</w:t>
      </w:r>
      <w:r w:rsidR="002A00D9">
        <w:rPr>
          <w:rFonts w:cstheme="minorHAnsi"/>
        </w:rPr>
        <w:t xml:space="preserve"> </w:t>
      </w:r>
      <w:r w:rsidRPr="00A1655C">
        <w:rPr>
          <w:rFonts w:cstheme="minorHAnsi"/>
        </w:rPr>
        <w:t>Exposure Draft "Measurement Focus and Basis of Accounting -- Governmental Funds (MFBA)." If the tentative conclusions of the MFBA exposure draft are adopted, the standards established in NCGA Statement 4</w:t>
      </w:r>
      <w:r w:rsidR="0045445F">
        <w:rPr>
          <w:rFonts w:cstheme="minorHAnsi"/>
        </w:rPr>
        <w:t xml:space="preserve"> </w:t>
      </w:r>
      <w:r w:rsidRPr="00A1655C">
        <w:rPr>
          <w:rFonts w:cstheme="minorHAnsi"/>
        </w:rPr>
        <w:t>for governmental funds would be</w:t>
      </w:r>
      <w:r w:rsidR="0045445F">
        <w:rPr>
          <w:rFonts w:cstheme="minorHAnsi"/>
        </w:rPr>
        <w:t xml:space="preserve"> </w:t>
      </w:r>
      <w:r w:rsidRPr="00A1655C">
        <w:rPr>
          <w:rFonts w:cstheme="minorHAnsi"/>
        </w:rPr>
        <w:t>fundamentally altered. Subject to the transitional requirements in a final MFBA Statement, the entire estimated loss computed in accordance with SFAS No. 5 would be reported as a general fund liability; none wou1d be shown in the General Long Term</w:t>
      </w:r>
      <w:r w:rsidR="004704B5">
        <w:rPr>
          <w:rFonts w:cstheme="minorHAnsi"/>
        </w:rPr>
        <w:t xml:space="preserve"> </w:t>
      </w:r>
      <w:r w:rsidRPr="00A1655C">
        <w:rPr>
          <w:rFonts w:cstheme="minorHAnsi"/>
        </w:rPr>
        <w:t>Obligations Account Group.</w:t>
      </w:r>
      <w:r w:rsidRPr="00A1655C">
        <w:rPr>
          <w:rFonts w:cstheme="minorHAnsi"/>
          <w:vertAlign w:val="superscript"/>
        </w:rPr>
        <w:t>10</w:t>
      </w:r>
    </w:p>
    <w:p w14:paraId="63DA12A7" w14:textId="77777777" w:rsidR="00A1655C" w:rsidRPr="00A1655C" w:rsidRDefault="00A1655C" w:rsidP="004704B5">
      <w:pPr>
        <w:pStyle w:val="Heading1"/>
      </w:pPr>
      <w:r w:rsidRPr="00A1655C">
        <w:t>Internal Service Fund</w:t>
      </w:r>
    </w:p>
    <w:p w14:paraId="400A8961" w14:textId="1DDF3B16" w:rsidR="00A1655C" w:rsidRPr="00A1655C" w:rsidRDefault="00A1655C" w:rsidP="00A1655C">
      <w:pPr>
        <w:rPr>
          <w:rFonts w:cstheme="minorHAnsi"/>
        </w:rPr>
      </w:pPr>
      <w:r w:rsidRPr="00A1655C">
        <w:rPr>
          <w:rFonts w:cstheme="minorHAnsi"/>
        </w:rPr>
        <w:t>When an internal service fund is used, the accounting is more complex:</w:t>
      </w:r>
    </w:p>
    <w:p w14:paraId="48F491E6" w14:textId="02B56BD9" w:rsidR="00A1655C" w:rsidRPr="00A1655C" w:rsidRDefault="00A1655C" w:rsidP="00A1655C">
      <w:pPr>
        <w:numPr>
          <w:ilvl w:val="0"/>
          <w:numId w:val="4"/>
        </w:numPr>
        <w:rPr>
          <w:rFonts w:cstheme="minorHAnsi"/>
        </w:rPr>
      </w:pPr>
      <w:r w:rsidRPr="00A1655C">
        <w:rPr>
          <w:rFonts w:cstheme="minorHAnsi"/>
        </w:rPr>
        <w:t>Liabilities from claims must</w:t>
      </w:r>
      <w:r w:rsidR="004704B5" w:rsidRPr="004704B5">
        <w:rPr>
          <w:rFonts w:cstheme="minorHAnsi"/>
        </w:rPr>
        <w:t xml:space="preserve"> </w:t>
      </w:r>
      <w:r w:rsidRPr="00A1655C">
        <w:rPr>
          <w:rFonts w:cstheme="minorHAnsi"/>
        </w:rPr>
        <w:t>be reported in accordance with SFAS</w:t>
      </w:r>
      <w:r w:rsidR="004704B5">
        <w:rPr>
          <w:rFonts w:cstheme="minorHAnsi"/>
        </w:rPr>
        <w:t xml:space="preserve"> </w:t>
      </w:r>
      <w:r w:rsidRPr="00A1655C">
        <w:rPr>
          <w:rFonts w:cstheme="minorHAnsi"/>
        </w:rPr>
        <w:t>No. 5 requirements.</w:t>
      </w:r>
    </w:p>
    <w:p w14:paraId="05CD0CBB" w14:textId="1998ABC3" w:rsidR="00A1655C" w:rsidRPr="00A1655C" w:rsidRDefault="00A1655C" w:rsidP="00A1655C">
      <w:pPr>
        <w:numPr>
          <w:ilvl w:val="0"/>
          <w:numId w:val="4"/>
        </w:numPr>
        <w:rPr>
          <w:rFonts w:cstheme="minorHAnsi"/>
        </w:rPr>
      </w:pPr>
      <w:r w:rsidRPr="00A1655C">
        <w:rPr>
          <w:rFonts w:cstheme="minorHAnsi"/>
        </w:rPr>
        <w:t>Charges to other funds</w:t>
      </w:r>
      <w:r w:rsidR="004704B5" w:rsidRPr="004704B5">
        <w:rPr>
          <w:rFonts w:cstheme="minorHAnsi"/>
        </w:rPr>
        <w:t xml:space="preserve"> </w:t>
      </w:r>
      <w:r w:rsidRPr="00A1655C">
        <w:rPr>
          <w:rFonts w:cstheme="minorHAnsi"/>
        </w:rPr>
        <w:t>should be recognized as revenues by the internal service fund and as expenditures/expense by the other funds of the entity.</w:t>
      </w:r>
    </w:p>
    <w:p w14:paraId="38842BC2" w14:textId="1DF17680" w:rsidR="00A1655C" w:rsidRPr="00A1655C" w:rsidRDefault="00A1655C" w:rsidP="00A1655C">
      <w:pPr>
        <w:numPr>
          <w:ilvl w:val="0"/>
          <w:numId w:val="4"/>
        </w:numPr>
        <w:rPr>
          <w:rFonts w:cstheme="minorHAnsi"/>
        </w:rPr>
      </w:pPr>
      <w:r w:rsidRPr="00A1655C">
        <w:rPr>
          <w:rFonts w:cstheme="minorHAnsi"/>
        </w:rPr>
        <w:t>Expenditure can be reported</w:t>
      </w:r>
      <w:r w:rsidR="007A5355" w:rsidRPr="007A5355">
        <w:rPr>
          <w:rFonts w:cstheme="minorHAnsi"/>
        </w:rPr>
        <w:t xml:space="preserve"> </w:t>
      </w:r>
      <w:r w:rsidRPr="00A1655C">
        <w:rPr>
          <w:rFonts w:cstheme="minorHAnsi"/>
        </w:rPr>
        <w:t>using either SFAS No. 5 criteria or</w:t>
      </w:r>
      <w:r w:rsidR="007A5355">
        <w:rPr>
          <w:rFonts w:cstheme="minorHAnsi"/>
        </w:rPr>
        <w:t xml:space="preserve"> </w:t>
      </w:r>
      <w:r w:rsidRPr="00A1655C">
        <w:rPr>
          <w:rFonts w:cstheme="minorHAnsi"/>
        </w:rPr>
        <w:t>an optional method.</w:t>
      </w:r>
    </w:p>
    <w:p w14:paraId="418F87CB" w14:textId="123FC988" w:rsidR="00A1655C" w:rsidRPr="00A1655C" w:rsidRDefault="00A1655C" w:rsidP="00A1655C">
      <w:pPr>
        <w:rPr>
          <w:rFonts w:cstheme="minorHAnsi"/>
        </w:rPr>
      </w:pPr>
      <w:r w:rsidRPr="00A1655C">
        <w:rPr>
          <w:rFonts w:cstheme="minorHAnsi"/>
        </w:rPr>
        <w:t>If the original change</w:t>
      </w:r>
      <w:r w:rsidR="00BC6B8C">
        <w:rPr>
          <w:rFonts w:cstheme="minorHAnsi"/>
        </w:rPr>
        <w:t xml:space="preserve"> of the</w:t>
      </w:r>
      <w:r w:rsidRPr="00A1655C">
        <w:rPr>
          <w:rFonts w:cstheme="minorHAnsi"/>
        </w:rPr>
        <w:t xml:space="preserve"> internal service fund wa</w:t>
      </w:r>
      <w:r w:rsidR="00BC6B8C">
        <w:rPr>
          <w:rFonts w:cstheme="minorHAnsi"/>
        </w:rPr>
        <w:t>s not</w:t>
      </w:r>
      <w:r w:rsidRPr="00A1655C">
        <w:rPr>
          <w:rFonts w:cstheme="minorHAnsi"/>
        </w:rPr>
        <w:t xml:space="preserve"> intended to recover the </w:t>
      </w:r>
      <w:r w:rsidR="001829E5">
        <w:rPr>
          <w:rFonts w:cstheme="minorHAnsi"/>
        </w:rPr>
        <w:t>final cost of</w:t>
      </w:r>
      <w:r w:rsidRPr="00A1655C">
        <w:rPr>
          <w:rFonts w:cstheme="minorHAnsi"/>
        </w:rPr>
        <w:t xml:space="preserve"> claims over a reasonable</w:t>
      </w:r>
      <w:r w:rsidR="001829E5">
        <w:rPr>
          <w:rFonts w:cstheme="minorHAnsi"/>
        </w:rPr>
        <w:t xml:space="preserve"> period of</w:t>
      </w:r>
      <w:r w:rsidRPr="00A1655C">
        <w:rPr>
          <w:rFonts w:cstheme="minorHAnsi"/>
        </w:rPr>
        <w:t xml:space="preserve"> time, the deficit balance</w:t>
      </w:r>
      <w:r w:rsidR="001829E5">
        <w:rPr>
          <w:rFonts w:cstheme="minorHAnsi"/>
        </w:rPr>
        <w:t xml:space="preserve"> would be</w:t>
      </w:r>
      <w:r w:rsidRPr="00A1655C">
        <w:rPr>
          <w:rFonts w:cstheme="minorHAnsi"/>
        </w:rPr>
        <w:t xml:space="preserve"> charged back to the oth</w:t>
      </w:r>
      <w:r w:rsidR="004B786D">
        <w:rPr>
          <w:rFonts w:cstheme="minorHAnsi"/>
        </w:rPr>
        <w:t>er funds,</w:t>
      </w:r>
      <w:r w:rsidRPr="00A1655C">
        <w:rPr>
          <w:rFonts w:cstheme="minorHAnsi"/>
        </w:rPr>
        <w:t xml:space="preserve"> being recorded by the in</w:t>
      </w:r>
      <w:r w:rsidR="004B786D">
        <w:rPr>
          <w:rFonts w:cstheme="minorHAnsi"/>
        </w:rPr>
        <w:t>ternal</w:t>
      </w:r>
      <w:r w:rsidRPr="00A1655C">
        <w:rPr>
          <w:rFonts w:cstheme="minorHAnsi"/>
        </w:rPr>
        <w:t xml:space="preserve"> service fund as a revenu</w:t>
      </w:r>
      <w:r w:rsidR="008E6FB5">
        <w:rPr>
          <w:rFonts w:cstheme="minorHAnsi"/>
        </w:rPr>
        <w:t>e fund by</w:t>
      </w:r>
      <w:r w:rsidRPr="00A1655C">
        <w:rPr>
          <w:rFonts w:cstheme="minorHAnsi"/>
        </w:rPr>
        <w:t xml:space="preserve"> the other funds as an ex</w:t>
      </w:r>
      <w:r w:rsidR="008E6FB5">
        <w:rPr>
          <w:rFonts w:cstheme="minorHAnsi"/>
        </w:rPr>
        <w:t>pendi</w:t>
      </w:r>
      <w:r w:rsidRPr="00A1655C">
        <w:rPr>
          <w:rFonts w:cstheme="minorHAnsi"/>
        </w:rPr>
        <w:t>ture/expense. A surplus</w:t>
      </w:r>
      <w:r w:rsidR="00D73D8F">
        <w:rPr>
          <w:rFonts w:cstheme="minorHAnsi"/>
        </w:rPr>
        <w:t xml:space="preserve"> internal s</w:t>
      </w:r>
      <w:r w:rsidRPr="00A1655C">
        <w:rPr>
          <w:rFonts w:cstheme="minorHAnsi"/>
        </w:rPr>
        <w:t>ervice fund balance gre</w:t>
      </w:r>
      <w:r w:rsidR="00D73D8F">
        <w:rPr>
          <w:rFonts w:cstheme="minorHAnsi"/>
        </w:rPr>
        <w:t>ater</w:t>
      </w:r>
      <w:r w:rsidR="005D3CD8">
        <w:rPr>
          <w:rFonts w:cstheme="minorHAnsi"/>
        </w:rPr>
        <w:t xml:space="preserve"> than</w:t>
      </w:r>
      <w:r w:rsidRPr="00A1655C">
        <w:rPr>
          <w:rFonts w:cstheme="minorHAnsi"/>
        </w:rPr>
        <w:t xml:space="preserve"> that determined using t</w:t>
      </w:r>
      <w:r w:rsidR="005D3CD8">
        <w:rPr>
          <w:rFonts w:cstheme="minorHAnsi"/>
        </w:rPr>
        <w:t>he optional</w:t>
      </w:r>
      <w:r w:rsidRPr="00A1655C">
        <w:rPr>
          <w:rFonts w:cstheme="minorHAnsi"/>
        </w:rPr>
        <w:t xml:space="preserve"> method (described in th</w:t>
      </w:r>
      <w:r w:rsidR="005D3CD8">
        <w:rPr>
          <w:rFonts w:cstheme="minorHAnsi"/>
        </w:rPr>
        <w:t>e</w:t>
      </w:r>
      <w:r w:rsidR="00697E6F">
        <w:rPr>
          <w:rFonts w:cstheme="minorHAnsi"/>
        </w:rPr>
        <w:t xml:space="preserve"> next</w:t>
      </w:r>
      <w:r w:rsidRPr="00A1655C">
        <w:rPr>
          <w:rFonts w:cstheme="minorHAnsi"/>
        </w:rPr>
        <w:t xml:space="preserve"> paragraph) should be c</w:t>
      </w:r>
      <w:r w:rsidR="00697E6F">
        <w:rPr>
          <w:rFonts w:cstheme="minorHAnsi"/>
        </w:rPr>
        <w:t>harged</w:t>
      </w:r>
      <w:r w:rsidRPr="00A1655C">
        <w:rPr>
          <w:rFonts w:cstheme="minorHAnsi"/>
        </w:rPr>
        <w:t xml:space="preserve"> back to the other funds</w:t>
      </w:r>
      <w:r w:rsidR="00697E6F">
        <w:rPr>
          <w:rFonts w:cstheme="minorHAnsi"/>
        </w:rPr>
        <w:t xml:space="preserve"> </w:t>
      </w:r>
      <w:r w:rsidR="0038029F">
        <w:rPr>
          <w:rFonts w:cstheme="minorHAnsi"/>
        </w:rPr>
        <w:t>as an</w:t>
      </w:r>
      <w:r w:rsidRPr="00A1655C">
        <w:rPr>
          <w:rFonts w:cstheme="minorHAnsi"/>
        </w:rPr>
        <w:t xml:space="preserve"> interfund transfer.</w:t>
      </w:r>
    </w:p>
    <w:p w14:paraId="6053DAD0" w14:textId="7DBC7A67" w:rsidR="00A1655C" w:rsidRPr="00A1655C" w:rsidRDefault="00A1655C" w:rsidP="00A1655C">
      <w:pPr>
        <w:rPr>
          <w:rFonts w:cstheme="minorHAnsi"/>
        </w:rPr>
      </w:pPr>
      <w:r w:rsidRPr="00A1655C">
        <w:rPr>
          <w:rFonts w:cstheme="minorHAnsi"/>
        </w:rPr>
        <w:t>The internal service f</w:t>
      </w:r>
      <w:r w:rsidR="0038029F">
        <w:rPr>
          <w:rFonts w:cstheme="minorHAnsi"/>
        </w:rPr>
        <w:t xml:space="preserve">und </w:t>
      </w:r>
      <w:r w:rsidRPr="00A1655C">
        <w:rPr>
          <w:rFonts w:cstheme="minorHAnsi"/>
        </w:rPr>
        <w:t>authorized to use an op</w:t>
      </w:r>
      <w:r w:rsidR="0038029F">
        <w:rPr>
          <w:rFonts w:cstheme="minorHAnsi"/>
        </w:rPr>
        <w:t>tional</w:t>
      </w:r>
      <w:r w:rsidRPr="00A1655C">
        <w:rPr>
          <w:rFonts w:cstheme="minorHAnsi"/>
        </w:rPr>
        <w:t xml:space="preserve"> method to determine th</w:t>
      </w:r>
      <w:r w:rsidR="00370A5D">
        <w:rPr>
          <w:rFonts w:cstheme="minorHAnsi"/>
        </w:rPr>
        <w:t>e charges</w:t>
      </w:r>
      <w:r w:rsidRPr="00A1655C">
        <w:rPr>
          <w:rFonts w:cstheme="minorHAnsi"/>
        </w:rPr>
        <w:t xml:space="preserve"> to the other funds. This</w:t>
      </w:r>
      <w:r w:rsidR="00370A5D">
        <w:rPr>
          <w:rFonts w:cstheme="minorHAnsi"/>
        </w:rPr>
        <w:t xml:space="preserve"> method</w:t>
      </w:r>
      <w:r w:rsidRPr="00A1655C">
        <w:rPr>
          <w:rFonts w:cstheme="minorHAnsi"/>
        </w:rPr>
        <w:t xml:space="preserve"> designed to help </w:t>
      </w:r>
      <w:r w:rsidR="00370A5D" w:rsidRPr="00A1655C">
        <w:rPr>
          <w:rFonts w:cstheme="minorHAnsi"/>
        </w:rPr>
        <w:t>achieve</w:t>
      </w:r>
      <w:r w:rsidRPr="00A1655C">
        <w:rPr>
          <w:rFonts w:cstheme="minorHAnsi"/>
        </w:rPr>
        <w:t xml:space="preserve"> </w:t>
      </w:r>
      <w:r w:rsidR="00016D62">
        <w:rPr>
          <w:rFonts w:cstheme="minorHAnsi"/>
        </w:rPr>
        <w:t>inter</w:t>
      </w:r>
      <w:r w:rsidRPr="00A1655C">
        <w:rPr>
          <w:rFonts w:cstheme="minorHAnsi"/>
        </w:rPr>
        <w:t>period equity, uses an a</w:t>
      </w:r>
      <w:r w:rsidR="008436D4">
        <w:rPr>
          <w:rFonts w:cstheme="minorHAnsi"/>
        </w:rPr>
        <w:t>ggrarial</w:t>
      </w:r>
      <w:r w:rsidRPr="00A1655C">
        <w:rPr>
          <w:rFonts w:cstheme="minorHAnsi"/>
        </w:rPr>
        <w:t xml:space="preserve"> funding method to dete</w:t>
      </w:r>
      <w:r w:rsidR="008436D4">
        <w:rPr>
          <w:rFonts w:cstheme="minorHAnsi"/>
        </w:rPr>
        <w:t>rmine</w:t>
      </w:r>
      <w:r w:rsidRPr="00A1655C">
        <w:rPr>
          <w:rFonts w:cstheme="minorHAnsi"/>
        </w:rPr>
        <w:t xml:space="preserve"> level annual charges; </w:t>
      </w:r>
      <w:r w:rsidR="0081567A">
        <w:rPr>
          <w:rFonts w:cstheme="minorHAnsi"/>
        </w:rPr>
        <w:t>the premium thus</w:t>
      </w:r>
      <w:r w:rsidRPr="00A1655C">
        <w:rPr>
          <w:rFonts w:cstheme="minorHAnsi"/>
        </w:rPr>
        <w:t xml:space="preserve"> calculated may als</w:t>
      </w:r>
      <w:r w:rsidR="00AE7342">
        <w:rPr>
          <w:rFonts w:cstheme="minorHAnsi"/>
        </w:rPr>
        <w:t>o include</w:t>
      </w:r>
      <w:r w:rsidRPr="00A1655C">
        <w:rPr>
          <w:rFonts w:cstheme="minorHAnsi"/>
        </w:rPr>
        <w:t xml:space="preserve"> an additional amount f</w:t>
      </w:r>
      <w:r w:rsidR="00AE7342">
        <w:rPr>
          <w:rFonts w:cstheme="minorHAnsi"/>
        </w:rPr>
        <w:t>or expected</w:t>
      </w:r>
      <w:r w:rsidRPr="00A1655C">
        <w:rPr>
          <w:rFonts w:cstheme="minorHAnsi"/>
        </w:rPr>
        <w:t xml:space="preserve"> future catastrophe losse</w:t>
      </w:r>
      <w:r w:rsidR="00AE7342">
        <w:rPr>
          <w:rFonts w:cstheme="minorHAnsi"/>
        </w:rPr>
        <w:t>s</w:t>
      </w:r>
      <w:r w:rsidR="003C19D0">
        <w:rPr>
          <w:rFonts w:cstheme="minorHAnsi"/>
        </w:rPr>
        <w:t xml:space="preserve"> so that</w:t>
      </w:r>
      <w:r w:rsidRPr="00A1655C">
        <w:rPr>
          <w:rFonts w:cstheme="minorHAnsi"/>
        </w:rPr>
        <w:t xml:space="preserve"> costs associated with th</w:t>
      </w:r>
      <w:r w:rsidR="003C19D0">
        <w:rPr>
          <w:rFonts w:cstheme="minorHAnsi"/>
        </w:rPr>
        <w:t>ese major</w:t>
      </w:r>
      <w:r w:rsidRPr="00A1655C">
        <w:rPr>
          <w:rFonts w:cstheme="minorHAnsi"/>
        </w:rPr>
        <w:t xml:space="preserve"> losses would be spread</w:t>
      </w:r>
      <w:r w:rsidR="004D66F3">
        <w:rPr>
          <w:rFonts w:cstheme="minorHAnsi"/>
        </w:rPr>
        <w:t xml:space="preserve"> out over</w:t>
      </w:r>
      <w:r w:rsidRPr="00A1655C">
        <w:rPr>
          <w:rFonts w:cstheme="minorHAnsi"/>
        </w:rPr>
        <w:t xml:space="preserve"> several years. This met</w:t>
      </w:r>
      <w:r w:rsidR="004D66F3">
        <w:rPr>
          <w:rFonts w:cstheme="minorHAnsi"/>
        </w:rPr>
        <w:t>hod</w:t>
      </w:r>
      <w:r w:rsidRPr="00A1655C">
        <w:rPr>
          <w:rFonts w:cstheme="minorHAnsi"/>
        </w:rPr>
        <w:t xml:space="preserve"> requires adjustments ov</w:t>
      </w:r>
      <w:r w:rsidR="004D66F3">
        <w:rPr>
          <w:rFonts w:cstheme="minorHAnsi"/>
        </w:rPr>
        <w:t>er a</w:t>
      </w:r>
      <w:r w:rsidRPr="00A1655C">
        <w:rPr>
          <w:rFonts w:cstheme="minorHAnsi"/>
        </w:rPr>
        <w:t xml:space="preserve"> reasonable period of ti</w:t>
      </w:r>
      <w:r w:rsidR="004D66F3">
        <w:rPr>
          <w:rFonts w:cstheme="minorHAnsi"/>
        </w:rPr>
        <w:t>me</w:t>
      </w:r>
      <w:r w:rsidR="00FA6985">
        <w:rPr>
          <w:rFonts w:cstheme="minorHAnsi"/>
        </w:rPr>
        <w:t xml:space="preserve"> so that</w:t>
      </w:r>
      <w:r w:rsidRPr="00A1655C">
        <w:rPr>
          <w:rFonts w:cstheme="minorHAnsi"/>
        </w:rPr>
        <w:t xml:space="preserve"> revenues and expenses</w:t>
      </w:r>
      <w:r w:rsidR="00FA6985">
        <w:rPr>
          <w:rFonts w:cstheme="minorHAnsi"/>
        </w:rPr>
        <w:t xml:space="preserve"> of the</w:t>
      </w:r>
      <w:r w:rsidRPr="00A1655C">
        <w:rPr>
          <w:rFonts w:cstheme="minorHAnsi"/>
        </w:rPr>
        <w:t xml:space="preserve"> internal service fund </w:t>
      </w:r>
      <w:r w:rsidR="00560818">
        <w:rPr>
          <w:rFonts w:cstheme="minorHAnsi"/>
        </w:rPr>
        <w:t>need not be charged back to the other funds in any</w:t>
      </w:r>
      <w:r w:rsidR="00315C55">
        <w:rPr>
          <w:rFonts w:cstheme="minorHAnsi"/>
        </w:rPr>
        <w:t xml:space="preserve"> one year,</w:t>
      </w:r>
      <w:r w:rsidR="00515293">
        <w:rPr>
          <w:rFonts w:cstheme="minorHAnsi"/>
        </w:rPr>
        <w:t xml:space="preserve"> </w:t>
      </w:r>
      <w:r w:rsidRPr="00A1655C">
        <w:rPr>
          <w:rFonts w:cstheme="minorHAnsi"/>
        </w:rPr>
        <w:t>but must</w:t>
      </w:r>
      <w:r w:rsidR="00515293">
        <w:rPr>
          <w:rFonts w:cstheme="minorHAnsi"/>
        </w:rPr>
        <w:t xml:space="preserve"> be disclosed </w:t>
      </w:r>
      <w:r w:rsidRPr="00A1655C">
        <w:rPr>
          <w:rFonts w:cstheme="minorHAnsi"/>
        </w:rPr>
        <w:t>in the notes</w:t>
      </w:r>
      <w:r w:rsidR="00515293">
        <w:rPr>
          <w:rFonts w:cstheme="minorHAnsi"/>
        </w:rPr>
        <w:t xml:space="preserve"> </w:t>
      </w:r>
      <w:r w:rsidRPr="00A1655C">
        <w:rPr>
          <w:rFonts w:cstheme="minorHAnsi"/>
        </w:rPr>
        <w:t>to th</w:t>
      </w:r>
      <w:r w:rsidR="00B47B4C">
        <w:rPr>
          <w:rFonts w:cstheme="minorHAnsi"/>
        </w:rPr>
        <w:t xml:space="preserve">e financial </w:t>
      </w:r>
      <w:r w:rsidRPr="00A1655C">
        <w:rPr>
          <w:rFonts w:cstheme="minorHAnsi"/>
        </w:rPr>
        <w:t>statements. Any surplu</w:t>
      </w:r>
      <w:r w:rsidR="00B47B4C">
        <w:rPr>
          <w:rFonts w:cstheme="minorHAnsi"/>
        </w:rPr>
        <w:t>s fund</w:t>
      </w:r>
      <w:r w:rsidRPr="00A1655C">
        <w:rPr>
          <w:rFonts w:cstheme="minorHAnsi"/>
        </w:rPr>
        <w:t xml:space="preserve"> balance in the internal s</w:t>
      </w:r>
      <w:r w:rsidR="00B47B4C">
        <w:rPr>
          <w:rFonts w:cstheme="minorHAnsi"/>
        </w:rPr>
        <w:t>ervice</w:t>
      </w:r>
      <w:r w:rsidRPr="00A1655C">
        <w:rPr>
          <w:rFonts w:cstheme="minorHAnsi"/>
        </w:rPr>
        <w:t xml:space="preserve"> fund should be reported </w:t>
      </w:r>
      <w:r w:rsidR="00D66C7B">
        <w:rPr>
          <w:rFonts w:cstheme="minorHAnsi"/>
        </w:rPr>
        <w:t>a</w:t>
      </w:r>
      <w:r w:rsidRPr="00A1655C">
        <w:rPr>
          <w:rFonts w:cstheme="minorHAnsi"/>
        </w:rPr>
        <w:t>s</w:t>
      </w:r>
      <w:r w:rsidR="00D66C7B">
        <w:rPr>
          <w:rFonts w:cstheme="minorHAnsi"/>
        </w:rPr>
        <w:t xml:space="preserve"> equity des</w:t>
      </w:r>
      <w:r w:rsidRPr="00A1655C">
        <w:rPr>
          <w:rFonts w:cstheme="minorHAnsi"/>
        </w:rPr>
        <w:t>ignated for future ca</w:t>
      </w:r>
      <w:r w:rsidR="00F9324C">
        <w:rPr>
          <w:rFonts w:cstheme="minorHAnsi"/>
        </w:rPr>
        <w:t>tastrophe</w:t>
      </w:r>
      <w:r w:rsidRPr="00A1655C">
        <w:rPr>
          <w:rFonts w:cstheme="minorHAnsi"/>
        </w:rPr>
        <w:t xml:space="preserve"> losses.</w:t>
      </w:r>
    </w:p>
    <w:p w14:paraId="0BFE499D" w14:textId="77777777" w:rsidR="00A1655C" w:rsidRPr="009929A6" w:rsidRDefault="00A1655C" w:rsidP="009929A6">
      <w:pPr>
        <w:pStyle w:val="Heading1"/>
      </w:pPr>
      <w:r w:rsidRPr="009929A6">
        <w:t>Disclosures</w:t>
      </w:r>
    </w:p>
    <w:p w14:paraId="75049B2C" w14:textId="2C7744F7" w:rsidR="00A1655C" w:rsidRPr="00A1655C" w:rsidRDefault="00A1655C" w:rsidP="00A1655C">
      <w:pPr>
        <w:rPr>
          <w:rFonts w:cstheme="minorHAnsi"/>
        </w:rPr>
      </w:pPr>
      <w:r w:rsidRPr="00A1655C">
        <w:rPr>
          <w:rFonts w:cstheme="minorHAnsi"/>
        </w:rPr>
        <w:t>Disclosures in the not</w:t>
      </w:r>
      <w:r w:rsidR="001C0331">
        <w:rPr>
          <w:rFonts w:cstheme="minorHAnsi"/>
        </w:rPr>
        <w:t>es to</w:t>
      </w:r>
      <w:r w:rsidR="000F4D9D">
        <w:rPr>
          <w:rFonts w:cstheme="minorHAnsi"/>
        </w:rPr>
        <w:t xml:space="preserve"> the</w:t>
      </w:r>
      <w:r w:rsidRPr="00A1655C">
        <w:rPr>
          <w:rFonts w:cstheme="minorHAnsi"/>
        </w:rPr>
        <w:t xml:space="preserve"> financial statements sho</w:t>
      </w:r>
      <w:r w:rsidR="000F4D9D">
        <w:rPr>
          <w:rFonts w:cstheme="minorHAnsi"/>
        </w:rPr>
        <w:t>uld</w:t>
      </w:r>
      <w:r w:rsidRPr="00A1655C">
        <w:rPr>
          <w:rFonts w:cstheme="minorHAnsi"/>
        </w:rPr>
        <w:t xml:space="preserve"> always include (1) a de</w:t>
      </w:r>
      <w:r w:rsidR="000F4D9D">
        <w:rPr>
          <w:rFonts w:cstheme="minorHAnsi"/>
        </w:rPr>
        <w:t>scription of</w:t>
      </w:r>
      <w:r w:rsidRPr="00A1655C">
        <w:rPr>
          <w:rFonts w:cstheme="minorHAnsi"/>
        </w:rPr>
        <w:t xml:space="preserve"> the risks of loss to whic</w:t>
      </w:r>
      <w:r w:rsidR="002E27B3">
        <w:rPr>
          <w:rFonts w:cstheme="minorHAnsi"/>
        </w:rPr>
        <w:t>h the entity</w:t>
      </w:r>
      <w:r w:rsidRPr="00A1655C">
        <w:rPr>
          <w:rFonts w:cstheme="minorHAnsi"/>
        </w:rPr>
        <w:t xml:space="preserve"> is exposed and the way</w:t>
      </w:r>
      <w:r w:rsidR="00B43742">
        <w:rPr>
          <w:rFonts w:cstheme="minorHAnsi"/>
        </w:rPr>
        <w:t xml:space="preserve"> </w:t>
      </w:r>
      <w:r w:rsidRPr="00A1655C">
        <w:rPr>
          <w:rFonts w:cstheme="minorHAnsi"/>
        </w:rPr>
        <w:t>(</w:t>
      </w:r>
      <w:r w:rsidR="00B43742">
        <w:rPr>
          <w:rFonts w:cstheme="minorHAnsi"/>
        </w:rPr>
        <w:t>in</w:t>
      </w:r>
      <w:r w:rsidRPr="00A1655C">
        <w:rPr>
          <w:rFonts w:cstheme="minorHAnsi"/>
        </w:rPr>
        <w:t xml:space="preserve"> which those risks of los</w:t>
      </w:r>
      <w:r w:rsidR="00B43742">
        <w:rPr>
          <w:rFonts w:cstheme="minorHAnsi"/>
        </w:rPr>
        <w:t>s are</w:t>
      </w:r>
      <w:r w:rsidRPr="00A1655C">
        <w:rPr>
          <w:rFonts w:cstheme="minorHAnsi"/>
        </w:rPr>
        <w:t xml:space="preserve"> handled (e.g., commerci</w:t>
      </w:r>
      <w:r w:rsidR="00B43742">
        <w:rPr>
          <w:rFonts w:cstheme="minorHAnsi"/>
        </w:rPr>
        <w:t>al</w:t>
      </w:r>
      <w:r w:rsidRPr="00A1655C">
        <w:rPr>
          <w:rFonts w:cstheme="minorHAnsi"/>
        </w:rPr>
        <w:t xml:space="preserve"> </w:t>
      </w:r>
      <w:r w:rsidR="00B43742">
        <w:rPr>
          <w:rFonts w:cstheme="minorHAnsi"/>
        </w:rPr>
        <w:t>insur</w:t>
      </w:r>
      <w:r w:rsidRPr="00A1655C">
        <w:rPr>
          <w:rFonts w:cstheme="minorHAnsi"/>
        </w:rPr>
        <w:t xml:space="preserve">ance, participation in a risk </w:t>
      </w:r>
      <w:r w:rsidR="00B43742">
        <w:rPr>
          <w:rFonts w:cstheme="minorHAnsi"/>
        </w:rPr>
        <w:t xml:space="preserve">pool, risk </w:t>
      </w:r>
      <w:r w:rsidRPr="00A1655C">
        <w:rPr>
          <w:rFonts w:cstheme="minorHAnsi"/>
        </w:rPr>
        <w:t xml:space="preserve">retention), and (2) a </w:t>
      </w:r>
      <w:r w:rsidR="00E57050">
        <w:rPr>
          <w:rFonts w:cstheme="minorHAnsi"/>
        </w:rPr>
        <w:t>descrip</w:t>
      </w:r>
      <w:r w:rsidRPr="00A1655C">
        <w:rPr>
          <w:rFonts w:cstheme="minorHAnsi"/>
        </w:rPr>
        <w:t>tion of significant reduct</w:t>
      </w:r>
      <w:r w:rsidR="00E57050">
        <w:rPr>
          <w:rFonts w:cstheme="minorHAnsi"/>
        </w:rPr>
        <w:t>ions</w:t>
      </w:r>
      <w:r w:rsidRPr="00A1655C">
        <w:rPr>
          <w:rFonts w:cstheme="minorHAnsi"/>
        </w:rPr>
        <w:t xml:space="preserve"> insurance coverage fro</w:t>
      </w:r>
      <w:r w:rsidR="00E57050">
        <w:rPr>
          <w:rFonts w:cstheme="minorHAnsi"/>
        </w:rPr>
        <w:t>m</w:t>
      </w:r>
      <w:r w:rsidR="00A41358">
        <w:rPr>
          <w:rFonts w:cstheme="minorHAnsi"/>
        </w:rPr>
        <w:t xml:space="preserve"> the prior</w:t>
      </w:r>
      <w:r w:rsidRPr="00A1655C">
        <w:rPr>
          <w:rFonts w:cstheme="minorHAnsi"/>
        </w:rPr>
        <w:t xml:space="preserve"> year. In addition, if the</w:t>
      </w:r>
      <w:r w:rsidR="00A41358">
        <w:rPr>
          <w:rFonts w:cstheme="minorHAnsi"/>
        </w:rPr>
        <w:t xml:space="preserve"> entity</w:t>
      </w:r>
      <w:r w:rsidRPr="00A1655C">
        <w:rPr>
          <w:rFonts w:cstheme="minorHAnsi"/>
        </w:rPr>
        <w:t xml:space="preserve"> participates in a risk p</w:t>
      </w:r>
      <w:r w:rsidR="001A10D6">
        <w:rPr>
          <w:rFonts w:cstheme="minorHAnsi"/>
        </w:rPr>
        <w:t>ool, the</w:t>
      </w:r>
      <w:r w:rsidRPr="00A1655C">
        <w:rPr>
          <w:rFonts w:cstheme="minorHAnsi"/>
        </w:rPr>
        <w:t xml:space="preserve"> footnote should also inc</w:t>
      </w:r>
      <w:r w:rsidR="001A10D6">
        <w:rPr>
          <w:rFonts w:cstheme="minorHAnsi"/>
        </w:rPr>
        <w:t>lude a</w:t>
      </w:r>
      <w:r w:rsidRPr="00A1655C">
        <w:rPr>
          <w:rFonts w:cstheme="minorHAnsi"/>
        </w:rPr>
        <w:t xml:space="preserve"> description of the rights</w:t>
      </w:r>
      <w:r w:rsidR="001A10D6">
        <w:rPr>
          <w:rFonts w:cstheme="minorHAnsi"/>
        </w:rPr>
        <w:t xml:space="preserve"> and</w:t>
      </w:r>
      <w:r w:rsidRPr="00A1655C">
        <w:rPr>
          <w:rFonts w:cstheme="minorHAnsi"/>
        </w:rPr>
        <w:t xml:space="preserve"> responsibilities of the en</w:t>
      </w:r>
      <w:r w:rsidR="00967D81">
        <w:rPr>
          <w:rFonts w:cstheme="minorHAnsi"/>
        </w:rPr>
        <w:t>tity</w:t>
      </w:r>
      <w:r w:rsidRPr="00A1655C">
        <w:rPr>
          <w:rFonts w:cstheme="minorHAnsi"/>
        </w:rPr>
        <w:t xml:space="preserve">, </w:t>
      </w:r>
      <w:r w:rsidR="00967D81">
        <w:rPr>
          <w:rFonts w:cstheme="minorHAnsi"/>
        </w:rPr>
        <w:t xml:space="preserve">and </w:t>
      </w:r>
      <w:r w:rsidRPr="00A1655C">
        <w:rPr>
          <w:rFonts w:cstheme="minorHAnsi"/>
        </w:rPr>
        <w:t>the pool.</w:t>
      </w:r>
    </w:p>
    <w:p w14:paraId="056AA16F" w14:textId="0A4A8CE9" w:rsidR="008048EF" w:rsidRPr="008048EF" w:rsidRDefault="008048EF" w:rsidP="008048EF">
      <w:pPr>
        <w:rPr>
          <w:rFonts w:cstheme="minorHAnsi"/>
        </w:rPr>
      </w:pPr>
      <w:r w:rsidRPr="008048EF">
        <w:rPr>
          <w:rFonts w:cstheme="minorHAnsi"/>
        </w:rPr>
        <w:t>If an entity retains the risk of loss, the basis for estimating the liabilities for unpaid claims, the carrying amount of the liabilities that are presented at present value in the financial statements, the aggregate outstanding amount of contingent liabilities for which annuity contracts have been purchased in the claimants' names and for which related liabilities have been removed from the balance sheet, and a reconciliation of changes</w:t>
      </w:r>
      <w:r w:rsidR="00C35C9B">
        <w:rPr>
          <w:rFonts w:cstheme="minorHAnsi"/>
        </w:rPr>
        <w:t xml:space="preserve"> </w:t>
      </w:r>
      <w:r w:rsidRPr="008048EF">
        <w:rPr>
          <w:rFonts w:cstheme="minorHAnsi"/>
        </w:rPr>
        <w:t xml:space="preserve">in the aggregate liabilities for claims for the current year and the prior year must be disclosed. In addition, disclosure should be made for any loss contingency when there is at least a </w:t>
      </w:r>
      <w:r w:rsidR="0070701C" w:rsidRPr="008048EF">
        <w:rPr>
          <w:rFonts w:cstheme="minorHAnsi"/>
        </w:rPr>
        <w:t>reasonable</w:t>
      </w:r>
      <w:r w:rsidRPr="008048EF">
        <w:rPr>
          <w:rFonts w:cstheme="minorHAnsi"/>
        </w:rPr>
        <w:t xml:space="preserve"> possibility that a loss or an additional loss may have been incurred and for events that occur </w:t>
      </w:r>
      <w:r w:rsidR="0077247D">
        <w:rPr>
          <w:rFonts w:cstheme="minorHAnsi"/>
        </w:rPr>
        <w:t>subsequent t</w:t>
      </w:r>
      <w:r w:rsidRPr="008048EF">
        <w:rPr>
          <w:rFonts w:cstheme="minorHAnsi"/>
        </w:rPr>
        <w:t>o the date of</w:t>
      </w:r>
      <w:r w:rsidR="0077247D">
        <w:rPr>
          <w:rFonts w:cstheme="minorHAnsi"/>
        </w:rPr>
        <w:t xml:space="preserve"> </w:t>
      </w:r>
      <w:r w:rsidRPr="008048EF">
        <w:rPr>
          <w:rFonts w:cstheme="minorHAnsi"/>
        </w:rPr>
        <w:t>the financial statements but before the date</w:t>
      </w:r>
      <w:r w:rsidR="0077247D">
        <w:rPr>
          <w:rFonts w:cstheme="minorHAnsi"/>
        </w:rPr>
        <w:t xml:space="preserve"> </w:t>
      </w:r>
      <w:r w:rsidRPr="008048EF">
        <w:rPr>
          <w:rFonts w:cstheme="minorHAnsi"/>
        </w:rPr>
        <w:t>of issue.  In accordance with SFAS No. 5, such</w:t>
      </w:r>
      <w:r w:rsidR="00687D17">
        <w:rPr>
          <w:rFonts w:cstheme="minorHAnsi"/>
        </w:rPr>
        <w:t xml:space="preserve"> </w:t>
      </w:r>
      <w:r w:rsidRPr="008048EF">
        <w:rPr>
          <w:rFonts w:cstheme="minorHAnsi"/>
        </w:rPr>
        <w:t>disclosure should indicate the nature of the loss or loss</w:t>
      </w:r>
      <w:r w:rsidR="00687D17">
        <w:rPr>
          <w:rFonts w:cstheme="minorHAnsi"/>
        </w:rPr>
        <w:t xml:space="preserve"> </w:t>
      </w:r>
      <w:r w:rsidRPr="008048EF">
        <w:rPr>
          <w:rFonts w:cstheme="minorHAnsi"/>
        </w:rPr>
        <w:t>contingency</w:t>
      </w:r>
      <w:r w:rsidR="00687D17">
        <w:rPr>
          <w:rFonts w:cstheme="minorHAnsi"/>
        </w:rPr>
        <w:t xml:space="preserve"> </w:t>
      </w:r>
      <w:r w:rsidRPr="008048EF">
        <w:rPr>
          <w:rFonts w:cstheme="minorHAnsi"/>
        </w:rPr>
        <w:t>and give an estimate of the amount or</w:t>
      </w:r>
      <w:r w:rsidR="00687D17">
        <w:rPr>
          <w:rFonts w:cstheme="minorHAnsi"/>
        </w:rPr>
        <w:t xml:space="preserve"> </w:t>
      </w:r>
      <w:r w:rsidRPr="008048EF">
        <w:rPr>
          <w:rFonts w:cstheme="minorHAnsi"/>
        </w:rPr>
        <w:t>range of loss or possible loss or</w:t>
      </w:r>
      <w:r w:rsidR="00687D17">
        <w:rPr>
          <w:rFonts w:cstheme="minorHAnsi"/>
        </w:rPr>
        <w:t xml:space="preserve"> </w:t>
      </w:r>
      <w:r w:rsidRPr="008048EF">
        <w:rPr>
          <w:rFonts w:cstheme="minorHAnsi"/>
        </w:rPr>
        <w:t>state that such an estimate cannot be made.</w:t>
      </w:r>
    </w:p>
    <w:p w14:paraId="66BFC7EF" w14:textId="77777777" w:rsidR="008048EF" w:rsidRPr="008048EF" w:rsidRDefault="008048EF" w:rsidP="00687D17">
      <w:pPr>
        <w:pStyle w:val="Heading1"/>
      </w:pPr>
      <w:r w:rsidRPr="008048EF">
        <w:t>Public Entity Risk Pools</w:t>
      </w:r>
    </w:p>
    <w:p w14:paraId="666606E5" w14:textId="77777777" w:rsidR="008048EF" w:rsidRPr="008048EF" w:rsidRDefault="008048EF" w:rsidP="008048EF">
      <w:pPr>
        <w:rPr>
          <w:rFonts w:cstheme="minorHAnsi"/>
        </w:rPr>
      </w:pPr>
      <w:r w:rsidRPr="008048EF">
        <w:rPr>
          <w:rFonts w:cstheme="minorHAnsi"/>
        </w:rPr>
        <w:t>The proposed standard also addresses the accounting and financial reporting requirements of public entity risk pools. The exposure draft distinguishes between pools in which there is some transfer or pooling of risk and pools not involving transfer or pooling of risk.</w:t>
      </w:r>
    </w:p>
    <w:p w14:paraId="315A1434" w14:textId="5D07468A" w:rsidR="008048EF" w:rsidRPr="008048EF" w:rsidRDefault="008048EF" w:rsidP="008048EF">
      <w:pPr>
        <w:rPr>
          <w:rFonts w:cstheme="minorHAnsi"/>
        </w:rPr>
      </w:pPr>
      <w:r w:rsidRPr="008048EF">
        <w:rPr>
          <w:rFonts w:cstheme="minorHAnsi"/>
        </w:rPr>
        <w:t xml:space="preserve">GASB has identified the primary users of external </w:t>
      </w:r>
      <w:r w:rsidR="00045BFD" w:rsidRPr="008048EF">
        <w:rPr>
          <w:rFonts w:cstheme="minorHAnsi"/>
        </w:rPr>
        <w:t>public entity</w:t>
      </w:r>
      <w:r w:rsidRPr="008048EF">
        <w:rPr>
          <w:rFonts w:cstheme="minorHAnsi"/>
        </w:rPr>
        <w:t xml:space="preserve"> risk pool financial reports as pool </w:t>
      </w:r>
      <w:r w:rsidR="00687D17" w:rsidRPr="008048EF">
        <w:rPr>
          <w:rFonts w:cstheme="minorHAnsi"/>
        </w:rPr>
        <w:t>participants</w:t>
      </w:r>
      <w:r w:rsidRPr="008048EF">
        <w:rPr>
          <w:rFonts w:cstheme="minorHAnsi"/>
        </w:rPr>
        <w:t xml:space="preserve"> and those considering pool participation, legislative and oversight bodies, reinsurers, and investors and creditors.  Because many public entity risk pools provide services that pool participants may have previously purchased from commercial insurance companies and compete against commercial insurers in the reinsurance</w:t>
      </w:r>
      <w:r w:rsidR="00045BFD">
        <w:rPr>
          <w:rFonts w:cstheme="minorHAnsi"/>
        </w:rPr>
        <w:t xml:space="preserve"> </w:t>
      </w:r>
      <w:r w:rsidRPr="008048EF">
        <w:rPr>
          <w:rFonts w:cstheme="minorHAnsi"/>
        </w:rPr>
        <w:t>and capital markets, GASB believes that consistent accounting and financial reporting standards for all</w:t>
      </w:r>
      <w:r w:rsidR="00045BFD">
        <w:rPr>
          <w:rFonts w:cstheme="minorHAnsi"/>
        </w:rPr>
        <w:t xml:space="preserve"> </w:t>
      </w:r>
      <w:r w:rsidRPr="008048EF">
        <w:rPr>
          <w:rFonts w:cstheme="minorHAnsi"/>
        </w:rPr>
        <w:t>insurance activities is prudent. The proposed standard requires public entity risk pools in which</w:t>
      </w:r>
      <w:r w:rsidR="00045BFD">
        <w:rPr>
          <w:rFonts w:cstheme="minorHAnsi"/>
        </w:rPr>
        <w:t xml:space="preserve"> </w:t>
      </w:r>
      <w:r w:rsidRPr="008048EF">
        <w:rPr>
          <w:rFonts w:cstheme="minorHAnsi"/>
        </w:rPr>
        <w:t xml:space="preserve">there is some transfer of risk to follow the current </w:t>
      </w:r>
      <w:r w:rsidR="00045BFD">
        <w:rPr>
          <w:rFonts w:cstheme="minorHAnsi"/>
        </w:rPr>
        <w:t xml:space="preserve">accounting </w:t>
      </w:r>
      <w:r w:rsidRPr="008048EF">
        <w:rPr>
          <w:rFonts w:cstheme="minorHAnsi"/>
        </w:rPr>
        <w:t>and financial reporting standards for similar business enterprises, as set forth primarily in SFAS No. 60, "Accounting and Reporting by Insurance Enterprises."</w:t>
      </w:r>
      <w:r w:rsidRPr="008048EF">
        <w:rPr>
          <w:rFonts w:cstheme="minorHAnsi"/>
          <w:vertAlign w:val="superscript"/>
        </w:rPr>
        <w:t>11</w:t>
      </w:r>
      <w:r w:rsidRPr="008048EF">
        <w:rPr>
          <w:rFonts w:cstheme="minorHAnsi"/>
        </w:rPr>
        <w:t xml:space="preserve"> GASB concluded, however, that pools that function only as claims servicers, not as an insurer, should only report administrative costs and related claims servicing revenues.</w:t>
      </w:r>
    </w:p>
    <w:p w14:paraId="67C5E6A1" w14:textId="25563DFC" w:rsidR="008048EF" w:rsidRPr="008048EF" w:rsidRDefault="008048EF" w:rsidP="00F9784B">
      <w:pPr>
        <w:pStyle w:val="Heading1"/>
      </w:pPr>
      <w:r w:rsidRPr="008048EF">
        <w:t>Effective Date</w:t>
      </w:r>
      <w:r w:rsidR="00F9784B">
        <w:t xml:space="preserve"> </w:t>
      </w:r>
      <w:r w:rsidRPr="008048EF">
        <w:t>and Transition Method</w:t>
      </w:r>
    </w:p>
    <w:p w14:paraId="7F2E04B6" w14:textId="14C3826B" w:rsidR="00292C6F" w:rsidRPr="00292C6F" w:rsidRDefault="008048EF" w:rsidP="00292C6F">
      <w:pPr>
        <w:rPr>
          <w:rFonts w:cstheme="minorHAnsi"/>
        </w:rPr>
      </w:pPr>
      <w:r w:rsidRPr="008048EF">
        <w:rPr>
          <w:rFonts w:cstheme="minorHAnsi"/>
        </w:rPr>
        <w:t>If this exposure draft is adopted without significant change, the new standards will be applied to financial statements for all risk pools for fiscal periods beginning after June 15, 1990, although earlier application is encouraged. Thus, risk pools will have to prepare financial statements</w:t>
      </w:r>
      <w:r w:rsidR="00F9784B">
        <w:rPr>
          <w:rFonts w:cstheme="minorHAnsi"/>
        </w:rPr>
        <w:t xml:space="preserve"> </w:t>
      </w:r>
      <w:r w:rsidRPr="008048EF">
        <w:rPr>
          <w:rFonts w:cstheme="minorHAnsi"/>
        </w:rPr>
        <w:t>which are based upon the same</w:t>
      </w:r>
      <w:r w:rsidR="00292C6F">
        <w:rPr>
          <w:rFonts w:cstheme="minorHAnsi"/>
        </w:rPr>
        <w:t xml:space="preserve"> </w:t>
      </w:r>
      <w:r w:rsidR="00292C6F" w:rsidRPr="00292C6F">
        <w:rPr>
          <w:rFonts w:cstheme="minorHAnsi"/>
        </w:rPr>
        <w:t>accounting principles that commercial insurance</w:t>
      </w:r>
      <w:r w:rsidR="00292C6F">
        <w:rPr>
          <w:rFonts w:cstheme="minorHAnsi"/>
        </w:rPr>
        <w:t xml:space="preserve"> </w:t>
      </w:r>
      <w:r w:rsidR="00292C6F" w:rsidRPr="00292C6F">
        <w:rPr>
          <w:rFonts w:cstheme="minorHAnsi"/>
        </w:rPr>
        <w:t>companies follow. Consequently, those school districts who have had difficulty obtaining meaningful financial statements from their risk pools should be able to do so in the near future.</w:t>
      </w:r>
    </w:p>
    <w:p w14:paraId="3D9DB4A0" w14:textId="106B7C5F" w:rsidR="00292C6F" w:rsidRPr="00292C6F" w:rsidRDefault="00292C6F" w:rsidP="00292C6F">
      <w:pPr>
        <w:rPr>
          <w:rFonts w:cstheme="minorHAnsi"/>
        </w:rPr>
      </w:pPr>
      <w:r w:rsidRPr="00292C6F">
        <w:rPr>
          <w:rFonts w:cstheme="minorHAnsi"/>
        </w:rPr>
        <w:t>The requirement for all other entities will be effective on the</w:t>
      </w:r>
      <w:r>
        <w:rPr>
          <w:rFonts w:cstheme="minorHAnsi"/>
        </w:rPr>
        <w:t xml:space="preserve"> </w:t>
      </w:r>
      <w:r w:rsidRPr="00292C6F">
        <w:rPr>
          <w:rFonts w:cstheme="minorHAnsi"/>
        </w:rPr>
        <w:t>same date that GASB's final statement on "Measurement</w:t>
      </w:r>
      <w:r w:rsidR="007A7B86">
        <w:rPr>
          <w:rFonts w:cstheme="minorHAnsi"/>
        </w:rPr>
        <w:t xml:space="preserve"> </w:t>
      </w:r>
      <w:r w:rsidRPr="00292C6F">
        <w:rPr>
          <w:rFonts w:cstheme="minorHAnsi"/>
        </w:rPr>
        <w:t>Focus and Basis of Accounting for Governmental Funds" becomes effective (presently anticipated to occur after fiscal 1993). Transition procedures for implementin</w:t>
      </w:r>
      <w:r w:rsidR="007A7B86">
        <w:rPr>
          <w:rFonts w:cstheme="minorHAnsi"/>
        </w:rPr>
        <w:t>g</w:t>
      </w:r>
      <w:r w:rsidRPr="00292C6F">
        <w:rPr>
          <w:rFonts w:cstheme="minorHAnsi"/>
        </w:rPr>
        <w:t xml:space="preserve"> the Risk Financing Standard wi</w:t>
      </w:r>
      <w:r w:rsidR="007A7B86">
        <w:rPr>
          <w:rFonts w:cstheme="minorHAnsi"/>
        </w:rPr>
        <w:t>ll</w:t>
      </w:r>
      <w:r w:rsidRPr="00292C6F">
        <w:rPr>
          <w:rFonts w:cstheme="minorHAnsi"/>
        </w:rPr>
        <w:t xml:space="preserve"> be based on those developed for the MFBA Statement.</w:t>
      </w:r>
    </w:p>
    <w:p w14:paraId="15B41AC3" w14:textId="5C1D1638" w:rsidR="00292C6F" w:rsidRPr="00292C6F" w:rsidRDefault="00292C6F" w:rsidP="00F71A6D">
      <w:pPr>
        <w:pStyle w:val="Heading1"/>
      </w:pPr>
      <w:r w:rsidRPr="00292C6F">
        <w:t>Additional</w:t>
      </w:r>
      <w:r w:rsidR="00F71A6D">
        <w:t xml:space="preserve"> </w:t>
      </w:r>
      <w:r w:rsidRPr="00292C6F">
        <w:t>Implications</w:t>
      </w:r>
      <w:r w:rsidR="00F71A6D">
        <w:t xml:space="preserve"> </w:t>
      </w:r>
      <w:r w:rsidRPr="00292C6F">
        <w:t>for School Districts</w:t>
      </w:r>
    </w:p>
    <w:p w14:paraId="59DBBFBD" w14:textId="78762CA5" w:rsidR="00292C6F" w:rsidRPr="00292C6F" w:rsidRDefault="00292C6F" w:rsidP="00292C6F">
      <w:pPr>
        <w:rPr>
          <w:rFonts w:cstheme="minorHAnsi"/>
        </w:rPr>
      </w:pPr>
      <w:r w:rsidRPr="00292C6F">
        <w:rPr>
          <w:rFonts w:cstheme="minorHAnsi"/>
        </w:rPr>
        <w:t xml:space="preserve">School districts have </w:t>
      </w:r>
      <w:r w:rsidR="00F71A6D" w:rsidRPr="00292C6F">
        <w:rPr>
          <w:rFonts w:cstheme="minorHAnsi"/>
        </w:rPr>
        <w:t>adopted</w:t>
      </w:r>
      <w:r w:rsidRPr="00292C6F">
        <w:rPr>
          <w:rFonts w:cstheme="minorHAnsi"/>
        </w:rPr>
        <w:t xml:space="preserve"> varied risk management po</w:t>
      </w:r>
      <w:r w:rsidR="00F71A6D">
        <w:rPr>
          <w:rFonts w:cstheme="minorHAnsi"/>
        </w:rPr>
        <w:t>li</w:t>
      </w:r>
      <w:r w:rsidRPr="00292C6F">
        <w:rPr>
          <w:rFonts w:cstheme="minorHAnsi"/>
        </w:rPr>
        <w:t>cies in response to the increasing costs of insurance. The vagaries of the market will continue to dictate district practice, the required accounting standards will only define an</w:t>
      </w:r>
      <w:r w:rsidR="002F4279">
        <w:rPr>
          <w:rFonts w:cstheme="minorHAnsi"/>
        </w:rPr>
        <w:t>d</w:t>
      </w:r>
      <w:r w:rsidRPr="00292C6F">
        <w:rPr>
          <w:rFonts w:cstheme="minorHAnsi"/>
        </w:rPr>
        <w:t xml:space="preserve"> classify an entity's risk financing activities. The proposed changes to accounting and financial reporting for risk mana</w:t>
      </w:r>
      <w:r w:rsidR="002F4279">
        <w:rPr>
          <w:rFonts w:cstheme="minorHAnsi"/>
        </w:rPr>
        <w:t>g</w:t>
      </w:r>
      <w:r w:rsidRPr="00292C6F">
        <w:rPr>
          <w:rFonts w:cstheme="minorHAnsi"/>
        </w:rPr>
        <w:t>ement</w:t>
      </w:r>
      <w:r w:rsidR="002F4279">
        <w:rPr>
          <w:rFonts w:cstheme="minorHAnsi"/>
        </w:rPr>
        <w:t xml:space="preserve"> </w:t>
      </w:r>
      <w:r w:rsidRPr="00292C6F">
        <w:rPr>
          <w:rFonts w:cstheme="minorHAnsi"/>
        </w:rPr>
        <w:t>practices as outlined in GA</w:t>
      </w:r>
      <w:r w:rsidR="001F3AC8">
        <w:rPr>
          <w:rFonts w:cstheme="minorHAnsi"/>
        </w:rPr>
        <w:t>S</w:t>
      </w:r>
      <w:r w:rsidRPr="00292C6F">
        <w:rPr>
          <w:rFonts w:cstheme="minorHAnsi"/>
        </w:rPr>
        <w:t xml:space="preserve">B's exposure draft will not impact </w:t>
      </w:r>
      <w:r w:rsidR="001F3AC8" w:rsidRPr="00292C6F">
        <w:rPr>
          <w:rFonts w:cstheme="minorHAnsi"/>
        </w:rPr>
        <w:t>significantly</w:t>
      </w:r>
      <w:r w:rsidRPr="00292C6F">
        <w:rPr>
          <w:rFonts w:cstheme="minorHAnsi"/>
        </w:rPr>
        <w:t xml:space="preserve"> on school</w:t>
      </w:r>
      <w:r w:rsidR="001F3AC8">
        <w:rPr>
          <w:rFonts w:cstheme="minorHAnsi"/>
        </w:rPr>
        <w:t xml:space="preserve"> </w:t>
      </w:r>
      <w:r w:rsidRPr="00292C6F">
        <w:rPr>
          <w:rFonts w:cstheme="minorHAnsi"/>
        </w:rPr>
        <w:t>districts</w:t>
      </w:r>
      <w:r w:rsidR="001F3AC8">
        <w:rPr>
          <w:rFonts w:cstheme="minorHAnsi"/>
        </w:rPr>
        <w:t xml:space="preserve"> </w:t>
      </w:r>
      <w:r w:rsidRPr="00292C6F">
        <w:rPr>
          <w:rFonts w:cstheme="minorHAnsi"/>
        </w:rPr>
        <w:t>w</w:t>
      </w:r>
      <w:r w:rsidR="00A60305">
        <w:rPr>
          <w:rFonts w:cstheme="minorHAnsi"/>
        </w:rPr>
        <w:t>h</w:t>
      </w:r>
      <w:r w:rsidRPr="00292C6F">
        <w:rPr>
          <w:rFonts w:cstheme="minorHAnsi"/>
        </w:rPr>
        <w:t>en risk is transferred,</w:t>
      </w:r>
      <w:r w:rsidR="00A60305">
        <w:rPr>
          <w:rFonts w:cstheme="minorHAnsi"/>
        </w:rPr>
        <w:t xml:space="preserve"> </w:t>
      </w:r>
      <w:r w:rsidRPr="00292C6F">
        <w:rPr>
          <w:rFonts w:cstheme="minorHAnsi"/>
        </w:rPr>
        <w:t>either to</w:t>
      </w:r>
      <w:r w:rsidR="00A60305">
        <w:rPr>
          <w:rFonts w:cstheme="minorHAnsi"/>
        </w:rPr>
        <w:t xml:space="preserve"> </w:t>
      </w:r>
      <w:r w:rsidRPr="00292C6F">
        <w:rPr>
          <w:rFonts w:cstheme="minorHAnsi"/>
        </w:rPr>
        <w:t>a risk pool or third-party commercial insurance company. However, when risk is retained, there are</w:t>
      </w:r>
      <w:r w:rsidR="00A60305">
        <w:rPr>
          <w:rFonts w:cstheme="minorHAnsi"/>
        </w:rPr>
        <w:t xml:space="preserve"> </w:t>
      </w:r>
      <w:r w:rsidRPr="00292C6F">
        <w:rPr>
          <w:rFonts w:cstheme="minorHAnsi"/>
        </w:rPr>
        <w:t>major implications for the ac- counting and financial reporting of insurance-related</w:t>
      </w:r>
      <w:r w:rsidR="00A60305">
        <w:rPr>
          <w:rFonts w:cstheme="minorHAnsi"/>
        </w:rPr>
        <w:t xml:space="preserve"> </w:t>
      </w:r>
      <w:r w:rsidRPr="00292C6F">
        <w:rPr>
          <w:rFonts w:cstheme="minorHAnsi"/>
        </w:rPr>
        <w:t>activities.</w:t>
      </w:r>
      <w:r w:rsidR="00A60305">
        <w:rPr>
          <w:rFonts w:cstheme="minorHAnsi"/>
        </w:rPr>
        <w:t xml:space="preserve"> </w:t>
      </w:r>
      <w:r w:rsidRPr="00292C6F">
        <w:rPr>
          <w:rFonts w:cstheme="minorHAnsi"/>
        </w:rPr>
        <w:t>GASBs' conclusion that guidance</w:t>
      </w:r>
      <w:r w:rsidR="00A60305">
        <w:rPr>
          <w:rFonts w:cstheme="minorHAnsi"/>
        </w:rPr>
        <w:t xml:space="preserve"> </w:t>
      </w:r>
      <w:r w:rsidRPr="00292C6F">
        <w:rPr>
          <w:rFonts w:cstheme="minorHAnsi"/>
        </w:rPr>
        <w:t>contained in SFAS No. 5 is appropriate for governmental</w:t>
      </w:r>
      <w:r w:rsidR="00A60305">
        <w:rPr>
          <w:rFonts w:cstheme="minorHAnsi"/>
        </w:rPr>
        <w:t xml:space="preserve"> </w:t>
      </w:r>
      <w:r w:rsidRPr="00292C6F">
        <w:rPr>
          <w:rFonts w:cstheme="minorHAnsi"/>
        </w:rPr>
        <w:t>entities and the proposed</w:t>
      </w:r>
      <w:r w:rsidR="00A60305">
        <w:rPr>
          <w:rFonts w:cstheme="minorHAnsi"/>
        </w:rPr>
        <w:t xml:space="preserve"> </w:t>
      </w:r>
      <w:r w:rsidRPr="00292C6F">
        <w:rPr>
          <w:rFonts w:cstheme="minorHAnsi"/>
        </w:rPr>
        <w:t>disclosure of incurred but not reported (IBNR) claims will require management to look more closely at the impact of risk financing on the fund balance.</w:t>
      </w:r>
    </w:p>
    <w:p w14:paraId="2231595B" w14:textId="0F3B0EC5" w:rsidR="00292C6F" w:rsidRPr="00292C6F" w:rsidRDefault="00292C6F" w:rsidP="00292C6F">
      <w:pPr>
        <w:rPr>
          <w:rFonts w:cstheme="minorHAnsi"/>
        </w:rPr>
      </w:pPr>
      <w:r w:rsidRPr="00292C6F">
        <w:rPr>
          <w:rFonts w:cstheme="minorHAnsi"/>
        </w:rPr>
        <w:t>School districts will have a</w:t>
      </w:r>
      <w:r w:rsidR="00A60305">
        <w:rPr>
          <w:rFonts w:cstheme="minorHAnsi"/>
        </w:rPr>
        <w:t xml:space="preserve"> </w:t>
      </w:r>
      <w:r w:rsidRPr="00292C6F">
        <w:rPr>
          <w:rFonts w:cstheme="minorHAnsi"/>
        </w:rPr>
        <w:t>choice of using either a gen</w:t>
      </w:r>
      <w:r w:rsidR="00A60305">
        <w:rPr>
          <w:rFonts w:cstheme="minorHAnsi"/>
        </w:rPr>
        <w:t>e</w:t>
      </w:r>
      <w:r w:rsidRPr="00292C6F">
        <w:rPr>
          <w:rFonts w:cstheme="minorHAnsi"/>
        </w:rPr>
        <w:t>ral</w:t>
      </w:r>
      <w:r w:rsidR="00A60305">
        <w:rPr>
          <w:rFonts w:cstheme="minorHAnsi"/>
        </w:rPr>
        <w:t xml:space="preserve"> </w:t>
      </w:r>
      <w:r w:rsidRPr="00292C6F">
        <w:rPr>
          <w:rFonts w:cstheme="minorHAnsi"/>
        </w:rPr>
        <w:t>fund or an internal service</w:t>
      </w:r>
      <w:r w:rsidR="00A60305">
        <w:rPr>
          <w:rFonts w:cstheme="minorHAnsi"/>
        </w:rPr>
        <w:t xml:space="preserve"> </w:t>
      </w:r>
      <w:r w:rsidRPr="00292C6F">
        <w:rPr>
          <w:rFonts w:cstheme="minorHAnsi"/>
        </w:rPr>
        <w:t>fund. Many districts, wanting to keep the number of funds they use at a minimum, may elect to use the general fund for their insurance activities. However</w:t>
      </w:r>
      <w:r w:rsidR="00A60305">
        <w:rPr>
          <w:rFonts w:cstheme="minorHAnsi"/>
        </w:rPr>
        <w:t xml:space="preserve"> </w:t>
      </w:r>
      <w:r w:rsidRPr="00292C6F">
        <w:rPr>
          <w:rFonts w:cstheme="minorHAnsi"/>
        </w:rPr>
        <w:t>when the general fund is used, GASB's</w:t>
      </w:r>
      <w:r w:rsidR="00A60305">
        <w:rPr>
          <w:rFonts w:cstheme="minorHAnsi"/>
        </w:rPr>
        <w:t xml:space="preserve"> </w:t>
      </w:r>
      <w:r w:rsidRPr="00292C6F">
        <w:rPr>
          <w:rFonts w:cstheme="minorHAnsi"/>
        </w:rPr>
        <w:t>MFBA exposure draft will require</w:t>
      </w:r>
      <w:r w:rsidR="009A26AD">
        <w:rPr>
          <w:rFonts w:cstheme="minorHAnsi"/>
        </w:rPr>
        <w:t xml:space="preserve"> </w:t>
      </w:r>
      <w:r w:rsidRPr="00292C6F">
        <w:rPr>
          <w:rFonts w:cstheme="minorHAnsi"/>
        </w:rPr>
        <w:t>the full liability, including IBNR</w:t>
      </w:r>
      <w:r w:rsidR="009A26AD">
        <w:rPr>
          <w:rFonts w:cstheme="minorHAnsi"/>
        </w:rPr>
        <w:t xml:space="preserve"> </w:t>
      </w:r>
      <w:r w:rsidRPr="00292C6F">
        <w:rPr>
          <w:rFonts w:cstheme="minorHAnsi"/>
        </w:rPr>
        <w:t>claims, to be reported in the general fund, thereby</w:t>
      </w:r>
      <w:r w:rsidR="009A26AD">
        <w:rPr>
          <w:rFonts w:cstheme="minorHAnsi"/>
        </w:rPr>
        <w:t xml:space="preserve"> </w:t>
      </w:r>
      <w:r w:rsidRPr="00292C6F">
        <w:rPr>
          <w:rFonts w:cstheme="minorHAnsi"/>
        </w:rPr>
        <w:t>substantially reducing that fund balance. If the internal service fund is used, there will be the added benefit of disclosing all risk financing functions in one dedicated fund.</w:t>
      </w:r>
      <w:r w:rsidR="009A26AD">
        <w:rPr>
          <w:rFonts w:cstheme="minorHAnsi"/>
        </w:rPr>
        <w:t xml:space="preserve"> </w:t>
      </w:r>
      <w:r w:rsidRPr="00292C6F">
        <w:rPr>
          <w:rFonts w:cstheme="minorHAnsi"/>
        </w:rPr>
        <w:t>In addition, if the optional method</w:t>
      </w:r>
      <w:r w:rsidR="009A26AD">
        <w:rPr>
          <w:rFonts w:cstheme="minorHAnsi"/>
        </w:rPr>
        <w:t xml:space="preserve"> </w:t>
      </w:r>
      <w:r w:rsidRPr="00292C6F">
        <w:rPr>
          <w:rFonts w:cstheme="minorHAnsi"/>
        </w:rPr>
        <w:t>of determining interfund premiu</w:t>
      </w:r>
      <w:r w:rsidR="009A26AD">
        <w:rPr>
          <w:rFonts w:cstheme="minorHAnsi"/>
        </w:rPr>
        <w:t>m</w:t>
      </w:r>
      <w:r w:rsidRPr="00292C6F">
        <w:rPr>
          <w:rFonts w:cstheme="minorHAnsi"/>
        </w:rPr>
        <w:t xml:space="preserve">s is chosen, there is the </w:t>
      </w:r>
      <w:r w:rsidR="00FB7945" w:rsidRPr="00292C6F">
        <w:rPr>
          <w:rFonts w:cstheme="minorHAnsi"/>
        </w:rPr>
        <w:t>potential</w:t>
      </w:r>
      <w:r w:rsidRPr="00292C6F">
        <w:rPr>
          <w:rFonts w:cstheme="minorHAnsi"/>
        </w:rPr>
        <w:t xml:space="preserve"> advantage of achieving interperiod equity. The classification of all interfund charges</w:t>
      </w:r>
      <w:r w:rsidR="00FB7945">
        <w:rPr>
          <w:rFonts w:cstheme="minorHAnsi"/>
        </w:rPr>
        <w:t xml:space="preserve"> </w:t>
      </w:r>
      <w:r w:rsidRPr="00292C6F">
        <w:rPr>
          <w:rFonts w:cstheme="minorHAnsi"/>
        </w:rPr>
        <w:t xml:space="preserve">as revenues and expenditures/ expenses is consistent with the internal service fund assuming some characteristics of a third- tarty insurer for the entity's other </w:t>
      </w:r>
      <w:r w:rsidR="00FB7945">
        <w:rPr>
          <w:rFonts w:cstheme="minorHAnsi"/>
        </w:rPr>
        <w:t>f</w:t>
      </w:r>
      <w:r w:rsidRPr="00292C6F">
        <w:rPr>
          <w:rFonts w:cstheme="minorHAnsi"/>
        </w:rPr>
        <w:t>unds.</w:t>
      </w:r>
    </w:p>
    <w:p w14:paraId="4D4F5B67" w14:textId="7F7493C9" w:rsidR="00292C6F" w:rsidRPr="00292C6F" w:rsidRDefault="00292C6F" w:rsidP="00292C6F">
      <w:pPr>
        <w:rPr>
          <w:rFonts w:cstheme="minorHAnsi"/>
        </w:rPr>
      </w:pPr>
      <w:r w:rsidRPr="00292C6F">
        <w:rPr>
          <w:rFonts w:cstheme="minorHAnsi"/>
        </w:rPr>
        <w:t>Thus, it is important that school districts begin to</w:t>
      </w:r>
      <w:r w:rsidR="00FB7945">
        <w:rPr>
          <w:rFonts w:cstheme="minorHAnsi"/>
        </w:rPr>
        <w:t xml:space="preserve"> pl</w:t>
      </w:r>
      <w:r w:rsidRPr="00292C6F">
        <w:rPr>
          <w:rFonts w:cstheme="minorHAnsi"/>
        </w:rPr>
        <w:t>an for the</w:t>
      </w:r>
      <w:r w:rsidR="00FB7945">
        <w:rPr>
          <w:rFonts w:cstheme="minorHAnsi"/>
        </w:rPr>
        <w:t xml:space="preserve"> </w:t>
      </w:r>
      <w:r w:rsidRPr="00292C6F">
        <w:rPr>
          <w:rFonts w:cstheme="minorHAnsi"/>
        </w:rPr>
        <w:t>consequences of t</w:t>
      </w:r>
      <w:r w:rsidR="00081A9C">
        <w:rPr>
          <w:rFonts w:cstheme="minorHAnsi"/>
        </w:rPr>
        <w:t>h</w:t>
      </w:r>
      <w:r w:rsidRPr="00292C6F">
        <w:rPr>
          <w:rFonts w:cstheme="minorHAnsi"/>
        </w:rPr>
        <w:t>is</w:t>
      </w:r>
      <w:r w:rsidR="00081A9C">
        <w:rPr>
          <w:rFonts w:cstheme="minorHAnsi"/>
        </w:rPr>
        <w:t xml:space="preserve"> p</w:t>
      </w:r>
      <w:r w:rsidR="00081A9C" w:rsidRPr="00292C6F">
        <w:rPr>
          <w:rFonts w:cstheme="minorHAnsi"/>
        </w:rPr>
        <w:t>roposed</w:t>
      </w:r>
      <w:r w:rsidR="00081A9C">
        <w:rPr>
          <w:rFonts w:cstheme="minorHAnsi"/>
        </w:rPr>
        <w:t xml:space="preserve"> </w:t>
      </w:r>
      <w:r w:rsidRPr="00292C6F">
        <w:rPr>
          <w:rFonts w:cstheme="minorHAnsi"/>
        </w:rPr>
        <w:t xml:space="preserve">standard. There are our basic consequences: (1) School districts may no longer use trust funds for risk financing and insurance related activities; either the </w:t>
      </w:r>
      <w:r w:rsidR="00A8757B">
        <w:rPr>
          <w:rFonts w:cstheme="minorHAnsi"/>
        </w:rPr>
        <w:t>g</w:t>
      </w:r>
      <w:r w:rsidRPr="00292C6F">
        <w:rPr>
          <w:rFonts w:cstheme="minorHAnsi"/>
        </w:rPr>
        <w:t>eneral fund or internal service und must be used if all risk</w:t>
      </w:r>
      <w:r w:rsidR="00A8757B">
        <w:rPr>
          <w:rFonts w:cstheme="minorHAnsi"/>
        </w:rPr>
        <w:t xml:space="preserve"> financing activities</w:t>
      </w:r>
      <w:r w:rsidRPr="00292C6F">
        <w:rPr>
          <w:rFonts w:cstheme="minorHAnsi"/>
        </w:rPr>
        <w:t xml:space="preserve"> are reported in a single </w:t>
      </w:r>
      <w:r w:rsidR="00A8757B">
        <w:rPr>
          <w:rFonts w:cstheme="minorHAnsi"/>
        </w:rPr>
        <w:t>fu</w:t>
      </w:r>
      <w:r w:rsidRPr="00292C6F">
        <w:rPr>
          <w:rFonts w:cstheme="minorHAnsi"/>
        </w:rPr>
        <w:t>nd; (2) In school</w:t>
      </w:r>
      <w:r w:rsidR="00AD044E">
        <w:rPr>
          <w:rFonts w:cstheme="minorHAnsi"/>
        </w:rPr>
        <w:t xml:space="preserve"> </w:t>
      </w:r>
      <w:r w:rsidRPr="00292C6F">
        <w:rPr>
          <w:rFonts w:cstheme="minorHAnsi"/>
        </w:rPr>
        <w:t>districts that retain risk of loss,</w:t>
      </w:r>
      <w:r w:rsidR="00AD044E">
        <w:rPr>
          <w:rFonts w:cstheme="minorHAnsi"/>
        </w:rPr>
        <w:t xml:space="preserve"> </w:t>
      </w:r>
      <w:r w:rsidRPr="00292C6F">
        <w:rPr>
          <w:rFonts w:cstheme="minorHAnsi"/>
        </w:rPr>
        <w:t xml:space="preserve">a </w:t>
      </w:r>
      <w:r w:rsidR="00AD044E">
        <w:rPr>
          <w:rFonts w:cstheme="minorHAnsi"/>
        </w:rPr>
        <w:t>po</w:t>
      </w:r>
      <w:r w:rsidRPr="00292C6F">
        <w:rPr>
          <w:rFonts w:cstheme="minorHAnsi"/>
        </w:rPr>
        <w:t>tentially</w:t>
      </w:r>
      <w:r w:rsidR="00AD044E">
        <w:rPr>
          <w:rFonts w:cstheme="minorHAnsi"/>
        </w:rPr>
        <w:t xml:space="preserve"> </w:t>
      </w:r>
      <w:r w:rsidRPr="00292C6F">
        <w:rPr>
          <w:rFonts w:cstheme="minorHAnsi"/>
        </w:rPr>
        <w:t>significant liability wi</w:t>
      </w:r>
      <w:r w:rsidR="00AD044E">
        <w:rPr>
          <w:rFonts w:cstheme="minorHAnsi"/>
        </w:rPr>
        <w:t>ll</w:t>
      </w:r>
      <w:r w:rsidRPr="00292C6F">
        <w:rPr>
          <w:rFonts w:cstheme="minorHAnsi"/>
        </w:rPr>
        <w:t xml:space="preserve"> be reported in the general fund or</w:t>
      </w:r>
      <w:r w:rsidR="00AD044E">
        <w:rPr>
          <w:rFonts w:cstheme="minorHAnsi"/>
        </w:rPr>
        <w:t xml:space="preserve"> </w:t>
      </w:r>
      <w:r w:rsidRPr="00292C6F">
        <w:rPr>
          <w:rFonts w:cstheme="minorHAnsi"/>
        </w:rPr>
        <w:t xml:space="preserve">internal service fund, </w:t>
      </w:r>
      <w:r w:rsidR="00722CF8" w:rsidRPr="00292C6F">
        <w:rPr>
          <w:rFonts w:cstheme="minorHAnsi"/>
        </w:rPr>
        <w:t>resulting</w:t>
      </w:r>
      <w:r w:rsidR="00722CF8">
        <w:rPr>
          <w:rFonts w:cstheme="minorHAnsi"/>
        </w:rPr>
        <w:t xml:space="preserve"> </w:t>
      </w:r>
      <w:r w:rsidRPr="00292C6F">
        <w:rPr>
          <w:rFonts w:cstheme="minorHAnsi"/>
        </w:rPr>
        <w:t>in</w:t>
      </w:r>
      <w:r w:rsidR="00722CF8">
        <w:rPr>
          <w:rFonts w:cstheme="minorHAnsi"/>
        </w:rPr>
        <w:t xml:space="preserve"> </w:t>
      </w:r>
      <w:r w:rsidRPr="00292C6F">
        <w:rPr>
          <w:rFonts w:cstheme="minorHAnsi"/>
        </w:rPr>
        <w:t xml:space="preserve">a reduction of the size of the </w:t>
      </w:r>
      <w:r w:rsidR="00F31F67">
        <w:rPr>
          <w:rFonts w:cstheme="minorHAnsi"/>
        </w:rPr>
        <w:t>fu</w:t>
      </w:r>
      <w:r w:rsidRPr="00292C6F">
        <w:rPr>
          <w:rFonts w:cstheme="minorHAnsi"/>
        </w:rPr>
        <w:t>nd balance;</w:t>
      </w:r>
      <w:r w:rsidR="00F31F67">
        <w:rPr>
          <w:rFonts w:cstheme="minorHAnsi"/>
        </w:rPr>
        <w:t xml:space="preserve"> </w:t>
      </w:r>
      <w:r w:rsidRPr="00292C6F">
        <w:rPr>
          <w:rFonts w:cstheme="minorHAnsi"/>
        </w:rPr>
        <w:t>(3) In districts that transfer risk, whether to public entity risk pools or commercial insurance carriers, accounting for insurance</w:t>
      </w:r>
      <w:r w:rsidR="008B07EC">
        <w:rPr>
          <w:rFonts w:cstheme="minorHAnsi"/>
        </w:rPr>
        <w:t xml:space="preserve"> </w:t>
      </w:r>
      <w:r w:rsidRPr="00292C6F">
        <w:rPr>
          <w:rFonts w:cstheme="minorHAnsi"/>
        </w:rPr>
        <w:t xml:space="preserve">activities will be basically unchanged; (4) however, regardless of what choices are made for accounting for risk </w:t>
      </w:r>
      <w:r w:rsidR="00393DB7">
        <w:rPr>
          <w:rFonts w:cstheme="minorHAnsi"/>
        </w:rPr>
        <w:t>financing</w:t>
      </w:r>
      <w:r w:rsidRPr="00292C6F">
        <w:rPr>
          <w:rFonts w:cstheme="minorHAnsi"/>
        </w:rPr>
        <w:t>, re</w:t>
      </w:r>
      <w:r w:rsidR="00393DB7">
        <w:rPr>
          <w:rFonts w:cstheme="minorHAnsi"/>
        </w:rPr>
        <w:t>q</w:t>
      </w:r>
      <w:r w:rsidRPr="00292C6F">
        <w:rPr>
          <w:rFonts w:cstheme="minorHAnsi"/>
        </w:rPr>
        <w:t>uired disclosure will</w:t>
      </w:r>
      <w:r w:rsidR="00393DB7">
        <w:rPr>
          <w:rFonts w:cstheme="minorHAnsi"/>
        </w:rPr>
        <w:t xml:space="preserve"> </w:t>
      </w:r>
      <w:r w:rsidRPr="00292C6F">
        <w:rPr>
          <w:rFonts w:cstheme="minorHAnsi"/>
        </w:rPr>
        <w:t>be signi</w:t>
      </w:r>
      <w:r w:rsidR="00393DB7">
        <w:rPr>
          <w:rFonts w:cstheme="minorHAnsi"/>
        </w:rPr>
        <w:t>f</w:t>
      </w:r>
      <w:r w:rsidRPr="00292C6F">
        <w:rPr>
          <w:rFonts w:cstheme="minorHAnsi"/>
        </w:rPr>
        <w:t>icant</w:t>
      </w:r>
      <w:r w:rsidR="00393DB7">
        <w:rPr>
          <w:rFonts w:cstheme="minorHAnsi"/>
        </w:rPr>
        <w:t>l</w:t>
      </w:r>
      <w:r w:rsidRPr="00292C6F">
        <w:rPr>
          <w:rFonts w:cstheme="minorHAnsi"/>
        </w:rPr>
        <w:t>y expanded. In all</w:t>
      </w:r>
      <w:r w:rsidR="00393DB7">
        <w:rPr>
          <w:rFonts w:cstheme="minorHAnsi"/>
        </w:rPr>
        <w:t xml:space="preserve"> </w:t>
      </w:r>
      <w:r w:rsidRPr="00292C6F">
        <w:rPr>
          <w:rFonts w:cstheme="minorHAnsi"/>
        </w:rPr>
        <w:t>cases, disclosure will become more complex, requiring additional detailed record-keeping and including additional estimates in valuin</w:t>
      </w:r>
      <w:r w:rsidR="00393DB7">
        <w:rPr>
          <w:rFonts w:cstheme="minorHAnsi"/>
        </w:rPr>
        <w:t>g</w:t>
      </w:r>
      <w:r w:rsidRPr="00292C6F">
        <w:rPr>
          <w:rFonts w:cstheme="minorHAnsi"/>
        </w:rPr>
        <w:t xml:space="preserve"> properly the resultant expen</w:t>
      </w:r>
      <w:r w:rsidR="00393DB7">
        <w:rPr>
          <w:rFonts w:cstheme="minorHAnsi"/>
        </w:rPr>
        <w:t>d</w:t>
      </w:r>
      <w:r w:rsidRPr="00292C6F">
        <w:rPr>
          <w:rFonts w:cstheme="minorHAnsi"/>
        </w:rPr>
        <w:t>itures and liabilities.</w:t>
      </w:r>
    </w:p>
    <w:p w14:paraId="5EE78831" w14:textId="3F9489E4" w:rsidR="00292C6F" w:rsidRPr="00292C6F" w:rsidRDefault="00292C6F" w:rsidP="00292C6F">
      <w:pPr>
        <w:rPr>
          <w:rFonts w:cstheme="minorHAnsi"/>
        </w:rPr>
      </w:pPr>
      <w:r w:rsidRPr="00292C6F">
        <w:rPr>
          <w:rFonts w:cstheme="minorHAnsi"/>
        </w:rPr>
        <w:t>In summary,</w:t>
      </w:r>
      <w:r w:rsidR="00F13CA7">
        <w:rPr>
          <w:rFonts w:cstheme="minorHAnsi"/>
        </w:rPr>
        <w:t xml:space="preserve"> </w:t>
      </w:r>
      <w:r w:rsidRPr="00292C6F">
        <w:rPr>
          <w:rFonts w:cstheme="minorHAnsi"/>
        </w:rPr>
        <w:t>GASB has appropriately responded to the financial reporting implications of the</w:t>
      </w:r>
      <w:r w:rsidR="00F13CA7">
        <w:rPr>
          <w:rFonts w:cstheme="minorHAnsi"/>
        </w:rPr>
        <w:t xml:space="preserve"> </w:t>
      </w:r>
      <w:r w:rsidRPr="00292C6F">
        <w:rPr>
          <w:rFonts w:cstheme="minorHAnsi"/>
        </w:rPr>
        <w:t>changes in management practices</w:t>
      </w:r>
      <w:r w:rsidR="00F13CA7">
        <w:rPr>
          <w:rFonts w:cstheme="minorHAnsi"/>
        </w:rPr>
        <w:t xml:space="preserve"> </w:t>
      </w:r>
      <w:r w:rsidRPr="00292C6F">
        <w:rPr>
          <w:rFonts w:cstheme="minorHAnsi"/>
        </w:rPr>
        <w:t xml:space="preserve">caused by the difficult insurance market. Additional disclosures are necessary because of the </w:t>
      </w:r>
      <w:r w:rsidR="00F13CA7">
        <w:rPr>
          <w:rFonts w:cstheme="minorHAnsi"/>
        </w:rPr>
        <w:t>p</w:t>
      </w:r>
      <w:r w:rsidRPr="00292C6F">
        <w:rPr>
          <w:rFonts w:cstheme="minorHAnsi"/>
        </w:rPr>
        <w:t xml:space="preserve">otential magnitude of risk </w:t>
      </w:r>
      <w:r w:rsidR="00C65F47">
        <w:rPr>
          <w:rFonts w:cstheme="minorHAnsi"/>
        </w:rPr>
        <w:t>fin</w:t>
      </w:r>
      <w:r w:rsidRPr="00292C6F">
        <w:rPr>
          <w:rFonts w:cstheme="minorHAnsi"/>
        </w:rPr>
        <w:t>ancing and related insurance transactions on the school</w:t>
      </w:r>
      <w:r w:rsidR="00C65F47">
        <w:rPr>
          <w:rFonts w:cstheme="minorHAnsi"/>
        </w:rPr>
        <w:t xml:space="preserve"> </w:t>
      </w:r>
      <w:r w:rsidRPr="00292C6F">
        <w:rPr>
          <w:rFonts w:cstheme="minorHAnsi"/>
        </w:rPr>
        <w:t>district's financial statements taken</w:t>
      </w:r>
      <w:r w:rsidR="00C65F47">
        <w:rPr>
          <w:rFonts w:cstheme="minorHAnsi"/>
        </w:rPr>
        <w:t xml:space="preserve"> </w:t>
      </w:r>
      <w:r w:rsidRPr="00292C6F">
        <w:rPr>
          <w:rFonts w:cstheme="minorHAnsi"/>
        </w:rPr>
        <w:t>as a whole and because of the</w:t>
      </w:r>
      <w:r w:rsidR="00C65F47">
        <w:rPr>
          <w:rFonts w:cstheme="minorHAnsi"/>
        </w:rPr>
        <w:t xml:space="preserve"> </w:t>
      </w:r>
      <w:r w:rsidRPr="00292C6F">
        <w:rPr>
          <w:rFonts w:cstheme="minorHAnsi"/>
        </w:rPr>
        <w:t>changing nature of risk financing</w:t>
      </w:r>
      <w:r w:rsidR="00C65F47">
        <w:rPr>
          <w:rFonts w:cstheme="minorHAnsi"/>
        </w:rPr>
        <w:t xml:space="preserve"> </w:t>
      </w:r>
      <w:r w:rsidRPr="00292C6F">
        <w:rPr>
          <w:rFonts w:cstheme="minorHAnsi"/>
        </w:rPr>
        <w:t>and the</w:t>
      </w:r>
      <w:r w:rsidR="00C65F47">
        <w:rPr>
          <w:rFonts w:cstheme="minorHAnsi"/>
        </w:rPr>
        <w:t xml:space="preserve"> </w:t>
      </w:r>
      <w:r w:rsidRPr="00292C6F">
        <w:rPr>
          <w:rFonts w:cstheme="minorHAnsi"/>
        </w:rPr>
        <w:t>potential for liabili</w:t>
      </w:r>
      <w:r w:rsidR="009414DB">
        <w:rPr>
          <w:rFonts w:cstheme="minorHAnsi"/>
        </w:rPr>
        <w:t>ties in an</w:t>
      </w:r>
      <w:r w:rsidRPr="00292C6F">
        <w:rPr>
          <w:rFonts w:cstheme="minorHAnsi"/>
        </w:rPr>
        <w:t xml:space="preserve"> increasingly litigious socie</w:t>
      </w:r>
      <w:r w:rsidR="009414DB">
        <w:rPr>
          <w:rFonts w:cstheme="minorHAnsi"/>
        </w:rPr>
        <w:t>ty</w:t>
      </w:r>
      <w:r w:rsidR="00654191">
        <w:rPr>
          <w:rFonts w:cstheme="minorHAnsi"/>
        </w:rPr>
        <w:t>.</w:t>
      </w:r>
      <w:r w:rsidRPr="00292C6F">
        <w:rPr>
          <w:rFonts w:cstheme="minorHAnsi"/>
        </w:rPr>
        <w:t xml:space="preserve"> The proposed standards for ris</w:t>
      </w:r>
      <w:r w:rsidR="00654191">
        <w:rPr>
          <w:rFonts w:cstheme="minorHAnsi"/>
        </w:rPr>
        <w:t>k</w:t>
      </w:r>
      <w:r w:rsidRPr="00292C6F">
        <w:rPr>
          <w:rFonts w:cstheme="minorHAnsi"/>
        </w:rPr>
        <w:t xml:space="preserve"> pool accounting and disclosure </w:t>
      </w:r>
      <w:r w:rsidR="00654191">
        <w:rPr>
          <w:rFonts w:cstheme="minorHAnsi"/>
        </w:rPr>
        <w:t>w</w:t>
      </w:r>
      <w:r w:rsidRPr="00292C6F">
        <w:rPr>
          <w:rFonts w:cstheme="minorHAnsi"/>
        </w:rPr>
        <w:t xml:space="preserve">ill allow school districts to </w:t>
      </w:r>
      <w:r w:rsidR="00EE10E9">
        <w:rPr>
          <w:rFonts w:cstheme="minorHAnsi"/>
        </w:rPr>
        <w:t>better</w:t>
      </w:r>
      <w:r w:rsidRPr="00292C6F">
        <w:rPr>
          <w:rFonts w:cstheme="minorHAnsi"/>
          <w:i/>
          <w:iCs/>
        </w:rPr>
        <w:t xml:space="preserve"> </w:t>
      </w:r>
      <w:r w:rsidRPr="00292C6F">
        <w:rPr>
          <w:rFonts w:cstheme="minorHAnsi"/>
        </w:rPr>
        <w:t>assess risk pool performan</w:t>
      </w:r>
      <w:r w:rsidR="00EE10E9">
        <w:rPr>
          <w:rFonts w:cstheme="minorHAnsi"/>
        </w:rPr>
        <w:t xml:space="preserve">ce </w:t>
      </w:r>
      <w:r w:rsidRPr="00292C6F">
        <w:rPr>
          <w:rFonts w:cstheme="minorHAnsi"/>
        </w:rPr>
        <w:t xml:space="preserve">and financial status vis-a-vis </w:t>
      </w:r>
      <w:r w:rsidR="00BA3754">
        <w:rPr>
          <w:rFonts w:cstheme="minorHAnsi"/>
        </w:rPr>
        <w:t>commerc</w:t>
      </w:r>
      <w:r w:rsidRPr="00292C6F">
        <w:rPr>
          <w:rFonts w:cstheme="minorHAnsi"/>
        </w:rPr>
        <w:t>ial insurance. Consistenc</w:t>
      </w:r>
      <w:r w:rsidR="007625D2">
        <w:rPr>
          <w:rFonts w:cstheme="minorHAnsi"/>
        </w:rPr>
        <w:t>y</w:t>
      </w:r>
      <w:r w:rsidRPr="00292C6F">
        <w:rPr>
          <w:rFonts w:cstheme="minorHAnsi"/>
        </w:rPr>
        <w:t xml:space="preserve"> </w:t>
      </w:r>
      <w:r w:rsidR="007625D2">
        <w:rPr>
          <w:rFonts w:cstheme="minorHAnsi"/>
        </w:rPr>
        <w:t xml:space="preserve">and </w:t>
      </w:r>
      <w:r w:rsidR="007625D2" w:rsidRPr="00292C6F">
        <w:rPr>
          <w:rFonts w:cstheme="minorHAnsi"/>
        </w:rPr>
        <w:t>improved</w:t>
      </w:r>
      <w:r w:rsidRPr="00292C6F">
        <w:rPr>
          <w:rFonts w:cstheme="minorHAnsi"/>
        </w:rPr>
        <w:t xml:space="preserve"> comparability</w:t>
      </w:r>
      <w:r w:rsidR="00607448">
        <w:rPr>
          <w:rFonts w:cstheme="minorHAnsi"/>
        </w:rPr>
        <w:t xml:space="preserve"> will lead</w:t>
      </w:r>
      <w:r w:rsidRPr="00292C6F">
        <w:rPr>
          <w:rFonts w:cstheme="minorHAnsi"/>
        </w:rPr>
        <w:t xml:space="preserve"> to </w:t>
      </w:r>
      <w:r w:rsidR="00607448">
        <w:rPr>
          <w:rFonts w:cstheme="minorHAnsi"/>
        </w:rPr>
        <w:t>b</w:t>
      </w:r>
      <w:r w:rsidRPr="00292C6F">
        <w:rPr>
          <w:rFonts w:cstheme="minorHAnsi"/>
        </w:rPr>
        <w:t>etter decisions regardi</w:t>
      </w:r>
      <w:r w:rsidR="00607448">
        <w:rPr>
          <w:rFonts w:cstheme="minorHAnsi"/>
        </w:rPr>
        <w:t xml:space="preserve">ng </w:t>
      </w:r>
      <w:r w:rsidRPr="00292C6F">
        <w:rPr>
          <w:rFonts w:cstheme="minorHAnsi"/>
        </w:rPr>
        <w:t xml:space="preserve">public entity risk pools by </w:t>
      </w:r>
      <w:r w:rsidR="00C6203D">
        <w:rPr>
          <w:rFonts w:cstheme="minorHAnsi"/>
        </w:rPr>
        <w:t>bo</w:t>
      </w:r>
      <w:r w:rsidRPr="00292C6F">
        <w:rPr>
          <w:rFonts w:cstheme="minorHAnsi"/>
        </w:rPr>
        <w:t xml:space="preserve">th prospective and current </w:t>
      </w:r>
      <w:r w:rsidR="00C6203D">
        <w:rPr>
          <w:rFonts w:cstheme="minorHAnsi"/>
        </w:rPr>
        <w:t>school</w:t>
      </w:r>
      <w:r w:rsidRPr="00292C6F">
        <w:rPr>
          <w:rFonts w:cstheme="minorHAnsi"/>
        </w:rPr>
        <w:t xml:space="preserve"> district participants.</w:t>
      </w:r>
    </w:p>
    <w:p w14:paraId="7360AE3E" w14:textId="77777777" w:rsidR="00292C6F" w:rsidRPr="00292C6F" w:rsidRDefault="00292C6F" w:rsidP="00C6203D">
      <w:pPr>
        <w:pStyle w:val="Heading1"/>
      </w:pPr>
      <w:r w:rsidRPr="00292C6F">
        <w:t>Selected References</w:t>
      </w:r>
    </w:p>
    <w:p w14:paraId="23907DF4" w14:textId="2C3B457D" w:rsidR="00292C6F" w:rsidRPr="00292C6F" w:rsidRDefault="00292C6F" w:rsidP="00122FE1">
      <w:pPr>
        <w:spacing w:after="0"/>
        <w:ind w:left="720" w:hanging="720"/>
        <w:rPr>
          <w:rFonts w:cstheme="minorHAnsi"/>
        </w:rPr>
      </w:pPr>
      <w:r w:rsidRPr="00292C6F">
        <w:rPr>
          <w:rFonts w:cstheme="minorHAnsi"/>
        </w:rPr>
        <w:t>1</w:t>
      </w:r>
      <w:r w:rsidR="00B33335">
        <w:rPr>
          <w:rFonts w:cstheme="minorHAnsi"/>
        </w:rPr>
        <w:t xml:space="preserve"> </w:t>
      </w:r>
      <w:r w:rsidRPr="00292C6F">
        <w:rPr>
          <w:rFonts w:cstheme="minorHAnsi"/>
        </w:rPr>
        <w:t xml:space="preserve">Governmental </w:t>
      </w:r>
      <w:r w:rsidR="00B33335" w:rsidRPr="00292C6F">
        <w:rPr>
          <w:rFonts w:cstheme="minorHAnsi"/>
        </w:rPr>
        <w:t>Accounting</w:t>
      </w:r>
      <w:r w:rsidRPr="00292C6F">
        <w:rPr>
          <w:rFonts w:cstheme="minorHAnsi"/>
        </w:rPr>
        <w:t xml:space="preserve"> </w:t>
      </w:r>
      <w:r w:rsidR="00B33335">
        <w:rPr>
          <w:rFonts w:cstheme="minorHAnsi"/>
        </w:rPr>
        <w:t>S</w:t>
      </w:r>
      <w:r w:rsidRPr="00292C6F">
        <w:rPr>
          <w:rFonts w:cstheme="minorHAnsi"/>
        </w:rPr>
        <w:t xml:space="preserve">tandards Board, </w:t>
      </w:r>
      <w:r w:rsidRPr="00292C6F">
        <w:rPr>
          <w:rFonts w:cstheme="minorHAnsi"/>
          <w:i/>
          <w:iCs/>
        </w:rPr>
        <w:t>Accounti</w:t>
      </w:r>
      <w:r w:rsidR="00B33335">
        <w:rPr>
          <w:rFonts w:cstheme="minorHAnsi"/>
          <w:i/>
          <w:iCs/>
        </w:rPr>
        <w:t>n</w:t>
      </w:r>
      <w:r w:rsidRPr="00292C6F">
        <w:rPr>
          <w:rFonts w:cstheme="minorHAnsi"/>
          <w:i/>
          <w:iCs/>
        </w:rPr>
        <w:t>g</w:t>
      </w:r>
      <w:r w:rsidR="00B33335">
        <w:rPr>
          <w:rFonts w:cstheme="minorHAnsi"/>
          <w:i/>
          <w:iCs/>
        </w:rPr>
        <w:t xml:space="preserve"> and</w:t>
      </w:r>
      <w:r w:rsidRPr="00292C6F">
        <w:rPr>
          <w:rFonts w:cstheme="minorHAnsi"/>
          <w:i/>
          <w:iCs/>
        </w:rPr>
        <w:t xml:space="preserve"> Financial Reporting for Risk </w:t>
      </w:r>
      <w:r w:rsidR="009D2F92">
        <w:rPr>
          <w:rFonts w:cstheme="minorHAnsi"/>
          <w:i/>
          <w:iCs/>
        </w:rPr>
        <w:t>Fi</w:t>
      </w:r>
      <w:r w:rsidRPr="00292C6F">
        <w:rPr>
          <w:rFonts w:cstheme="minorHAnsi"/>
          <w:i/>
          <w:iCs/>
        </w:rPr>
        <w:t>nancing and Related Insurance</w:t>
      </w:r>
      <w:r w:rsidR="009D2F92">
        <w:rPr>
          <w:rFonts w:cstheme="minorHAnsi"/>
          <w:i/>
          <w:iCs/>
        </w:rPr>
        <w:t xml:space="preserve"> Issues</w:t>
      </w:r>
      <w:r w:rsidRPr="00292C6F">
        <w:rPr>
          <w:rFonts w:cstheme="minorHAnsi"/>
        </w:rPr>
        <w:t xml:space="preserve"> (Exposure Draft). Norwal</w:t>
      </w:r>
      <w:r w:rsidR="000D456D">
        <w:rPr>
          <w:rFonts w:cstheme="minorHAnsi"/>
        </w:rPr>
        <w:t>k,</w:t>
      </w:r>
      <w:r w:rsidRPr="00292C6F">
        <w:rPr>
          <w:rFonts w:cstheme="minorHAnsi"/>
        </w:rPr>
        <w:t xml:space="preserve"> </w:t>
      </w:r>
      <w:r w:rsidR="000D456D">
        <w:rPr>
          <w:rFonts w:cstheme="minorHAnsi"/>
        </w:rPr>
        <w:t>C</w:t>
      </w:r>
      <w:r w:rsidRPr="00292C6F">
        <w:rPr>
          <w:rFonts w:cstheme="minorHAnsi"/>
        </w:rPr>
        <w:t>T,</w:t>
      </w:r>
      <w:r w:rsidR="000D456D">
        <w:rPr>
          <w:rFonts w:cstheme="minorHAnsi"/>
        </w:rPr>
        <w:t xml:space="preserve"> </w:t>
      </w:r>
      <w:r w:rsidRPr="00292C6F">
        <w:rPr>
          <w:rFonts w:cstheme="minorHAnsi"/>
        </w:rPr>
        <w:t>December 6, 1988.</w:t>
      </w:r>
    </w:p>
    <w:p w14:paraId="4B0F6139" w14:textId="3560D651" w:rsidR="00292C6F" w:rsidRPr="00292C6F" w:rsidRDefault="00292C6F" w:rsidP="00122FE1">
      <w:pPr>
        <w:spacing w:after="0"/>
        <w:ind w:left="720" w:hanging="720"/>
        <w:rPr>
          <w:rFonts w:cstheme="minorHAnsi"/>
        </w:rPr>
      </w:pPr>
      <w:r w:rsidRPr="00292C6F">
        <w:rPr>
          <w:rFonts w:cstheme="minorHAnsi"/>
        </w:rPr>
        <w:t>2</w:t>
      </w:r>
      <w:r w:rsidR="000D456D">
        <w:rPr>
          <w:rFonts w:cstheme="minorHAnsi"/>
        </w:rPr>
        <w:t xml:space="preserve"> </w:t>
      </w:r>
      <w:r w:rsidRPr="00292C6F">
        <w:rPr>
          <w:rFonts w:cstheme="minorHAnsi"/>
        </w:rPr>
        <w:t>National Council</w:t>
      </w:r>
      <w:r w:rsidR="002A25C4">
        <w:rPr>
          <w:rFonts w:cstheme="minorHAnsi"/>
        </w:rPr>
        <w:t xml:space="preserve"> </w:t>
      </w:r>
      <w:r w:rsidRPr="00292C6F">
        <w:rPr>
          <w:rFonts w:cstheme="minorHAnsi"/>
        </w:rPr>
        <w:t>on</w:t>
      </w:r>
      <w:r w:rsidR="002A25C4">
        <w:rPr>
          <w:rFonts w:cstheme="minorHAnsi"/>
        </w:rPr>
        <w:t xml:space="preserve"> </w:t>
      </w:r>
      <w:r w:rsidRPr="00292C6F">
        <w:rPr>
          <w:rFonts w:cstheme="minorHAnsi"/>
        </w:rPr>
        <w:t>Gov</w:t>
      </w:r>
      <w:r w:rsidR="00E6179B">
        <w:rPr>
          <w:rFonts w:cstheme="minorHAnsi"/>
        </w:rPr>
        <w:t>ernmental</w:t>
      </w:r>
      <w:r w:rsidRPr="00292C6F">
        <w:rPr>
          <w:rFonts w:cstheme="minorHAnsi"/>
        </w:rPr>
        <w:t xml:space="preserve"> Accounting, </w:t>
      </w:r>
      <w:r w:rsidRPr="00292C6F">
        <w:rPr>
          <w:rFonts w:cstheme="minorHAnsi"/>
          <w:i/>
          <w:iCs/>
        </w:rPr>
        <w:t>Accountin</w:t>
      </w:r>
      <w:r w:rsidR="00E6179B">
        <w:rPr>
          <w:rFonts w:cstheme="minorHAnsi"/>
          <w:i/>
          <w:iCs/>
        </w:rPr>
        <w:t>g</w:t>
      </w:r>
      <w:r w:rsidRPr="00292C6F">
        <w:rPr>
          <w:rFonts w:cstheme="minorHAnsi"/>
          <w:i/>
          <w:iCs/>
        </w:rPr>
        <w:t xml:space="preserve"> </w:t>
      </w:r>
      <w:r w:rsidR="00E6179B">
        <w:rPr>
          <w:rFonts w:cstheme="minorHAnsi"/>
          <w:i/>
          <w:iCs/>
        </w:rPr>
        <w:t>an</w:t>
      </w:r>
      <w:r w:rsidRPr="00292C6F">
        <w:rPr>
          <w:rFonts w:cstheme="minorHAnsi"/>
          <w:i/>
          <w:iCs/>
        </w:rPr>
        <w:t>d Financial Reporting for Clai</w:t>
      </w:r>
      <w:r w:rsidR="00E6179B">
        <w:rPr>
          <w:rFonts w:cstheme="minorHAnsi"/>
          <w:i/>
          <w:iCs/>
        </w:rPr>
        <w:t>ms</w:t>
      </w:r>
      <w:r w:rsidRPr="00292C6F">
        <w:rPr>
          <w:rFonts w:cstheme="minorHAnsi"/>
          <w:i/>
          <w:iCs/>
        </w:rPr>
        <w:t xml:space="preserve"> and Judgments and Compensate</w:t>
      </w:r>
      <w:r w:rsidR="00E6179B">
        <w:rPr>
          <w:rFonts w:cstheme="minorHAnsi"/>
          <w:i/>
          <w:iCs/>
        </w:rPr>
        <w:t>d</w:t>
      </w:r>
      <w:r w:rsidRPr="00292C6F">
        <w:rPr>
          <w:rFonts w:cstheme="minorHAnsi"/>
          <w:i/>
          <w:iCs/>
        </w:rPr>
        <w:t xml:space="preserve"> </w:t>
      </w:r>
      <w:r w:rsidR="00E6179B">
        <w:rPr>
          <w:rFonts w:cstheme="minorHAnsi"/>
          <w:i/>
          <w:iCs/>
        </w:rPr>
        <w:t xml:space="preserve">Absences </w:t>
      </w:r>
      <w:r w:rsidRPr="00292C6F">
        <w:rPr>
          <w:rFonts w:cstheme="minorHAnsi"/>
        </w:rPr>
        <w:t>(Statement No. 4</w:t>
      </w:r>
      <w:r w:rsidR="00E6179B">
        <w:rPr>
          <w:rFonts w:cstheme="minorHAnsi"/>
        </w:rPr>
        <w:t xml:space="preserve">) </w:t>
      </w:r>
      <w:r w:rsidRPr="00292C6F">
        <w:rPr>
          <w:rFonts w:cstheme="minorHAnsi"/>
        </w:rPr>
        <w:t>Chicago, August 1984.</w:t>
      </w:r>
    </w:p>
    <w:p w14:paraId="5DE20D6B" w14:textId="40D9808D" w:rsidR="00292C6F" w:rsidRPr="00292C6F" w:rsidRDefault="00292C6F" w:rsidP="00122FE1">
      <w:pPr>
        <w:spacing w:after="0"/>
        <w:ind w:left="720" w:hanging="720"/>
        <w:rPr>
          <w:rFonts w:cstheme="minorHAnsi"/>
        </w:rPr>
      </w:pPr>
      <w:r w:rsidRPr="00292C6F">
        <w:rPr>
          <w:rFonts w:cstheme="minorHAnsi"/>
        </w:rPr>
        <w:t>3</w:t>
      </w:r>
      <w:r w:rsidR="00282033">
        <w:rPr>
          <w:rFonts w:cstheme="minorHAnsi"/>
        </w:rPr>
        <w:t xml:space="preserve"> </w:t>
      </w:r>
      <w:r w:rsidRPr="00292C6F">
        <w:rPr>
          <w:rFonts w:cstheme="minorHAnsi"/>
        </w:rPr>
        <w:t>National Council</w:t>
      </w:r>
      <w:r w:rsidR="00282033">
        <w:rPr>
          <w:rFonts w:cstheme="minorHAnsi"/>
        </w:rPr>
        <w:t xml:space="preserve"> </w:t>
      </w:r>
      <w:r w:rsidRPr="00292C6F">
        <w:rPr>
          <w:rFonts w:cstheme="minorHAnsi"/>
        </w:rPr>
        <w:t>on</w:t>
      </w:r>
      <w:r w:rsidR="00282033">
        <w:rPr>
          <w:rFonts w:cstheme="minorHAnsi"/>
        </w:rPr>
        <w:t xml:space="preserve"> </w:t>
      </w:r>
      <w:r w:rsidRPr="00292C6F">
        <w:rPr>
          <w:rFonts w:cstheme="minorHAnsi"/>
        </w:rPr>
        <w:t>G</w:t>
      </w:r>
      <w:r w:rsidR="00282033">
        <w:rPr>
          <w:rFonts w:cstheme="minorHAnsi"/>
        </w:rPr>
        <w:t>overn</w:t>
      </w:r>
      <w:r w:rsidRPr="00292C6F">
        <w:rPr>
          <w:rFonts w:cstheme="minorHAnsi"/>
        </w:rPr>
        <w:t>mental</w:t>
      </w:r>
      <w:r w:rsidR="00282033">
        <w:rPr>
          <w:rFonts w:cstheme="minorHAnsi"/>
        </w:rPr>
        <w:t xml:space="preserve"> </w:t>
      </w:r>
      <w:r w:rsidRPr="00292C6F">
        <w:rPr>
          <w:rFonts w:cstheme="minorHAnsi"/>
        </w:rPr>
        <w:t xml:space="preserve">Accounting, </w:t>
      </w:r>
      <w:r w:rsidRPr="00292C6F">
        <w:rPr>
          <w:rFonts w:cstheme="minorHAnsi"/>
          <w:i/>
          <w:iCs/>
        </w:rPr>
        <w:t xml:space="preserve">Claims </w:t>
      </w:r>
      <w:r w:rsidR="00282033">
        <w:rPr>
          <w:rFonts w:cstheme="minorHAnsi"/>
          <w:i/>
          <w:iCs/>
        </w:rPr>
        <w:t>and</w:t>
      </w:r>
      <w:r w:rsidR="006F17BB">
        <w:rPr>
          <w:rFonts w:cstheme="minorHAnsi"/>
          <w:i/>
          <w:iCs/>
        </w:rPr>
        <w:t xml:space="preserve"> Judgment</w:t>
      </w:r>
      <w:r w:rsidRPr="00292C6F">
        <w:rPr>
          <w:rFonts w:cstheme="minorHAnsi"/>
          <w:i/>
          <w:iCs/>
        </w:rPr>
        <w:t xml:space="preserve"> Transactions for </w:t>
      </w:r>
      <w:r w:rsidR="006F17BB">
        <w:rPr>
          <w:rFonts w:cstheme="minorHAnsi"/>
          <w:i/>
          <w:iCs/>
        </w:rPr>
        <w:t xml:space="preserve">Government </w:t>
      </w:r>
      <w:r w:rsidRPr="00292C6F">
        <w:rPr>
          <w:rFonts w:cstheme="minorHAnsi"/>
          <w:i/>
          <w:iCs/>
        </w:rPr>
        <w:t>Funds</w:t>
      </w:r>
      <w:r w:rsidR="00A27C51">
        <w:rPr>
          <w:rFonts w:cstheme="minorHAnsi"/>
          <w:i/>
          <w:iCs/>
        </w:rPr>
        <w:t xml:space="preserve"> </w:t>
      </w:r>
      <w:r w:rsidRPr="00292C6F">
        <w:rPr>
          <w:rFonts w:cstheme="minorHAnsi"/>
        </w:rPr>
        <w:t>(Interpret</w:t>
      </w:r>
      <w:r w:rsidR="00A27C51">
        <w:rPr>
          <w:rFonts w:cstheme="minorHAnsi"/>
        </w:rPr>
        <w:t>ation No. ) Chica</w:t>
      </w:r>
      <w:r w:rsidRPr="00292C6F">
        <w:rPr>
          <w:rFonts w:cstheme="minorHAnsi"/>
        </w:rPr>
        <w:t>go,August 1984.</w:t>
      </w:r>
    </w:p>
    <w:p w14:paraId="32DCD9B1" w14:textId="02E96255" w:rsidR="00292C6F" w:rsidRPr="00292C6F" w:rsidRDefault="00292C6F" w:rsidP="00122FE1">
      <w:pPr>
        <w:spacing w:after="0"/>
        <w:ind w:left="720" w:hanging="720"/>
        <w:rPr>
          <w:rFonts w:cstheme="minorHAnsi"/>
        </w:rPr>
      </w:pPr>
      <w:r w:rsidRPr="00292C6F">
        <w:rPr>
          <w:rFonts w:cstheme="minorHAnsi"/>
        </w:rPr>
        <w:t>4</w:t>
      </w:r>
      <w:r w:rsidR="00A27C51">
        <w:rPr>
          <w:rFonts w:cstheme="minorHAnsi"/>
        </w:rPr>
        <w:t xml:space="preserve"> </w:t>
      </w:r>
      <w:r w:rsidR="000F6303">
        <w:rPr>
          <w:rFonts w:cstheme="minorHAnsi"/>
        </w:rPr>
        <w:t xml:space="preserve">Financial Accounting Standards Board, </w:t>
      </w:r>
      <w:r w:rsidR="000F6303" w:rsidRPr="00D15ACE">
        <w:rPr>
          <w:rFonts w:cstheme="minorHAnsi"/>
          <w:i/>
          <w:iCs/>
        </w:rPr>
        <w:t>Accounting for Contingencies</w:t>
      </w:r>
      <w:r w:rsidR="000F6303">
        <w:rPr>
          <w:rFonts w:cstheme="minorHAnsi"/>
        </w:rPr>
        <w:t xml:space="preserve"> (Statement</w:t>
      </w:r>
      <w:r w:rsidR="00D15ACE">
        <w:rPr>
          <w:rFonts w:cstheme="minorHAnsi"/>
        </w:rPr>
        <w:t xml:space="preserve"> No. 5). Stamford, CT, March, 1975.</w:t>
      </w:r>
    </w:p>
    <w:p w14:paraId="5FE76DD1" w14:textId="20FD8C28" w:rsidR="00292C6F" w:rsidRPr="00292C6F" w:rsidRDefault="00292C6F" w:rsidP="00122FE1">
      <w:pPr>
        <w:spacing w:after="0"/>
        <w:ind w:left="720" w:hanging="720"/>
        <w:rPr>
          <w:rFonts w:cstheme="minorHAnsi"/>
        </w:rPr>
      </w:pPr>
      <w:r w:rsidRPr="00292C6F">
        <w:rPr>
          <w:rFonts w:cstheme="minorHAnsi"/>
        </w:rPr>
        <w:t>5</w:t>
      </w:r>
      <w:r w:rsidR="00954078">
        <w:rPr>
          <w:rFonts w:cstheme="minorHAnsi"/>
        </w:rPr>
        <w:t xml:space="preserve"> Generally, payments from a governmental fund to an internal service fund are an expenditure not an operating transfer. Consequently, NCGA Interpretation No. 11</w:t>
      </w:r>
      <w:r w:rsidR="000512B4">
        <w:rPr>
          <w:rFonts w:cstheme="minorHAnsi"/>
        </w:rPr>
        <w:t xml:space="preserve"> </w:t>
      </w:r>
      <w:r w:rsidRPr="00292C6F">
        <w:rPr>
          <w:rFonts w:cstheme="minorHAnsi"/>
        </w:rPr>
        <w:t xml:space="preserve">was issued to delay the </w:t>
      </w:r>
      <w:r w:rsidR="000512B4">
        <w:rPr>
          <w:rFonts w:cstheme="minorHAnsi"/>
        </w:rPr>
        <w:t>effective date of this provision</w:t>
      </w:r>
      <w:r w:rsidR="00D72A6E">
        <w:rPr>
          <w:rFonts w:cstheme="minorHAnsi"/>
        </w:rPr>
        <w:t>; the interpretation allows the use of an operating transfer, but it does not require that such a transf</w:t>
      </w:r>
      <w:r w:rsidR="008C5F1C">
        <w:rPr>
          <w:rFonts w:cstheme="minorHAnsi"/>
        </w:rPr>
        <w:t>er of resources be so classified.</w:t>
      </w:r>
    </w:p>
    <w:p w14:paraId="22784432" w14:textId="2156E19A" w:rsidR="00292C6F" w:rsidRPr="00292C6F" w:rsidRDefault="00292C6F" w:rsidP="00122FE1">
      <w:pPr>
        <w:spacing w:after="0"/>
        <w:ind w:left="720" w:hanging="720"/>
        <w:rPr>
          <w:rFonts w:cstheme="minorHAnsi"/>
        </w:rPr>
      </w:pPr>
      <w:r w:rsidRPr="00292C6F">
        <w:rPr>
          <w:rFonts w:cstheme="minorHAnsi"/>
        </w:rPr>
        <w:t>6 Governmental Accountin</w:t>
      </w:r>
      <w:r w:rsidR="008C5F1C">
        <w:rPr>
          <w:rFonts w:cstheme="minorHAnsi"/>
        </w:rPr>
        <w:t>g</w:t>
      </w:r>
      <w:r w:rsidRPr="00292C6F">
        <w:rPr>
          <w:rFonts w:cstheme="minorHAnsi"/>
        </w:rPr>
        <w:t xml:space="preserve"> Standards Board, </w:t>
      </w:r>
      <w:r w:rsidRPr="00292C6F">
        <w:rPr>
          <w:rFonts w:cstheme="minorHAnsi"/>
          <w:i/>
          <w:iCs/>
        </w:rPr>
        <w:t>Accou</w:t>
      </w:r>
      <w:r w:rsidR="008C5F1C">
        <w:rPr>
          <w:rFonts w:cstheme="minorHAnsi"/>
          <w:i/>
          <w:iCs/>
        </w:rPr>
        <w:t xml:space="preserve">nting and </w:t>
      </w:r>
      <w:r w:rsidRPr="00292C6F">
        <w:rPr>
          <w:rFonts w:cstheme="minorHAnsi"/>
          <w:i/>
          <w:iCs/>
        </w:rPr>
        <w:t>Financial Reporting for Risk</w:t>
      </w:r>
      <w:r w:rsidR="0074111E">
        <w:rPr>
          <w:rFonts w:cstheme="minorHAnsi"/>
          <w:i/>
          <w:iCs/>
        </w:rPr>
        <w:t xml:space="preserve"> Financing </w:t>
      </w:r>
      <w:r w:rsidRPr="00292C6F">
        <w:rPr>
          <w:rFonts w:cstheme="minorHAnsi"/>
          <w:i/>
          <w:iCs/>
        </w:rPr>
        <w:t>and Related Insurance</w:t>
      </w:r>
      <w:r w:rsidR="003633F4">
        <w:rPr>
          <w:rFonts w:cstheme="minorHAnsi"/>
          <w:i/>
          <w:iCs/>
        </w:rPr>
        <w:t xml:space="preserve"> Issues </w:t>
      </w:r>
      <w:r w:rsidRPr="00292C6F">
        <w:rPr>
          <w:rFonts w:cstheme="minorHAnsi"/>
        </w:rPr>
        <w:t>(Exposure Draft). Norwa</w:t>
      </w:r>
      <w:r w:rsidR="003633F4">
        <w:rPr>
          <w:rFonts w:cstheme="minorHAnsi"/>
        </w:rPr>
        <w:t>lk</w:t>
      </w:r>
      <w:r w:rsidRPr="00292C6F">
        <w:rPr>
          <w:rFonts w:cstheme="minorHAnsi"/>
        </w:rPr>
        <w:t xml:space="preserve"> CT, December</w:t>
      </w:r>
      <w:r w:rsidR="003633F4">
        <w:rPr>
          <w:rFonts w:cstheme="minorHAnsi"/>
        </w:rPr>
        <w:t xml:space="preserve"> </w:t>
      </w:r>
      <w:r w:rsidRPr="00292C6F">
        <w:rPr>
          <w:rFonts w:cstheme="minorHAnsi"/>
        </w:rPr>
        <w:t>6, 1988.</w:t>
      </w:r>
    </w:p>
    <w:p w14:paraId="145572EF" w14:textId="7EC63162" w:rsidR="001B645D" w:rsidRPr="001B645D" w:rsidRDefault="00292C6F" w:rsidP="00122FE1">
      <w:pPr>
        <w:spacing w:after="0"/>
        <w:ind w:left="720" w:hanging="720"/>
        <w:rPr>
          <w:rFonts w:cstheme="minorHAnsi"/>
        </w:rPr>
      </w:pPr>
      <w:r w:rsidRPr="00292C6F">
        <w:rPr>
          <w:rFonts w:cstheme="minorHAnsi"/>
        </w:rPr>
        <w:t>7</w:t>
      </w:r>
      <w:r w:rsidR="003633F4">
        <w:rPr>
          <w:rFonts w:cstheme="minorHAnsi"/>
        </w:rPr>
        <w:t xml:space="preserve"> </w:t>
      </w:r>
      <w:r w:rsidRPr="00292C6F">
        <w:rPr>
          <w:rFonts w:cstheme="minorHAnsi"/>
        </w:rPr>
        <w:t xml:space="preserve">Interperiod equity is </w:t>
      </w:r>
      <w:r w:rsidR="00AE44F4">
        <w:rPr>
          <w:rFonts w:cstheme="minorHAnsi"/>
        </w:rPr>
        <w:t>defined as</w:t>
      </w:r>
      <w:r w:rsidRPr="00292C6F">
        <w:rPr>
          <w:rFonts w:cstheme="minorHAnsi"/>
        </w:rPr>
        <w:t xml:space="preserve"> "the measure of the extent </w:t>
      </w:r>
      <w:r w:rsidR="00AE44F4">
        <w:rPr>
          <w:rFonts w:cstheme="minorHAnsi"/>
        </w:rPr>
        <w:t>t</w:t>
      </w:r>
      <w:r w:rsidRPr="00292C6F">
        <w:rPr>
          <w:rFonts w:cstheme="minorHAnsi"/>
        </w:rPr>
        <w:t>o</w:t>
      </w:r>
      <w:r w:rsidR="004E3979">
        <w:rPr>
          <w:rFonts w:cstheme="minorHAnsi"/>
        </w:rPr>
        <w:t xml:space="preserve"> </w:t>
      </w:r>
      <w:r w:rsidRPr="00292C6F">
        <w:rPr>
          <w:rFonts w:cstheme="minorHAnsi"/>
        </w:rPr>
        <w:t>which current-year revenu</w:t>
      </w:r>
      <w:r w:rsidR="004E3979">
        <w:rPr>
          <w:rFonts w:cstheme="minorHAnsi"/>
        </w:rPr>
        <w:t>e</w:t>
      </w:r>
      <w:r w:rsidRPr="00292C6F">
        <w:rPr>
          <w:rFonts w:cstheme="minorHAnsi"/>
        </w:rPr>
        <w:t>s are</w:t>
      </w:r>
      <w:r w:rsidR="004E3979">
        <w:rPr>
          <w:rFonts w:cstheme="minorHAnsi"/>
        </w:rPr>
        <w:t xml:space="preserve"> </w:t>
      </w:r>
      <w:r w:rsidRPr="00292C6F">
        <w:rPr>
          <w:rFonts w:cstheme="minorHAnsi"/>
        </w:rPr>
        <w:t>sufficient to pay for the se</w:t>
      </w:r>
      <w:r w:rsidR="004E3979">
        <w:rPr>
          <w:rFonts w:cstheme="minorHAnsi"/>
        </w:rPr>
        <w:t xml:space="preserve">rvices </w:t>
      </w:r>
      <w:r w:rsidRPr="00292C6F">
        <w:rPr>
          <w:rFonts w:cstheme="minorHAnsi"/>
        </w:rPr>
        <w:t>provided by the governme</w:t>
      </w:r>
      <w:r w:rsidR="00FE2251">
        <w:rPr>
          <w:rFonts w:cstheme="minorHAnsi"/>
        </w:rPr>
        <w:t>n</w:t>
      </w:r>
      <w:r w:rsidRPr="00292C6F">
        <w:rPr>
          <w:rFonts w:cstheme="minorHAnsi"/>
        </w:rPr>
        <w:t>tal</w:t>
      </w:r>
      <w:r w:rsidR="00FE2251">
        <w:rPr>
          <w:rFonts w:cstheme="minorHAnsi"/>
        </w:rPr>
        <w:t xml:space="preserve"> </w:t>
      </w:r>
      <w:r w:rsidR="001B645D" w:rsidRPr="001B645D">
        <w:rPr>
          <w:rFonts w:cstheme="minorHAnsi"/>
        </w:rPr>
        <w:t xml:space="preserve">entity during the year, and whether current-year citizens are receiving services by shifting part of the payment burden to future years' citizens or by using up previously accumulated resources," Governmental Accounting Standards Board, </w:t>
      </w:r>
      <w:r w:rsidR="001B645D" w:rsidRPr="001B645D">
        <w:rPr>
          <w:rFonts w:cstheme="minorHAnsi"/>
          <w:i/>
          <w:iCs/>
        </w:rPr>
        <w:t xml:space="preserve">Measurement Focus and Basis of Accounting </w:t>
      </w:r>
      <w:r w:rsidR="001B645D" w:rsidRPr="001B645D">
        <w:rPr>
          <w:rFonts w:cstheme="minorHAnsi"/>
        </w:rPr>
        <w:t xml:space="preserve">- </w:t>
      </w:r>
      <w:r w:rsidR="001B645D" w:rsidRPr="001B645D">
        <w:rPr>
          <w:rFonts w:cstheme="minorHAnsi"/>
          <w:i/>
          <w:iCs/>
        </w:rPr>
        <w:t xml:space="preserve">Governmental Funds (MFBA) </w:t>
      </w:r>
      <w:r w:rsidR="001B645D" w:rsidRPr="001B645D">
        <w:rPr>
          <w:rFonts w:cstheme="minorHAnsi"/>
        </w:rPr>
        <w:t>(Exposure Draft). Norwalk, CT, December, 1988.</w:t>
      </w:r>
    </w:p>
    <w:p w14:paraId="4BEC767C" w14:textId="37DED9C6" w:rsidR="001B645D" w:rsidRPr="001B645D" w:rsidRDefault="001B645D" w:rsidP="00122FE1">
      <w:pPr>
        <w:spacing w:after="0"/>
        <w:ind w:left="720" w:hanging="720"/>
        <w:rPr>
          <w:rFonts w:cstheme="minorHAnsi"/>
        </w:rPr>
      </w:pPr>
      <w:r w:rsidRPr="001B645D">
        <w:rPr>
          <w:rFonts w:cstheme="minorHAnsi"/>
        </w:rPr>
        <w:t>8</w:t>
      </w:r>
      <w:r w:rsidR="00A04D2C">
        <w:rPr>
          <w:rFonts w:cstheme="minorHAnsi"/>
        </w:rPr>
        <w:t xml:space="preserve"> </w:t>
      </w:r>
      <w:r w:rsidRPr="001B645D">
        <w:rPr>
          <w:rFonts w:cstheme="minorHAnsi"/>
        </w:rPr>
        <w:t xml:space="preserve">Governmental Accounting Standards Board, </w:t>
      </w:r>
      <w:r w:rsidRPr="001B645D">
        <w:rPr>
          <w:rFonts w:cstheme="minorHAnsi"/>
          <w:i/>
          <w:iCs/>
        </w:rPr>
        <w:t xml:space="preserve">Accounting and Financial </w:t>
      </w:r>
      <w:r w:rsidR="00A04D2C" w:rsidRPr="001B645D">
        <w:rPr>
          <w:rFonts w:cstheme="minorHAnsi"/>
          <w:i/>
          <w:iCs/>
        </w:rPr>
        <w:t>Reporting for</w:t>
      </w:r>
      <w:r w:rsidRPr="001B645D">
        <w:rPr>
          <w:rFonts w:cstheme="minorHAnsi"/>
          <w:i/>
          <w:iCs/>
        </w:rPr>
        <w:t xml:space="preserve"> Risk Financing and Related Insurance Issues </w:t>
      </w:r>
      <w:r w:rsidRPr="001B645D">
        <w:rPr>
          <w:rFonts w:cstheme="minorHAnsi"/>
        </w:rPr>
        <w:t xml:space="preserve">(Exposure Draft). Norwalk, CT, December </w:t>
      </w:r>
      <w:r w:rsidR="00A04D2C" w:rsidRPr="001B645D">
        <w:rPr>
          <w:rFonts w:cstheme="minorHAnsi"/>
        </w:rPr>
        <w:t>6, 1988</w:t>
      </w:r>
      <w:r w:rsidRPr="001B645D">
        <w:rPr>
          <w:rFonts w:cstheme="minorHAnsi"/>
        </w:rPr>
        <w:t>.</w:t>
      </w:r>
    </w:p>
    <w:p w14:paraId="5C2CD5AF" w14:textId="17BE766A" w:rsidR="001B645D" w:rsidRPr="001B645D" w:rsidRDefault="001B645D" w:rsidP="00122FE1">
      <w:pPr>
        <w:spacing w:after="0"/>
        <w:ind w:left="720" w:hanging="720"/>
        <w:rPr>
          <w:rFonts w:cstheme="minorHAnsi"/>
          <w:i/>
          <w:iCs/>
        </w:rPr>
      </w:pPr>
      <w:r w:rsidRPr="001B645D">
        <w:rPr>
          <w:rFonts w:cstheme="minorHAnsi"/>
        </w:rPr>
        <w:t>9</w:t>
      </w:r>
      <w:r w:rsidR="007D0DEA">
        <w:rPr>
          <w:rFonts w:cstheme="minorHAnsi"/>
        </w:rPr>
        <w:t xml:space="preserve"> </w:t>
      </w:r>
      <w:r w:rsidRPr="001B645D">
        <w:rPr>
          <w:rFonts w:cstheme="minorHAnsi"/>
        </w:rPr>
        <w:t xml:space="preserve">These accounting and reporting requirements are generally those of SFAS No. 5, </w:t>
      </w:r>
      <w:r w:rsidRPr="001B645D">
        <w:rPr>
          <w:rFonts w:cstheme="minorHAnsi"/>
          <w:i/>
          <w:iCs/>
        </w:rPr>
        <w:t>Accounting for Contingencies.</w:t>
      </w:r>
    </w:p>
    <w:p w14:paraId="3F0E820D" w14:textId="430E69B9" w:rsidR="001B645D" w:rsidRPr="001B645D" w:rsidRDefault="001B645D" w:rsidP="00122FE1">
      <w:pPr>
        <w:spacing w:after="0"/>
        <w:ind w:left="720" w:hanging="720"/>
        <w:rPr>
          <w:rFonts w:cstheme="minorHAnsi"/>
        </w:rPr>
      </w:pPr>
      <w:r w:rsidRPr="001B645D">
        <w:rPr>
          <w:rFonts w:cstheme="minorHAnsi"/>
        </w:rPr>
        <w:t>10</w:t>
      </w:r>
      <w:r w:rsidR="007D0DEA">
        <w:rPr>
          <w:rFonts w:cstheme="minorHAnsi"/>
        </w:rPr>
        <w:t xml:space="preserve"> </w:t>
      </w:r>
      <w:r w:rsidRPr="001B645D">
        <w:rPr>
          <w:rFonts w:cstheme="minorHAnsi"/>
        </w:rPr>
        <w:t>T</w:t>
      </w:r>
      <w:r w:rsidR="007D0DEA">
        <w:rPr>
          <w:rFonts w:cstheme="minorHAnsi"/>
        </w:rPr>
        <w:t>h</w:t>
      </w:r>
      <w:r w:rsidRPr="001B645D">
        <w:rPr>
          <w:rFonts w:cstheme="minorHAnsi"/>
        </w:rPr>
        <w:t>e issue of the distinction between the fund liability and the general long-term debt account group (GLTDAG) is addressed in the MFBA ED, 1987.</w:t>
      </w:r>
    </w:p>
    <w:p w14:paraId="57457E33" w14:textId="77777777" w:rsidR="001B645D" w:rsidRDefault="001B645D" w:rsidP="00122FE1">
      <w:pPr>
        <w:spacing w:after="0"/>
        <w:ind w:left="720" w:hanging="720"/>
        <w:rPr>
          <w:rFonts w:cstheme="minorHAnsi"/>
        </w:rPr>
      </w:pPr>
      <w:r w:rsidRPr="001B645D">
        <w:rPr>
          <w:rFonts w:cstheme="minorHAnsi"/>
        </w:rPr>
        <w:t xml:space="preserve">11 Financial Accounting Standards Board, </w:t>
      </w:r>
      <w:r w:rsidRPr="001B645D">
        <w:rPr>
          <w:rFonts w:cstheme="minorHAnsi"/>
          <w:i/>
          <w:iCs/>
        </w:rPr>
        <w:t xml:space="preserve">Accounting and Reporting by Insurance Enterprises </w:t>
      </w:r>
      <w:r w:rsidRPr="001B645D">
        <w:rPr>
          <w:rFonts w:cstheme="minorHAnsi"/>
        </w:rPr>
        <w:t>(Statement No. 60). Stamford, CT, June, 1982.</w:t>
      </w:r>
    </w:p>
    <w:p w14:paraId="78CC8C74" w14:textId="77777777" w:rsidR="00122FE1" w:rsidRPr="001B645D" w:rsidRDefault="00122FE1" w:rsidP="001B645D">
      <w:pPr>
        <w:rPr>
          <w:rFonts w:cstheme="minorHAnsi"/>
        </w:rPr>
      </w:pPr>
    </w:p>
    <w:p w14:paraId="5DFB241C" w14:textId="7A2274BE" w:rsidR="001B645D" w:rsidRPr="001B645D" w:rsidRDefault="001B645D" w:rsidP="001B645D">
      <w:pPr>
        <w:rPr>
          <w:rFonts w:cstheme="minorHAnsi"/>
          <w:i/>
          <w:iCs/>
        </w:rPr>
      </w:pPr>
      <w:r w:rsidRPr="001B645D">
        <w:rPr>
          <w:rFonts w:cstheme="minorHAnsi"/>
          <w:i/>
          <w:iCs/>
        </w:rPr>
        <w:t>Dr. Rita Hartung Cheng is an Assistant Professor</w:t>
      </w:r>
      <w:r w:rsidR="007D0DEA">
        <w:rPr>
          <w:rFonts w:cstheme="minorHAnsi"/>
          <w:i/>
          <w:iCs/>
        </w:rPr>
        <w:t xml:space="preserve"> </w:t>
      </w:r>
      <w:r w:rsidRPr="001B645D">
        <w:rPr>
          <w:rFonts w:cstheme="minorHAnsi"/>
          <w:i/>
          <w:iCs/>
        </w:rPr>
        <w:t xml:space="preserve">of Accounting at </w:t>
      </w:r>
      <w:r w:rsidR="007D0DEA" w:rsidRPr="001B645D">
        <w:rPr>
          <w:rFonts w:cstheme="minorHAnsi"/>
          <w:i/>
          <w:iCs/>
        </w:rPr>
        <w:t>the</w:t>
      </w:r>
      <w:r w:rsidRPr="001B645D">
        <w:rPr>
          <w:rFonts w:cstheme="minorHAnsi"/>
          <w:i/>
          <w:iCs/>
        </w:rPr>
        <w:t xml:space="preserve"> University of Wisconsin­Milwaukee, where she teaches</w:t>
      </w:r>
      <w:r w:rsidR="007D0DEA">
        <w:rPr>
          <w:rFonts w:cstheme="minorHAnsi"/>
          <w:i/>
          <w:iCs/>
        </w:rPr>
        <w:t xml:space="preserve"> </w:t>
      </w:r>
      <w:r w:rsidRPr="001B645D">
        <w:rPr>
          <w:rFonts w:cstheme="minorHAnsi"/>
          <w:i/>
          <w:iCs/>
        </w:rPr>
        <w:t>financial accounting and governmental accounting courses. Dr. Robert B. Yahr is an Associate Professor</w:t>
      </w:r>
      <w:r w:rsidR="007D0DEA">
        <w:rPr>
          <w:rFonts w:cstheme="minorHAnsi"/>
          <w:i/>
          <w:iCs/>
        </w:rPr>
        <w:t xml:space="preserve"> </w:t>
      </w:r>
      <w:r w:rsidRPr="001B645D">
        <w:rPr>
          <w:rFonts w:cstheme="minorHAnsi"/>
          <w:i/>
          <w:iCs/>
        </w:rPr>
        <w:t>of Accounting at Marquette</w:t>
      </w:r>
      <w:r w:rsidR="007D0DEA">
        <w:rPr>
          <w:rFonts w:cstheme="minorHAnsi"/>
          <w:i/>
          <w:iCs/>
        </w:rPr>
        <w:t xml:space="preserve"> </w:t>
      </w:r>
      <w:r w:rsidRPr="001B645D">
        <w:rPr>
          <w:rFonts w:cstheme="minorHAnsi"/>
          <w:i/>
          <w:iCs/>
        </w:rPr>
        <w:t>University, where he teaches financial accounting courses. He also serves as Technical Coordinator for the GRATE (Governmental Reporting Award Through Evaluation) program in Wisconsin.</w:t>
      </w:r>
    </w:p>
    <w:p w14:paraId="61FA1FB0" w14:textId="06A522B6" w:rsidR="00292C6F" w:rsidRPr="00292C6F" w:rsidRDefault="00292C6F" w:rsidP="00292C6F">
      <w:pPr>
        <w:rPr>
          <w:rFonts w:cstheme="minorHAnsi"/>
        </w:rPr>
      </w:pPr>
    </w:p>
    <w:p w14:paraId="27DBC1C3" w14:textId="539E8D43" w:rsidR="008048EF" w:rsidRPr="008048EF" w:rsidRDefault="008048EF" w:rsidP="008048EF">
      <w:pPr>
        <w:rPr>
          <w:rFonts w:cstheme="minorHAnsi"/>
        </w:rPr>
      </w:pPr>
    </w:p>
    <w:p w14:paraId="55C54AA4" w14:textId="77777777" w:rsidR="00FE41CC" w:rsidRPr="00A0642B" w:rsidRDefault="00FE41CC" w:rsidP="005F6BC1">
      <w:pPr>
        <w:rPr>
          <w:rFonts w:cstheme="minorHAnsi"/>
        </w:rPr>
      </w:pPr>
    </w:p>
    <w:bookmarkEnd w:id="1"/>
    <w:p w14:paraId="5BC0075B" w14:textId="77777777" w:rsidR="000A7622" w:rsidRPr="00A0642B" w:rsidRDefault="000A7622" w:rsidP="000A7622">
      <w:pPr>
        <w:rPr>
          <w:rFonts w:cstheme="minorHAnsi"/>
        </w:rPr>
      </w:pPr>
    </w:p>
    <w:sectPr w:rsidR="000A7622" w:rsidRPr="00A0642B"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numFmt w:val="bullet"/>
      <w:lvlText w:val="■"/>
      <w:lvlJc w:val="left"/>
      <w:pPr>
        <w:ind w:left="537" w:hanging="254"/>
      </w:pPr>
      <w:rPr>
        <w:b w:val="0"/>
        <w:bCs w:val="0"/>
        <w:w w:val="89"/>
      </w:rPr>
    </w:lvl>
    <w:lvl w:ilvl="1">
      <w:numFmt w:val="bullet"/>
      <w:lvlText w:val="•"/>
      <w:lvlJc w:val="left"/>
      <w:pPr>
        <w:ind w:left="864" w:hanging="254"/>
      </w:pPr>
    </w:lvl>
    <w:lvl w:ilvl="2">
      <w:numFmt w:val="bullet"/>
      <w:lvlText w:val="•"/>
      <w:lvlJc w:val="left"/>
      <w:pPr>
        <w:ind w:left="1188" w:hanging="254"/>
      </w:pPr>
    </w:lvl>
    <w:lvl w:ilvl="3">
      <w:numFmt w:val="bullet"/>
      <w:lvlText w:val="•"/>
      <w:lvlJc w:val="left"/>
      <w:pPr>
        <w:ind w:left="1513" w:hanging="254"/>
      </w:pPr>
    </w:lvl>
    <w:lvl w:ilvl="4">
      <w:numFmt w:val="bullet"/>
      <w:lvlText w:val="•"/>
      <w:lvlJc w:val="left"/>
      <w:pPr>
        <w:ind w:left="1837" w:hanging="254"/>
      </w:pPr>
    </w:lvl>
    <w:lvl w:ilvl="5">
      <w:numFmt w:val="bullet"/>
      <w:lvlText w:val="•"/>
      <w:lvlJc w:val="left"/>
      <w:pPr>
        <w:ind w:left="2161" w:hanging="254"/>
      </w:pPr>
    </w:lvl>
    <w:lvl w:ilvl="6">
      <w:numFmt w:val="bullet"/>
      <w:lvlText w:val="•"/>
      <w:lvlJc w:val="left"/>
      <w:pPr>
        <w:ind w:left="2486" w:hanging="254"/>
      </w:pPr>
    </w:lvl>
    <w:lvl w:ilvl="7">
      <w:numFmt w:val="bullet"/>
      <w:lvlText w:val="•"/>
      <w:lvlJc w:val="left"/>
      <w:pPr>
        <w:ind w:left="2810" w:hanging="254"/>
      </w:pPr>
    </w:lvl>
    <w:lvl w:ilvl="8">
      <w:numFmt w:val="bullet"/>
      <w:lvlText w:val="•"/>
      <w:lvlJc w:val="left"/>
      <w:pPr>
        <w:ind w:left="3134" w:hanging="254"/>
      </w:pPr>
    </w:lvl>
  </w:abstractNum>
  <w:abstractNum w:abstractNumId="1" w15:restartNumberingAfterBreak="0">
    <w:nsid w:val="00000403"/>
    <w:multiLevelType w:val="multilevel"/>
    <w:tmpl w:val="00000886"/>
    <w:lvl w:ilvl="0">
      <w:numFmt w:val="bullet"/>
      <w:lvlText w:val="·"/>
      <w:lvlJc w:val="left"/>
      <w:pPr>
        <w:ind w:left="30" w:hanging="60"/>
      </w:pPr>
      <w:rPr>
        <w:rFonts w:ascii="Times New Roman" w:hAnsi="Times New Roman" w:cs="Times New Roman"/>
        <w:b w:val="0"/>
        <w:bCs w:val="0"/>
        <w:color w:val="B8B8B5"/>
        <w:spacing w:val="1"/>
        <w:w w:val="65"/>
        <w:sz w:val="25"/>
        <w:szCs w:val="25"/>
      </w:rPr>
    </w:lvl>
    <w:lvl w:ilvl="1">
      <w:numFmt w:val="bullet"/>
      <w:lvlText w:val="•"/>
      <w:lvlJc w:val="left"/>
      <w:pPr>
        <w:ind w:left="117" w:hanging="60"/>
      </w:pPr>
    </w:lvl>
    <w:lvl w:ilvl="2">
      <w:numFmt w:val="bullet"/>
      <w:lvlText w:val="•"/>
      <w:lvlJc w:val="left"/>
      <w:pPr>
        <w:ind w:left="195" w:hanging="60"/>
      </w:pPr>
    </w:lvl>
    <w:lvl w:ilvl="3">
      <w:numFmt w:val="bullet"/>
      <w:lvlText w:val="•"/>
      <w:lvlJc w:val="left"/>
      <w:pPr>
        <w:ind w:left="273" w:hanging="60"/>
      </w:pPr>
    </w:lvl>
    <w:lvl w:ilvl="4">
      <w:numFmt w:val="bullet"/>
      <w:lvlText w:val="•"/>
      <w:lvlJc w:val="left"/>
      <w:pPr>
        <w:ind w:left="351" w:hanging="60"/>
      </w:pPr>
    </w:lvl>
    <w:lvl w:ilvl="5">
      <w:numFmt w:val="bullet"/>
      <w:lvlText w:val="•"/>
      <w:lvlJc w:val="left"/>
      <w:pPr>
        <w:ind w:left="429" w:hanging="60"/>
      </w:pPr>
    </w:lvl>
    <w:lvl w:ilvl="6">
      <w:numFmt w:val="bullet"/>
      <w:lvlText w:val="•"/>
      <w:lvlJc w:val="left"/>
      <w:pPr>
        <w:ind w:left="507" w:hanging="60"/>
      </w:pPr>
    </w:lvl>
    <w:lvl w:ilvl="7">
      <w:numFmt w:val="bullet"/>
      <w:lvlText w:val="•"/>
      <w:lvlJc w:val="left"/>
      <w:pPr>
        <w:ind w:left="585" w:hanging="60"/>
      </w:pPr>
    </w:lvl>
    <w:lvl w:ilvl="8">
      <w:numFmt w:val="bullet"/>
      <w:lvlText w:val="•"/>
      <w:lvlJc w:val="left"/>
      <w:pPr>
        <w:ind w:left="663" w:hanging="60"/>
      </w:pPr>
    </w:lvl>
  </w:abstractNum>
  <w:abstractNum w:abstractNumId="2" w15:restartNumberingAfterBreak="0">
    <w:nsid w:val="00000404"/>
    <w:multiLevelType w:val="multilevel"/>
    <w:tmpl w:val="00000887"/>
    <w:lvl w:ilvl="0">
      <w:numFmt w:val="bullet"/>
      <w:lvlText w:val="•"/>
      <w:lvlJc w:val="left"/>
      <w:pPr>
        <w:ind w:left="85" w:hanging="138"/>
      </w:pPr>
      <w:rPr>
        <w:rFonts w:ascii="Times New Roman" w:hAnsi="Times New Roman" w:cs="Times New Roman"/>
        <w:b w:val="0"/>
        <w:bCs w:val="0"/>
        <w:color w:val="979793"/>
        <w:w w:val="85"/>
        <w:sz w:val="27"/>
        <w:szCs w:val="27"/>
      </w:rPr>
    </w:lvl>
    <w:lvl w:ilvl="1">
      <w:numFmt w:val="bullet"/>
      <w:lvlText w:val="•"/>
      <w:lvlJc w:val="left"/>
      <w:pPr>
        <w:ind w:left="153" w:hanging="138"/>
      </w:pPr>
    </w:lvl>
    <w:lvl w:ilvl="2">
      <w:numFmt w:val="bullet"/>
      <w:lvlText w:val="•"/>
      <w:lvlJc w:val="left"/>
      <w:pPr>
        <w:ind w:left="227" w:hanging="138"/>
      </w:pPr>
    </w:lvl>
    <w:lvl w:ilvl="3">
      <w:numFmt w:val="bullet"/>
      <w:lvlText w:val="•"/>
      <w:lvlJc w:val="left"/>
      <w:pPr>
        <w:ind w:left="301" w:hanging="138"/>
      </w:pPr>
    </w:lvl>
    <w:lvl w:ilvl="4">
      <w:numFmt w:val="bullet"/>
      <w:lvlText w:val="•"/>
      <w:lvlJc w:val="left"/>
      <w:pPr>
        <w:ind w:left="375" w:hanging="138"/>
      </w:pPr>
    </w:lvl>
    <w:lvl w:ilvl="5">
      <w:numFmt w:val="bullet"/>
      <w:lvlText w:val="•"/>
      <w:lvlJc w:val="left"/>
      <w:pPr>
        <w:ind w:left="449" w:hanging="138"/>
      </w:pPr>
    </w:lvl>
    <w:lvl w:ilvl="6">
      <w:numFmt w:val="bullet"/>
      <w:lvlText w:val="•"/>
      <w:lvlJc w:val="left"/>
      <w:pPr>
        <w:ind w:left="523" w:hanging="138"/>
      </w:pPr>
    </w:lvl>
    <w:lvl w:ilvl="7">
      <w:numFmt w:val="bullet"/>
      <w:lvlText w:val="•"/>
      <w:lvlJc w:val="left"/>
      <w:pPr>
        <w:ind w:left="597" w:hanging="138"/>
      </w:pPr>
    </w:lvl>
    <w:lvl w:ilvl="8">
      <w:numFmt w:val="bullet"/>
      <w:lvlText w:val="•"/>
      <w:lvlJc w:val="left"/>
      <w:pPr>
        <w:ind w:left="671" w:hanging="138"/>
      </w:pPr>
    </w:lvl>
  </w:abstractNum>
  <w:abstractNum w:abstractNumId="3" w15:restartNumberingAfterBreak="0">
    <w:nsid w:val="00000405"/>
    <w:multiLevelType w:val="multilevel"/>
    <w:tmpl w:val="00000888"/>
    <w:lvl w:ilvl="0">
      <w:numFmt w:val="bullet"/>
      <w:lvlText w:val="·"/>
      <w:lvlJc w:val="left"/>
      <w:pPr>
        <w:ind w:left="38" w:hanging="80"/>
      </w:pPr>
      <w:rPr>
        <w:rFonts w:ascii="Times New Roman" w:hAnsi="Times New Roman" w:cs="Times New Roman"/>
        <w:b w:val="0"/>
        <w:bCs w:val="0"/>
        <w:color w:val="B8B8B5"/>
        <w:spacing w:val="10"/>
        <w:w w:val="76"/>
        <w:sz w:val="25"/>
        <w:szCs w:val="25"/>
      </w:rPr>
    </w:lvl>
    <w:lvl w:ilvl="1">
      <w:numFmt w:val="bullet"/>
      <w:lvlText w:val="•"/>
      <w:lvlJc w:val="left"/>
      <w:pPr>
        <w:ind w:left="114" w:hanging="80"/>
      </w:pPr>
    </w:lvl>
    <w:lvl w:ilvl="2">
      <w:numFmt w:val="bullet"/>
      <w:lvlText w:val="•"/>
      <w:lvlJc w:val="left"/>
      <w:pPr>
        <w:ind w:left="189" w:hanging="80"/>
      </w:pPr>
    </w:lvl>
    <w:lvl w:ilvl="3">
      <w:numFmt w:val="bullet"/>
      <w:lvlText w:val="•"/>
      <w:lvlJc w:val="left"/>
      <w:pPr>
        <w:ind w:left="264" w:hanging="80"/>
      </w:pPr>
    </w:lvl>
    <w:lvl w:ilvl="4">
      <w:numFmt w:val="bullet"/>
      <w:lvlText w:val="•"/>
      <w:lvlJc w:val="left"/>
      <w:pPr>
        <w:ind w:left="338" w:hanging="80"/>
      </w:pPr>
    </w:lvl>
    <w:lvl w:ilvl="5">
      <w:numFmt w:val="bullet"/>
      <w:lvlText w:val="•"/>
      <w:lvlJc w:val="left"/>
      <w:pPr>
        <w:ind w:left="413" w:hanging="80"/>
      </w:pPr>
    </w:lvl>
    <w:lvl w:ilvl="6">
      <w:numFmt w:val="bullet"/>
      <w:lvlText w:val="•"/>
      <w:lvlJc w:val="left"/>
      <w:pPr>
        <w:ind w:left="488" w:hanging="80"/>
      </w:pPr>
    </w:lvl>
    <w:lvl w:ilvl="7">
      <w:numFmt w:val="bullet"/>
      <w:lvlText w:val="•"/>
      <w:lvlJc w:val="left"/>
      <w:pPr>
        <w:ind w:left="562" w:hanging="80"/>
      </w:pPr>
    </w:lvl>
    <w:lvl w:ilvl="8">
      <w:numFmt w:val="bullet"/>
      <w:lvlText w:val="•"/>
      <w:lvlJc w:val="left"/>
      <w:pPr>
        <w:ind w:left="637" w:hanging="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BEmq3JWnmv+JXJJu8CxqgKsXDjiAdMP4gbsVYp4HA0WScCTlja49SexDoL3sCXNX8XQ6kTPN9jHMBMAxrjRWNA==" w:salt="9lEMk0btT8+XLCjr5m48K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436D"/>
    <w:rsid w:val="0000729D"/>
    <w:rsid w:val="0001072F"/>
    <w:rsid w:val="00014F38"/>
    <w:rsid w:val="00016D62"/>
    <w:rsid w:val="000233C1"/>
    <w:rsid w:val="00024048"/>
    <w:rsid w:val="00026BC7"/>
    <w:rsid w:val="00027271"/>
    <w:rsid w:val="0003036D"/>
    <w:rsid w:val="00034205"/>
    <w:rsid w:val="00035704"/>
    <w:rsid w:val="00041C27"/>
    <w:rsid w:val="000437DE"/>
    <w:rsid w:val="00043C8E"/>
    <w:rsid w:val="00044EBA"/>
    <w:rsid w:val="00045BFD"/>
    <w:rsid w:val="0004637E"/>
    <w:rsid w:val="0004717F"/>
    <w:rsid w:val="000512B4"/>
    <w:rsid w:val="000525F1"/>
    <w:rsid w:val="0005413F"/>
    <w:rsid w:val="00057D20"/>
    <w:rsid w:val="000606A8"/>
    <w:rsid w:val="00061102"/>
    <w:rsid w:val="00062EC0"/>
    <w:rsid w:val="00064ECB"/>
    <w:rsid w:val="00071537"/>
    <w:rsid w:val="00072612"/>
    <w:rsid w:val="000735D6"/>
    <w:rsid w:val="00074B64"/>
    <w:rsid w:val="000769FD"/>
    <w:rsid w:val="00077000"/>
    <w:rsid w:val="00081A9C"/>
    <w:rsid w:val="00082637"/>
    <w:rsid w:val="00083102"/>
    <w:rsid w:val="000846CC"/>
    <w:rsid w:val="00085797"/>
    <w:rsid w:val="00087367"/>
    <w:rsid w:val="0009064A"/>
    <w:rsid w:val="00091815"/>
    <w:rsid w:val="00092DFF"/>
    <w:rsid w:val="00093C1A"/>
    <w:rsid w:val="00097FBC"/>
    <w:rsid w:val="000A0975"/>
    <w:rsid w:val="000A266C"/>
    <w:rsid w:val="000A5901"/>
    <w:rsid w:val="000A7622"/>
    <w:rsid w:val="000A7F84"/>
    <w:rsid w:val="000B1EEB"/>
    <w:rsid w:val="000B22D3"/>
    <w:rsid w:val="000B2768"/>
    <w:rsid w:val="000B3464"/>
    <w:rsid w:val="000B389E"/>
    <w:rsid w:val="000B501D"/>
    <w:rsid w:val="000B5170"/>
    <w:rsid w:val="000C0E5B"/>
    <w:rsid w:val="000C6BA7"/>
    <w:rsid w:val="000D3573"/>
    <w:rsid w:val="000D456D"/>
    <w:rsid w:val="000D4F0B"/>
    <w:rsid w:val="000D6BF2"/>
    <w:rsid w:val="000E4392"/>
    <w:rsid w:val="000E5631"/>
    <w:rsid w:val="000E69EF"/>
    <w:rsid w:val="000E7C46"/>
    <w:rsid w:val="000F0449"/>
    <w:rsid w:val="000F08DA"/>
    <w:rsid w:val="000F14F0"/>
    <w:rsid w:val="000F1D5E"/>
    <w:rsid w:val="000F33D0"/>
    <w:rsid w:val="000F4D9D"/>
    <w:rsid w:val="000F6303"/>
    <w:rsid w:val="00101A98"/>
    <w:rsid w:val="00104CE6"/>
    <w:rsid w:val="00107EA8"/>
    <w:rsid w:val="00114114"/>
    <w:rsid w:val="00117F89"/>
    <w:rsid w:val="00120313"/>
    <w:rsid w:val="00122FE1"/>
    <w:rsid w:val="001233A5"/>
    <w:rsid w:val="00123BC0"/>
    <w:rsid w:val="00123E80"/>
    <w:rsid w:val="00131A15"/>
    <w:rsid w:val="00131C28"/>
    <w:rsid w:val="00134CF7"/>
    <w:rsid w:val="0014182B"/>
    <w:rsid w:val="0014490B"/>
    <w:rsid w:val="00146A5C"/>
    <w:rsid w:val="00146E50"/>
    <w:rsid w:val="00150DB6"/>
    <w:rsid w:val="00154D34"/>
    <w:rsid w:val="001602A2"/>
    <w:rsid w:val="00160E1F"/>
    <w:rsid w:val="00161372"/>
    <w:rsid w:val="001622DB"/>
    <w:rsid w:val="00163F71"/>
    <w:rsid w:val="00173556"/>
    <w:rsid w:val="00177F05"/>
    <w:rsid w:val="0018114F"/>
    <w:rsid w:val="00181ADF"/>
    <w:rsid w:val="001829E5"/>
    <w:rsid w:val="00183A38"/>
    <w:rsid w:val="001854EA"/>
    <w:rsid w:val="00185C26"/>
    <w:rsid w:val="001962CE"/>
    <w:rsid w:val="00196B10"/>
    <w:rsid w:val="00196C7C"/>
    <w:rsid w:val="001A10D6"/>
    <w:rsid w:val="001A1C71"/>
    <w:rsid w:val="001A1DF4"/>
    <w:rsid w:val="001A34C4"/>
    <w:rsid w:val="001B05E7"/>
    <w:rsid w:val="001B645D"/>
    <w:rsid w:val="001B6DDC"/>
    <w:rsid w:val="001B6E76"/>
    <w:rsid w:val="001C0331"/>
    <w:rsid w:val="001C118F"/>
    <w:rsid w:val="001C3A3F"/>
    <w:rsid w:val="001D1087"/>
    <w:rsid w:val="001D2448"/>
    <w:rsid w:val="001D3ADE"/>
    <w:rsid w:val="001D58D3"/>
    <w:rsid w:val="001D776C"/>
    <w:rsid w:val="001D7BCC"/>
    <w:rsid w:val="001E18FE"/>
    <w:rsid w:val="001E5CFF"/>
    <w:rsid w:val="001F3AC8"/>
    <w:rsid w:val="001F70BC"/>
    <w:rsid w:val="001F7FBE"/>
    <w:rsid w:val="002016B1"/>
    <w:rsid w:val="00201875"/>
    <w:rsid w:val="00201AFD"/>
    <w:rsid w:val="00201FDC"/>
    <w:rsid w:val="002022D8"/>
    <w:rsid w:val="00206486"/>
    <w:rsid w:val="00206CC8"/>
    <w:rsid w:val="00211422"/>
    <w:rsid w:val="00212109"/>
    <w:rsid w:val="00224240"/>
    <w:rsid w:val="00226FA2"/>
    <w:rsid w:val="00240BFD"/>
    <w:rsid w:val="0024134B"/>
    <w:rsid w:val="002501BF"/>
    <w:rsid w:val="00251132"/>
    <w:rsid w:val="002535DF"/>
    <w:rsid w:val="002558EB"/>
    <w:rsid w:val="00255B43"/>
    <w:rsid w:val="00255BDC"/>
    <w:rsid w:val="00255BEA"/>
    <w:rsid w:val="00261403"/>
    <w:rsid w:val="00261F59"/>
    <w:rsid w:val="00272AF4"/>
    <w:rsid w:val="00273183"/>
    <w:rsid w:val="00276C06"/>
    <w:rsid w:val="00280198"/>
    <w:rsid w:val="00282033"/>
    <w:rsid w:val="00282094"/>
    <w:rsid w:val="002843BC"/>
    <w:rsid w:val="00284A84"/>
    <w:rsid w:val="002908B4"/>
    <w:rsid w:val="0029129F"/>
    <w:rsid w:val="00292C6F"/>
    <w:rsid w:val="00295C89"/>
    <w:rsid w:val="00296B90"/>
    <w:rsid w:val="00297296"/>
    <w:rsid w:val="002A00D9"/>
    <w:rsid w:val="002A0668"/>
    <w:rsid w:val="002A11F9"/>
    <w:rsid w:val="002A25C4"/>
    <w:rsid w:val="002A500F"/>
    <w:rsid w:val="002A6B8B"/>
    <w:rsid w:val="002A7FBB"/>
    <w:rsid w:val="002B0BDF"/>
    <w:rsid w:val="002B1ED8"/>
    <w:rsid w:val="002B45EC"/>
    <w:rsid w:val="002B62C6"/>
    <w:rsid w:val="002C17A7"/>
    <w:rsid w:val="002C2DA5"/>
    <w:rsid w:val="002C4714"/>
    <w:rsid w:val="002C6160"/>
    <w:rsid w:val="002D02F2"/>
    <w:rsid w:val="002D28EA"/>
    <w:rsid w:val="002D3A5A"/>
    <w:rsid w:val="002D51BB"/>
    <w:rsid w:val="002D5BAE"/>
    <w:rsid w:val="002D5DDC"/>
    <w:rsid w:val="002D6AA3"/>
    <w:rsid w:val="002E27B3"/>
    <w:rsid w:val="002E57A9"/>
    <w:rsid w:val="002E5C33"/>
    <w:rsid w:val="002E5D29"/>
    <w:rsid w:val="002F4279"/>
    <w:rsid w:val="00300EE4"/>
    <w:rsid w:val="0030197F"/>
    <w:rsid w:val="0030223E"/>
    <w:rsid w:val="00303A1E"/>
    <w:rsid w:val="00303BBD"/>
    <w:rsid w:val="00313440"/>
    <w:rsid w:val="00314FCD"/>
    <w:rsid w:val="00315C55"/>
    <w:rsid w:val="00324290"/>
    <w:rsid w:val="003242E9"/>
    <w:rsid w:val="00331737"/>
    <w:rsid w:val="0033243D"/>
    <w:rsid w:val="0033652E"/>
    <w:rsid w:val="00340617"/>
    <w:rsid w:val="00340B13"/>
    <w:rsid w:val="00340CDB"/>
    <w:rsid w:val="003427C6"/>
    <w:rsid w:val="00343472"/>
    <w:rsid w:val="00343BA4"/>
    <w:rsid w:val="003455AA"/>
    <w:rsid w:val="00347634"/>
    <w:rsid w:val="00351E90"/>
    <w:rsid w:val="00360206"/>
    <w:rsid w:val="00361EF9"/>
    <w:rsid w:val="003624EE"/>
    <w:rsid w:val="003632E1"/>
    <w:rsid w:val="003633F4"/>
    <w:rsid w:val="00363CD3"/>
    <w:rsid w:val="003656A9"/>
    <w:rsid w:val="00366852"/>
    <w:rsid w:val="003706EF"/>
    <w:rsid w:val="00370A5D"/>
    <w:rsid w:val="00370BE4"/>
    <w:rsid w:val="00371D56"/>
    <w:rsid w:val="003772EC"/>
    <w:rsid w:val="0037755D"/>
    <w:rsid w:val="0038029F"/>
    <w:rsid w:val="00381F0E"/>
    <w:rsid w:val="0038549B"/>
    <w:rsid w:val="0038628A"/>
    <w:rsid w:val="0038634F"/>
    <w:rsid w:val="00387C5A"/>
    <w:rsid w:val="00391C48"/>
    <w:rsid w:val="00391D8B"/>
    <w:rsid w:val="00393DB7"/>
    <w:rsid w:val="00394337"/>
    <w:rsid w:val="003A437A"/>
    <w:rsid w:val="003A503E"/>
    <w:rsid w:val="003A6039"/>
    <w:rsid w:val="003B47FA"/>
    <w:rsid w:val="003B6208"/>
    <w:rsid w:val="003B7F8F"/>
    <w:rsid w:val="003C19D0"/>
    <w:rsid w:val="003C4172"/>
    <w:rsid w:val="003C437D"/>
    <w:rsid w:val="003C4456"/>
    <w:rsid w:val="003D3301"/>
    <w:rsid w:val="003D4641"/>
    <w:rsid w:val="003E05B7"/>
    <w:rsid w:val="003E0C0A"/>
    <w:rsid w:val="003E6CFF"/>
    <w:rsid w:val="003F5C0C"/>
    <w:rsid w:val="004010E3"/>
    <w:rsid w:val="004055B8"/>
    <w:rsid w:val="0040709D"/>
    <w:rsid w:val="004122F9"/>
    <w:rsid w:val="004124D3"/>
    <w:rsid w:val="004139BA"/>
    <w:rsid w:val="00421CBC"/>
    <w:rsid w:val="00424414"/>
    <w:rsid w:val="0043008C"/>
    <w:rsid w:val="00430B91"/>
    <w:rsid w:val="004374EF"/>
    <w:rsid w:val="00440F61"/>
    <w:rsid w:val="004441CB"/>
    <w:rsid w:val="00450DB8"/>
    <w:rsid w:val="00453D2C"/>
    <w:rsid w:val="0045445F"/>
    <w:rsid w:val="00454851"/>
    <w:rsid w:val="00456070"/>
    <w:rsid w:val="00456B26"/>
    <w:rsid w:val="004570E7"/>
    <w:rsid w:val="00460A1D"/>
    <w:rsid w:val="004613DF"/>
    <w:rsid w:val="00461BB2"/>
    <w:rsid w:val="00463F96"/>
    <w:rsid w:val="004660BE"/>
    <w:rsid w:val="0046696C"/>
    <w:rsid w:val="00466DD7"/>
    <w:rsid w:val="004704B5"/>
    <w:rsid w:val="00470698"/>
    <w:rsid w:val="00471F7D"/>
    <w:rsid w:val="00473B19"/>
    <w:rsid w:val="00474CB3"/>
    <w:rsid w:val="00474ECD"/>
    <w:rsid w:val="004757B5"/>
    <w:rsid w:val="004816ED"/>
    <w:rsid w:val="004834F0"/>
    <w:rsid w:val="004842EF"/>
    <w:rsid w:val="00487185"/>
    <w:rsid w:val="004873AE"/>
    <w:rsid w:val="00487718"/>
    <w:rsid w:val="00490ABE"/>
    <w:rsid w:val="004932A8"/>
    <w:rsid w:val="00497E47"/>
    <w:rsid w:val="004A0368"/>
    <w:rsid w:val="004A2715"/>
    <w:rsid w:val="004A2894"/>
    <w:rsid w:val="004A2B41"/>
    <w:rsid w:val="004A3B3E"/>
    <w:rsid w:val="004B2226"/>
    <w:rsid w:val="004B4D86"/>
    <w:rsid w:val="004B6BED"/>
    <w:rsid w:val="004B77C2"/>
    <w:rsid w:val="004B786D"/>
    <w:rsid w:val="004C0B3D"/>
    <w:rsid w:val="004C2D7B"/>
    <w:rsid w:val="004C45D2"/>
    <w:rsid w:val="004C5EEF"/>
    <w:rsid w:val="004C65AF"/>
    <w:rsid w:val="004D118A"/>
    <w:rsid w:val="004D1CB9"/>
    <w:rsid w:val="004D21C9"/>
    <w:rsid w:val="004D66F3"/>
    <w:rsid w:val="004E34F8"/>
    <w:rsid w:val="004E3979"/>
    <w:rsid w:val="004E3C84"/>
    <w:rsid w:val="004E528B"/>
    <w:rsid w:val="004F146C"/>
    <w:rsid w:val="004F1F3C"/>
    <w:rsid w:val="004F657B"/>
    <w:rsid w:val="005016FB"/>
    <w:rsid w:val="0050408D"/>
    <w:rsid w:val="00504C6A"/>
    <w:rsid w:val="00510364"/>
    <w:rsid w:val="005116C9"/>
    <w:rsid w:val="00511BEE"/>
    <w:rsid w:val="00515293"/>
    <w:rsid w:val="005175E9"/>
    <w:rsid w:val="00520368"/>
    <w:rsid w:val="0052658A"/>
    <w:rsid w:val="00533270"/>
    <w:rsid w:val="00540146"/>
    <w:rsid w:val="00541E8D"/>
    <w:rsid w:val="00543C22"/>
    <w:rsid w:val="0054405B"/>
    <w:rsid w:val="0054567F"/>
    <w:rsid w:val="00546B44"/>
    <w:rsid w:val="00553291"/>
    <w:rsid w:val="005546FF"/>
    <w:rsid w:val="00556B72"/>
    <w:rsid w:val="005605E4"/>
    <w:rsid w:val="00560818"/>
    <w:rsid w:val="00563D7B"/>
    <w:rsid w:val="00563E3B"/>
    <w:rsid w:val="005643C8"/>
    <w:rsid w:val="005673D1"/>
    <w:rsid w:val="00570041"/>
    <w:rsid w:val="00570F38"/>
    <w:rsid w:val="00573955"/>
    <w:rsid w:val="00580E33"/>
    <w:rsid w:val="00583225"/>
    <w:rsid w:val="0058393D"/>
    <w:rsid w:val="0058724D"/>
    <w:rsid w:val="00596593"/>
    <w:rsid w:val="00596A35"/>
    <w:rsid w:val="005979CD"/>
    <w:rsid w:val="005A12F0"/>
    <w:rsid w:val="005A2B27"/>
    <w:rsid w:val="005A2D42"/>
    <w:rsid w:val="005A3A81"/>
    <w:rsid w:val="005A5291"/>
    <w:rsid w:val="005A6FD1"/>
    <w:rsid w:val="005B08F1"/>
    <w:rsid w:val="005B47BC"/>
    <w:rsid w:val="005C00EC"/>
    <w:rsid w:val="005C15C9"/>
    <w:rsid w:val="005C30E9"/>
    <w:rsid w:val="005C663B"/>
    <w:rsid w:val="005D1C38"/>
    <w:rsid w:val="005D1ED6"/>
    <w:rsid w:val="005D3CD8"/>
    <w:rsid w:val="005D67E5"/>
    <w:rsid w:val="005D767A"/>
    <w:rsid w:val="005E2628"/>
    <w:rsid w:val="005E5F66"/>
    <w:rsid w:val="005F2295"/>
    <w:rsid w:val="005F46EC"/>
    <w:rsid w:val="005F49C9"/>
    <w:rsid w:val="005F5E46"/>
    <w:rsid w:val="005F6BC1"/>
    <w:rsid w:val="005F71CE"/>
    <w:rsid w:val="005F7A68"/>
    <w:rsid w:val="00601980"/>
    <w:rsid w:val="0060332C"/>
    <w:rsid w:val="00604C5A"/>
    <w:rsid w:val="00607448"/>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191"/>
    <w:rsid w:val="00654D37"/>
    <w:rsid w:val="006621F0"/>
    <w:rsid w:val="006647E7"/>
    <w:rsid w:val="006655C8"/>
    <w:rsid w:val="00666FD4"/>
    <w:rsid w:val="00667217"/>
    <w:rsid w:val="006702C6"/>
    <w:rsid w:val="006769E6"/>
    <w:rsid w:val="00676C63"/>
    <w:rsid w:val="00682333"/>
    <w:rsid w:val="006844CA"/>
    <w:rsid w:val="00686187"/>
    <w:rsid w:val="006871E0"/>
    <w:rsid w:val="00687D17"/>
    <w:rsid w:val="00693B53"/>
    <w:rsid w:val="00697377"/>
    <w:rsid w:val="00697E6F"/>
    <w:rsid w:val="006A1F61"/>
    <w:rsid w:val="006A533C"/>
    <w:rsid w:val="006A5E52"/>
    <w:rsid w:val="006A712D"/>
    <w:rsid w:val="006A7B71"/>
    <w:rsid w:val="006B20FD"/>
    <w:rsid w:val="006B3B2B"/>
    <w:rsid w:val="006C024E"/>
    <w:rsid w:val="006C7ED1"/>
    <w:rsid w:val="006D04BF"/>
    <w:rsid w:val="006D75E1"/>
    <w:rsid w:val="006D7670"/>
    <w:rsid w:val="006E10F4"/>
    <w:rsid w:val="006E10FD"/>
    <w:rsid w:val="006E2996"/>
    <w:rsid w:val="006E2EEC"/>
    <w:rsid w:val="006E471E"/>
    <w:rsid w:val="006E4859"/>
    <w:rsid w:val="006F17BB"/>
    <w:rsid w:val="006F24E3"/>
    <w:rsid w:val="00703E6E"/>
    <w:rsid w:val="007065D3"/>
    <w:rsid w:val="0070701C"/>
    <w:rsid w:val="007071B1"/>
    <w:rsid w:val="00707EC1"/>
    <w:rsid w:val="00710582"/>
    <w:rsid w:val="00714EE9"/>
    <w:rsid w:val="0072120E"/>
    <w:rsid w:val="00722CF8"/>
    <w:rsid w:val="007246B0"/>
    <w:rsid w:val="007258CB"/>
    <w:rsid w:val="00730E29"/>
    <w:rsid w:val="00732FF6"/>
    <w:rsid w:val="00735393"/>
    <w:rsid w:val="0074111E"/>
    <w:rsid w:val="00745E32"/>
    <w:rsid w:val="007466F7"/>
    <w:rsid w:val="00750A84"/>
    <w:rsid w:val="00757D89"/>
    <w:rsid w:val="0076194B"/>
    <w:rsid w:val="007625D2"/>
    <w:rsid w:val="00763676"/>
    <w:rsid w:val="00764E66"/>
    <w:rsid w:val="0077247D"/>
    <w:rsid w:val="00772776"/>
    <w:rsid w:val="007753B9"/>
    <w:rsid w:val="00776E56"/>
    <w:rsid w:val="00781619"/>
    <w:rsid w:val="0079146B"/>
    <w:rsid w:val="00791DD5"/>
    <w:rsid w:val="00796875"/>
    <w:rsid w:val="0079756E"/>
    <w:rsid w:val="007A1233"/>
    <w:rsid w:val="007A258F"/>
    <w:rsid w:val="007A3B3A"/>
    <w:rsid w:val="007A5355"/>
    <w:rsid w:val="007A7B86"/>
    <w:rsid w:val="007B0BBA"/>
    <w:rsid w:val="007C16F7"/>
    <w:rsid w:val="007D0DEA"/>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48EF"/>
    <w:rsid w:val="008061E0"/>
    <w:rsid w:val="0080711D"/>
    <w:rsid w:val="00807790"/>
    <w:rsid w:val="00813292"/>
    <w:rsid w:val="00813E40"/>
    <w:rsid w:val="0081567A"/>
    <w:rsid w:val="00816489"/>
    <w:rsid w:val="00817C16"/>
    <w:rsid w:val="00820049"/>
    <w:rsid w:val="0082013E"/>
    <w:rsid w:val="00822617"/>
    <w:rsid w:val="00824B15"/>
    <w:rsid w:val="008322E3"/>
    <w:rsid w:val="00834DF7"/>
    <w:rsid w:val="00836F01"/>
    <w:rsid w:val="008406F5"/>
    <w:rsid w:val="00841F1E"/>
    <w:rsid w:val="00842203"/>
    <w:rsid w:val="008436D4"/>
    <w:rsid w:val="00850E3E"/>
    <w:rsid w:val="00852613"/>
    <w:rsid w:val="00862DCE"/>
    <w:rsid w:val="00864432"/>
    <w:rsid w:val="008649A3"/>
    <w:rsid w:val="0086670A"/>
    <w:rsid w:val="00870743"/>
    <w:rsid w:val="00870BA1"/>
    <w:rsid w:val="00873CDE"/>
    <w:rsid w:val="00874421"/>
    <w:rsid w:val="008755AA"/>
    <w:rsid w:val="00875997"/>
    <w:rsid w:val="0087796C"/>
    <w:rsid w:val="00880932"/>
    <w:rsid w:val="008825B5"/>
    <w:rsid w:val="00885E74"/>
    <w:rsid w:val="0088683E"/>
    <w:rsid w:val="00886B14"/>
    <w:rsid w:val="0089015A"/>
    <w:rsid w:val="008927F4"/>
    <w:rsid w:val="00892DC7"/>
    <w:rsid w:val="00893B58"/>
    <w:rsid w:val="00894E4C"/>
    <w:rsid w:val="0089642A"/>
    <w:rsid w:val="008A1743"/>
    <w:rsid w:val="008A23DD"/>
    <w:rsid w:val="008A6172"/>
    <w:rsid w:val="008A6C51"/>
    <w:rsid w:val="008B07EC"/>
    <w:rsid w:val="008B15CF"/>
    <w:rsid w:val="008B2242"/>
    <w:rsid w:val="008B4AD1"/>
    <w:rsid w:val="008B61C0"/>
    <w:rsid w:val="008B6D93"/>
    <w:rsid w:val="008B7AF1"/>
    <w:rsid w:val="008C3543"/>
    <w:rsid w:val="008C5F1C"/>
    <w:rsid w:val="008D0F0D"/>
    <w:rsid w:val="008D0FF2"/>
    <w:rsid w:val="008D14D6"/>
    <w:rsid w:val="008D1D7F"/>
    <w:rsid w:val="008D3526"/>
    <w:rsid w:val="008D6F65"/>
    <w:rsid w:val="008E6FB5"/>
    <w:rsid w:val="008F0401"/>
    <w:rsid w:val="008F04C1"/>
    <w:rsid w:val="008F2457"/>
    <w:rsid w:val="008F252A"/>
    <w:rsid w:val="008F338B"/>
    <w:rsid w:val="008F6AFD"/>
    <w:rsid w:val="008F7645"/>
    <w:rsid w:val="0090248F"/>
    <w:rsid w:val="00902C22"/>
    <w:rsid w:val="00902F25"/>
    <w:rsid w:val="0090407E"/>
    <w:rsid w:val="00905334"/>
    <w:rsid w:val="009066A7"/>
    <w:rsid w:val="00907ABB"/>
    <w:rsid w:val="00911307"/>
    <w:rsid w:val="00912BFF"/>
    <w:rsid w:val="00915110"/>
    <w:rsid w:val="009151B5"/>
    <w:rsid w:val="00916ADA"/>
    <w:rsid w:val="00916C64"/>
    <w:rsid w:val="00925107"/>
    <w:rsid w:val="00925421"/>
    <w:rsid w:val="009267EE"/>
    <w:rsid w:val="00927998"/>
    <w:rsid w:val="00931BEF"/>
    <w:rsid w:val="00932185"/>
    <w:rsid w:val="009346E4"/>
    <w:rsid w:val="009354E9"/>
    <w:rsid w:val="00935F23"/>
    <w:rsid w:val="009372D8"/>
    <w:rsid w:val="00937D12"/>
    <w:rsid w:val="00940ED2"/>
    <w:rsid w:val="009414DB"/>
    <w:rsid w:val="00946997"/>
    <w:rsid w:val="0094737A"/>
    <w:rsid w:val="00950094"/>
    <w:rsid w:val="0095139E"/>
    <w:rsid w:val="00951536"/>
    <w:rsid w:val="00952B32"/>
    <w:rsid w:val="00952C61"/>
    <w:rsid w:val="00954078"/>
    <w:rsid w:val="00954B3E"/>
    <w:rsid w:val="009554A6"/>
    <w:rsid w:val="00956FEB"/>
    <w:rsid w:val="009650D5"/>
    <w:rsid w:val="0096535F"/>
    <w:rsid w:val="00965F35"/>
    <w:rsid w:val="00966500"/>
    <w:rsid w:val="00967D81"/>
    <w:rsid w:val="009729A3"/>
    <w:rsid w:val="009732A9"/>
    <w:rsid w:val="00977C0E"/>
    <w:rsid w:val="00977F1D"/>
    <w:rsid w:val="00982217"/>
    <w:rsid w:val="00984B39"/>
    <w:rsid w:val="00986A83"/>
    <w:rsid w:val="00990645"/>
    <w:rsid w:val="009929A6"/>
    <w:rsid w:val="009A130B"/>
    <w:rsid w:val="009A2639"/>
    <w:rsid w:val="009A26AD"/>
    <w:rsid w:val="009A397F"/>
    <w:rsid w:val="009B0DEC"/>
    <w:rsid w:val="009B4F83"/>
    <w:rsid w:val="009B6983"/>
    <w:rsid w:val="009C5450"/>
    <w:rsid w:val="009C5716"/>
    <w:rsid w:val="009D2F92"/>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4D2C"/>
    <w:rsid w:val="00A0642B"/>
    <w:rsid w:val="00A11F34"/>
    <w:rsid w:val="00A1350A"/>
    <w:rsid w:val="00A14CDD"/>
    <w:rsid w:val="00A1655C"/>
    <w:rsid w:val="00A177BA"/>
    <w:rsid w:val="00A231A4"/>
    <w:rsid w:val="00A2600E"/>
    <w:rsid w:val="00A26E11"/>
    <w:rsid w:val="00A27675"/>
    <w:rsid w:val="00A27C51"/>
    <w:rsid w:val="00A30270"/>
    <w:rsid w:val="00A30377"/>
    <w:rsid w:val="00A310DA"/>
    <w:rsid w:val="00A32FCB"/>
    <w:rsid w:val="00A3561C"/>
    <w:rsid w:val="00A400BC"/>
    <w:rsid w:val="00A40701"/>
    <w:rsid w:val="00A41358"/>
    <w:rsid w:val="00A42169"/>
    <w:rsid w:val="00A424F1"/>
    <w:rsid w:val="00A426B2"/>
    <w:rsid w:val="00A45EE8"/>
    <w:rsid w:val="00A465FC"/>
    <w:rsid w:val="00A47B50"/>
    <w:rsid w:val="00A50459"/>
    <w:rsid w:val="00A506CB"/>
    <w:rsid w:val="00A52369"/>
    <w:rsid w:val="00A52A88"/>
    <w:rsid w:val="00A55701"/>
    <w:rsid w:val="00A56ED1"/>
    <w:rsid w:val="00A60305"/>
    <w:rsid w:val="00A648A4"/>
    <w:rsid w:val="00A650B2"/>
    <w:rsid w:val="00A7290A"/>
    <w:rsid w:val="00A72CD6"/>
    <w:rsid w:val="00A742B5"/>
    <w:rsid w:val="00A75006"/>
    <w:rsid w:val="00A81E28"/>
    <w:rsid w:val="00A82932"/>
    <w:rsid w:val="00A82D07"/>
    <w:rsid w:val="00A868FB"/>
    <w:rsid w:val="00A8757B"/>
    <w:rsid w:val="00A915ED"/>
    <w:rsid w:val="00A91CF2"/>
    <w:rsid w:val="00A93BA4"/>
    <w:rsid w:val="00A9416E"/>
    <w:rsid w:val="00AA1B10"/>
    <w:rsid w:val="00AA493D"/>
    <w:rsid w:val="00AB4807"/>
    <w:rsid w:val="00AB4813"/>
    <w:rsid w:val="00AC0052"/>
    <w:rsid w:val="00AC04D6"/>
    <w:rsid w:val="00AC4AAF"/>
    <w:rsid w:val="00AD044E"/>
    <w:rsid w:val="00AD0685"/>
    <w:rsid w:val="00AD38C1"/>
    <w:rsid w:val="00AD5A78"/>
    <w:rsid w:val="00AE1517"/>
    <w:rsid w:val="00AE1DC1"/>
    <w:rsid w:val="00AE4078"/>
    <w:rsid w:val="00AE4230"/>
    <w:rsid w:val="00AE44F4"/>
    <w:rsid w:val="00AE69D7"/>
    <w:rsid w:val="00AE71AA"/>
    <w:rsid w:val="00AE7342"/>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022"/>
    <w:rsid w:val="00B30468"/>
    <w:rsid w:val="00B31615"/>
    <w:rsid w:val="00B32160"/>
    <w:rsid w:val="00B32B07"/>
    <w:rsid w:val="00B33335"/>
    <w:rsid w:val="00B336E9"/>
    <w:rsid w:val="00B3397D"/>
    <w:rsid w:val="00B3426B"/>
    <w:rsid w:val="00B34F7B"/>
    <w:rsid w:val="00B35999"/>
    <w:rsid w:val="00B421BE"/>
    <w:rsid w:val="00B43742"/>
    <w:rsid w:val="00B44237"/>
    <w:rsid w:val="00B47B4C"/>
    <w:rsid w:val="00B47D09"/>
    <w:rsid w:val="00B50108"/>
    <w:rsid w:val="00B525D3"/>
    <w:rsid w:val="00B55B5C"/>
    <w:rsid w:val="00B56290"/>
    <w:rsid w:val="00B61B54"/>
    <w:rsid w:val="00B6351D"/>
    <w:rsid w:val="00B64203"/>
    <w:rsid w:val="00B6519E"/>
    <w:rsid w:val="00B66AF1"/>
    <w:rsid w:val="00B70245"/>
    <w:rsid w:val="00B703C2"/>
    <w:rsid w:val="00B74E41"/>
    <w:rsid w:val="00B75B95"/>
    <w:rsid w:val="00B7740D"/>
    <w:rsid w:val="00B80811"/>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3754"/>
    <w:rsid w:val="00BA5FEF"/>
    <w:rsid w:val="00BA7628"/>
    <w:rsid w:val="00BB2130"/>
    <w:rsid w:val="00BB30B6"/>
    <w:rsid w:val="00BB40CB"/>
    <w:rsid w:val="00BB7C37"/>
    <w:rsid w:val="00BC168F"/>
    <w:rsid w:val="00BC1E95"/>
    <w:rsid w:val="00BC2262"/>
    <w:rsid w:val="00BC3D81"/>
    <w:rsid w:val="00BC420A"/>
    <w:rsid w:val="00BC540B"/>
    <w:rsid w:val="00BC6B8C"/>
    <w:rsid w:val="00BC7302"/>
    <w:rsid w:val="00BD01F3"/>
    <w:rsid w:val="00BD0D8D"/>
    <w:rsid w:val="00BD2279"/>
    <w:rsid w:val="00BD2695"/>
    <w:rsid w:val="00BD439F"/>
    <w:rsid w:val="00BD4F14"/>
    <w:rsid w:val="00BE2644"/>
    <w:rsid w:val="00BE42F3"/>
    <w:rsid w:val="00BE551C"/>
    <w:rsid w:val="00BF6ECD"/>
    <w:rsid w:val="00BF790B"/>
    <w:rsid w:val="00C01E67"/>
    <w:rsid w:val="00C05302"/>
    <w:rsid w:val="00C06B6B"/>
    <w:rsid w:val="00C06F37"/>
    <w:rsid w:val="00C0799A"/>
    <w:rsid w:val="00C13438"/>
    <w:rsid w:val="00C1668D"/>
    <w:rsid w:val="00C170FF"/>
    <w:rsid w:val="00C173E1"/>
    <w:rsid w:val="00C1796C"/>
    <w:rsid w:val="00C17F66"/>
    <w:rsid w:val="00C2019E"/>
    <w:rsid w:val="00C27AEF"/>
    <w:rsid w:val="00C3110E"/>
    <w:rsid w:val="00C3466C"/>
    <w:rsid w:val="00C355FF"/>
    <w:rsid w:val="00C35C9B"/>
    <w:rsid w:val="00C41A64"/>
    <w:rsid w:val="00C47122"/>
    <w:rsid w:val="00C47959"/>
    <w:rsid w:val="00C47CEA"/>
    <w:rsid w:val="00C515E0"/>
    <w:rsid w:val="00C5182B"/>
    <w:rsid w:val="00C51F97"/>
    <w:rsid w:val="00C531A3"/>
    <w:rsid w:val="00C57F24"/>
    <w:rsid w:val="00C6203D"/>
    <w:rsid w:val="00C63EA6"/>
    <w:rsid w:val="00C65F47"/>
    <w:rsid w:val="00C6619F"/>
    <w:rsid w:val="00C6624A"/>
    <w:rsid w:val="00C742C3"/>
    <w:rsid w:val="00C75559"/>
    <w:rsid w:val="00C76D88"/>
    <w:rsid w:val="00C76D9B"/>
    <w:rsid w:val="00C7785D"/>
    <w:rsid w:val="00C77A26"/>
    <w:rsid w:val="00C85BDD"/>
    <w:rsid w:val="00C86B81"/>
    <w:rsid w:val="00C91557"/>
    <w:rsid w:val="00C92F74"/>
    <w:rsid w:val="00C938B6"/>
    <w:rsid w:val="00CA0B86"/>
    <w:rsid w:val="00CA1C19"/>
    <w:rsid w:val="00CA204D"/>
    <w:rsid w:val="00CA2A55"/>
    <w:rsid w:val="00CA2E14"/>
    <w:rsid w:val="00CA60CD"/>
    <w:rsid w:val="00CB10E9"/>
    <w:rsid w:val="00CB11D6"/>
    <w:rsid w:val="00CB5475"/>
    <w:rsid w:val="00CB665E"/>
    <w:rsid w:val="00CB6E09"/>
    <w:rsid w:val="00CC09A7"/>
    <w:rsid w:val="00CC0FD9"/>
    <w:rsid w:val="00CC1F8F"/>
    <w:rsid w:val="00CC3C26"/>
    <w:rsid w:val="00CD139B"/>
    <w:rsid w:val="00CD3DD6"/>
    <w:rsid w:val="00CD5E59"/>
    <w:rsid w:val="00CD7831"/>
    <w:rsid w:val="00CE05D4"/>
    <w:rsid w:val="00CE19A7"/>
    <w:rsid w:val="00CE4712"/>
    <w:rsid w:val="00CE50C3"/>
    <w:rsid w:val="00CF53EE"/>
    <w:rsid w:val="00D01E5B"/>
    <w:rsid w:val="00D02378"/>
    <w:rsid w:val="00D02BE9"/>
    <w:rsid w:val="00D05B14"/>
    <w:rsid w:val="00D101DD"/>
    <w:rsid w:val="00D14423"/>
    <w:rsid w:val="00D15ACE"/>
    <w:rsid w:val="00D15F27"/>
    <w:rsid w:val="00D17394"/>
    <w:rsid w:val="00D179CE"/>
    <w:rsid w:val="00D17B7F"/>
    <w:rsid w:val="00D21541"/>
    <w:rsid w:val="00D23FFF"/>
    <w:rsid w:val="00D26039"/>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66C7B"/>
    <w:rsid w:val="00D726DB"/>
    <w:rsid w:val="00D72A6E"/>
    <w:rsid w:val="00D73164"/>
    <w:rsid w:val="00D73D8F"/>
    <w:rsid w:val="00D77E53"/>
    <w:rsid w:val="00D8135F"/>
    <w:rsid w:val="00D81DD5"/>
    <w:rsid w:val="00D84167"/>
    <w:rsid w:val="00D87BB8"/>
    <w:rsid w:val="00D90BD9"/>
    <w:rsid w:val="00D90E00"/>
    <w:rsid w:val="00D932C5"/>
    <w:rsid w:val="00D939A7"/>
    <w:rsid w:val="00D9581C"/>
    <w:rsid w:val="00D95DCB"/>
    <w:rsid w:val="00D96228"/>
    <w:rsid w:val="00DA5459"/>
    <w:rsid w:val="00DA619A"/>
    <w:rsid w:val="00DB357A"/>
    <w:rsid w:val="00DB4233"/>
    <w:rsid w:val="00DB4879"/>
    <w:rsid w:val="00DB5097"/>
    <w:rsid w:val="00DC056B"/>
    <w:rsid w:val="00DC4F7C"/>
    <w:rsid w:val="00DC7134"/>
    <w:rsid w:val="00DC7C2C"/>
    <w:rsid w:val="00DD2256"/>
    <w:rsid w:val="00DD4B55"/>
    <w:rsid w:val="00DD5871"/>
    <w:rsid w:val="00DE2F66"/>
    <w:rsid w:val="00DE4173"/>
    <w:rsid w:val="00DE4592"/>
    <w:rsid w:val="00DF6125"/>
    <w:rsid w:val="00DF6E60"/>
    <w:rsid w:val="00E10D5B"/>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07BF"/>
    <w:rsid w:val="00E52F87"/>
    <w:rsid w:val="00E57050"/>
    <w:rsid w:val="00E6120D"/>
    <w:rsid w:val="00E6179B"/>
    <w:rsid w:val="00E61D06"/>
    <w:rsid w:val="00E679B9"/>
    <w:rsid w:val="00E7043E"/>
    <w:rsid w:val="00E7280E"/>
    <w:rsid w:val="00E747D9"/>
    <w:rsid w:val="00E75D5D"/>
    <w:rsid w:val="00E766CA"/>
    <w:rsid w:val="00E81F85"/>
    <w:rsid w:val="00E8413D"/>
    <w:rsid w:val="00E84C2A"/>
    <w:rsid w:val="00E90CA1"/>
    <w:rsid w:val="00E91D25"/>
    <w:rsid w:val="00E953CF"/>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0E9"/>
    <w:rsid w:val="00EE1F48"/>
    <w:rsid w:val="00EE3C5A"/>
    <w:rsid w:val="00EE4E0F"/>
    <w:rsid w:val="00EE504D"/>
    <w:rsid w:val="00EE75E3"/>
    <w:rsid w:val="00EE7777"/>
    <w:rsid w:val="00EF0C86"/>
    <w:rsid w:val="00EF2D7A"/>
    <w:rsid w:val="00EF586D"/>
    <w:rsid w:val="00F00B9A"/>
    <w:rsid w:val="00F0246E"/>
    <w:rsid w:val="00F026DB"/>
    <w:rsid w:val="00F04133"/>
    <w:rsid w:val="00F10CD2"/>
    <w:rsid w:val="00F12233"/>
    <w:rsid w:val="00F12CE1"/>
    <w:rsid w:val="00F13CA7"/>
    <w:rsid w:val="00F14096"/>
    <w:rsid w:val="00F14820"/>
    <w:rsid w:val="00F15DDE"/>
    <w:rsid w:val="00F21DA9"/>
    <w:rsid w:val="00F24854"/>
    <w:rsid w:val="00F30DED"/>
    <w:rsid w:val="00F31DB2"/>
    <w:rsid w:val="00F31F67"/>
    <w:rsid w:val="00F37720"/>
    <w:rsid w:val="00F4046D"/>
    <w:rsid w:val="00F40A6C"/>
    <w:rsid w:val="00F44EA5"/>
    <w:rsid w:val="00F4518D"/>
    <w:rsid w:val="00F4573E"/>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1A6D"/>
    <w:rsid w:val="00F74422"/>
    <w:rsid w:val="00F7569B"/>
    <w:rsid w:val="00F76222"/>
    <w:rsid w:val="00F83712"/>
    <w:rsid w:val="00F86BEC"/>
    <w:rsid w:val="00F9324C"/>
    <w:rsid w:val="00F9447B"/>
    <w:rsid w:val="00F944E0"/>
    <w:rsid w:val="00F95C39"/>
    <w:rsid w:val="00F9784B"/>
    <w:rsid w:val="00FA132A"/>
    <w:rsid w:val="00FA1FC3"/>
    <w:rsid w:val="00FA2DBC"/>
    <w:rsid w:val="00FA431A"/>
    <w:rsid w:val="00FA54C6"/>
    <w:rsid w:val="00FA58D9"/>
    <w:rsid w:val="00FA5E0B"/>
    <w:rsid w:val="00FA6985"/>
    <w:rsid w:val="00FA6FE0"/>
    <w:rsid w:val="00FA7BFA"/>
    <w:rsid w:val="00FB00F5"/>
    <w:rsid w:val="00FB0527"/>
    <w:rsid w:val="00FB3A37"/>
    <w:rsid w:val="00FB635D"/>
    <w:rsid w:val="00FB6BC1"/>
    <w:rsid w:val="00FB7945"/>
    <w:rsid w:val="00FC0EED"/>
    <w:rsid w:val="00FC11D2"/>
    <w:rsid w:val="00FC1405"/>
    <w:rsid w:val="00FD0FFF"/>
    <w:rsid w:val="00FE2208"/>
    <w:rsid w:val="00FE2251"/>
    <w:rsid w:val="00FE2769"/>
    <w:rsid w:val="00FE2ED0"/>
    <w:rsid w:val="00FE3C8C"/>
    <w:rsid w:val="00FE41C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B14"/>
  </w:style>
  <w:style w:type="paragraph" w:styleId="Heading1">
    <w:name w:val="heading 1"/>
    <w:basedOn w:val="Normal"/>
    <w:next w:val="Normal"/>
    <w:link w:val="Heading1Char"/>
    <w:uiPriority w:val="1"/>
    <w:qFormat/>
    <w:rsid w:val="00D05B1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1"/>
    <w:unhideWhenUsed/>
    <w:qFormat/>
    <w:rsid w:val="00D05B1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5B1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5B14"/>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5B1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5B14"/>
    <w:pPr>
      <w:keepNext/>
      <w:keepLines/>
      <w:spacing w:before="40" w:after="0"/>
      <w:outlineLvl w:val="5"/>
    </w:pPr>
  </w:style>
  <w:style w:type="paragraph" w:styleId="Heading7">
    <w:name w:val="heading 7"/>
    <w:basedOn w:val="Normal"/>
    <w:next w:val="Normal"/>
    <w:link w:val="Heading7Char"/>
    <w:uiPriority w:val="9"/>
    <w:semiHidden/>
    <w:unhideWhenUsed/>
    <w:qFormat/>
    <w:rsid w:val="00D05B1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5B1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5B1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05B1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1"/>
    <w:rsid w:val="00D05B1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5B1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5B14"/>
    <w:rPr>
      <w:i/>
      <w:iCs/>
    </w:rPr>
  </w:style>
  <w:style w:type="character" w:customStyle="1" w:styleId="Heading5Char">
    <w:name w:val="Heading 5 Char"/>
    <w:basedOn w:val="DefaultParagraphFont"/>
    <w:link w:val="Heading5"/>
    <w:uiPriority w:val="9"/>
    <w:semiHidden/>
    <w:rsid w:val="00D05B14"/>
    <w:rPr>
      <w:color w:val="404040" w:themeColor="text1" w:themeTint="BF"/>
    </w:rPr>
  </w:style>
  <w:style w:type="character" w:customStyle="1" w:styleId="Heading6Char">
    <w:name w:val="Heading 6 Char"/>
    <w:basedOn w:val="DefaultParagraphFont"/>
    <w:link w:val="Heading6"/>
    <w:uiPriority w:val="9"/>
    <w:semiHidden/>
    <w:rsid w:val="00D05B14"/>
  </w:style>
  <w:style w:type="character" w:customStyle="1" w:styleId="Heading7Char">
    <w:name w:val="Heading 7 Char"/>
    <w:basedOn w:val="DefaultParagraphFont"/>
    <w:link w:val="Heading7"/>
    <w:uiPriority w:val="9"/>
    <w:semiHidden/>
    <w:rsid w:val="00D05B1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5B14"/>
    <w:rPr>
      <w:color w:val="262626" w:themeColor="text1" w:themeTint="D9"/>
      <w:sz w:val="21"/>
      <w:szCs w:val="21"/>
    </w:rPr>
  </w:style>
  <w:style w:type="character" w:customStyle="1" w:styleId="Heading9Char">
    <w:name w:val="Heading 9 Char"/>
    <w:basedOn w:val="DefaultParagraphFont"/>
    <w:link w:val="Heading9"/>
    <w:uiPriority w:val="9"/>
    <w:semiHidden/>
    <w:rsid w:val="00D05B1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5B1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5B1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5B1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5B1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5B14"/>
    <w:rPr>
      <w:color w:val="5A5A5A" w:themeColor="text1" w:themeTint="A5"/>
      <w:spacing w:val="15"/>
    </w:rPr>
  </w:style>
  <w:style w:type="character" w:styleId="Strong">
    <w:name w:val="Strong"/>
    <w:basedOn w:val="DefaultParagraphFont"/>
    <w:uiPriority w:val="22"/>
    <w:qFormat/>
    <w:rsid w:val="00D05B14"/>
    <w:rPr>
      <w:b/>
      <w:bCs/>
      <w:color w:val="auto"/>
    </w:rPr>
  </w:style>
  <w:style w:type="character" w:styleId="Emphasis">
    <w:name w:val="Emphasis"/>
    <w:basedOn w:val="DefaultParagraphFont"/>
    <w:uiPriority w:val="20"/>
    <w:qFormat/>
    <w:rsid w:val="00D05B14"/>
    <w:rPr>
      <w:i/>
      <w:iCs/>
      <w:color w:val="auto"/>
    </w:rPr>
  </w:style>
  <w:style w:type="paragraph" w:styleId="NoSpacing">
    <w:name w:val="No Spacing"/>
    <w:uiPriority w:val="1"/>
    <w:qFormat/>
    <w:rsid w:val="00D05B14"/>
    <w:pPr>
      <w:spacing w:after="0" w:line="240" w:lineRule="auto"/>
    </w:pPr>
  </w:style>
  <w:style w:type="paragraph" w:styleId="ListParagraph">
    <w:name w:val="List Paragraph"/>
    <w:basedOn w:val="Normal"/>
    <w:uiPriority w:val="1"/>
    <w:qFormat/>
    <w:rsid w:val="00061102"/>
    <w:pPr>
      <w:ind w:left="720"/>
      <w:contextualSpacing/>
    </w:pPr>
  </w:style>
  <w:style w:type="paragraph" w:styleId="Quote">
    <w:name w:val="Quote"/>
    <w:basedOn w:val="Normal"/>
    <w:next w:val="Normal"/>
    <w:link w:val="QuoteChar"/>
    <w:uiPriority w:val="29"/>
    <w:qFormat/>
    <w:rsid w:val="00D05B1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5B14"/>
    <w:rPr>
      <w:i/>
      <w:iCs/>
      <w:color w:val="404040" w:themeColor="text1" w:themeTint="BF"/>
    </w:rPr>
  </w:style>
  <w:style w:type="paragraph" w:styleId="IntenseQuote">
    <w:name w:val="Intense Quote"/>
    <w:basedOn w:val="Normal"/>
    <w:next w:val="Normal"/>
    <w:link w:val="IntenseQuoteChar"/>
    <w:uiPriority w:val="30"/>
    <w:qFormat/>
    <w:rsid w:val="00D05B1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5B14"/>
    <w:rPr>
      <w:i/>
      <w:iCs/>
      <w:color w:val="404040" w:themeColor="text1" w:themeTint="BF"/>
    </w:rPr>
  </w:style>
  <w:style w:type="character" w:styleId="SubtleEmphasis">
    <w:name w:val="Subtle Emphasis"/>
    <w:basedOn w:val="DefaultParagraphFont"/>
    <w:uiPriority w:val="19"/>
    <w:qFormat/>
    <w:rsid w:val="00D05B14"/>
    <w:rPr>
      <w:i/>
      <w:iCs/>
      <w:color w:val="404040" w:themeColor="text1" w:themeTint="BF"/>
    </w:rPr>
  </w:style>
  <w:style w:type="character" w:styleId="IntenseEmphasis">
    <w:name w:val="Intense Emphasis"/>
    <w:basedOn w:val="DefaultParagraphFont"/>
    <w:uiPriority w:val="21"/>
    <w:qFormat/>
    <w:rsid w:val="00D05B14"/>
    <w:rPr>
      <w:b/>
      <w:bCs/>
      <w:i/>
      <w:iCs/>
      <w:color w:val="auto"/>
    </w:rPr>
  </w:style>
  <w:style w:type="character" w:styleId="SubtleReference">
    <w:name w:val="Subtle Reference"/>
    <w:basedOn w:val="DefaultParagraphFont"/>
    <w:uiPriority w:val="31"/>
    <w:qFormat/>
    <w:rsid w:val="00D05B14"/>
    <w:rPr>
      <w:smallCaps/>
      <w:color w:val="404040" w:themeColor="text1" w:themeTint="BF"/>
    </w:rPr>
  </w:style>
  <w:style w:type="character" w:styleId="IntenseReference">
    <w:name w:val="Intense Reference"/>
    <w:basedOn w:val="DefaultParagraphFont"/>
    <w:uiPriority w:val="32"/>
    <w:qFormat/>
    <w:rsid w:val="00D05B14"/>
    <w:rPr>
      <w:b/>
      <w:bCs/>
      <w:smallCaps/>
      <w:color w:val="404040" w:themeColor="text1" w:themeTint="BF"/>
      <w:spacing w:val="5"/>
    </w:rPr>
  </w:style>
  <w:style w:type="character" w:styleId="BookTitle">
    <w:name w:val="Book Title"/>
    <w:basedOn w:val="DefaultParagraphFont"/>
    <w:uiPriority w:val="33"/>
    <w:qFormat/>
    <w:rsid w:val="00D05B14"/>
    <w:rPr>
      <w:b/>
      <w:bCs/>
      <w:i/>
      <w:iCs/>
      <w:spacing w:val="5"/>
    </w:rPr>
  </w:style>
  <w:style w:type="paragraph" w:styleId="TOCHeading">
    <w:name w:val="TOC Heading"/>
    <w:basedOn w:val="Heading1"/>
    <w:next w:val="Normal"/>
    <w:uiPriority w:val="39"/>
    <w:semiHidden/>
    <w:unhideWhenUsed/>
    <w:qFormat/>
    <w:rsid w:val="00D05B1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unhideWhenUsed/>
    <w:qFormat/>
    <w:rsid w:val="005F2295"/>
    <w:pPr>
      <w:spacing w:after="120"/>
    </w:pPr>
  </w:style>
  <w:style w:type="character" w:customStyle="1" w:styleId="BodyTextChar">
    <w:name w:val="Body Text Char"/>
    <w:basedOn w:val="DefaultParagraphFont"/>
    <w:link w:val="BodyText"/>
    <w:uiPriority w:val="1"/>
    <w:semiHidden/>
    <w:rsid w:val="005F2295"/>
  </w:style>
  <w:style w:type="paragraph" w:customStyle="1" w:styleId="TableParagraph">
    <w:name w:val="Table Paragraph"/>
    <w:basedOn w:val="Normal"/>
    <w:uiPriority w:val="1"/>
    <w:qFormat/>
    <w:rsid w:val="005F2295"/>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sbointl.org"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3C2DD7-9BF3-4034-8F2B-0BC0854FE1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9</Pages>
  <Words>4969</Words>
  <Characters>28324</Characters>
  <Application>Microsoft Office Word</Application>
  <DocSecurity>8</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223</cp:revision>
  <dcterms:created xsi:type="dcterms:W3CDTF">2019-12-06T17:25:00Z</dcterms:created>
  <dcterms:modified xsi:type="dcterms:W3CDTF">2022-01-31T14:26:00Z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