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65352ED3" w:rsidR="000A7622" w:rsidRPr="00C04F25" w:rsidRDefault="00101B1C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Accounting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815F23">
        <w:rPr>
          <w:rFonts w:cstheme="minorHAnsi"/>
          <w:b/>
          <w:bCs/>
          <w:i/>
          <w:iCs/>
          <w:sz w:val="32"/>
          <w:szCs w:val="32"/>
        </w:rPr>
        <w:t>College of</w:t>
      </w:r>
      <w:r w:rsidR="009B3096">
        <w:rPr>
          <w:rFonts w:cstheme="minorHAnsi"/>
          <w:b/>
          <w:bCs/>
          <w:i/>
          <w:iCs/>
          <w:sz w:val="32"/>
          <w:szCs w:val="32"/>
        </w:rPr>
        <w:t xml:space="preserve"> </w:t>
      </w:r>
      <w:r w:rsidR="00C200D8">
        <w:rPr>
          <w:rFonts w:cstheme="minorHAnsi"/>
          <w:b/>
          <w:bCs/>
          <w:i/>
          <w:iCs/>
          <w:sz w:val="32"/>
          <w:szCs w:val="32"/>
        </w:rPr>
        <w:t>Business Administration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3CCD8F80" w:rsidR="000A7622" w:rsidRPr="00C04F25" w:rsidRDefault="00720AC7" w:rsidP="00D14423">
      <w:pPr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>National Public Accountant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26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6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June 1981</w:t>
      </w:r>
      <w:r w:rsidR="000A7622" w:rsidRPr="00C04F25">
        <w:rPr>
          <w:rFonts w:cstheme="minorHAnsi"/>
          <w:sz w:val="24"/>
          <w:szCs w:val="24"/>
          <w:lang w:val="fr-FR"/>
        </w:rPr>
        <w:t xml:space="preserve">): </w:t>
      </w:r>
      <w:r>
        <w:rPr>
          <w:rFonts w:cstheme="minorHAnsi"/>
          <w:sz w:val="24"/>
          <w:szCs w:val="24"/>
          <w:lang w:val="fr-FR"/>
        </w:rPr>
        <w:t>16-21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="00620C28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Publisher link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620C28">
        <w:rPr>
          <w:rFonts w:cstheme="minorHAnsi"/>
          <w:sz w:val="24"/>
          <w:szCs w:val="24"/>
        </w:rPr>
        <w:t>National Society of Accountants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620C28">
        <w:rPr>
          <w:rFonts w:cstheme="minorHAnsi"/>
          <w:sz w:val="24"/>
          <w:szCs w:val="24"/>
        </w:rPr>
        <w:t>National Society of Accountants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620C28">
        <w:rPr>
          <w:rFonts w:cstheme="minorHAnsi"/>
          <w:sz w:val="24"/>
          <w:szCs w:val="24"/>
        </w:rPr>
        <w:t>National Society of Accountants</w:t>
      </w:r>
      <w:r w:rsidR="000A7622"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6B7EB0F4" w:rsidR="000A7622" w:rsidRDefault="000A7622" w:rsidP="000A7622">
      <w:pPr>
        <w:rPr>
          <w:rFonts w:cstheme="minorHAnsi"/>
        </w:rPr>
      </w:pPr>
    </w:p>
    <w:p w14:paraId="2208FDE6" w14:textId="692B156E" w:rsidR="009E0C33" w:rsidRDefault="00F81B17" w:rsidP="0089339E">
      <w:pPr>
        <w:pStyle w:val="Title"/>
      </w:pPr>
      <w:r w:rsidRPr="00F81B17">
        <w:t>SSARS</w:t>
      </w:r>
      <w:r w:rsidR="0089339E">
        <w:t xml:space="preserve"> </w:t>
      </w:r>
      <w:r w:rsidRPr="00F81B17">
        <w:t>No.2:</w:t>
      </w:r>
      <w:r>
        <w:t xml:space="preserve"> </w:t>
      </w:r>
      <w:r w:rsidRPr="00F81B17">
        <w:t>Reporting on</w:t>
      </w:r>
      <w:r>
        <w:t xml:space="preserve"> </w:t>
      </w:r>
      <w:r w:rsidRPr="00F81B17">
        <w:t>Comparative Financial Statements</w:t>
      </w:r>
      <w:r>
        <w:t xml:space="preserve"> </w:t>
      </w:r>
    </w:p>
    <w:p w14:paraId="324DB952" w14:textId="77777777" w:rsidR="0089339E" w:rsidRDefault="0089339E" w:rsidP="00F81B17">
      <w:pPr>
        <w:rPr>
          <w:rFonts w:cstheme="minorHAnsi"/>
        </w:rPr>
      </w:pPr>
    </w:p>
    <w:p w14:paraId="56B2601C" w14:textId="59DDF004" w:rsidR="00F81B17" w:rsidRPr="00F81B17" w:rsidRDefault="00F81B17" w:rsidP="00F81B17">
      <w:pPr>
        <w:rPr>
          <w:rFonts w:cstheme="minorHAnsi"/>
        </w:rPr>
      </w:pPr>
      <w:r w:rsidRPr="00F81B17">
        <w:rPr>
          <w:rFonts w:cstheme="minorHAnsi"/>
        </w:rPr>
        <w:t>Robert</w:t>
      </w:r>
      <w:r w:rsidR="009E0C33">
        <w:rPr>
          <w:rFonts w:cstheme="minorHAnsi"/>
        </w:rPr>
        <w:t xml:space="preserve"> </w:t>
      </w:r>
      <w:r w:rsidRPr="00F81B17">
        <w:rPr>
          <w:rFonts w:cstheme="minorHAnsi"/>
        </w:rPr>
        <w:t>B. Yahr</w:t>
      </w:r>
    </w:p>
    <w:p w14:paraId="711E9BBD" w14:textId="1C307426" w:rsidR="00F81B17" w:rsidRDefault="00F81B17" w:rsidP="00F81B17">
      <w:pPr>
        <w:rPr>
          <w:rFonts w:cstheme="minorHAnsi"/>
        </w:rPr>
      </w:pPr>
      <w:r w:rsidRPr="00F81B17">
        <w:rPr>
          <w:rFonts w:cstheme="minorHAnsi"/>
        </w:rPr>
        <w:t>Don</w:t>
      </w:r>
      <w:r w:rsidR="009E0C33">
        <w:rPr>
          <w:rFonts w:cstheme="minorHAnsi"/>
        </w:rPr>
        <w:t xml:space="preserve"> </w:t>
      </w:r>
      <w:r w:rsidRPr="00F81B17">
        <w:rPr>
          <w:rFonts w:cstheme="minorHAnsi"/>
        </w:rPr>
        <w:t>E. Giacomino</w:t>
      </w:r>
    </w:p>
    <w:p w14:paraId="72D7F634" w14:textId="2FEA4590" w:rsidR="00B82203" w:rsidRPr="00B82203" w:rsidRDefault="00B82203" w:rsidP="00B82203">
      <w:pPr>
        <w:rPr>
          <w:rFonts w:cstheme="minorHAnsi"/>
        </w:rPr>
      </w:pPr>
      <w:bookmarkStart w:id="2" w:name="Yahr_12511001-0001"/>
      <w:bookmarkEnd w:id="2"/>
      <w:r w:rsidRPr="00B82203">
        <w:rPr>
          <w:rFonts w:cstheme="minorHAnsi"/>
        </w:rPr>
        <w:t xml:space="preserve">The public's perception of a public </w:t>
      </w:r>
      <w:r w:rsidR="00C62E43">
        <w:rPr>
          <w:rFonts w:cstheme="minorHAnsi"/>
        </w:rPr>
        <w:t>accountant’s</w:t>
      </w:r>
      <w:r w:rsidRPr="00B82203">
        <w:rPr>
          <w:rFonts w:cstheme="minorHAnsi"/>
        </w:rPr>
        <w:t xml:space="preserve"> work was originally confined to his role as an </w:t>
      </w:r>
      <w:r w:rsidR="00C62E43">
        <w:rPr>
          <w:rFonts w:cstheme="minorHAnsi"/>
        </w:rPr>
        <w:t>audit</w:t>
      </w:r>
      <w:r w:rsidRPr="00B82203">
        <w:rPr>
          <w:rFonts w:cstheme="minorHAnsi"/>
        </w:rPr>
        <w:t>or. The tax and management consulting services</w:t>
      </w:r>
      <w:r w:rsidR="009B6018">
        <w:rPr>
          <w:rFonts w:cstheme="minorHAnsi"/>
        </w:rPr>
        <w:t>,</w:t>
      </w:r>
      <w:r w:rsidRPr="00B82203">
        <w:rPr>
          <w:rFonts w:cstheme="minorHAnsi"/>
        </w:rPr>
        <w:t xml:space="preserve"> later </w:t>
      </w:r>
      <w:r w:rsidR="009B6018">
        <w:rPr>
          <w:rFonts w:cstheme="minorHAnsi"/>
        </w:rPr>
        <w:t>dev</w:t>
      </w:r>
      <w:r w:rsidRPr="00B82203">
        <w:rPr>
          <w:rFonts w:cstheme="minorHAnsi"/>
        </w:rPr>
        <w:t>eloped by P</w:t>
      </w:r>
      <w:r w:rsidR="009B6018" w:rsidRPr="00B82203">
        <w:rPr>
          <w:rFonts w:cstheme="minorHAnsi"/>
        </w:rPr>
        <w:t>a</w:t>
      </w:r>
      <w:r w:rsidRPr="00B82203">
        <w:rPr>
          <w:rFonts w:cstheme="minorHAnsi"/>
        </w:rPr>
        <w:t>s</w:t>
      </w:r>
      <w:r w:rsidR="009B6018">
        <w:rPr>
          <w:rFonts w:cstheme="minorHAnsi"/>
        </w:rPr>
        <w:t>,</w:t>
      </w:r>
      <w:r w:rsidRPr="00B82203">
        <w:rPr>
          <w:rFonts w:cstheme="minorHAnsi"/>
        </w:rPr>
        <w:t xml:space="preserve"> have only in recent years begun to </w:t>
      </w:r>
      <w:r w:rsidR="009B6018">
        <w:rPr>
          <w:rFonts w:cstheme="minorHAnsi"/>
        </w:rPr>
        <w:t>com</w:t>
      </w:r>
      <w:r w:rsidRPr="00B82203">
        <w:rPr>
          <w:rFonts w:cstheme="minorHAnsi"/>
        </w:rPr>
        <w:t>mand the attention of the public.</w:t>
      </w:r>
    </w:p>
    <w:p w14:paraId="3DC67317" w14:textId="67251DB3" w:rsidR="00B82203" w:rsidRPr="00B82203" w:rsidRDefault="00B82203" w:rsidP="00B82203">
      <w:pPr>
        <w:rPr>
          <w:rFonts w:cstheme="minorHAnsi"/>
        </w:rPr>
      </w:pPr>
      <w:r w:rsidRPr="00B82203">
        <w:rPr>
          <w:rFonts w:cstheme="minorHAnsi"/>
        </w:rPr>
        <w:t xml:space="preserve">An </w:t>
      </w:r>
      <w:r w:rsidR="009B6018" w:rsidRPr="00B82203">
        <w:rPr>
          <w:rFonts w:cstheme="minorHAnsi"/>
        </w:rPr>
        <w:t>additional expansion</w:t>
      </w:r>
      <w:r w:rsidRPr="00B82203">
        <w:rPr>
          <w:rFonts w:cstheme="minorHAnsi"/>
        </w:rPr>
        <w:t xml:space="preserve"> of the </w:t>
      </w:r>
      <w:r w:rsidR="0034388B" w:rsidRPr="00B82203">
        <w:rPr>
          <w:rFonts w:cstheme="minorHAnsi"/>
        </w:rPr>
        <w:t>accoun</w:t>
      </w:r>
      <w:r w:rsidR="0034388B">
        <w:rPr>
          <w:rFonts w:cstheme="minorHAnsi"/>
        </w:rPr>
        <w:t>tant</w:t>
      </w:r>
      <w:r w:rsidR="0034388B" w:rsidRPr="00B82203">
        <w:rPr>
          <w:rFonts w:cstheme="minorHAnsi"/>
        </w:rPr>
        <w:t>’s</w:t>
      </w:r>
      <w:r w:rsidRPr="00B82203">
        <w:rPr>
          <w:rFonts w:cstheme="minorHAnsi"/>
        </w:rPr>
        <w:t xml:space="preserve"> work has led to his rendering increased amount</w:t>
      </w:r>
      <w:r w:rsidR="00E37F08">
        <w:rPr>
          <w:rFonts w:cstheme="minorHAnsi"/>
        </w:rPr>
        <w:t xml:space="preserve">s of </w:t>
      </w:r>
      <w:r w:rsidRPr="00B82203">
        <w:rPr>
          <w:rFonts w:cstheme="minorHAnsi"/>
        </w:rPr>
        <w:t xml:space="preserve">non-audit </w:t>
      </w:r>
      <w:r w:rsidR="00E37F08" w:rsidRPr="00B82203">
        <w:rPr>
          <w:rFonts w:cstheme="minorHAnsi"/>
        </w:rPr>
        <w:t>accounting services</w:t>
      </w:r>
      <w:r w:rsidRPr="00B82203">
        <w:rPr>
          <w:rFonts w:cstheme="minorHAnsi"/>
        </w:rPr>
        <w:t xml:space="preserve">.   </w:t>
      </w:r>
      <w:r w:rsidR="00E37F08" w:rsidRPr="00B82203">
        <w:rPr>
          <w:rFonts w:cstheme="minorHAnsi"/>
        </w:rPr>
        <w:t>Reco</w:t>
      </w:r>
      <w:r w:rsidR="00E37F08">
        <w:rPr>
          <w:rFonts w:cstheme="minorHAnsi"/>
        </w:rPr>
        <w:t>g</w:t>
      </w:r>
      <w:r w:rsidR="00E37F08" w:rsidRPr="00B82203">
        <w:rPr>
          <w:rFonts w:cstheme="minorHAnsi"/>
        </w:rPr>
        <w:t xml:space="preserve">nizing </w:t>
      </w:r>
      <w:r w:rsidR="0034388B" w:rsidRPr="00B82203">
        <w:rPr>
          <w:rFonts w:cstheme="minorHAnsi"/>
        </w:rPr>
        <w:t>the many different</w:t>
      </w:r>
      <w:r w:rsidRPr="00B82203">
        <w:rPr>
          <w:rFonts w:cstheme="minorHAnsi"/>
        </w:rPr>
        <w:t xml:space="preserve"> perceptions that individuals currently ha</w:t>
      </w:r>
      <w:r w:rsidR="0034388B">
        <w:rPr>
          <w:rFonts w:cstheme="minorHAnsi"/>
        </w:rPr>
        <w:t>ve o</w:t>
      </w:r>
      <w:r w:rsidRPr="00B82203">
        <w:rPr>
          <w:rFonts w:cstheme="minorHAnsi"/>
        </w:rPr>
        <w:t>f the work done by the accountant in these engage</w:t>
      </w:r>
      <w:r w:rsidR="00013DA4">
        <w:rPr>
          <w:rFonts w:cstheme="minorHAnsi"/>
        </w:rPr>
        <w:t xml:space="preserve">ments, </w:t>
      </w:r>
      <w:r w:rsidRPr="00B82203">
        <w:rPr>
          <w:rFonts w:cstheme="minorHAnsi"/>
        </w:rPr>
        <w:t>the American Institute of Certified  Public Accounta</w:t>
      </w:r>
      <w:r w:rsidR="00F93F90">
        <w:rPr>
          <w:rFonts w:cstheme="minorHAnsi"/>
        </w:rPr>
        <w:t>nts</w:t>
      </w:r>
      <w:r w:rsidRPr="00B82203">
        <w:rPr>
          <w:rFonts w:cstheme="minorHAnsi"/>
        </w:rPr>
        <w:t xml:space="preserve"> </w:t>
      </w:r>
      <w:r w:rsidR="00F93F90">
        <w:rPr>
          <w:rFonts w:cstheme="minorHAnsi"/>
        </w:rPr>
        <w:t>re</w:t>
      </w:r>
      <w:r w:rsidRPr="00B82203">
        <w:rPr>
          <w:rFonts w:cstheme="minorHAnsi"/>
        </w:rPr>
        <w:t>cently created the Accounting and Review Service</w:t>
      </w:r>
      <w:r w:rsidR="00F93F90">
        <w:rPr>
          <w:rFonts w:cstheme="minorHAnsi"/>
        </w:rPr>
        <w:t xml:space="preserve"> (AR</w:t>
      </w:r>
      <w:r w:rsidRPr="00B82203">
        <w:rPr>
          <w:rFonts w:cstheme="minorHAnsi"/>
        </w:rPr>
        <w:t xml:space="preserve">S) Committee. This </w:t>
      </w:r>
      <w:r w:rsidR="00F93F90" w:rsidRPr="00B82203">
        <w:rPr>
          <w:rFonts w:cstheme="minorHAnsi"/>
        </w:rPr>
        <w:t>committee has</w:t>
      </w:r>
      <w:r w:rsidRPr="00B82203">
        <w:rPr>
          <w:rFonts w:cstheme="minorHAnsi"/>
        </w:rPr>
        <w:t xml:space="preserve"> been given th</w:t>
      </w:r>
      <w:r w:rsidR="00F93F90">
        <w:rPr>
          <w:rFonts w:cstheme="minorHAnsi"/>
        </w:rPr>
        <w:t>e</w:t>
      </w:r>
      <w:r w:rsidRPr="00B82203">
        <w:rPr>
          <w:rFonts w:cstheme="minorHAnsi"/>
        </w:rPr>
        <w:t xml:space="preserve"> </w:t>
      </w:r>
      <w:r w:rsidR="00A748B3">
        <w:rPr>
          <w:rFonts w:cstheme="minorHAnsi"/>
        </w:rPr>
        <w:t>respo</w:t>
      </w:r>
      <w:r w:rsidRPr="00B82203">
        <w:rPr>
          <w:rFonts w:cstheme="minorHAnsi"/>
        </w:rPr>
        <w:t>nsibility of</w:t>
      </w:r>
      <w:r w:rsidR="00A748B3">
        <w:rPr>
          <w:rFonts w:cstheme="minorHAnsi"/>
        </w:rPr>
        <w:t xml:space="preserve"> </w:t>
      </w:r>
      <w:r w:rsidRPr="00B82203">
        <w:rPr>
          <w:rFonts w:cstheme="minorHAnsi"/>
        </w:rPr>
        <w:t>establishing reporting standards for thes</w:t>
      </w:r>
      <w:r w:rsidR="00A748B3">
        <w:rPr>
          <w:rFonts w:cstheme="minorHAnsi"/>
        </w:rPr>
        <w:t xml:space="preserve">e types </w:t>
      </w:r>
      <w:r w:rsidRPr="00B82203">
        <w:rPr>
          <w:rFonts w:cstheme="minorHAnsi"/>
        </w:rPr>
        <w:t>of services:</w:t>
      </w:r>
      <w:r w:rsidR="00A748B3">
        <w:rPr>
          <w:rFonts w:cstheme="minorHAnsi"/>
        </w:rPr>
        <w:t xml:space="preserve"> </w:t>
      </w:r>
      <w:r w:rsidRPr="00B82203">
        <w:rPr>
          <w:rFonts w:cstheme="minorHAnsi"/>
        </w:rPr>
        <w:t xml:space="preserve">to date the ARS Committee has issued </w:t>
      </w:r>
      <w:r w:rsidR="00AF334F">
        <w:rPr>
          <w:rFonts w:cstheme="minorHAnsi"/>
        </w:rPr>
        <w:t>two</w:t>
      </w:r>
      <w:r w:rsidRPr="00B82203">
        <w:rPr>
          <w:rFonts w:cstheme="minorHAnsi"/>
        </w:rPr>
        <w:t xml:space="preserve"> </w:t>
      </w:r>
      <w:r w:rsidR="00AF334F">
        <w:rPr>
          <w:rFonts w:cstheme="minorHAnsi"/>
        </w:rPr>
        <w:t>pr</w:t>
      </w:r>
      <w:r w:rsidRPr="00B82203">
        <w:rPr>
          <w:rFonts w:cstheme="minorHAnsi"/>
        </w:rPr>
        <w:t>onouncements governing these engagem</w:t>
      </w:r>
      <w:r w:rsidR="00AF334F">
        <w:rPr>
          <w:rFonts w:cstheme="minorHAnsi"/>
        </w:rPr>
        <w:t>e</w:t>
      </w:r>
      <w:r w:rsidRPr="00B82203">
        <w:rPr>
          <w:rFonts w:cstheme="minorHAnsi"/>
        </w:rPr>
        <w:t>nts</w:t>
      </w:r>
      <w:r w:rsidR="00AF334F">
        <w:rPr>
          <w:rFonts w:cstheme="minorHAnsi"/>
        </w:rPr>
        <w:t>.</w:t>
      </w:r>
    </w:p>
    <w:p w14:paraId="2A054D99" w14:textId="77777777" w:rsidR="00B82203" w:rsidRPr="00B82203" w:rsidRDefault="00B82203" w:rsidP="00AF334F">
      <w:pPr>
        <w:pStyle w:val="Heading1"/>
      </w:pPr>
      <w:r w:rsidRPr="00B82203">
        <w:t>SSARS No. 1</w:t>
      </w:r>
    </w:p>
    <w:p w14:paraId="287EBC61" w14:textId="211BDE1A" w:rsidR="00B82203" w:rsidRPr="00B82203" w:rsidRDefault="00B82203" w:rsidP="00B82203">
      <w:pPr>
        <w:rPr>
          <w:rFonts w:cstheme="minorHAnsi"/>
        </w:rPr>
      </w:pPr>
      <w:r w:rsidRPr="00B82203">
        <w:rPr>
          <w:rFonts w:cstheme="minorHAnsi"/>
        </w:rPr>
        <w:t>Statement on Standards for Account</w:t>
      </w:r>
      <w:r w:rsidR="009913D4">
        <w:rPr>
          <w:rFonts w:cstheme="minorHAnsi"/>
        </w:rPr>
        <w:t>ing a</w:t>
      </w:r>
      <w:r w:rsidRPr="00B82203">
        <w:rPr>
          <w:rFonts w:cstheme="minorHAnsi"/>
        </w:rPr>
        <w:t xml:space="preserve">nd Review Services No. 1 has two </w:t>
      </w:r>
      <w:r w:rsidR="009913D4" w:rsidRPr="00B82203">
        <w:rPr>
          <w:rFonts w:cstheme="minorHAnsi"/>
        </w:rPr>
        <w:t>objectives</w:t>
      </w:r>
      <w:r w:rsidRPr="00B82203">
        <w:rPr>
          <w:rFonts w:cstheme="minorHAnsi"/>
        </w:rPr>
        <w:t>. Fir</w:t>
      </w:r>
      <w:r w:rsidR="009913D4">
        <w:rPr>
          <w:rFonts w:cstheme="minorHAnsi"/>
        </w:rPr>
        <w:t xml:space="preserve">st it </w:t>
      </w:r>
      <w:r w:rsidR="00B948B4">
        <w:rPr>
          <w:rFonts w:cstheme="minorHAnsi"/>
        </w:rPr>
        <w:t>di</w:t>
      </w:r>
      <w:r w:rsidR="00B948B4" w:rsidRPr="00B82203">
        <w:rPr>
          <w:rFonts w:cstheme="minorHAnsi"/>
        </w:rPr>
        <w:t>fferentiates</w:t>
      </w:r>
      <w:r w:rsidRPr="00B82203">
        <w:rPr>
          <w:rFonts w:cstheme="minorHAnsi"/>
        </w:rPr>
        <w:t xml:space="preserve"> between two types of non-audit serv</w:t>
      </w:r>
      <w:r w:rsidR="00B948B4">
        <w:rPr>
          <w:rFonts w:cstheme="minorHAnsi"/>
        </w:rPr>
        <w:t>ices o</w:t>
      </w:r>
      <w:r w:rsidRPr="00B82203">
        <w:rPr>
          <w:rFonts w:cstheme="minorHAnsi"/>
        </w:rPr>
        <w:t>ffered non­public entities-compilations and revie</w:t>
      </w:r>
      <w:r w:rsidR="008D149E">
        <w:rPr>
          <w:rFonts w:cstheme="minorHAnsi"/>
        </w:rPr>
        <w:t>ws. Second</w:t>
      </w:r>
      <w:r w:rsidRPr="00B82203">
        <w:rPr>
          <w:rFonts w:cstheme="minorHAnsi"/>
        </w:rPr>
        <w:t xml:space="preserve"> it illustrates the accountant's reports that </w:t>
      </w:r>
      <w:r w:rsidR="008D149E">
        <w:rPr>
          <w:rFonts w:cstheme="minorHAnsi"/>
        </w:rPr>
        <w:t>are app</w:t>
      </w:r>
      <w:r w:rsidRPr="00B82203">
        <w:rPr>
          <w:rFonts w:cstheme="minorHAnsi"/>
        </w:rPr>
        <w:t>ropriate for each of the above services.</w:t>
      </w:r>
    </w:p>
    <w:p w14:paraId="210D9365" w14:textId="0DC20721" w:rsidR="00B82203" w:rsidRPr="00B82203" w:rsidRDefault="00B82203" w:rsidP="00B82203">
      <w:pPr>
        <w:rPr>
          <w:rFonts w:cstheme="minorHAnsi"/>
        </w:rPr>
      </w:pPr>
      <w:r w:rsidRPr="00B82203">
        <w:rPr>
          <w:rFonts w:cstheme="minorHAnsi"/>
        </w:rPr>
        <w:t xml:space="preserve">SSARS No. I defines a compilation </w:t>
      </w:r>
      <w:r w:rsidR="005E7426">
        <w:rPr>
          <w:rFonts w:cstheme="minorHAnsi"/>
        </w:rPr>
        <w:t>as an</w:t>
      </w:r>
      <w:r w:rsidRPr="00B82203">
        <w:rPr>
          <w:rFonts w:cstheme="minorHAnsi"/>
        </w:rPr>
        <w:t xml:space="preserve"> </w:t>
      </w:r>
      <w:r w:rsidR="005E7426">
        <w:rPr>
          <w:rFonts w:cstheme="minorHAnsi"/>
        </w:rPr>
        <w:t>en</w:t>
      </w:r>
      <w:r w:rsidRPr="00B82203">
        <w:rPr>
          <w:rFonts w:cstheme="minorHAnsi"/>
        </w:rPr>
        <w:t>gagemen</w:t>
      </w:r>
      <w:r w:rsidR="005E7426">
        <w:rPr>
          <w:rFonts w:cstheme="minorHAnsi"/>
        </w:rPr>
        <w:t>t</w:t>
      </w:r>
      <w:r w:rsidRPr="00B82203">
        <w:rPr>
          <w:rFonts w:cstheme="minorHAnsi"/>
        </w:rPr>
        <w:t xml:space="preserve"> in which the accountant merely present, </w:t>
      </w:r>
      <w:r w:rsidR="005E7426">
        <w:rPr>
          <w:rFonts w:cstheme="minorHAnsi"/>
        </w:rPr>
        <w:t>his client’</w:t>
      </w:r>
      <w:r w:rsidRPr="00B82203">
        <w:rPr>
          <w:rFonts w:cstheme="minorHAnsi"/>
        </w:rPr>
        <w:t xml:space="preserve">s financial information in the form of </w:t>
      </w:r>
      <w:r w:rsidR="005E7426">
        <w:rPr>
          <w:rFonts w:cstheme="minorHAnsi"/>
        </w:rPr>
        <w:t>financial statements</w:t>
      </w:r>
      <w:r w:rsidRPr="00B82203">
        <w:rPr>
          <w:rFonts w:cstheme="minorHAnsi"/>
        </w:rPr>
        <w:t>. The accountant is under no obligation to m</w:t>
      </w:r>
      <w:r w:rsidR="008242D7">
        <w:rPr>
          <w:rFonts w:cstheme="minorHAnsi"/>
        </w:rPr>
        <w:t xml:space="preserve">ake </w:t>
      </w:r>
      <w:r w:rsidRPr="00B82203">
        <w:rPr>
          <w:rFonts w:cstheme="minorHAnsi"/>
        </w:rPr>
        <w:t>inquiries or perform other procedures to verify th</w:t>
      </w:r>
      <w:r w:rsidR="008242D7">
        <w:rPr>
          <w:rFonts w:cstheme="minorHAnsi"/>
        </w:rPr>
        <w:t>is</w:t>
      </w:r>
      <w:r w:rsidRPr="00B82203">
        <w:rPr>
          <w:rFonts w:cstheme="minorHAnsi"/>
        </w:rPr>
        <w:t xml:space="preserve"> </w:t>
      </w:r>
      <w:r w:rsidR="008242D7">
        <w:rPr>
          <w:rFonts w:cstheme="minorHAnsi"/>
        </w:rPr>
        <w:t>in</w:t>
      </w:r>
      <w:r w:rsidR="008242D7" w:rsidRPr="00B82203">
        <w:rPr>
          <w:rFonts w:cstheme="minorHAnsi"/>
        </w:rPr>
        <w:t>formation</w:t>
      </w:r>
      <w:r w:rsidR="00876192">
        <w:rPr>
          <w:rFonts w:cstheme="minorHAnsi"/>
        </w:rPr>
        <w:t>,</w:t>
      </w:r>
      <w:r w:rsidRPr="00B82203">
        <w:rPr>
          <w:rFonts w:cstheme="minorHAnsi"/>
        </w:rPr>
        <w:t xml:space="preserve"> although he may do such work as </w:t>
      </w:r>
      <w:r w:rsidR="00876192">
        <w:rPr>
          <w:rFonts w:cstheme="minorHAnsi"/>
        </w:rPr>
        <w:t>preparing</w:t>
      </w:r>
      <w:r w:rsidRPr="00B82203">
        <w:rPr>
          <w:rFonts w:cstheme="minorHAnsi"/>
        </w:rPr>
        <w:t xml:space="preserve"> </w:t>
      </w:r>
      <w:r w:rsidR="00876192" w:rsidRPr="00B82203">
        <w:rPr>
          <w:rFonts w:cstheme="minorHAnsi"/>
        </w:rPr>
        <w:t>adjusted</w:t>
      </w:r>
      <w:r w:rsidRPr="00B82203">
        <w:rPr>
          <w:rFonts w:cstheme="minorHAnsi"/>
        </w:rPr>
        <w:t xml:space="preserve"> entries.</w:t>
      </w:r>
    </w:p>
    <w:p w14:paraId="20DC43BA" w14:textId="7DA24890" w:rsidR="00B82203" w:rsidRPr="00B82203" w:rsidRDefault="00B82203" w:rsidP="00B82203">
      <w:pPr>
        <w:rPr>
          <w:rFonts w:cstheme="minorHAnsi"/>
        </w:rPr>
      </w:pPr>
      <w:r w:rsidRPr="00B82203">
        <w:rPr>
          <w:rFonts w:cstheme="minorHAnsi"/>
        </w:rPr>
        <w:t xml:space="preserve">In contrast. a review is a more </w:t>
      </w:r>
      <w:r w:rsidR="00876192">
        <w:rPr>
          <w:rFonts w:cstheme="minorHAnsi"/>
        </w:rPr>
        <w:t>sophisticated</w:t>
      </w:r>
      <w:r w:rsidRPr="00B82203">
        <w:rPr>
          <w:rFonts w:cstheme="minorHAnsi"/>
        </w:rPr>
        <w:t xml:space="preserve"> non audit engagement. It is designed for the </w:t>
      </w:r>
      <w:r w:rsidR="006B0F24">
        <w:rPr>
          <w:rFonts w:cstheme="minorHAnsi"/>
        </w:rPr>
        <w:t>accountant</w:t>
      </w:r>
      <w:r w:rsidRPr="00B82203">
        <w:rPr>
          <w:rFonts w:cstheme="minorHAnsi"/>
        </w:rPr>
        <w:t xml:space="preserve"> to</w:t>
      </w:r>
      <w:r w:rsidRPr="00B82203">
        <w:rPr>
          <w:rFonts w:cstheme="minorHAnsi"/>
          <w:i/>
          <w:iCs/>
        </w:rPr>
        <w:t xml:space="preserve"> </w:t>
      </w:r>
      <w:r w:rsidRPr="00B82203">
        <w:rPr>
          <w:rFonts w:cstheme="minorHAnsi"/>
        </w:rPr>
        <w:t>express limited assurance that no material</w:t>
      </w:r>
      <w:r w:rsidR="006B0F24">
        <w:rPr>
          <w:rFonts w:cstheme="minorHAnsi"/>
        </w:rPr>
        <w:t xml:space="preserve"> modifications</w:t>
      </w:r>
      <w:r w:rsidRPr="00B82203">
        <w:rPr>
          <w:rFonts w:cstheme="minorHAnsi"/>
        </w:rPr>
        <w:t xml:space="preserve"> are necessary for the fin</w:t>
      </w:r>
      <w:r w:rsidR="002448AF">
        <w:rPr>
          <w:rFonts w:cstheme="minorHAnsi"/>
        </w:rPr>
        <w:t>a</w:t>
      </w:r>
      <w:r w:rsidRPr="00B82203">
        <w:rPr>
          <w:rFonts w:cstheme="minorHAnsi"/>
        </w:rPr>
        <w:t xml:space="preserve">ncial statements to </w:t>
      </w:r>
      <w:r w:rsidR="002448AF">
        <w:rPr>
          <w:rFonts w:cstheme="minorHAnsi"/>
        </w:rPr>
        <w:t>be in accordance</w:t>
      </w:r>
      <w:r w:rsidRPr="00B82203">
        <w:rPr>
          <w:rFonts w:cstheme="minorHAnsi"/>
        </w:rPr>
        <w:t xml:space="preserve"> with generally accepted accounting </w:t>
      </w:r>
      <w:r w:rsidR="001C0BA8">
        <w:rPr>
          <w:rFonts w:cstheme="minorHAnsi"/>
        </w:rPr>
        <w:t>principles.</w:t>
      </w:r>
      <w:r w:rsidRPr="00B82203">
        <w:rPr>
          <w:rFonts w:cstheme="minorHAnsi"/>
        </w:rPr>
        <w:t xml:space="preserve"> Thus</w:t>
      </w:r>
      <w:r w:rsidR="001C0BA8">
        <w:rPr>
          <w:rFonts w:cstheme="minorHAnsi"/>
        </w:rPr>
        <w:t>,</w:t>
      </w:r>
      <w:r w:rsidRPr="00B82203">
        <w:rPr>
          <w:rFonts w:cstheme="minorHAnsi"/>
        </w:rPr>
        <w:t xml:space="preserve"> the</w:t>
      </w:r>
      <w:r w:rsidRPr="00B82203">
        <w:rPr>
          <w:rFonts w:cstheme="minorHAnsi"/>
          <w:i/>
          <w:iCs/>
        </w:rPr>
        <w:t xml:space="preserve"> </w:t>
      </w:r>
      <w:r w:rsidRPr="00B82203">
        <w:rPr>
          <w:rFonts w:cstheme="minorHAnsi"/>
        </w:rPr>
        <w:t xml:space="preserve">accountant may employ various </w:t>
      </w:r>
      <w:r w:rsidR="00AC7417">
        <w:rPr>
          <w:rFonts w:cstheme="minorHAnsi"/>
        </w:rPr>
        <w:t>inquiry and</w:t>
      </w:r>
      <w:r w:rsidRPr="00B82203">
        <w:rPr>
          <w:rFonts w:cstheme="minorHAnsi"/>
        </w:rPr>
        <w:t xml:space="preserve"> analytical procedures. such as examining minu</w:t>
      </w:r>
      <w:r w:rsidR="00AC7417">
        <w:rPr>
          <w:rFonts w:cstheme="minorHAnsi"/>
        </w:rPr>
        <w:t>tes an</w:t>
      </w:r>
      <w:r w:rsidRPr="00B82203">
        <w:rPr>
          <w:rFonts w:cstheme="minorHAnsi"/>
        </w:rPr>
        <w:t>d comparing present financial statements with those o</w:t>
      </w:r>
      <w:r w:rsidR="00AC7417">
        <w:rPr>
          <w:rFonts w:cstheme="minorHAnsi"/>
        </w:rPr>
        <w:t>f</w:t>
      </w:r>
      <w:r w:rsidRPr="00B82203">
        <w:rPr>
          <w:rFonts w:cstheme="minorHAnsi"/>
        </w:rPr>
        <w:t xml:space="preserve"> the prior period</w:t>
      </w:r>
    </w:p>
    <w:p w14:paraId="17999887" w14:textId="02573CBA" w:rsidR="00B82203" w:rsidRPr="00B82203" w:rsidRDefault="00B82203" w:rsidP="00B82203">
      <w:pPr>
        <w:rPr>
          <w:rFonts w:cstheme="minorHAnsi"/>
        </w:rPr>
      </w:pPr>
      <w:r w:rsidRPr="00B82203">
        <w:rPr>
          <w:rFonts w:cstheme="minorHAnsi"/>
        </w:rPr>
        <w:t xml:space="preserve">Different reports are to be issued by </w:t>
      </w:r>
      <w:r w:rsidR="0011064D">
        <w:rPr>
          <w:rFonts w:cstheme="minorHAnsi"/>
        </w:rPr>
        <w:t>an accountant for each</w:t>
      </w:r>
      <w:r w:rsidRPr="00B82203">
        <w:rPr>
          <w:rFonts w:cstheme="minorHAnsi"/>
        </w:rPr>
        <w:t xml:space="preserve"> of these services . In a </w:t>
      </w:r>
      <w:r w:rsidR="00577863">
        <w:rPr>
          <w:rFonts w:cstheme="minorHAnsi"/>
        </w:rPr>
        <w:t xml:space="preserve">compilation, the accountant’s </w:t>
      </w:r>
      <w:r w:rsidRPr="00B82203">
        <w:rPr>
          <w:rFonts w:cstheme="minorHAnsi"/>
        </w:rPr>
        <w:t>report should describe the purpose of th</w:t>
      </w:r>
      <w:r w:rsidR="00577863">
        <w:rPr>
          <w:rFonts w:cstheme="minorHAnsi"/>
        </w:rPr>
        <w:t>a</w:t>
      </w:r>
      <w:r w:rsidRPr="00B82203">
        <w:rPr>
          <w:rFonts w:cstheme="minorHAnsi"/>
        </w:rPr>
        <w:t xml:space="preserve">t </w:t>
      </w:r>
      <w:r w:rsidR="00577863">
        <w:rPr>
          <w:rFonts w:cstheme="minorHAnsi"/>
        </w:rPr>
        <w:t>e</w:t>
      </w:r>
      <w:r w:rsidRPr="00B82203">
        <w:rPr>
          <w:rFonts w:cstheme="minorHAnsi"/>
        </w:rPr>
        <w:t xml:space="preserve">ngagement stressing that neither an opinion nor </w:t>
      </w:r>
      <w:r w:rsidR="00403E95">
        <w:rPr>
          <w:rFonts w:cstheme="minorHAnsi"/>
        </w:rPr>
        <w:t>other forms</w:t>
      </w:r>
      <w:r w:rsidRPr="00B82203">
        <w:rPr>
          <w:rFonts w:cstheme="minorHAnsi"/>
        </w:rPr>
        <w:t xml:space="preserve"> of </w:t>
      </w:r>
      <w:r w:rsidR="00403E95" w:rsidRPr="00B82203">
        <w:rPr>
          <w:rFonts w:cstheme="minorHAnsi"/>
        </w:rPr>
        <w:t>assur</w:t>
      </w:r>
      <w:r w:rsidR="00403E95">
        <w:rPr>
          <w:rFonts w:cstheme="minorHAnsi"/>
        </w:rPr>
        <w:t>a</w:t>
      </w:r>
      <w:r w:rsidR="00403E95" w:rsidRPr="00B82203">
        <w:rPr>
          <w:rFonts w:cstheme="minorHAnsi"/>
        </w:rPr>
        <w:t>nce</w:t>
      </w:r>
      <w:r w:rsidRPr="00B82203">
        <w:rPr>
          <w:rFonts w:cstheme="minorHAnsi"/>
        </w:rPr>
        <w:t xml:space="preserve"> is being provided. When a </w:t>
      </w:r>
      <w:r w:rsidR="00403E95">
        <w:rPr>
          <w:rFonts w:cstheme="minorHAnsi"/>
        </w:rPr>
        <w:t>review is</w:t>
      </w:r>
      <w:r w:rsidRPr="00B82203">
        <w:rPr>
          <w:rFonts w:cstheme="minorHAnsi"/>
        </w:rPr>
        <w:t xml:space="preserve"> being performed</w:t>
      </w:r>
      <w:r w:rsidR="009406A4">
        <w:rPr>
          <w:rFonts w:cstheme="minorHAnsi"/>
        </w:rPr>
        <w:t>,</w:t>
      </w:r>
      <w:r w:rsidRPr="00B82203">
        <w:rPr>
          <w:rFonts w:cstheme="minorHAnsi"/>
        </w:rPr>
        <w:t xml:space="preserve"> the report should </w:t>
      </w:r>
      <w:r w:rsidR="009406A4">
        <w:rPr>
          <w:rFonts w:cstheme="minorHAnsi"/>
        </w:rPr>
        <w:t>emphasize the p</w:t>
      </w:r>
      <w:r w:rsidRPr="00B82203">
        <w:rPr>
          <w:rFonts w:cstheme="minorHAnsi"/>
        </w:rPr>
        <w:t>urpose of the</w:t>
      </w:r>
      <w:r w:rsidR="009406A4">
        <w:rPr>
          <w:rFonts w:cstheme="minorHAnsi"/>
        </w:rPr>
        <w:t xml:space="preserve"> </w:t>
      </w:r>
      <w:r w:rsidRPr="00B82203">
        <w:rPr>
          <w:rFonts w:cstheme="minorHAnsi"/>
        </w:rPr>
        <w:t xml:space="preserve">review and the type of procedure </w:t>
      </w:r>
      <w:r w:rsidR="00CD408D">
        <w:rPr>
          <w:rFonts w:cstheme="minorHAnsi"/>
        </w:rPr>
        <w:t>employed</w:t>
      </w:r>
      <w:r w:rsidRPr="00B82203">
        <w:rPr>
          <w:rFonts w:cstheme="minorHAnsi"/>
        </w:rPr>
        <w:t xml:space="preserve"> by th</w:t>
      </w:r>
      <w:r w:rsidR="00CD408D">
        <w:rPr>
          <w:rFonts w:cstheme="minorHAnsi"/>
        </w:rPr>
        <w:t>e</w:t>
      </w:r>
      <w:r w:rsidRPr="00B82203">
        <w:rPr>
          <w:rFonts w:cstheme="minorHAnsi"/>
        </w:rPr>
        <w:t xml:space="preserve"> accountant. It must also stress that the</w:t>
      </w:r>
      <w:r w:rsidR="00CD408D">
        <w:rPr>
          <w:rFonts w:cstheme="minorHAnsi"/>
        </w:rPr>
        <w:t xml:space="preserve"> accou</w:t>
      </w:r>
      <w:r w:rsidRPr="00B82203">
        <w:rPr>
          <w:rFonts w:cstheme="minorHAnsi"/>
        </w:rPr>
        <w:t xml:space="preserve">ntant is unaware of </w:t>
      </w:r>
      <w:r w:rsidR="00AA3FF3" w:rsidRPr="00B82203">
        <w:rPr>
          <w:rFonts w:cstheme="minorHAnsi"/>
        </w:rPr>
        <w:t>any</w:t>
      </w:r>
      <w:r w:rsidRPr="00B82203">
        <w:rPr>
          <w:rFonts w:cstheme="minorHAnsi"/>
        </w:rPr>
        <w:t xml:space="preserve"> material </w:t>
      </w:r>
      <w:r w:rsidR="00AA3FF3">
        <w:rPr>
          <w:rFonts w:cstheme="minorHAnsi"/>
        </w:rPr>
        <w:t>modifications needed</w:t>
      </w:r>
      <w:r w:rsidRPr="00B82203">
        <w:rPr>
          <w:rFonts w:cstheme="minorHAnsi"/>
        </w:rPr>
        <w:t xml:space="preserve"> to make th</w:t>
      </w:r>
      <w:r w:rsidR="00AA3FF3">
        <w:rPr>
          <w:rFonts w:cstheme="minorHAnsi"/>
        </w:rPr>
        <w:t>e</w:t>
      </w:r>
      <w:r w:rsidRPr="00B82203">
        <w:rPr>
          <w:rFonts w:cstheme="minorHAnsi"/>
        </w:rPr>
        <w:t xml:space="preserve"> accompanying statements be in </w:t>
      </w:r>
      <w:r w:rsidR="00AA3FF3">
        <w:rPr>
          <w:rFonts w:cstheme="minorHAnsi"/>
        </w:rPr>
        <w:t>conformity with</w:t>
      </w:r>
      <w:r w:rsidRPr="00B82203">
        <w:rPr>
          <w:rFonts w:cstheme="minorHAnsi"/>
        </w:rPr>
        <w:t xml:space="preserve"> GAAP</w:t>
      </w:r>
      <w:r w:rsidR="00B02F01">
        <w:rPr>
          <w:rFonts w:cstheme="minorHAnsi"/>
        </w:rPr>
        <w:t>.</w:t>
      </w:r>
    </w:p>
    <w:p w14:paraId="319CC710" w14:textId="77777777" w:rsidR="00B82203" w:rsidRPr="00B82203" w:rsidRDefault="00B82203" w:rsidP="00B02F01">
      <w:pPr>
        <w:pStyle w:val="Heading1"/>
      </w:pPr>
      <w:r w:rsidRPr="00B82203">
        <w:t>SSARS No. 2</w:t>
      </w:r>
    </w:p>
    <w:p w14:paraId="1E6BF614" w14:textId="11D2F1CB" w:rsidR="00B82203" w:rsidRDefault="00B82203" w:rsidP="00B82203">
      <w:pPr>
        <w:rPr>
          <w:rFonts w:cstheme="minorHAnsi"/>
        </w:rPr>
      </w:pPr>
      <w:r w:rsidRPr="00B82203">
        <w:rPr>
          <w:rFonts w:cstheme="minorHAnsi"/>
        </w:rPr>
        <w:t xml:space="preserve">While </w:t>
      </w:r>
      <w:r w:rsidR="00B02F01">
        <w:rPr>
          <w:rFonts w:cstheme="minorHAnsi"/>
        </w:rPr>
        <w:t>S</w:t>
      </w:r>
      <w:r w:rsidRPr="00B82203">
        <w:rPr>
          <w:rFonts w:cstheme="minorHAnsi"/>
        </w:rPr>
        <w:t>SARS No 1 provides guidan</w:t>
      </w:r>
      <w:r w:rsidR="00B02F01">
        <w:rPr>
          <w:rFonts w:cstheme="minorHAnsi"/>
        </w:rPr>
        <w:t>ce f</w:t>
      </w:r>
      <w:r w:rsidRPr="00B82203">
        <w:rPr>
          <w:rFonts w:cstheme="minorHAnsi"/>
        </w:rPr>
        <w:t xml:space="preserve">or those </w:t>
      </w:r>
      <w:r w:rsidR="00B02F01">
        <w:rPr>
          <w:rFonts w:cstheme="minorHAnsi"/>
        </w:rPr>
        <w:t>en</w:t>
      </w:r>
      <w:r w:rsidRPr="00B82203">
        <w:rPr>
          <w:rFonts w:cstheme="minorHAnsi"/>
        </w:rPr>
        <w:t>gagements in which the financial statem</w:t>
      </w:r>
      <w:r w:rsidR="00B02F01">
        <w:rPr>
          <w:rFonts w:cstheme="minorHAnsi"/>
        </w:rPr>
        <w:t>en</w:t>
      </w:r>
      <w:r w:rsidRPr="00B82203">
        <w:rPr>
          <w:rFonts w:cstheme="minorHAnsi"/>
        </w:rPr>
        <w:t>t</w:t>
      </w:r>
      <w:r w:rsidR="00217D6F">
        <w:rPr>
          <w:rFonts w:cstheme="minorHAnsi"/>
        </w:rPr>
        <w:t>s</w:t>
      </w:r>
      <w:r w:rsidRPr="00B82203">
        <w:rPr>
          <w:rFonts w:cstheme="minorHAnsi"/>
        </w:rPr>
        <w:t>, of one pe</w:t>
      </w:r>
      <w:r w:rsidR="00217D6F" w:rsidRPr="00217D6F">
        <w:rPr>
          <w:rFonts w:cstheme="minorHAnsi"/>
        </w:rPr>
        <w:t>riod</w:t>
      </w:r>
      <w:r w:rsidRPr="00B82203">
        <w:rPr>
          <w:rFonts w:cstheme="minorHAnsi"/>
          <w:b/>
          <w:bCs/>
        </w:rPr>
        <w:t xml:space="preserve"> </w:t>
      </w:r>
      <w:r w:rsidRPr="00B82203">
        <w:rPr>
          <w:rFonts w:cstheme="minorHAnsi"/>
        </w:rPr>
        <w:t>are being provided</w:t>
      </w:r>
      <w:r w:rsidR="00217D6F">
        <w:rPr>
          <w:rFonts w:cstheme="minorHAnsi"/>
        </w:rPr>
        <w:t>,</w:t>
      </w:r>
      <w:r w:rsidRPr="00B82203">
        <w:rPr>
          <w:rFonts w:cstheme="minorHAnsi"/>
        </w:rPr>
        <w:t xml:space="preserve"> it defers to SSA</w:t>
      </w:r>
      <w:r w:rsidR="00842710">
        <w:rPr>
          <w:rFonts w:cstheme="minorHAnsi"/>
        </w:rPr>
        <w:t>RS</w:t>
      </w:r>
      <w:r w:rsidRPr="00B82203">
        <w:rPr>
          <w:rFonts w:cstheme="minorHAnsi"/>
        </w:rPr>
        <w:t xml:space="preserve"> No 2 any</w:t>
      </w:r>
      <w:r w:rsidR="00842710">
        <w:rPr>
          <w:rFonts w:cstheme="minorHAnsi"/>
        </w:rPr>
        <w:t xml:space="preserve"> </w:t>
      </w:r>
      <w:r w:rsidR="00842710" w:rsidRPr="00B82203">
        <w:rPr>
          <w:rFonts w:cstheme="minorHAnsi"/>
        </w:rPr>
        <w:t>guide</w:t>
      </w:r>
      <w:r w:rsidRPr="00B82203">
        <w:rPr>
          <w:rFonts w:cstheme="minorHAnsi"/>
        </w:rPr>
        <w:t xml:space="preserve">lines on the presentation of </w:t>
      </w:r>
      <w:r w:rsidR="00842710">
        <w:rPr>
          <w:rFonts w:cstheme="minorHAnsi"/>
        </w:rPr>
        <w:t>comparative financial</w:t>
      </w:r>
      <w:r w:rsidRPr="00B82203">
        <w:rPr>
          <w:rFonts w:cstheme="minorHAnsi"/>
        </w:rPr>
        <w:t xml:space="preserve"> statements. The purpose of this article </w:t>
      </w:r>
      <w:r w:rsidR="00331B11">
        <w:rPr>
          <w:rFonts w:cstheme="minorHAnsi"/>
        </w:rPr>
        <w:t xml:space="preserve">is to summarize the </w:t>
      </w:r>
      <w:r w:rsidRPr="00B82203">
        <w:rPr>
          <w:rFonts w:cstheme="minorHAnsi"/>
        </w:rPr>
        <w:t>reporting requirements mandated under</w:t>
      </w:r>
      <w:r w:rsidR="00331B11">
        <w:rPr>
          <w:rFonts w:cstheme="minorHAnsi"/>
        </w:rPr>
        <w:t xml:space="preserve"> S</w:t>
      </w:r>
      <w:r w:rsidRPr="00B82203">
        <w:rPr>
          <w:rFonts w:cstheme="minorHAnsi"/>
        </w:rPr>
        <w:t xml:space="preserve">SARS No. 2 for two basic occasions--when the </w:t>
      </w:r>
      <w:r w:rsidR="00331B11">
        <w:rPr>
          <w:rFonts w:cstheme="minorHAnsi"/>
        </w:rPr>
        <w:t>same accountant</w:t>
      </w:r>
      <w:r w:rsidRPr="00B82203">
        <w:rPr>
          <w:rFonts w:cstheme="minorHAnsi"/>
        </w:rPr>
        <w:t xml:space="preserve"> has per</w:t>
      </w:r>
      <w:r w:rsidR="004F3128">
        <w:rPr>
          <w:rFonts w:cstheme="minorHAnsi"/>
        </w:rPr>
        <w:t>formed the engagement in each year and when different accountants have performed the engagement in successive years.</w:t>
      </w:r>
    </w:p>
    <w:p w14:paraId="0BBCC68F" w14:textId="1B58761F" w:rsidR="00664C2D" w:rsidRPr="00664C2D" w:rsidRDefault="00664C2D" w:rsidP="00664C2D">
      <w:pPr>
        <w:rPr>
          <w:rFonts w:cstheme="minorHAnsi"/>
        </w:rPr>
      </w:pPr>
      <w:bookmarkStart w:id="3" w:name="Yahr_12511001-0002"/>
      <w:bookmarkEnd w:id="3"/>
      <w:r w:rsidRPr="00664C2D">
        <w:rPr>
          <w:rFonts w:cstheme="minorHAnsi"/>
        </w:rPr>
        <w:t>A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deficiency of SSARS No. 2 is that the reporting requirements for the accountant are not presented in an orderly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fashion: instead</w:t>
      </w:r>
      <w:r w:rsidR="000B71A8">
        <w:rPr>
          <w:rFonts w:cstheme="minorHAnsi"/>
        </w:rPr>
        <w:t>,</w:t>
      </w:r>
      <w:r w:rsidRPr="00664C2D">
        <w:rPr>
          <w:rFonts w:cstheme="minorHAnsi"/>
        </w:rPr>
        <w:t xml:space="preserve"> readers of that statement must sometimes search to find the requirements fitting a particular</w:t>
      </w:r>
      <w:r w:rsidR="00CD00FD">
        <w:rPr>
          <w:rFonts w:cstheme="minorHAnsi"/>
        </w:rPr>
        <w:t xml:space="preserve"> </w:t>
      </w:r>
      <w:r w:rsidRPr="00664C2D">
        <w:rPr>
          <w:rFonts w:cstheme="minorHAnsi"/>
        </w:rPr>
        <w:t>situation</w:t>
      </w:r>
      <w:r w:rsidRPr="00664C2D">
        <w:rPr>
          <w:rFonts w:cstheme="minorHAnsi"/>
          <w:b/>
          <w:bCs/>
        </w:rPr>
        <w:t xml:space="preserve">. </w:t>
      </w:r>
      <w:r w:rsidRPr="00664C2D">
        <w:rPr>
          <w:rFonts w:cstheme="minorHAnsi"/>
        </w:rPr>
        <w:t>Using four tables</w:t>
      </w:r>
      <w:r w:rsidR="00E74BD2">
        <w:rPr>
          <w:rFonts w:cstheme="minorHAnsi"/>
        </w:rPr>
        <w:t xml:space="preserve">, </w:t>
      </w:r>
      <w:r w:rsidRPr="00664C2D">
        <w:rPr>
          <w:rFonts w:cstheme="minorHAnsi"/>
        </w:rPr>
        <w:t>this article rearranges those</w:t>
      </w:r>
      <w:r w:rsidR="00E74BD2">
        <w:rPr>
          <w:rFonts w:cstheme="minorHAnsi"/>
        </w:rPr>
        <w:t xml:space="preserve"> </w:t>
      </w:r>
      <w:r w:rsidRPr="00664C2D">
        <w:rPr>
          <w:rFonts w:cstheme="minorHAnsi"/>
        </w:rPr>
        <w:t>SSARS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No. 2 guidelines into a more logical and under</w:t>
      </w:r>
      <w:r w:rsidR="00E74BD2">
        <w:rPr>
          <w:rFonts w:cstheme="minorHAnsi"/>
        </w:rPr>
        <w:t>sta</w:t>
      </w:r>
      <w:r w:rsidRPr="00664C2D">
        <w:rPr>
          <w:rFonts w:cstheme="minorHAnsi"/>
        </w:rPr>
        <w:t>ndable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format</w:t>
      </w:r>
      <w:r w:rsidR="00696D1C">
        <w:rPr>
          <w:rFonts w:cstheme="minorHAnsi"/>
        </w:rPr>
        <w:t>.</w:t>
      </w:r>
      <w:r w:rsidRPr="00664C2D">
        <w:rPr>
          <w:rFonts w:cstheme="minorHAnsi"/>
        </w:rPr>
        <w:t xml:space="preserve"> In the interest of space</w:t>
      </w:r>
      <w:r w:rsidR="00E74BD2">
        <w:rPr>
          <w:rFonts w:cstheme="minorHAnsi"/>
        </w:rPr>
        <w:t>,</w:t>
      </w:r>
      <w:r w:rsidRPr="00664C2D">
        <w:rPr>
          <w:rFonts w:cstheme="minorHAnsi"/>
        </w:rPr>
        <w:t xml:space="preserve"> however</w:t>
      </w:r>
      <w:r w:rsidR="00E74BD2">
        <w:rPr>
          <w:rFonts w:cstheme="minorHAnsi"/>
        </w:rPr>
        <w:t>,</w:t>
      </w:r>
      <w:r w:rsidRPr="00664C2D">
        <w:rPr>
          <w:rFonts w:cstheme="minorHAnsi"/>
        </w:rPr>
        <w:t xml:space="preserve"> the accountant's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reports needed in each instance are not re</w:t>
      </w:r>
      <w:r w:rsidR="00696D1C">
        <w:rPr>
          <w:rFonts w:cstheme="minorHAnsi"/>
        </w:rPr>
        <w:t>pro</w:t>
      </w:r>
      <w:r w:rsidRPr="00664C2D">
        <w:rPr>
          <w:rFonts w:cstheme="minorHAnsi"/>
        </w:rPr>
        <w:t>duced</w:t>
      </w:r>
      <w:r w:rsidR="00696D1C">
        <w:rPr>
          <w:rFonts w:cstheme="minorHAnsi"/>
        </w:rPr>
        <w:t>.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Instead</w:t>
      </w:r>
      <w:r w:rsidR="00696D1C">
        <w:rPr>
          <w:rFonts w:cstheme="minorHAnsi"/>
        </w:rPr>
        <w:t>,</w:t>
      </w:r>
      <w:r w:rsidRPr="00664C2D">
        <w:rPr>
          <w:rFonts w:cstheme="minorHAnsi"/>
        </w:rPr>
        <w:t xml:space="preserve"> this article merely cites the paragraph numbers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of SSARS No. 2 in which illustrative</w:t>
      </w:r>
      <w:r w:rsidR="00A9557A">
        <w:rPr>
          <w:rFonts w:cstheme="minorHAnsi"/>
        </w:rPr>
        <w:t xml:space="preserve"> </w:t>
      </w:r>
      <w:r w:rsidRPr="00664C2D">
        <w:rPr>
          <w:rFonts w:cstheme="minorHAnsi"/>
        </w:rPr>
        <w:t>reports are presented.</w:t>
      </w:r>
    </w:p>
    <w:p w14:paraId="641A09BB" w14:textId="2FA12283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>The reporting requirements when the same accountant participates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 xml:space="preserve">in </w:t>
      </w:r>
      <w:r w:rsidR="005151BE" w:rsidRPr="00664C2D">
        <w:rPr>
          <w:rFonts w:cstheme="minorHAnsi"/>
        </w:rPr>
        <w:t>succe</w:t>
      </w:r>
      <w:r w:rsidR="005151BE">
        <w:rPr>
          <w:rFonts w:cstheme="minorHAnsi"/>
        </w:rPr>
        <w:t>s</w:t>
      </w:r>
      <w:r w:rsidR="005151BE" w:rsidRPr="00664C2D">
        <w:rPr>
          <w:rFonts w:cstheme="minorHAnsi"/>
        </w:rPr>
        <w:t>sive</w:t>
      </w:r>
      <w:r w:rsidRPr="00664C2D">
        <w:rPr>
          <w:rFonts w:cstheme="minorHAnsi"/>
        </w:rPr>
        <w:t xml:space="preserve"> engagements are summarized in Table</w:t>
      </w:r>
      <w:r w:rsidRPr="00664C2D">
        <w:rPr>
          <w:rFonts w:cstheme="minorHAnsi"/>
          <w:b/>
          <w:bCs/>
        </w:rPr>
        <w:t xml:space="preserve"> </w:t>
      </w:r>
      <w:r w:rsidR="005151BE">
        <w:rPr>
          <w:rFonts w:cstheme="minorHAnsi"/>
        </w:rPr>
        <w:t>I</w:t>
      </w:r>
      <w:r w:rsidRPr="00664C2D">
        <w:rPr>
          <w:rFonts w:cstheme="minorHAnsi"/>
        </w:rPr>
        <w:t>. As indicated</w:t>
      </w:r>
      <w:r w:rsidR="005151BE">
        <w:rPr>
          <w:rFonts w:cstheme="minorHAnsi"/>
        </w:rPr>
        <w:t>,</w:t>
      </w:r>
      <w:r w:rsidRPr="00664C2D">
        <w:rPr>
          <w:rFonts w:cstheme="minorHAnsi"/>
        </w:rPr>
        <w:t xml:space="preserve"> SSARS No . 2 applies only when a </w:t>
      </w:r>
      <w:r w:rsidR="00C61E9B">
        <w:rPr>
          <w:rFonts w:cstheme="minorHAnsi"/>
        </w:rPr>
        <w:t>com</w:t>
      </w:r>
      <w:r w:rsidRPr="00664C2D">
        <w:rPr>
          <w:rFonts w:cstheme="minorHAnsi"/>
        </w:rPr>
        <w:t>pilation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or review is undertaken in the current period. If an</w:t>
      </w:r>
      <w:r w:rsidR="00C61E9B">
        <w:rPr>
          <w:rFonts w:cstheme="minorHAnsi"/>
        </w:rPr>
        <w:t xml:space="preserve"> </w:t>
      </w:r>
      <w:r w:rsidRPr="00664C2D">
        <w:rPr>
          <w:rFonts w:cstheme="minorHAnsi"/>
        </w:rPr>
        <w:t>audit</w:t>
      </w:r>
      <w:r w:rsidRPr="00664C2D">
        <w:rPr>
          <w:rFonts w:cstheme="minorHAnsi"/>
          <w:b/>
          <w:bCs/>
        </w:rPr>
        <w:t xml:space="preserve"> is </w:t>
      </w:r>
      <w:r w:rsidRPr="00664C2D">
        <w:rPr>
          <w:rFonts w:cstheme="minorHAnsi"/>
        </w:rPr>
        <w:t>performed in the current period, then the guideI</w:t>
      </w:r>
      <w:r w:rsidR="00C61E9B">
        <w:rPr>
          <w:rFonts w:cstheme="minorHAnsi"/>
        </w:rPr>
        <w:t>i</w:t>
      </w:r>
      <w:r w:rsidRPr="00664C2D">
        <w:rPr>
          <w:rFonts w:cstheme="minorHAnsi"/>
        </w:rPr>
        <w:t>nes for comparative statements specified in applicable Statements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Auditing Standards govern the fo</w:t>
      </w:r>
      <w:r w:rsidR="00862FCE">
        <w:rPr>
          <w:rFonts w:cstheme="minorHAnsi"/>
        </w:rPr>
        <w:t>rm</w:t>
      </w:r>
      <w:r w:rsidRPr="00664C2D">
        <w:rPr>
          <w:rFonts w:cstheme="minorHAnsi"/>
        </w:rPr>
        <w:t xml:space="preserve"> and con</w:t>
      </w:r>
      <w:r w:rsidR="00862FCE">
        <w:rPr>
          <w:rFonts w:cstheme="minorHAnsi"/>
        </w:rPr>
        <w:t>t</w:t>
      </w:r>
      <w:r w:rsidRPr="00664C2D">
        <w:rPr>
          <w:rFonts w:cstheme="minorHAnsi"/>
        </w:rPr>
        <w:t>ent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of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 xml:space="preserve">the </w:t>
      </w:r>
      <w:r w:rsidR="00862FCE" w:rsidRPr="00664C2D">
        <w:rPr>
          <w:rFonts w:cstheme="minorHAnsi"/>
        </w:rPr>
        <w:t>accountant’</w:t>
      </w:r>
      <w:r w:rsidR="00862FCE">
        <w:rPr>
          <w:rFonts w:cstheme="minorHAnsi"/>
        </w:rPr>
        <w:t>s</w:t>
      </w:r>
      <w:r w:rsidRPr="00664C2D">
        <w:rPr>
          <w:rFonts w:cstheme="minorHAnsi"/>
        </w:rPr>
        <w:t xml:space="preserve"> report.</w:t>
      </w:r>
    </w:p>
    <w:p w14:paraId="7EEBE151" w14:textId="356E6A23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>Table II specifies the various options available to a successor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accountant when a predecessor has either compiled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or reviewed the prior year statements. In each case the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predecessor may reissue his prior year</w:t>
      </w:r>
      <w:r w:rsidR="00EF5C94">
        <w:rPr>
          <w:rFonts w:cstheme="minorHAnsi"/>
        </w:rPr>
        <w:t>’</w:t>
      </w:r>
      <w:r w:rsidRPr="00664C2D">
        <w:rPr>
          <w:rFonts w:cstheme="minorHAnsi"/>
        </w:rPr>
        <w:t>s report if he</w:t>
      </w:r>
      <w:r w:rsidR="00EF5C94">
        <w:rPr>
          <w:rFonts w:cstheme="minorHAnsi"/>
        </w:rPr>
        <w:t xml:space="preserve"> </w:t>
      </w:r>
      <w:r w:rsidRPr="00664C2D">
        <w:rPr>
          <w:rFonts w:cstheme="minorHAnsi"/>
        </w:rPr>
        <w:t>complies with certain provisions. Otherwise. the successor</w:t>
      </w:r>
      <w:r w:rsidR="00EF5C94">
        <w:rPr>
          <w:rFonts w:cstheme="minorHAnsi"/>
        </w:rPr>
        <w:t xml:space="preserve"> </w:t>
      </w:r>
      <w:r w:rsidRPr="00664C2D">
        <w:rPr>
          <w:rFonts w:cstheme="minorHAnsi"/>
        </w:rPr>
        <w:t>accountant must refer to the report from the prior accountant on his compilation or review activity or the successor may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perform an examination for the prior period.</w:t>
      </w:r>
    </w:p>
    <w:p w14:paraId="370F879E" w14:textId="0C22EC08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>A more detailed summary of the procedures to be followed by both predecessor and successor accountant</w:t>
      </w:r>
      <w:r w:rsidR="000E1586">
        <w:rPr>
          <w:rFonts w:cstheme="minorHAnsi"/>
        </w:rPr>
        <w:t>s</w:t>
      </w:r>
      <w:r w:rsidRPr="00664C2D">
        <w:rPr>
          <w:rFonts w:cstheme="minorHAnsi"/>
        </w:rPr>
        <w:t xml:space="preserve"> is contained in Table Ill. As is evident from that table. there are a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number of different steps that the predecessor must</w:t>
      </w:r>
      <w:r w:rsidR="000E1586">
        <w:rPr>
          <w:rFonts w:cstheme="minorHAnsi"/>
        </w:rPr>
        <w:t xml:space="preserve"> </w:t>
      </w:r>
      <w:r w:rsidRPr="00664C2D">
        <w:rPr>
          <w:rFonts w:cstheme="minorHAnsi"/>
        </w:rPr>
        <w:t>follow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if he is to reissue his report. Given these numerous</w:t>
      </w:r>
      <w:r w:rsidR="00A2534F">
        <w:rPr>
          <w:rFonts w:cstheme="minorHAnsi"/>
        </w:rPr>
        <w:t xml:space="preserve"> </w:t>
      </w:r>
      <w:r w:rsidRPr="00664C2D">
        <w:rPr>
          <w:rFonts w:cstheme="minorHAnsi"/>
        </w:rPr>
        <w:t>requirements</w:t>
      </w:r>
      <w:r w:rsidR="00A2534F">
        <w:rPr>
          <w:rFonts w:cstheme="minorHAnsi"/>
        </w:rPr>
        <w:t>,</w:t>
      </w:r>
      <w:r w:rsidRPr="00664C2D">
        <w:rPr>
          <w:rFonts w:cstheme="minorHAnsi"/>
        </w:rPr>
        <w:t xml:space="preserve"> it seems unlikely that a predecessor will often reissue that report. Instead. it appears that the successor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accountant must often choose be</w:t>
      </w:r>
      <w:r w:rsidR="00614842">
        <w:rPr>
          <w:rFonts w:cstheme="minorHAnsi"/>
        </w:rPr>
        <w:t>tw</w:t>
      </w:r>
      <w:r w:rsidRPr="00664C2D">
        <w:rPr>
          <w:rFonts w:cstheme="minorHAnsi"/>
        </w:rPr>
        <w:t>een referring to</w:t>
      </w:r>
      <w:r w:rsidR="00614842">
        <w:rPr>
          <w:rFonts w:cstheme="minorHAnsi"/>
        </w:rPr>
        <w:t xml:space="preserve"> </w:t>
      </w:r>
      <w:r w:rsidRPr="00664C2D">
        <w:rPr>
          <w:rFonts w:cstheme="minorHAnsi"/>
        </w:rPr>
        <w:t>predecessor</w:t>
      </w:r>
      <w:r w:rsidR="00614842">
        <w:rPr>
          <w:rFonts w:cstheme="minorHAnsi"/>
        </w:rPr>
        <w:t>’</w:t>
      </w:r>
      <w:r w:rsidRPr="00664C2D">
        <w:rPr>
          <w:rFonts w:cstheme="minorHAnsi"/>
        </w:rPr>
        <w:t>s report or performing a compilation</w:t>
      </w:r>
      <w:r w:rsidR="00614842">
        <w:rPr>
          <w:rFonts w:cstheme="minorHAnsi"/>
        </w:rPr>
        <w:t>,</w:t>
      </w:r>
      <w:r w:rsidRPr="00664C2D">
        <w:rPr>
          <w:rFonts w:cstheme="minorHAnsi"/>
        </w:rPr>
        <w:t xml:space="preserve"> re</w:t>
      </w:r>
      <w:r w:rsidR="00614842">
        <w:rPr>
          <w:rFonts w:cstheme="minorHAnsi"/>
        </w:rPr>
        <w:t>vi</w:t>
      </w:r>
      <w:r w:rsidRPr="00664C2D">
        <w:rPr>
          <w:rFonts w:cstheme="minorHAnsi"/>
        </w:rPr>
        <w:t>ew</w:t>
      </w:r>
      <w:r w:rsidR="007C0B0D">
        <w:rPr>
          <w:rFonts w:cstheme="minorHAnsi"/>
        </w:rPr>
        <w:t>,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or audit of the prior period statements.</w:t>
      </w:r>
    </w:p>
    <w:p w14:paraId="4817AB3D" w14:textId="7A6964EA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 xml:space="preserve">Table IV summarizes two situations which the accountant may occasionally face-the revision of prior period statements and a change in the status of an entity between </w:t>
      </w:r>
      <w:r w:rsidR="003017A5">
        <w:rPr>
          <w:rFonts w:cstheme="minorHAnsi"/>
        </w:rPr>
        <w:t>public</w:t>
      </w:r>
      <w:r w:rsidRPr="00664C2D">
        <w:rPr>
          <w:rFonts w:cstheme="minorHAnsi"/>
        </w:rPr>
        <w:t xml:space="preserve"> and non-public</w:t>
      </w:r>
      <w:r w:rsidR="003017A5">
        <w:rPr>
          <w:rFonts w:cstheme="minorHAnsi"/>
        </w:rPr>
        <w:t>.</w:t>
      </w:r>
      <w:r w:rsidRPr="00664C2D">
        <w:rPr>
          <w:rFonts w:cstheme="minorHAnsi"/>
        </w:rPr>
        <w:t xml:space="preserve"> In addition</w:t>
      </w:r>
      <w:r w:rsidR="003017A5">
        <w:rPr>
          <w:rFonts w:cstheme="minorHAnsi"/>
        </w:rPr>
        <w:t>,</w:t>
      </w:r>
      <w:r w:rsidRPr="00664C2D">
        <w:rPr>
          <w:rFonts w:cstheme="minorHAnsi"/>
        </w:rPr>
        <w:t xml:space="preserve"> it also provides alternatives for the accountant when either he or a predecessor</w:t>
      </w:r>
      <w:r w:rsidR="00A50F24">
        <w:rPr>
          <w:rFonts w:cstheme="minorHAnsi"/>
        </w:rPr>
        <w:t xml:space="preserve"> has</w:t>
      </w:r>
      <w:r w:rsidRPr="00664C2D">
        <w:rPr>
          <w:rFonts w:cstheme="minorHAnsi"/>
          <w:b/>
          <w:bCs/>
        </w:rPr>
        <w:t xml:space="preserve"> </w:t>
      </w:r>
      <w:r w:rsidRPr="00664C2D">
        <w:rPr>
          <w:rFonts w:cstheme="minorHAnsi"/>
        </w:rPr>
        <w:t>issued a disclaimer of opinion for a non-</w:t>
      </w:r>
      <w:r w:rsidR="00A50F24">
        <w:rPr>
          <w:rFonts w:cstheme="minorHAnsi"/>
        </w:rPr>
        <w:t>p</w:t>
      </w:r>
      <w:r w:rsidRPr="00664C2D">
        <w:rPr>
          <w:rFonts w:cstheme="minorHAnsi"/>
        </w:rPr>
        <w:t>ublic entity</w:t>
      </w:r>
      <w:r w:rsidR="00873A7D">
        <w:rPr>
          <w:rFonts w:cstheme="minorHAnsi"/>
        </w:rPr>
        <w:t xml:space="preserve"> </w:t>
      </w:r>
      <w:r w:rsidRPr="00664C2D">
        <w:rPr>
          <w:rFonts w:cstheme="minorHAnsi"/>
        </w:rPr>
        <w:t>or periods ending on or after July 1. 1979.</w:t>
      </w:r>
    </w:p>
    <w:p w14:paraId="6A50862D" w14:textId="77777777" w:rsidR="00664C2D" w:rsidRPr="00664C2D" w:rsidRDefault="00664C2D" w:rsidP="00873A7D">
      <w:pPr>
        <w:pStyle w:val="Heading1"/>
      </w:pPr>
      <w:r w:rsidRPr="00664C2D">
        <w:t>Summary</w:t>
      </w:r>
    </w:p>
    <w:p w14:paraId="05AE4B57" w14:textId="49A7F97F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>SSARS No. 2 sets forth standards for reporting on com</w:t>
      </w:r>
      <w:r w:rsidR="00873A7D">
        <w:rPr>
          <w:rFonts w:cstheme="minorHAnsi"/>
        </w:rPr>
        <w:t>parative</w:t>
      </w:r>
      <w:r w:rsidRPr="00664C2D">
        <w:rPr>
          <w:rFonts w:cstheme="minorHAnsi"/>
        </w:rPr>
        <w:t xml:space="preserve"> fin</w:t>
      </w:r>
      <w:r w:rsidR="006F4F4A">
        <w:rPr>
          <w:rFonts w:cstheme="minorHAnsi"/>
        </w:rPr>
        <w:t>a</w:t>
      </w:r>
      <w:r w:rsidRPr="00664C2D">
        <w:rPr>
          <w:rFonts w:cstheme="minorHAnsi"/>
        </w:rPr>
        <w:t xml:space="preserve">ncial statements of a non-public entity. </w:t>
      </w:r>
      <w:r w:rsidR="006F4F4A">
        <w:rPr>
          <w:rFonts w:cstheme="minorHAnsi"/>
        </w:rPr>
        <w:t>Alth</w:t>
      </w:r>
      <w:r w:rsidRPr="00664C2D">
        <w:rPr>
          <w:rFonts w:cstheme="minorHAnsi"/>
        </w:rPr>
        <w:t xml:space="preserve">ough this statement provides considerable detail for </w:t>
      </w:r>
      <w:r w:rsidR="00C4219E">
        <w:rPr>
          <w:rFonts w:cstheme="minorHAnsi"/>
        </w:rPr>
        <w:t>most s</w:t>
      </w:r>
      <w:r w:rsidRPr="00664C2D">
        <w:rPr>
          <w:rFonts w:cstheme="minorHAnsi"/>
        </w:rPr>
        <w:t>ituations the accountant is likely to encounter</w:t>
      </w:r>
      <w:r w:rsidR="00C4219E">
        <w:rPr>
          <w:rFonts w:cstheme="minorHAnsi"/>
        </w:rPr>
        <w:t xml:space="preserve">, </w:t>
      </w:r>
      <w:r w:rsidRPr="00664C2D">
        <w:rPr>
          <w:rFonts w:cstheme="minorHAnsi"/>
        </w:rPr>
        <w:t>the</w:t>
      </w:r>
      <w:r w:rsidR="00C4219E">
        <w:rPr>
          <w:rFonts w:cstheme="minorHAnsi"/>
        </w:rPr>
        <w:t xml:space="preserve"> form</w:t>
      </w:r>
      <w:r w:rsidRPr="00664C2D">
        <w:rPr>
          <w:rFonts w:cstheme="minorHAnsi"/>
        </w:rPr>
        <w:t>at of SSARS No. 2 may prove difficult to follow. This</w:t>
      </w:r>
      <w:r w:rsidR="00C4219E">
        <w:rPr>
          <w:rFonts w:cstheme="minorHAnsi"/>
        </w:rPr>
        <w:t xml:space="preserve"> </w:t>
      </w:r>
      <w:r w:rsidRPr="00664C2D">
        <w:rPr>
          <w:rFonts w:cstheme="minorHAnsi"/>
        </w:rPr>
        <w:t>developed a comprehensive. systematic presenta</w:t>
      </w:r>
      <w:r w:rsidR="00CC4322">
        <w:rPr>
          <w:rFonts w:cstheme="minorHAnsi"/>
        </w:rPr>
        <w:t xml:space="preserve">tion </w:t>
      </w:r>
      <w:r w:rsidRPr="00664C2D">
        <w:rPr>
          <w:rFonts w:cstheme="minorHAnsi"/>
        </w:rPr>
        <w:t xml:space="preserve">of SSARS No. 2 in Tables I through IV. These tables </w:t>
      </w:r>
      <w:r w:rsidR="001F6975">
        <w:rPr>
          <w:rFonts w:cstheme="minorHAnsi"/>
        </w:rPr>
        <w:t>should</w:t>
      </w:r>
      <w:r w:rsidRPr="00664C2D">
        <w:rPr>
          <w:rFonts w:cstheme="minorHAnsi"/>
        </w:rPr>
        <w:t xml:space="preserve"> serve as a highly useful and easily comprehensive</w:t>
      </w:r>
      <w:r w:rsidR="001F6975">
        <w:rPr>
          <w:rFonts w:cstheme="minorHAnsi"/>
        </w:rPr>
        <w:t xml:space="preserve"> refer</w:t>
      </w:r>
      <w:r w:rsidRPr="00664C2D">
        <w:rPr>
          <w:rFonts w:cstheme="minorHAnsi"/>
        </w:rPr>
        <w:t>ence for the accountant.</w:t>
      </w:r>
    </w:p>
    <w:p w14:paraId="3D51E448" w14:textId="7376B5AB" w:rsidR="00664C2D" w:rsidRPr="00664C2D" w:rsidRDefault="00664C2D" w:rsidP="004822BC">
      <w:pPr>
        <w:ind w:left="720"/>
        <w:rPr>
          <w:rFonts w:cstheme="minorHAnsi"/>
          <w:b/>
          <w:bCs/>
          <w:i/>
          <w:iCs/>
        </w:rPr>
      </w:pPr>
      <w:r w:rsidRPr="00664C2D">
        <w:rPr>
          <w:rFonts w:cstheme="minorHAnsi"/>
          <w:b/>
          <w:bCs/>
          <w:i/>
          <w:iCs/>
        </w:rPr>
        <w:t>''SSARS No. 2 applies only when a compil</w:t>
      </w:r>
      <w:r w:rsidR="004822BC" w:rsidRPr="004822BC">
        <w:rPr>
          <w:rFonts w:cstheme="minorHAnsi"/>
          <w:b/>
          <w:bCs/>
          <w:i/>
          <w:iCs/>
        </w:rPr>
        <w:t>a</w:t>
      </w:r>
      <w:r w:rsidRPr="00664C2D">
        <w:rPr>
          <w:rFonts w:cstheme="minorHAnsi"/>
          <w:b/>
          <w:bCs/>
          <w:i/>
          <w:iCs/>
        </w:rPr>
        <w:t>tion or</w:t>
      </w:r>
      <w:r w:rsidR="004822BC" w:rsidRPr="004822BC">
        <w:rPr>
          <w:rFonts w:cstheme="minorHAnsi"/>
          <w:b/>
          <w:bCs/>
          <w:i/>
          <w:iCs/>
        </w:rPr>
        <w:t xml:space="preserve"> </w:t>
      </w:r>
      <w:r w:rsidRPr="00664C2D">
        <w:rPr>
          <w:rFonts w:cstheme="minorHAnsi"/>
          <w:b/>
          <w:bCs/>
          <w:i/>
          <w:iCs/>
        </w:rPr>
        <w:t>review is undertaken in the current period.''</w:t>
      </w:r>
    </w:p>
    <w:p w14:paraId="09AF69EA" w14:textId="61F58591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>The ARS</w:t>
      </w:r>
      <w:r w:rsidR="004822BC">
        <w:rPr>
          <w:rFonts w:cstheme="minorHAnsi"/>
        </w:rPr>
        <w:t xml:space="preserve"> </w:t>
      </w:r>
      <w:r w:rsidRPr="00664C2D">
        <w:rPr>
          <w:rFonts w:cstheme="minorHAnsi"/>
        </w:rPr>
        <w:t>Committee apparently undertook a thorough study of the possible situations which may occur. Consequently</w:t>
      </w:r>
      <w:r w:rsidR="00C44DEE">
        <w:rPr>
          <w:rFonts w:cstheme="minorHAnsi"/>
        </w:rPr>
        <w:t>,</w:t>
      </w:r>
      <w:r w:rsidRPr="00664C2D">
        <w:rPr>
          <w:rFonts w:cstheme="minorHAnsi"/>
        </w:rPr>
        <w:t xml:space="preserve"> SSARS No. 2 more clearly defines the accountant's responsibilities and will likely reduce the accountant's legal risks when these standards are followed. In addition</w:t>
      </w:r>
      <w:r w:rsidR="00894221">
        <w:rPr>
          <w:rFonts w:cstheme="minorHAnsi"/>
        </w:rPr>
        <w:t>,</w:t>
      </w:r>
      <w:r w:rsidRPr="00664C2D">
        <w:rPr>
          <w:rFonts w:cstheme="minorHAnsi"/>
        </w:rPr>
        <w:t xml:space="preserve"> the requirements</w:t>
      </w:r>
      <w:r w:rsidR="00894221">
        <w:rPr>
          <w:rFonts w:cstheme="minorHAnsi"/>
        </w:rPr>
        <w:t>,</w:t>
      </w:r>
      <w:r w:rsidRPr="00664C2D">
        <w:rPr>
          <w:rFonts w:cstheme="minorHAnsi"/>
        </w:rPr>
        <w:t xml:space="preserve"> when known by the client</w:t>
      </w:r>
      <w:r w:rsidR="00894221">
        <w:rPr>
          <w:rFonts w:cstheme="minorHAnsi"/>
        </w:rPr>
        <w:t>’s</w:t>
      </w:r>
      <w:r w:rsidRPr="00664C2D">
        <w:rPr>
          <w:rFonts w:cstheme="minorHAnsi"/>
        </w:rPr>
        <w:t xml:space="preserve"> may increase the client's confidence in the accountant's services.</w:t>
      </w:r>
    </w:p>
    <w:p w14:paraId="02BC43A6" w14:textId="4060130F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>The authors could take issue with several aspects of</w:t>
      </w:r>
      <w:r w:rsidR="00894221">
        <w:rPr>
          <w:rFonts w:cstheme="minorHAnsi"/>
        </w:rPr>
        <w:t xml:space="preserve"> </w:t>
      </w:r>
      <w:r w:rsidRPr="00664C2D">
        <w:rPr>
          <w:rFonts w:cstheme="minorHAnsi"/>
        </w:rPr>
        <w:t>SSARS No. 2. However</w:t>
      </w:r>
      <w:r w:rsidR="002C78AA">
        <w:rPr>
          <w:rFonts w:cstheme="minorHAnsi"/>
        </w:rPr>
        <w:t>,</w:t>
      </w:r>
      <w:r w:rsidRPr="00664C2D">
        <w:rPr>
          <w:rFonts w:cstheme="minorHAnsi"/>
        </w:rPr>
        <w:t xml:space="preserve"> except for the structure of the statements</w:t>
      </w:r>
      <w:r w:rsidR="002C78AA">
        <w:rPr>
          <w:rFonts w:cstheme="minorHAnsi"/>
        </w:rPr>
        <w:t>,</w:t>
      </w:r>
      <w:r w:rsidRPr="00664C2D">
        <w:rPr>
          <w:rFonts w:cstheme="minorHAnsi"/>
        </w:rPr>
        <w:t xml:space="preserve"> our disagreements are minor and are not within the intended scope of this article. Many of these </w:t>
      </w:r>
      <w:r w:rsidR="002C78AA" w:rsidRPr="00664C2D">
        <w:rPr>
          <w:rFonts w:cstheme="minorHAnsi"/>
        </w:rPr>
        <w:t>diffe</w:t>
      </w:r>
      <w:r w:rsidR="002C78AA">
        <w:rPr>
          <w:rFonts w:cstheme="minorHAnsi"/>
        </w:rPr>
        <w:t>re</w:t>
      </w:r>
      <w:r w:rsidR="002C78AA" w:rsidRPr="00664C2D">
        <w:rPr>
          <w:rFonts w:cstheme="minorHAnsi"/>
        </w:rPr>
        <w:t>nces</w:t>
      </w:r>
      <w:r w:rsidRPr="00664C2D">
        <w:rPr>
          <w:rFonts w:cstheme="minorHAnsi"/>
        </w:rPr>
        <w:t xml:space="preserve"> have been addressed by several members of the ARS Committee and are presented at the end of SSARS No. 2.</w:t>
      </w:r>
    </w:p>
    <w:p w14:paraId="0B7BE577" w14:textId="61FF3FBC" w:rsidR="00664C2D" w:rsidRPr="00664C2D" w:rsidRDefault="00664C2D" w:rsidP="00664C2D">
      <w:pPr>
        <w:rPr>
          <w:rFonts w:cstheme="minorHAnsi"/>
        </w:rPr>
      </w:pPr>
      <w:r w:rsidRPr="00664C2D">
        <w:rPr>
          <w:rFonts w:cstheme="minorHAnsi"/>
        </w:rPr>
        <w:t xml:space="preserve">Despite the trend toward increasing proliferation of standards in accounting specific guidelines for accounting services other than audits have been long overdue. SSARS Nos.  </w:t>
      </w:r>
      <w:r w:rsidR="003A7340" w:rsidRPr="00664C2D">
        <w:rPr>
          <w:rFonts w:cstheme="minorHAnsi"/>
        </w:rPr>
        <w:t>1 and</w:t>
      </w:r>
      <w:r w:rsidRPr="00664C2D">
        <w:rPr>
          <w:rFonts w:cstheme="minorHAnsi"/>
        </w:rPr>
        <w:t xml:space="preserve"> 2 are positive steps toward the development of a comprehensive set of standards for these services.</w:t>
      </w:r>
    </w:p>
    <w:p w14:paraId="69955BFF" w14:textId="2B1E5F41" w:rsidR="004F3128" w:rsidRPr="00B82203" w:rsidRDefault="00A22504" w:rsidP="00F87A34">
      <w:pPr>
        <w:pStyle w:val="NoSpacing"/>
        <w:rPr>
          <w:rFonts w:cstheme="minorHAnsi"/>
        </w:rPr>
      </w:pPr>
      <w:r w:rsidRPr="00A22504">
        <w:t>TABLE I</w:t>
      </w:r>
      <w:r w:rsidR="00F87A34">
        <w:t xml:space="preserve">: </w:t>
      </w:r>
      <w:r w:rsidRPr="00A22504">
        <w:t xml:space="preserve">REPORTING STANDARDS WHEN THERE IS A CONTINUING </w:t>
      </w:r>
      <w:r w:rsidRPr="00A22504">
        <w:rPr>
          <w:color w:val="414141"/>
        </w:rPr>
        <w:t>ACCOUNTANT</w:t>
      </w: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1652"/>
        <w:gridCol w:w="1559"/>
        <w:gridCol w:w="6859"/>
      </w:tblGrid>
      <w:tr w:rsidR="00871EEB" w:rsidRPr="00DE0271" w14:paraId="6F1D6B3E" w14:textId="77777777" w:rsidTr="00720AC7">
        <w:trPr>
          <w:trHeight w:val="288"/>
        </w:trPr>
        <w:tc>
          <w:tcPr>
            <w:tcW w:w="0" w:type="auto"/>
          </w:tcPr>
          <w:p w14:paraId="1CB64553" w14:textId="04815A36" w:rsidR="00871EEB" w:rsidRPr="00632823" w:rsidRDefault="00871EEB" w:rsidP="00632823">
            <w:pPr>
              <w:kinsoku w:val="0"/>
              <w:overflowPunct w:val="0"/>
              <w:autoSpaceDE w:val="0"/>
              <w:autoSpaceDN w:val="0"/>
              <w:adjustRightInd w:val="0"/>
              <w:spacing w:before="92" w:line="273" w:lineRule="auto"/>
              <w:ind w:left="15" w:right="694" w:hanging="5"/>
              <w:rPr>
                <w:rFonts w:cstheme="minorHAnsi"/>
                <w:b/>
                <w:bCs/>
                <w:color w:val="2B2B2B"/>
                <w:w w:val="105"/>
              </w:rPr>
            </w:pPr>
            <w:bookmarkStart w:id="4" w:name="Yahr_12511001-0003"/>
            <w:bookmarkEnd w:id="4"/>
            <w:r w:rsidRPr="00632823">
              <w:rPr>
                <w:rFonts w:cstheme="minorHAnsi"/>
                <w:b/>
                <w:bCs/>
                <w:color w:val="2B2B2B"/>
                <w:w w:val="110"/>
              </w:rPr>
              <w:t>Prior</w:t>
            </w:r>
            <w:r w:rsidR="0093004D">
              <w:rPr>
                <w:rFonts w:cstheme="minorHAnsi"/>
                <w:b/>
                <w:bCs/>
                <w:color w:val="2B2B2B"/>
                <w:w w:val="110"/>
              </w:rPr>
              <w:t xml:space="preserve"> P</w:t>
            </w:r>
            <w:r w:rsidRPr="00632823">
              <w:rPr>
                <w:rFonts w:cstheme="minorHAnsi"/>
                <w:b/>
                <w:bCs/>
                <w:color w:val="2B2B2B"/>
                <w:w w:val="105"/>
              </w:rPr>
              <w:t>eriod</w:t>
            </w:r>
          </w:p>
        </w:tc>
        <w:tc>
          <w:tcPr>
            <w:tcW w:w="0" w:type="auto"/>
          </w:tcPr>
          <w:p w14:paraId="178E5261" w14:textId="01511903" w:rsidR="00871EEB" w:rsidRPr="00632823" w:rsidRDefault="00871EEB" w:rsidP="00DE0271">
            <w:pPr>
              <w:kinsoku w:val="0"/>
              <w:overflowPunct w:val="0"/>
              <w:autoSpaceDE w:val="0"/>
              <w:autoSpaceDN w:val="0"/>
              <w:adjustRightInd w:val="0"/>
              <w:spacing w:before="92" w:line="268" w:lineRule="auto"/>
              <w:ind w:right="412"/>
              <w:rPr>
                <w:rFonts w:cstheme="minorHAnsi"/>
                <w:b/>
                <w:bCs/>
                <w:color w:val="2B2B2B"/>
                <w:w w:val="110"/>
              </w:rPr>
            </w:pPr>
            <w:r w:rsidRPr="00632823">
              <w:rPr>
                <w:rFonts w:cstheme="minorHAnsi"/>
                <w:b/>
                <w:bCs/>
                <w:color w:val="2B2B2B"/>
                <w:w w:val="110"/>
              </w:rPr>
              <w:t>Cu</w:t>
            </w:r>
            <w:r w:rsidRPr="00DE0271">
              <w:rPr>
                <w:rFonts w:cstheme="minorHAnsi"/>
                <w:b/>
                <w:bCs/>
                <w:color w:val="2B2B2B"/>
                <w:w w:val="110"/>
              </w:rPr>
              <w:t>rr</w:t>
            </w:r>
            <w:r w:rsidRPr="00632823">
              <w:rPr>
                <w:rFonts w:cstheme="minorHAnsi"/>
                <w:b/>
                <w:bCs/>
                <w:color w:val="2B2B2B"/>
                <w:w w:val="110"/>
              </w:rPr>
              <w:t>ent Period</w:t>
            </w:r>
          </w:p>
        </w:tc>
        <w:tc>
          <w:tcPr>
            <w:tcW w:w="0" w:type="auto"/>
          </w:tcPr>
          <w:p w14:paraId="3DA7F2E1" w14:textId="77777777" w:rsidR="00871EEB" w:rsidRPr="00632823" w:rsidRDefault="00871EEB" w:rsidP="00E6082E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right="2349"/>
              <w:rPr>
                <w:rFonts w:cstheme="minorHAnsi"/>
                <w:b/>
                <w:bCs/>
                <w:color w:val="414141"/>
                <w:w w:val="105"/>
              </w:rPr>
            </w:pPr>
            <w:r w:rsidRPr="00632823">
              <w:rPr>
                <w:rFonts w:cstheme="minorHAnsi"/>
                <w:b/>
                <w:bCs/>
                <w:color w:val="414141"/>
                <w:w w:val="105"/>
              </w:rPr>
              <w:t>Standards</w:t>
            </w:r>
          </w:p>
        </w:tc>
      </w:tr>
      <w:tr w:rsidR="00871EEB" w:rsidRPr="00DE0271" w14:paraId="4DEB136A" w14:textId="77777777" w:rsidTr="00720AC7">
        <w:trPr>
          <w:trHeight w:val="288"/>
        </w:trPr>
        <w:tc>
          <w:tcPr>
            <w:tcW w:w="0" w:type="auto"/>
          </w:tcPr>
          <w:p w14:paraId="07ACABEB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Client-prepared</w:t>
            </w:r>
          </w:p>
        </w:tc>
        <w:tc>
          <w:tcPr>
            <w:tcW w:w="0" w:type="auto"/>
          </w:tcPr>
          <w:p w14:paraId="064BF94B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 or Review</w:t>
            </w:r>
          </w:p>
        </w:tc>
        <w:tc>
          <w:tcPr>
            <w:tcW w:w="0" w:type="auto"/>
          </w:tcPr>
          <w:p w14:paraId="2BA75816" w14:textId="3776CC90" w:rsidR="00871EEB" w:rsidRPr="00632823" w:rsidRDefault="00871EEB" w:rsidP="007727D9">
            <w:pPr>
              <w:rPr>
                <w:b/>
                <w:bCs/>
              </w:rPr>
            </w:pPr>
            <w:r w:rsidRPr="00632823">
              <w:t>Prior</w:t>
            </w:r>
            <w:r w:rsidRPr="00632823">
              <w:rPr>
                <w:spacing w:val="-12"/>
              </w:rPr>
              <w:t xml:space="preserve"> </w:t>
            </w:r>
            <w:r w:rsidRPr="00632823">
              <w:t>period</w:t>
            </w:r>
            <w:r w:rsidRPr="00632823">
              <w:rPr>
                <w:spacing w:val="-15"/>
              </w:rPr>
              <w:t xml:space="preserve"> </w:t>
            </w:r>
            <w:r w:rsidRPr="00632823">
              <w:t>statements</w:t>
            </w:r>
            <w:r w:rsidRPr="00632823">
              <w:rPr>
                <w:spacing w:val="-3"/>
              </w:rPr>
              <w:t xml:space="preserve"> </w:t>
            </w:r>
            <w:r w:rsidRPr="00632823">
              <w:t>must</w:t>
            </w:r>
            <w:r w:rsidRPr="00632823">
              <w:rPr>
                <w:spacing w:val="-9"/>
              </w:rPr>
              <w:t xml:space="preserve"> </w:t>
            </w:r>
            <w:r w:rsidRPr="00632823">
              <w:t>be</w:t>
            </w:r>
            <w:r w:rsidRPr="00632823">
              <w:rPr>
                <w:spacing w:val="-12"/>
              </w:rPr>
              <w:t xml:space="preserve"> </w:t>
            </w:r>
            <w:r w:rsidRPr="00632823">
              <w:t>on</w:t>
            </w:r>
            <w:r w:rsidRPr="00632823">
              <w:rPr>
                <w:spacing w:val="-14"/>
              </w:rPr>
              <w:t xml:space="preserve"> </w:t>
            </w:r>
            <w:r w:rsidRPr="00632823">
              <w:t>separate</w:t>
            </w:r>
            <w:r w:rsidRPr="00632823">
              <w:rPr>
                <w:spacing w:val="-7"/>
              </w:rPr>
              <w:t xml:space="preserve"> </w:t>
            </w:r>
            <w:r w:rsidRPr="00632823">
              <w:t>pages</w:t>
            </w:r>
            <w:r w:rsidRPr="00DE0271">
              <w:t>,</w:t>
            </w:r>
            <w:r w:rsidRPr="00632823">
              <w:t xml:space="preserve"> accountant</w:t>
            </w:r>
            <w:r w:rsidRPr="00632823">
              <w:rPr>
                <w:spacing w:val="-1"/>
              </w:rPr>
              <w:t xml:space="preserve"> </w:t>
            </w:r>
            <w:r w:rsidRPr="00632823">
              <w:t>must explain that</w:t>
            </w:r>
            <w:r w:rsidRPr="00632823">
              <w:rPr>
                <w:spacing w:val="-15"/>
              </w:rPr>
              <w:t xml:space="preserve"> </w:t>
            </w:r>
            <w:r w:rsidRPr="00632823">
              <w:t>he</w:t>
            </w:r>
            <w:r w:rsidRPr="00632823">
              <w:rPr>
                <w:spacing w:val="-10"/>
              </w:rPr>
              <w:t xml:space="preserve"> </w:t>
            </w:r>
            <w:r w:rsidRPr="00632823">
              <w:t>assumes</w:t>
            </w:r>
            <w:r w:rsidRPr="00632823">
              <w:rPr>
                <w:spacing w:val="-6"/>
              </w:rPr>
              <w:t xml:space="preserve"> </w:t>
            </w:r>
            <w:r w:rsidRPr="00632823">
              <w:t>no</w:t>
            </w:r>
            <w:r w:rsidRPr="00632823">
              <w:rPr>
                <w:spacing w:val="23"/>
              </w:rPr>
              <w:t xml:space="preserve"> </w:t>
            </w:r>
            <w:r w:rsidRPr="00632823">
              <w:t>responsibility</w:t>
            </w:r>
            <w:r w:rsidRPr="00632823">
              <w:rPr>
                <w:spacing w:val="-4"/>
              </w:rPr>
              <w:t xml:space="preserve"> </w:t>
            </w:r>
            <w:r w:rsidRPr="00632823">
              <w:t>for</w:t>
            </w:r>
            <w:r w:rsidRPr="00632823">
              <w:rPr>
                <w:spacing w:val="3"/>
              </w:rPr>
              <w:t xml:space="preserve"> </w:t>
            </w:r>
            <w:r w:rsidRPr="00632823">
              <w:t>them</w:t>
            </w:r>
            <w:r w:rsidRPr="00632823">
              <w:rPr>
                <w:spacing w:val="-11"/>
              </w:rPr>
              <w:t xml:space="preserve"> </w:t>
            </w:r>
            <w:r w:rsidRPr="00632823">
              <w:t>and</w:t>
            </w:r>
            <w:r w:rsidRPr="00632823">
              <w:rPr>
                <w:spacing w:val="-12"/>
              </w:rPr>
              <w:t xml:space="preserve"> </w:t>
            </w:r>
            <w:r w:rsidRPr="00632823">
              <w:rPr>
                <w:color w:val="565656"/>
              </w:rPr>
              <w:t xml:space="preserve">that </w:t>
            </w:r>
            <w:r w:rsidRPr="00632823">
              <w:t>he</w:t>
            </w:r>
            <w:r w:rsidRPr="00632823">
              <w:rPr>
                <w:spacing w:val="-14"/>
              </w:rPr>
              <w:t xml:space="preserve"> </w:t>
            </w:r>
            <w:r w:rsidRPr="00632823">
              <w:t>did</w:t>
            </w:r>
            <w:r w:rsidRPr="00632823">
              <w:rPr>
                <w:spacing w:val="-24"/>
              </w:rPr>
              <w:t xml:space="preserve"> </w:t>
            </w:r>
            <w:r w:rsidRPr="00632823">
              <w:t>no</w:t>
            </w:r>
            <w:r w:rsidRPr="00DE0271">
              <w:t xml:space="preserve"> </w:t>
            </w:r>
            <w:r w:rsidRPr="00632823">
              <w:rPr>
                <w:w w:val="105"/>
              </w:rPr>
              <w:t>compilation. review. or audit.</w:t>
            </w:r>
          </w:p>
        </w:tc>
      </w:tr>
      <w:tr w:rsidR="00871EEB" w:rsidRPr="00DE0271" w14:paraId="2FFA6259" w14:textId="77777777" w:rsidTr="00720AC7">
        <w:trPr>
          <w:trHeight w:val="288"/>
        </w:trPr>
        <w:tc>
          <w:tcPr>
            <w:tcW w:w="0" w:type="auto"/>
          </w:tcPr>
          <w:p w14:paraId="126B7692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</w:t>
            </w:r>
          </w:p>
        </w:tc>
        <w:tc>
          <w:tcPr>
            <w:tcW w:w="0" w:type="auto"/>
          </w:tcPr>
          <w:p w14:paraId="3FB0797C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</w:t>
            </w:r>
          </w:p>
        </w:tc>
        <w:tc>
          <w:tcPr>
            <w:tcW w:w="0" w:type="auto"/>
          </w:tcPr>
          <w:p w14:paraId="70315798" w14:textId="388DBEB3" w:rsidR="00871EEB" w:rsidRPr="00632823" w:rsidRDefault="00871EEB" w:rsidP="007727D9">
            <w:pPr>
              <w:rPr>
                <w:w w:val="95"/>
              </w:rPr>
            </w:pPr>
            <w:r w:rsidRPr="00632823">
              <w:t xml:space="preserve">Identical report must be presented for both years (sample report </w:t>
            </w:r>
            <w:r w:rsidRPr="00632823">
              <w:rPr>
                <w:w w:val="95"/>
              </w:rPr>
              <w:t>in</w:t>
            </w:r>
            <w:r w:rsidR="001F0952" w:rsidRPr="00DE0271">
              <w:rPr>
                <w:w w:val="95"/>
              </w:rPr>
              <w:t xml:space="preserve"> </w:t>
            </w:r>
            <w:r w:rsidRPr="00632823">
              <w:rPr>
                <w:w w:val="105"/>
              </w:rPr>
              <w:t>paragraph</w:t>
            </w:r>
            <w:r w:rsidRPr="00632823">
              <w:rPr>
                <w:spacing w:val="-10"/>
                <w:w w:val="105"/>
              </w:rPr>
              <w:t xml:space="preserve"> </w:t>
            </w:r>
            <w:r w:rsidRPr="00632823">
              <w:rPr>
                <w:w w:val="105"/>
              </w:rPr>
              <w:t>9).</w:t>
            </w:r>
            <w:r w:rsidRPr="00632823">
              <w:rPr>
                <w:spacing w:val="-5"/>
                <w:w w:val="105"/>
              </w:rPr>
              <w:t xml:space="preserve"> </w:t>
            </w:r>
            <w:r w:rsidRPr="00632823">
              <w:rPr>
                <w:w w:val="105"/>
              </w:rPr>
              <w:t>Additionally</w:t>
            </w:r>
            <w:r w:rsidR="0093004D">
              <w:rPr>
                <w:w w:val="105"/>
              </w:rPr>
              <w:t>,</w:t>
            </w:r>
            <w:r w:rsidRPr="00632823">
              <w:rPr>
                <w:spacing w:val="5"/>
                <w:w w:val="105"/>
              </w:rPr>
              <w:t xml:space="preserve"> </w:t>
            </w:r>
            <w:r w:rsidRPr="00632823">
              <w:rPr>
                <w:w w:val="105"/>
              </w:rPr>
              <w:t>the</w:t>
            </w:r>
            <w:r w:rsidRPr="00632823">
              <w:rPr>
                <w:spacing w:val="-13"/>
                <w:w w:val="105"/>
              </w:rPr>
              <w:t xml:space="preserve"> </w:t>
            </w:r>
            <w:r w:rsidRPr="00632823">
              <w:rPr>
                <w:w w:val="105"/>
              </w:rPr>
              <w:t>compiled</w:t>
            </w:r>
            <w:r w:rsidRPr="00632823">
              <w:rPr>
                <w:spacing w:val="-12"/>
                <w:w w:val="105"/>
              </w:rPr>
              <w:t xml:space="preserve"> </w:t>
            </w:r>
            <w:r w:rsidRPr="00632823">
              <w:rPr>
                <w:w w:val="105"/>
              </w:rPr>
              <w:t>statements</w:t>
            </w:r>
            <w:r w:rsidRPr="00632823">
              <w:rPr>
                <w:spacing w:val="-15"/>
                <w:w w:val="105"/>
              </w:rPr>
              <w:t xml:space="preserve"> </w:t>
            </w:r>
            <w:r w:rsidRPr="00632823">
              <w:rPr>
                <w:color w:val="565656"/>
                <w:w w:val="105"/>
              </w:rPr>
              <w:t>must</w:t>
            </w:r>
            <w:r w:rsidRPr="00632823">
              <w:rPr>
                <w:color w:val="565656"/>
                <w:spacing w:val="-11"/>
                <w:w w:val="105"/>
              </w:rPr>
              <w:t xml:space="preserve"> </w:t>
            </w:r>
            <w:r w:rsidRPr="00632823">
              <w:rPr>
                <w:w w:val="105"/>
              </w:rPr>
              <w:t>either</w:t>
            </w:r>
            <w:r w:rsidRPr="00632823">
              <w:rPr>
                <w:spacing w:val="-27"/>
                <w:w w:val="105"/>
              </w:rPr>
              <w:t xml:space="preserve"> </w:t>
            </w:r>
            <w:r w:rsidRPr="00632823">
              <w:rPr>
                <w:w w:val="105"/>
              </w:rPr>
              <w:t>in</w:t>
            </w:r>
            <w:r w:rsidR="001F0952" w:rsidRPr="00DE0271">
              <w:rPr>
                <w:w w:val="105"/>
              </w:rPr>
              <w:t>c</w:t>
            </w:r>
            <w:r w:rsidRPr="00632823">
              <w:t>lude</w:t>
            </w:r>
            <w:r w:rsidRPr="00632823">
              <w:rPr>
                <w:spacing w:val="-28"/>
              </w:rPr>
              <w:t xml:space="preserve"> </w:t>
            </w:r>
            <w:r w:rsidRPr="00632823">
              <w:t>substantially</w:t>
            </w:r>
            <w:r w:rsidRPr="00632823">
              <w:rPr>
                <w:spacing w:val="-18"/>
              </w:rPr>
              <w:t xml:space="preserve"> </w:t>
            </w:r>
            <w:r w:rsidRPr="00632823">
              <w:t>all</w:t>
            </w:r>
            <w:r w:rsidRPr="00632823">
              <w:rPr>
                <w:spacing w:val="-29"/>
              </w:rPr>
              <w:t xml:space="preserve"> </w:t>
            </w:r>
            <w:r w:rsidRPr="00632823">
              <w:t>d</w:t>
            </w:r>
            <w:r w:rsidR="001F0952" w:rsidRPr="00DE0271">
              <w:t>is</w:t>
            </w:r>
            <w:r w:rsidRPr="00632823">
              <w:t>closures</w:t>
            </w:r>
            <w:r w:rsidRPr="00632823">
              <w:rPr>
                <w:spacing w:val="-20"/>
              </w:rPr>
              <w:t xml:space="preserve"> </w:t>
            </w:r>
            <w:r w:rsidRPr="00632823">
              <w:t>for</w:t>
            </w:r>
            <w:r w:rsidRPr="00632823">
              <w:rPr>
                <w:spacing w:val="-29"/>
              </w:rPr>
              <w:t xml:space="preserve"> </w:t>
            </w:r>
            <w:r w:rsidRPr="00632823">
              <w:t>each</w:t>
            </w:r>
            <w:r w:rsidRPr="00632823">
              <w:rPr>
                <w:spacing w:val="-25"/>
              </w:rPr>
              <w:t xml:space="preserve"> </w:t>
            </w:r>
            <w:r w:rsidRPr="00632823">
              <w:t>period</w:t>
            </w:r>
            <w:r w:rsidRPr="00632823">
              <w:rPr>
                <w:spacing w:val="-27"/>
              </w:rPr>
              <w:t xml:space="preserve"> </w:t>
            </w:r>
            <w:r w:rsidRPr="00632823">
              <w:t>or</w:t>
            </w:r>
            <w:r w:rsidRPr="00632823">
              <w:rPr>
                <w:spacing w:val="-28"/>
              </w:rPr>
              <w:t xml:space="preserve"> </w:t>
            </w:r>
            <w:r w:rsidRPr="00632823">
              <w:t>must</w:t>
            </w:r>
            <w:r w:rsidRPr="00632823">
              <w:rPr>
                <w:spacing w:val="-25"/>
              </w:rPr>
              <w:t xml:space="preserve"> </w:t>
            </w:r>
            <w:r w:rsidRPr="00632823">
              <w:rPr>
                <w:color w:val="565656"/>
              </w:rPr>
              <w:t>exclude</w:t>
            </w:r>
            <w:r w:rsidRPr="00632823">
              <w:rPr>
                <w:color w:val="565656"/>
                <w:spacing w:val="-26"/>
              </w:rPr>
              <w:t xml:space="preserve"> </w:t>
            </w:r>
            <w:r w:rsidRPr="00632823">
              <w:t>such</w:t>
            </w:r>
            <w:r w:rsidR="001F0952" w:rsidRPr="00DE0271">
              <w:t xml:space="preserve"> </w:t>
            </w:r>
            <w:r w:rsidRPr="00632823">
              <w:t>disclosures for all periods presented.</w:t>
            </w:r>
          </w:p>
        </w:tc>
      </w:tr>
      <w:tr w:rsidR="00871EEB" w:rsidRPr="00DE0271" w14:paraId="3B101B4B" w14:textId="77777777" w:rsidTr="00720AC7">
        <w:trPr>
          <w:trHeight w:val="288"/>
        </w:trPr>
        <w:tc>
          <w:tcPr>
            <w:tcW w:w="0" w:type="auto"/>
          </w:tcPr>
          <w:p w14:paraId="3665A005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</w:t>
            </w:r>
          </w:p>
        </w:tc>
        <w:tc>
          <w:tcPr>
            <w:tcW w:w="0" w:type="auto"/>
          </w:tcPr>
          <w:p w14:paraId="73B8A7BF" w14:textId="77777777" w:rsidR="00871EEB" w:rsidRPr="00632823" w:rsidRDefault="00871EEB" w:rsidP="007727D9">
            <w:r w:rsidRPr="00632823">
              <w:t>Review</w:t>
            </w:r>
          </w:p>
        </w:tc>
        <w:tc>
          <w:tcPr>
            <w:tcW w:w="0" w:type="auto"/>
          </w:tcPr>
          <w:p w14:paraId="6B8A7DFC" w14:textId="07141C05" w:rsidR="00871EEB" w:rsidRPr="00632823" w:rsidRDefault="00871EEB" w:rsidP="007727D9">
            <w:r w:rsidRPr="00632823">
              <w:t xml:space="preserve">Report must be presented which details work done </w:t>
            </w:r>
            <w:r w:rsidRPr="00632823">
              <w:rPr>
                <w:color w:val="565656"/>
              </w:rPr>
              <w:t xml:space="preserve">for both </w:t>
            </w:r>
            <w:r w:rsidRPr="00632823">
              <w:t>years</w:t>
            </w:r>
            <w:r w:rsidR="00DB5465" w:rsidRPr="00DE0271">
              <w:t xml:space="preserve"> </w:t>
            </w:r>
            <w:r w:rsidRPr="00632823">
              <w:t>(sample report in paragraph 10).</w:t>
            </w:r>
          </w:p>
        </w:tc>
      </w:tr>
      <w:tr w:rsidR="00871EEB" w:rsidRPr="00DE0271" w14:paraId="1B70DFF2" w14:textId="77777777" w:rsidTr="00720AC7">
        <w:trPr>
          <w:trHeight w:val="288"/>
        </w:trPr>
        <w:tc>
          <w:tcPr>
            <w:tcW w:w="0" w:type="auto"/>
          </w:tcPr>
          <w:p w14:paraId="6BC0CED7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</w:t>
            </w:r>
          </w:p>
        </w:tc>
        <w:tc>
          <w:tcPr>
            <w:tcW w:w="0" w:type="auto"/>
          </w:tcPr>
          <w:p w14:paraId="5ECBF009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Audit</w:t>
            </w:r>
          </w:p>
        </w:tc>
        <w:tc>
          <w:tcPr>
            <w:tcW w:w="0" w:type="auto"/>
          </w:tcPr>
          <w:p w14:paraId="50C472B1" w14:textId="77777777" w:rsidR="00871EEB" w:rsidRPr="00632823" w:rsidRDefault="00871EEB" w:rsidP="007727D9">
            <w:r w:rsidRPr="00632823">
              <w:t>SAS guidelines apply.</w:t>
            </w:r>
          </w:p>
        </w:tc>
      </w:tr>
      <w:tr w:rsidR="00DB5465" w:rsidRPr="00DE0271" w14:paraId="6DEF961B" w14:textId="77777777" w:rsidTr="00720AC7">
        <w:trPr>
          <w:trHeight w:val="288"/>
        </w:trPr>
        <w:tc>
          <w:tcPr>
            <w:tcW w:w="0" w:type="auto"/>
          </w:tcPr>
          <w:p w14:paraId="05863554" w14:textId="77777777" w:rsidR="00DB5465" w:rsidRPr="00632823" w:rsidRDefault="00DB5465" w:rsidP="007727D9">
            <w:r w:rsidRPr="00632823">
              <w:t>Review</w:t>
            </w:r>
          </w:p>
        </w:tc>
        <w:tc>
          <w:tcPr>
            <w:tcW w:w="0" w:type="auto"/>
          </w:tcPr>
          <w:p w14:paraId="08B87950" w14:textId="77777777" w:rsidR="00DB5465" w:rsidRPr="00632823" w:rsidRDefault="00DB5465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</w:t>
            </w:r>
          </w:p>
        </w:tc>
        <w:tc>
          <w:tcPr>
            <w:tcW w:w="0" w:type="auto"/>
          </w:tcPr>
          <w:p w14:paraId="2812A278" w14:textId="5E3FF6A1" w:rsidR="00DB5465" w:rsidRPr="00632823" w:rsidRDefault="00DB5465" w:rsidP="007727D9">
            <w:r w:rsidRPr="00632823">
              <w:t>Accountant must issue compilation report for current period and</w:t>
            </w:r>
            <w:r w:rsidR="00B16DA6" w:rsidRPr="00DE0271">
              <w:t xml:space="preserve"> </w:t>
            </w:r>
            <w:r w:rsidRPr="00632823">
              <w:t>describe</w:t>
            </w:r>
            <w:r w:rsidRPr="00632823">
              <w:rPr>
                <w:spacing w:val="-11"/>
              </w:rPr>
              <w:t xml:space="preserve"> </w:t>
            </w:r>
            <w:r w:rsidRPr="00632823">
              <w:t>responsibility</w:t>
            </w:r>
            <w:r w:rsidRPr="00632823">
              <w:rPr>
                <w:spacing w:val="-7"/>
              </w:rPr>
              <w:t xml:space="preserve"> </w:t>
            </w:r>
            <w:r w:rsidRPr="00632823">
              <w:t>assumed</w:t>
            </w:r>
            <w:r w:rsidRPr="00632823">
              <w:rPr>
                <w:spacing w:val="-7"/>
              </w:rPr>
              <w:t xml:space="preserve"> </w:t>
            </w:r>
            <w:r w:rsidRPr="00632823">
              <w:t>for</w:t>
            </w:r>
            <w:r w:rsidRPr="00632823">
              <w:rPr>
                <w:spacing w:val="-20"/>
              </w:rPr>
              <w:t xml:space="preserve"> </w:t>
            </w:r>
            <w:r w:rsidRPr="00632823">
              <w:t>prior</w:t>
            </w:r>
            <w:r w:rsidRPr="00632823">
              <w:rPr>
                <w:spacing w:val="-13"/>
              </w:rPr>
              <w:t xml:space="preserve"> </w:t>
            </w:r>
            <w:r w:rsidRPr="00632823">
              <w:t>period</w:t>
            </w:r>
            <w:r w:rsidRPr="00632823">
              <w:rPr>
                <w:spacing w:val="-13"/>
              </w:rPr>
              <w:t xml:space="preserve"> </w:t>
            </w:r>
            <w:r w:rsidRPr="00632823">
              <w:t>statements</w:t>
            </w:r>
            <w:r w:rsidRPr="00632823">
              <w:rPr>
                <w:spacing w:val="-10"/>
              </w:rPr>
              <w:t xml:space="preserve"> </w:t>
            </w:r>
            <w:r w:rsidRPr="00632823">
              <w:t>(</w:t>
            </w:r>
            <w:r w:rsidR="00B16DA6" w:rsidRPr="00DE0271">
              <w:t>example</w:t>
            </w:r>
            <w:r w:rsidRPr="00632823">
              <w:t xml:space="preserve"> </w:t>
            </w:r>
            <w:r w:rsidRPr="00632823">
              <w:rPr>
                <w:color w:val="2B2B2B"/>
              </w:rPr>
              <w:t>in</w:t>
            </w:r>
            <w:r w:rsidRPr="00632823">
              <w:rPr>
                <w:color w:val="2B2B2B"/>
                <w:spacing w:val="3"/>
              </w:rPr>
              <w:t xml:space="preserve"> </w:t>
            </w:r>
            <w:r w:rsidRPr="00632823">
              <w:t>paragraph</w:t>
            </w:r>
            <w:r w:rsidRPr="00632823">
              <w:rPr>
                <w:spacing w:val="-6"/>
              </w:rPr>
              <w:t xml:space="preserve"> </w:t>
            </w:r>
            <w:r w:rsidRPr="00632823">
              <w:t>12)</w:t>
            </w:r>
            <w:r w:rsidRPr="00632823">
              <w:rPr>
                <w:spacing w:val="-25"/>
              </w:rPr>
              <w:t xml:space="preserve"> </w:t>
            </w:r>
            <w:r w:rsidRPr="00632823">
              <w:t>or</w:t>
            </w:r>
            <w:r w:rsidRPr="00632823">
              <w:rPr>
                <w:spacing w:val="-12"/>
              </w:rPr>
              <w:t xml:space="preserve"> </w:t>
            </w:r>
            <w:r w:rsidRPr="00632823">
              <w:t>he</w:t>
            </w:r>
            <w:r w:rsidRPr="00632823">
              <w:rPr>
                <w:spacing w:val="-23"/>
              </w:rPr>
              <w:t xml:space="preserve"> </w:t>
            </w:r>
            <w:r w:rsidRPr="00632823">
              <w:t>should</w:t>
            </w:r>
            <w:r w:rsidRPr="00632823">
              <w:rPr>
                <w:spacing w:val="-25"/>
              </w:rPr>
              <w:t xml:space="preserve"> </w:t>
            </w:r>
            <w:r w:rsidRPr="00632823">
              <w:t>combine</w:t>
            </w:r>
            <w:r w:rsidRPr="00632823">
              <w:rPr>
                <w:spacing w:val="-17"/>
              </w:rPr>
              <w:t xml:space="preserve"> </w:t>
            </w:r>
            <w:r w:rsidRPr="00632823">
              <w:t>compilation</w:t>
            </w:r>
            <w:r w:rsidRPr="00632823">
              <w:rPr>
                <w:spacing w:val="-1"/>
              </w:rPr>
              <w:t xml:space="preserve"> </w:t>
            </w:r>
            <w:r w:rsidRPr="00632823">
              <w:t>report</w:t>
            </w:r>
            <w:r w:rsidRPr="00632823">
              <w:rPr>
                <w:spacing w:val="-1"/>
              </w:rPr>
              <w:t xml:space="preserve"> </w:t>
            </w:r>
            <w:r w:rsidRPr="00632823">
              <w:t>for</w:t>
            </w:r>
            <w:r w:rsidRPr="00632823">
              <w:rPr>
                <w:spacing w:val="-20"/>
              </w:rPr>
              <w:t xml:space="preserve"> </w:t>
            </w:r>
            <w:r w:rsidRPr="00632823">
              <w:t>current</w:t>
            </w:r>
            <w:r w:rsidR="0022247C" w:rsidRPr="00DE0271">
              <w:t xml:space="preserve"> </w:t>
            </w:r>
            <w:r w:rsidR="0022247C" w:rsidRPr="00632823">
              <w:t>year with reissued review report on prior year.</w:t>
            </w:r>
          </w:p>
        </w:tc>
      </w:tr>
      <w:tr w:rsidR="0022247C" w:rsidRPr="00DE0271" w14:paraId="4DC7C380" w14:textId="77777777" w:rsidTr="00720AC7">
        <w:trPr>
          <w:trHeight w:val="288"/>
        </w:trPr>
        <w:tc>
          <w:tcPr>
            <w:tcW w:w="0" w:type="auto"/>
          </w:tcPr>
          <w:p w14:paraId="2F138806" w14:textId="77777777" w:rsidR="0022247C" w:rsidRPr="00632823" w:rsidRDefault="0022247C" w:rsidP="007727D9">
            <w:pPr>
              <w:rPr>
                <w:color w:val="2B2B2B"/>
              </w:rPr>
            </w:pPr>
            <w:r w:rsidRPr="00632823">
              <w:rPr>
                <w:color w:val="2B2B2B"/>
              </w:rPr>
              <w:t>Review</w:t>
            </w:r>
          </w:p>
        </w:tc>
        <w:tc>
          <w:tcPr>
            <w:tcW w:w="0" w:type="auto"/>
          </w:tcPr>
          <w:p w14:paraId="1B5608B4" w14:textId="77777777" w:rsidR="0022247C" w:rsidRPr="00632823" w:rsidRDefault="0022247C" w:rsidP="007727D9">
            <w:r w:rsidRPr="00632823">
              <w:t>Review</w:t>
            </w:r>
          </w:p>
        </w:tc>
        <w:tc>
          <w:tcPr>
            <w:tcW w:w="0" w:type="auto"/>
          </w:tcPr>
          <w:p w14:paraId="4E988F8C" w14:textId="70086879" w:rsidR="0022247C" w:rsidRPr="00632823" w:rsidRDefault="0022247C" w:rsidP="007727D9">
            <w:r w:rsidRPr="00632823">
              <w:t>Identical report must be presented for both years (sample report</w:t>
            </w:r>
            <w:r w:rsidR="008706C5" w:rsidRPr="00DE0271">
              <w:t xml:space="preserve"> in </w:t>
            </w:r>
            <w:r w:rsidRPr="00632823">
              <w:t>paragraph 9).</w:t>
            </w:r>
          </w:p>
        </w:tc>
      </w:tr>
      <w:tr w:rsidR="00871EEB" w:rsidRPr="00DE0271" w14:paraId="5D7BF41D" w14:textId="77777777" w:rsidTr="00720AC7">
        <w:trPr>
          <w:trHeight w:val="288"/>
        </w:trPr>
        <w:tc>
          <w:tcPr>
            <w:tcW w:w="0" w:type="auto"/>
          </w:tcPr>
          <w:p w14:paraId="7B05F878" w14:textId="77777777" w:rsidR="00871EEB" w:rsidRPr="00632823" w:rsidRDefault="00871EEB" w:rsidP="007727D9">
            <w:pPr>
              <w:rPr>
                <w:color w:val="2B2B2B"/>
              </w:rPr>
            </w:pPr>
            <w:r w:rsidRPr="00632823">
              <w:rPr>
                <w:color w:val="2B2B2B"/>
              </w:rPr>
              <w:t>Review</w:t>
            </w:r>
          </w:p>
        </w:tc>
        <w:tc>
          <w:tcPr>
            <w:tcW w:w="0" w:type="auto"/>
          </w:tcPr>
          <w:p w14:paraId="2F19FF31" w14:textId="77777777" w:rsidR="00871EEB" w:rsidRPr="00632823" w:rsidRDefault="00871EEB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Audit</w:t>
            </w:r>
          </w:p>
        </w:tc>
        <w:tc>
          <w:tcPr>
            <w:tcW w:w="0" w:type="auto"/>
          </w:tcPr>
          <w:p w14:paraId="135FCE59" w14:textId="77777777" w:rsidR="00871EEB" w:rsidRPr="00632823" w:rsidRDefault="00871EEB" w:rsidP="007727D9">
            <w:r w:rsidRPr="00632823">
              <w:t>SAS guidelines apply</w:t>
            </w:r>
          </w:p>
        </w:tc>
      </w:tr>
      <w:tr w:rsidR="008706C5" w:rsidRPr="00DE0271" w14:paraId="668CE735" w14:textId="77777777" w:rsidTr="00720AC7">
        <w:trPr>
          <w:trHeight w:val="288"/>
        </w:trPr>
        <w:tc>
          <w:tcPr>
            <w:tcW w:w="0" w:type="auto"/>
          </w:tcPr>
          <w:p w14:paraId="734E31C5" w14:textId="77777777" w:rsidR="008706C5" w:rsidRPr="00632823" w:rsidRDefault="008706C5" w:rsidP="007727D9">
            <w:pPr>
              <w:rPr>
                <w:color w:val="2B2B2B"/>
                <w:w w:val="105"/>
              </w:rPr>
            </w:pPr>
            <w:r w:rsidRPr="00632823">
              <w:rPr>
                <w:color w:val="2B2B2B"/>
                <w:w w:val="105"/>
              </w:rPr>
              <w:t>Audit</w:t>
            </w:r>
          </w:p>
        </w:tc>
        <w:tc>
          <w:tcPr>
            <w:tcW w:w="0" w:type="auto"/>
          </w:tcPr>
          <w:p w14:paraId="19D83998" w14:textId="77777777" w:rsidR="008706C5" w:rsidRPr="00632823" w:rsidRDefault="008706C5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Compilation</w:t>
            </w:r>
          </w:p>
        </w:tc>
        <w:tc>
          <w:tcPr>
            <w:tcW w:w="0" w:type="auto"/>
          </w:tcPr>
          <w:p w14:paraId="17264CC5" w14:textId="4CE98C19" w:rsidR="008706C5" w:rsidRPr="00632823" w:rsidRDefault="008706C5" w:rsidP="007727D9">
            <w:pPr>
              <w:rPr>
                <w:i/>
                <w:iCs/>
                <w:color w:val="2B2B2B"/>
              </w:rPr>
            </w:pPr>
            <w:r w:rsidRPr="00632823">
              <w:t xml:space="preserve">Accountant must issue compilation report for current period </w:t>
            </w:r>
            <w:r w:rsidRPr="00632823">
              <w:rPr>
                <w:i/>
                <w:iCs/>
                <w:color w:val="2B2B2B"/>
              </w:rPr>
              <w:t>and</w:t>
            </w:r>
          </w:p>
          <w:p w14:paraId="64624007" w14:textId="295480FD" w:rsidR="008706C5" w:rsidRPr="00DE0271" w:rsidRDefault="008706C5" w:rsidP="007727D9">
            <w:pPr>
              <w:pStyle w:val="ListParagraph"/>
              <w:numPr>
                <w:ilvl w:val="0"/>
                <w:numId w:val="15"/>
              </w:numPr>
            </w:pPr>
            <w:r w:rsidRPr="007727D9">
              <w:rPr>
                <w:color w:val="565656"/>
              </w:rPr>
              <w:t>R</w:t>
            </w:r>
            <w:r w:rsidRPr="007727D9">
              <w:rPr>
                <w:color w:val="2B2B2B"/>
              </w:rPr>
              <w:t xml:space="preserve">eissue </w:t>
            </w:r>
            <w:r w:rsidRPr="00DE0271">
              <w:t xml:space="preserve">prior period audit report. </w:t>
            </w:r>
            <w:r w:rsidRPr="007727D9">
              <w:rPr>
                <w:i/>
                <w:iCs/>
              </w:rPr>
              <w:t>or</w:t>
            </w:r>
          </w:p>
          <w:p w14:paraId="335BDF29" w14:textId="34DECF4F" w:rsidR="008706C5" w:rsidRPr="00DE0271" w:rsidRDefault="008706C5" w:rsidP="007727D9">
            <w:pPr>
              <w:pStyle w:val="ListParagraph"/>
              <w:numPr>
                <w:ilvl w:val="0"/>
                <w:numId w:val="15"/>
              </w:numPr>
            </w:pPr>
            <w:r w:rsidRPr="007727D9">
              <w:rPr>
                <w:w w:val="95"/>
              </w:rPr>
              <w:t xml:space="preserve">Include separate paragraph in compilation report describing </w:t>
            </w:r>
            <w:r w:rsidR="00F06955" w:rsidRPr="007727D9">
              <w:rPr>
                <w:w w:val="95"/>
              </w:rPr>
              <w:t>responsi</w:t>
            </w:r>
            <w:r w:rsidR="00F06955" w:rsidRPr="00DE0271">
              <w:t>bility</w:t>
            </w:r>
            <w:r w:rsidRPr="007727D9">
              <w:rPr>
                <w:spacing w:val="-19"/>
              </w:rPr>
              <w:t xml:space="preserve"> </w:t>
            </w:r>
            <w:r w:rsidRPr="00DE0271">
              <w:t>assumed</w:t>
            </w:r>
            <w:r w:rsidRPr="007727D9">
              <w:rPr>
                <w:spacing w:val="-7"/>
              </w:rPr>
              <w:t xml:space="preserve"> </w:t>
            </w:r>
            <w:r w:rsidRPr="00DE0271">
              <w:t>for</w:t>
            </w:r>
            <w:r w:rsidRPr="007727D9">
              <w:rPr>
                <w:spacing w:val="-18"/>
              </w:rPr>
              <w:t xml:space="preserve"> </w:t>
            </w:r>
            <w:r w:rsidRPr="00DE0271">
              <w:t>prior</w:t>
            </w:r>
            <w:r w:rsidRPr="007727D9">
              <w:rPr>
                <w:spacing w:val="-23"/>
              </w:rPr>
              <w:t xml:space="preserve"> </w:t>
            </w:r>
            <w:r w:rsidRPr="00DE0271">
              <w:t>period</w:t>
            </w:r>
            <w:r w:rsidRPr="007727D9">
              <w:rPr>
                <w:spacing w:val="-19"/>
              </w:rPr>
              <w:t xml:space="preserve"> </w:t>
            </w:r>
            <w:r w:rsidRPr="00DE0271">
              <w:t>statements</w:t>
            </w:r>
            <w:r w:rsidRPr="007727D9">
              <w:rPr>
                <w:spacing w:val="-5"/>
              </w:rPr>
              <w:t xml:space="preserve"> </w:t>
            </w:r>
            <w:r w:rsidRPr="00DE0271">
              <w:t>(example</w:t>
            </w:r>
            <w:r w:rsidRPr="007727D9">
              <w:rPr>
                <w:spacing w:val="-13"/>
              </w:rPr>
              <w:t xml:space="preserve"> </w:t>
            </w:r>
            <w:r w:rsidRPr="00DE0271">
              <w:t>in</w:t>
            </w:r>
            <w:r w:rsidRPr="007727D9">
              <w:rPr>
                <w:spacing w:val="-2"/>
              </w:rPr>
              <w:t xml:space="preserve"> </w:t>
            </w:r>
            <w:r w:rsidRPr="00DE0271">
              <w:t>paragraph</w:t>
            </w:r>
            <w:r w:rsidRPr="007727D9">
              <w:rPr>
                <w:spacing w:val="-14"/>
              </w:rPr>
              <w:t xml:space="preserve"> </w:t>
            </w:r>
            <w:r w:rsidRPr="00DE0271">
              <w:t>28).</w:t>
            </w:r>
          </w:p>
        </w:tc>
      </w:tr>
      <w:tr w:rsidR="00167473" w:rsidRPr="00DE0271" w14:paraId="5D11EDF9" w14:textId="77777777" w:rsidTr="00720AC7">
        <w:trPr>
          <w:trHeight w:val="288"/>
        </w:trPr>
        <w:tc>
          <w:tcPr>
            <w:tcW w:w="0" w:type="auto"/>
          </w:tcPr>
          <w:p w14:paraId="1275E0B2" w14:textId="77777777" w:rsidR="00167473" w:rsidRPr="00632823" w:rsidRDefault="00167473" w:rsidP="007727D9">
            <w:pPr>
              <w:rPr>
                <w:w w:val="105"/>
              </w:rPr>
            </w:pPr>
            <w:r w:rsidRPr="00632823">
              <w:rPr>
                <w:w w:val="105"/>
              </w:rPr>
              <w:t>Audit</w:t>
            </w:r>
          </w:p>
        </w:tc>
        <w:tc>
          <w:tcPr>
            <w:tcW w:w="0" w:type="auto"/>
          </w:tcPr>
          <w:p w14:paraId="4F39CBE7" w14:textId="77777777" w:rsidR="00167473" w:rsidRPr="00632823" w:rsidRDefault="00167473" w:rsidP="007727D9">
            <w:r w:rsidRPr="00632823">
              <w:t>Review</w:t>
            </w:r>
          </w:p>
        </w:tc>
        <w:tc>
          <w:tcPr>
            <w:tcW w:w="0" w:type="auto"/>
          </w:tcPr>
          <w:p w14:paraId="4714E04F" w14:textId="77777777" w:rsidR="00167473" w:rsidRPr="00DE0271" w:rsidRDefault="00167473" w:rsidP="007727D9">
            <w:pPr>
              <w:rPr>
                <w:i/>
                <w:iCs/>
              </w:rPr>
            </w:pPr>
            <w:r w:rsidRPr="00632823">
              <w:t xml:space="preserve">Accountant must issue review report for current </w:t>
            </w:r>
            <w:r w:rsidRPr="00632823">
              <w:rPr>
                <w:color w:val="565656"/>
              </w:rPr>
              <w:t xml:space="preserve">period. </w:t>
            </w:r>
            <w:r w:rsidRPr="00632823">
              <w:rPr>
                <w:i/>
                <w:iCs/>
              </w:rPr>
              <w:t>and</w:t>
            </w:r>
          </w:p>
          <w:p w14:paraId="06EE0C92" w14:textId="0C60C512" w:rsidR="00167473" w:rsidRPr="007727D9" w:rsidRDefault="00167473" w:rsidP="007727D9">
            <w:pPr>
              <w:pStyle w:val="ListParagraph"/>
              <w:numPr>
                <w:ilvl w:val="0"/>
                <w:numId w:val="14"/>
              </w:numPr>
              <w:rPr>
                <w:i/>
                <w:iCs/>
              </w:rPr>
            </w:pPr>
            <w:r w:rsidRPr="00DE0271">
              <w:t xml:space="preserve">Reissue prior period audit report. </w:t>
            </w:r>
            <w:r w:rsidRPr="007727D9">
              <w:rPr>
                <w:i/>
                <w:iCs/>
              </w:rPr>
              <w:t>or</w:t>
            </w:r>
          </w:p>
          <w:p w14:paraId="77504271" w14:textId="339130E9" w:rsidR="00167473" w:rsidRPr="007727D9" w:rsidRDefault="00167473" w:rsidP="007727D9">
            <w:pPr>
              <w:pStyle w:val="ListParagraph"/>
              <w:numPr>
                <w:ilvl w:val="0"/>
                <w:numId w:val="14"/>
              </w:numPr>
              <w:rPr>
                <w:i/>
                <w:iCs/>
              </w:rPr>
            </w:pPr>
            <w:r w:rsidRPr="00DE0271">
              <w:t>Include</w:t>
            </w:r>
            <w:r w:rsidRPr="007727D9">
              <w:rPr>
                <w:spacing w:val="-10"/>
              </w:rPr>
              <w:t xml:space="preserve"> </w:t>
            </w:r>
            <w:r w:rsidRPr="00DE0271">
              <w:t>separate</w:t>
            </w:r>
            <w:r w:rsidRPr="007727D9">
              <w:rPr>
                <w:spacing w:val="-15"/>
              </w:rPr>
              <w:t xml:space="preserve"> </w:t>
            </w:r>
            <w:r w:rsidRPr="00DE0271">
              <w:t>paragraph</w:t>
            </w:r>
            <w:r w:rsidRPr="007727D9">
              <w:rPr>
                <w:spacing w:val="-11"/>
              </w:rPr>
              <w:t xml:space="preserve"> </w:t>
            </w:r>
            <w:r w:rsidRPr="00DE0271">
              <w:t>in</w:t>
            </w:r>
            <w:r w:rsidRPr="007727D9">
              <w:rPr>
                <w:spacing w:val="-30"/>
              </w:rPr>
              <w:t xml:space="preserve"> </w:t>
            </w:r>
            <w:r w:rsidRPr="00DE0271">
              <w:t>review</w:t>
            </w:r>
            <w:r w:rsidRPr="007727D9">
              <w:rPr>
                <w:spacing w:val="-16"/>
              </w:rPr>
              <w:t xml:space="preserve"> </w:t>
            </w:r>
            <w:r w:rsidRPr="00DE0271">
              <w:t>report</w:t>
            </w:r>
            <w:r w:rsidRPr="007727D9">
              <w:rPr>
                <w:spacing w:val="-16"/>
              </w:rPr>
              <w:t xml:space="preserve"> </w:t>
            </w:r>
            <w:r w:rsidRPr="00DE0271">
              <w:t>describing</w:t>
            </w:r>
            <w:r w:rsidRPr="007727D9">
              <w:rPr>
                <w:spacing w:val="-17"/>
              </w:rPr>
              <w:t xml:space="preserve"> </w:t>
            </w:r>
            <w:r w:rsidRPr="00DE0271">
              <w:t>responsibility</w:t>
            </w:r>
            <w:r w:rsidR="007727D9">
              <w:t xml:space="preserve"> </w:t>
            </w:r>
            <w:r w:rsidRPr="00DE0271">
              <w:t>assumed for prior period statements (example in paragraph 28).</w:t>
            </w:r>
          </w:p>
        </w:tc>
      </w:tr>
      <w:tr w:rsidR="00DE0271" w:rsidRPr="00DE0271" w14:paraId="76076A38" w14:textId="77777777" w:rsidTr="00720AC7">
        <w:trPr>
          <w:trHeight w:val="288"/>
        </w:trPr>
        <w:tc>
          <w:tcPr>
            <w:tcW w:w="0" w:type="auto"/>
          </w:tcPr>
          <w:p w14:paraId="51F76851" w14:textId="63F8E16B" w:rsidR="00DE0271" w:rsidRPr="00DE0271" w:rsidRDefault="00DE0271" w:rsidP="007727D9">
            <w:pPr>
              <w:rPr>
                <w:w w:val="105"/>
              </w:rPr>
            </w:pPr>
            <w:r w:rsidRPr="00DE0271">
              <w:rPr>
                <w:w w:val="105"/>
              </w:rPr>
              <w:t>Audit</w:t>
            </w:r>
          </w:p>
        </w:tc>
        <w:tc>
          <w:tcPr>
            <w:tcW w:w="0" w:type="auto"/>
          </w:tcPr>
          <w:p w14:paraId="1B69CCD6" w14:textId="05BF942D" w:rsidR="00DE0271" w:rsidRPr="00DE0271" w:rsidRDefault="00DE0271" w:rsidP="007727D9">
            <w:r w:rsidRPr="00DE0271">
              <w:t>Audit</w:t>
            </w:r>
          </w:p>
        </w:tc>
        <w:tc>
          <w:tcPr>
            <w:tcW w:w="0" w:type="auto"/>
          </w:tcPr>
          <w:p w14:paraId="44E3E650" w14:textId="1C16309E" w:rsidR="00DE0271" w:rsidRPr="00DE0271" w:rsidRDefault="00DE0271" w:rsidP="007727D9">
            <w:r w:rsidRPr="00DE0271">
              <w:t>SAS guidelines apply.</w:t>
            </w:r>
          </w:p>
        </w:tc>
      </w:tr>
    </w:tbl>
    <w:p w14:paraId="7657680A" w14:textId="2CD18BD8" w:rsidR="00032F9B" w:rsidRDefault="00032F9B" w:rsidP="00DE0271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1D88A71" w14:textId="77777777" w:rsidR="00DE0271" w:rsidRDefault="00DE0271" w:rsidP="00DE0271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DB01DE" w14:textId="48FCB923" w:rsidR="004C54FC" w:rsidRPr="004C54FC" w:rsidRDefault="004C54FC" w:rsidP="004C54FC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  <w:bookmarkStart w:id="5" w:name="Yahr_12511001-0004"/>
      <w:bookmarkEnd w:id="5"/>
      <w:r w:rsidRPr="004C54FC">
        <w:rPr>
          <w:rFonts w:cstheme="minorHAnsi"/>
        </w:rPr>
        <w:t>TABLE I</w:t>
      </w:r>
      <w:r>
        <w:rPr>
          <w:rFonts w:cstheme="minorHAnsi"/>
        </w:rPr>
        <w:t xml:space="preserve">I: </w:t>
      </w:r>
      <w:r w:rsidRPr="004C54FC">
        <w:rPr>
          <w:rFonts w:cstheme="minorHAnsi"/>
        </w:rPr>
        <w:t>SUMMARY</w:t>
      </w:r>
      <w:r w:rsidRPr="004C54FC">
        <w:rPr>
          <w:rFonts w:cstheme="minorHAnsi"/>
          <w:b/>
          <w:bCs/>
        </w:rPr>
        <w:t xml:space="preserve"> </w:t>
      </w:r>
      <w:r w:rsidRPr="004C54FC">
        <w:rPr>
          <w:rFonts w:cstheme="minorHAnsi"/>
        </w:rPr>
        <w:t>OF REPORTING STANDARDS WITH PREDECESSOR AND</w:t>
      </w:r>
      <w:r>
        <w:rPr>
          <w:rFonts w:cstheme="minorHAnsi"/>
        </w:rPr>
        <w:t xml:space="preserve"> </w:t>
      </w:r>
      <w:r w:rsidRPr="004C54FC">
        <w:rPr>
          <w:rFonts w:cstheme="minorHAnsi"/>
        </w:rPr>
        <w:t>SUBSEQUENT ACCOUNTANTS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1412"/>
        <w:gridCol w:w="6140"/>
      </w:tblGrid>
      <w:tr w:rsidR="00966CDC" w:rsidRPr="000A4287" w14:paraId="6AC90F4C" w14:textId="77777777" w:rsidTr="00F41B8E">
        <w:tc>
          <w:tcPr>
            <w:tcW w:w="0" w:type="auto"/>
          </w:tcPr>
          <w:p w14:paraId="449888C6" w14:textId="27C7E946" w:rsidR="00966CDC" w:rsidRPr="000A4287" w:rsidRDefault="0032603D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A4287">
              <w:rPr>
                <w:rFonts w:cstheme="minorHAnsi"/>
                <w:b/>
                <w:bCs/>
              </w:rPr>
              <w:t>Predecessor’s Work in Prior Work Period</w:t>
            </w:r>
          </w:p>
        </w:tc>
        <w:tc>
          <w:tcPr>
            <w:tcW w:w="0" w:type="auto"/>
          </w:tcPr>
          <w:p w14:paraId="2AC3EC92" w14:textId="6E812C0F" w:rsidR="00966CDC" w:rsidRPr="000A4287" w:rsidRDefault="0032603D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A4287">
              <w:rPr>
                <w:rFonts w:cstheme="minorHAnsi"/>
                <w:b/>
                <w:bCs/>
              </w:rPr>
              <w:t>Current Period</w:t>
            </w:r>
          </w:p>
        </w:tc>
        <w:tc>
          <w:tcPr>
            <w:tcW w:w="0" w:type="auto"/>
          </w:tcPr>
          <w:p w14:paraId="3957724F" w14:textId="27EAABD4" w:rsidR="00966CDC" w:rsidRPr="000A4287" w:rsidRDefault="0032603D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A4287">
              <w:rPr>
                <w:rFonts w:cstheme="minorHAnsi"/>
                <w:b/>
                <w:bCs/>
              </w:rPr>
              <w:t>Standards</w:t>
            </w:r>
          </w:p>
        </w:tc>
      </w:tr>
      <w:tr w:rsidR="00966CDC" w14:paraId="5C324E03" w14:textId="77777777" w:rsidTr="00F41B8E">
        <w:tc>
          <w:tcPr>
            <w:tcW w:w="0" w:type="auto"/>
          </w:tcPr>
          <w:p w14:paraId="3E5CC534" w14:textId="4295740A" w:rsidR="00966CDC" w:rsidRDefault="00637F3E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Compilation</w:t>
            </w:r>
          </w:p>
        </w:tc>
        <w:tc>
          <w:tcPr>
            <w:tcW w:w="0" w:type="auto"/>
          </w:tcPr>
          <w:p w14:paraId="080639A1" w14:textId="388C7B42" w:rsidR="00966CDC" w:rsidRDefault="00637F3E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Compilation</w:t>
            </w:r>
          </w:p>
        </w:tc>
        <w:tc>
          <w:tcPr>
            <w:tcW w:w="0" w:type="auto"/>
          </w:tcPr>
          <w:p w14:paraId="2D92C95D" w14:textId="77777777" w:rsidR="00637F3E" w:rsidRPr="00637F3E" w:rsidRDefault="00637F3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  <w:i/>
                <w:iCs/>
              </w:rPr>
            </w:pPr>
            <w:r w:rsidRPr="00637F3E">
              <w:rPr>
                <w:rFonts w:cstheme="minorHAnsi"/>
              </w:rPr>
              <w:t xml:space="preserve">Predecessor - may reissue report at client's request if he complies with provisions of paragraphs 20 to 24*. </w:t>
            </w:r>
            <w:r w:rsidRPr="00637F3E">
              <w:rPr>
                <w:rFonts w:cstheme="minorHAnsi"/>
                <w:i/>
                <w:iCs/>
              </w:rPr>
              <w:t>or</w:t>
            </w:r>
          </w:p>
          <w:p w14:paraId="093E3A1D" w14:textId="553FF981" w:rsidR="00637F3E" w:rsidRPr="00637F3E" w:rsidRDefault="00B722AD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>
              <w:rPr>
                <w:rFonts w:cstheme="minorHAnsi"/>
              </w:rPr>
              <w:t>Successor</w:t>
            </w:r>
            <w:r w:rsidR="00637F3E" w:rsidRPr="00637F3E">
              <w:rPr>
                <w:rFonts w:cstheme="minorHAnsi"/>
              </w:rPr>
              <w:t xml:space="preserve"> - add paragraph stating that prior period statements were compiled by other accountants (example in paragraph</w:t>
            </w:r>
            <w:r>
              <w:rPr>
                <w:rFonts w:cstheme="minorHAnsi"/>
              </w:rPr>
              <w:t xml:space="preserve"> </w:t>
            </w:r>
            <w:r w:rsidR="00637F3E" w:rsidRPr="00637F3E">
              <w:rPr>
                <w:rFonts w:cstheme="minorHAnsi"/>
              </w:rPr>
              <w:t xml:space="preserve">19). </w:t>
            </w:r>
            <w:r w:rsidR="00637F3E" w:rsidRPr="00637F3E">
              <w:rPr>
                <w:rFonts w:cstheme="minorHAnsi"/>
                <w:i/>
                <w:iCs/>
              </w:rPr>
              <w:t>or</w:t>
            </w:r>
          </w:p>
          <w:p w14:paraId="71DD91E1" w14:textId="2802BA63" w:rsidR="00966CDC" w:rsidRDefault="00637F3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637F3E">
              <w:rPr>
                <w:rFonts w:cstheme="minorHAnsi"/>
              </w:rPr>
              <w:t xml:space="preserve">Successor - perform compilation, review. </w:t>
            </w:r>
            <w:r w:rsidRPr="00637F3E">
              <w:rPr>
                <w:rFonts w:cstheme="minorHAnsi"/>
                <w:i/>
                <w:iCs/>
              </w:rPr>
              <w:t xml:space="preserve">or </w:t>
            </w:r>
            <w:r w:rsidRPr="00637F3E">
              <w:rPr>
                <w:rFonts w:cstheme="minorHAnsi"/>
              </w:rPr>
              <w:t>audit of prior period statements and report on them accordingly.</w:t>
            </w:r>
          </w:p>
        </w:tc>
      </w:tr>
      <w:tr w:rsidR="00966CDC" w14:paraId="71C08FBD" w14:textId="77777777" w:rsidTr="00F41B8E">
        <w:tc>
          <w:tcPr>
            <w:tcW w:w="0" w:type="auto"/>
          </w:tcPr>
          <w:p w14:paraId="10E7AAE0" w14:textId="3694A38B" w:rsidR="00966CDC" w:rsidRDefault="00B722AD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Compilation</w:t>
            </w:r>
          </w:p>
        </w:tc>
        <w:tc>
          <w:tcPr>
            <w:tcW w:w="0" w:type="auto"/>
          </w:tcPr>
          <w:p w14:paraId="2293086D" w14:textId="4A3194D3" w:rsidR="00966CDC" w:rsidRDefault="00B722AD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Review</w:t>
            </w:r>
          </w:p>
        </w:tc>
        <w:tc>
          <w:tcPr>
            <w:tcW w:w="0" w:type="auto"/>
          </w:tcPr>
          <w:p w14:paraId="33AC2BB7" w14:textId="4FB30A74" w:rsidR="00A64156" w:rsidRDefault="00A64156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A64156">
              <w:rPr>
                <w:rFonts w:cstheme="minorHAnsi"/>
              </w:rPr>
              <w:t>Predecessor - may reissue report at client's request if he complies</w:t>
            </w:r>
            <w:r w:rsidR="001E01FB">
              <w:rPr>
                <w:rFonts w:cstheme="minorHAnsi"/>
              </w:rPr>
              <w:t xml:space="preserve"> </w:t>
            </w:r>
            <w:r w:rsidRPr="00A64156">
              <w:rPr>
                <w:rFonts w:cstheme="minorHAnsi"/>
              </w:rPr>
              <w:t>with provisions of paragraphs 20 to 24</w:t>
            </w:r>
            <w:r>
              <w:rPr>
                <w:rFonts w:cstheme="minorHAnsi"/>
              </w:rPr>
              <w:t>*</w:t>
            </w:r>
            <w:r w:rsidRPr="00A64156">
              <w:rPr>
                <w:rFonts w:cstheme="minorHAnsi"/>
              </w:rPr>
              <w:t xml:space="preserve"> </w:t>
            </w:r>
            <w:r w:rsidRPr="00A64156">
              <w:rPr>
                <w:rFonts w:cstheme="minorHAnsi"/>
                <w:i/>
                <w:iCs/>
              </w:rPr>
              <w:t>or</w:t>
            </w:r>
            <w:r w:rsidRPr="00A64156">
              <w:rPr>
                <w:rFonts w:cstheme="minorHAnsi"/>
              </w:rPr>
              <w:t xml:space="preserve"> </w:t>
            </w:r>
          </w:p>
          <w:p w14:paraId="3BA929A4" w14:textId="44A4A4AC" w:rsidR="00A64156" w:rsidRPr="00A64156" w:rsidRDefault="00A64156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A64156">
              <w:rPr>
                <w:rFonts w:cstheme="minorHAnsi"/>
              </w:rPr>
              <w:t>Successor - add paragraph stating that prior period statements</w:t>
            </w:r>
            <w:r w:rsidR="001E01FB">
              <w:rPr>
                <w:rFonts w:cstheme="minorHAnsi"/>
              </w:rPr>
              <w:t xml:space="preserve"> </w:t>
            </w:r>
            <w:r w:rsidR="00B71E7A">
              <w:rPr>
                <w:rFonts w:cstheme="minorHAnsi"/>
              </w:rPr>
              <w:t>we</w:t>
            </w:r>
            <w:r w:rsidRPr="00A64156">
              <w:rPr>
                <w:rFonts w:cstheme="minorHAnsi"/>
              </w:rPr>
              <w:t>re compiled by other</w:t>
            </w:r>
            <w:r w:rsidR="00B71E7A">
              <w:rPr>
                <w:rFonts w:cstheme="minorHAnsi"/>
              </w:rPr>
              <w:t xml:space="preserve"> </w:t>
            </w:r>
            <w:r w:rsidRPr="00A64156">
              <w:rPr>
                <w:rFonts w:cstheme="minorHAnsi"/>
              </w:rPr>
              <w:t xml:space="preserve">accountants (example in </w:t>
            </w:r>
            <w:r w:rsidR="00B71E7A">
              <w:rPr>
                <w:rFonts w:cstheme="minorHAnsi"/>
              </w:rPr>
              <w:t>p</w:t>
            </w:r>
            <w:r w:rsidRPr="00A64156">
              <w:rPr>
                <w:rFonts w:cstheme="minorHAnsi"/>
              </w:rPr>
              <w:t>aragraph 19).</w:t>
            </w:r>
            <w:r w:rsidRPr="00A64156">
              <w:rPr>
                <w:rFonts w:cstheme="minorHAnsi"/>
                <w:b/>
                <w:bCs/>
              </w:rPr>
              <w:t xml:space="preserve"> </w:t>
            </w:r>
            <w:r w:rsidRPr="00A64156">
              <w:rPr>
                <w:rFonts w:cstheme="minorHAnsi"/>
                <w:i/>
                <w:iCs/>
              </w:rPr>
              <w:t>or</w:t>
            </w:r>
          </w:p>
          <w:p w14:paraId="7DB70826" w14:textId="2CED7D68" w:rsidR="00966CDC" w:rsidRDefault="00A64156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A64156">
              <w:rPr>
                <w:rFonts w:cstheme="minorHAnsi"/>
              </w:rPr>
              <w:t>Successor - perform compilation</w:t>
            </w:r>
            <w:r w:rsidR="00276D63">
              <w:rPr>
                <w:rFonts w:cstheme="minorHAnsi"/>
              </w:rPr>
              <w:t>,</w:t>
            </w:r>
            <w:r w:rsidRPr="00A64156">
              <w:rPr>
                <w:rFonts w:cstheme="minorHAnsi"/>
              </w:rPr>
              <w:t xml:space="preserve"> review</w:t>
            </w:r>
            <w:r w:rsidR="00276D63">
              <w:rPr>
                <w:rFonts w:cstheme="minorHAnsi"/>
              </w:rPr>
              <w:t>,</w:t>
            </w:r>
            <w:r w:rsidRPr="00A64156">
              <w:rPr>
                <w:rFonts w:cstheme="minorHAnsi"/>
              </w:rPr>
              <w:t xml:space="preserve"> </w:t>
            </w:r>
            <w:r w:rsidRPr="00A64156">
              <w:rPr>
                <w:rFonts w:cstheme="minorHAnsi"/>
                <w:i/>
                <w:iCs/>
              </w:rPr>
              <w:t>or</w:t>
            </w:r>
            <w:r w:rsidRPr="00A64156">
              <w:rPr>
                <w:rFonts w:cstheme="minorHAnsi"/>
              </w:rPr>
              <w:t xml:space="preserve"> audit of prior period statements and report on them accordingly.</w:t>
            </w:r>
          </w:p>
        </w:tc>
      </w:tr>
      <w:tr w:rsidR="00966CDC" w14:paraId="5694A113" w14:textId="77777777" w:rsidTr="00F41B8E">
        <w:tc>
          <w:tcPr>
            <w:tcW w:w="0" w:type="auto"/>
          </w:tcPr>
          <w:p w14:paraId="03574245" w14:textId="5EDE0F55" w:rsidR="00966CDC" w:rsidRDefault="00276D63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Compilation</w:t>
            </w:r>
          </w:p>
        </w:tc>
        <w:tc>
          <w:tcPr>
            <w:tcW w:w="0" w:type="auto"/>
          </w:tcPr>
          <w:p w14:paraId="4596073D" w14:textId="6A870805" w:rsidR="00966CDC" w:rsidRDefault="00276D63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Review</w:t>
            </w:r>
          </w:p>
        </w:tc>
        <w:tc>
          <w:tcPr>
            <w:tcW w:w="0" w:type="auto"/>
          </w:tcPr>
          <w:p w14:paraId="27B29F96" w14:textId="1F521B55" w:rsidR="00F41B8E" w:rsidRPr="00F41B8E" w:rsidRDefault="00F41B8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  <w:i/>
                <w:iCs/>
              </w:rPr>
            </w:pPr>
            <w:r w:rsidRPr="00F41B8E">
              <w:rPr>
                <w:rFonts w:cstheme="minorHAnsi"/>
              </w:rPr>
              <w:t>Predece</w:t>
            </w:r>
            <w:r w:rsidR="00030E85">
              <w:rPr>
                <w:rFonts w:cstheme="minorHAnsi"/>
              </w:rPr>
              <w:t>ss</w:t>
            </w:r>
            <w:r w:rsidRPr="00F41B8E">
              <w:rPr>
                <w:rFonts w:cstheme="minorHAnsi"/>
              </w:rPr>
              <w:t>or - may reissue report at client's request if he complies with provisions of paragraphs 20 to 24</w:t>
            </w:r>
            <w:r w:rsidR="00030E85">
              <w:rPr>
                <w:rFonts w:cstheme="minorHAnsi"/>
              </w:rPr>
              <w:t>*</w:t>
            </w:r>
            <w:r w:rsidRPr="00F41B8E">
              <w:rPr>
                <w:rFonts w:cstheme="minorHAnsi"/>
              </w:rPr>
              <w:t xml:space="preserve">. </w:t>
            </w:r>
            <w:r w:rsidRPr="00F41B8E">
              <w:rPr>
                <w:rFonts w:cstheme="minorHAnsi"/>
                <w:i/>
                <w:iCs/>
              </w:rPr>
              <w:t>or</w:t>
            </w:r>
          </w:p>
          <w:p w14:paraId="0AA1001B" w14:textId="15164F75" w:rsidR="00F41B8E" w:rsidRPr="00F41B8E" w:rsidRDefault="00F41B8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  <w:i/>
                <w:iCs/>
              </w:rPr>
            </w:pPr>
            <w:r w:rsidRPr="00F41B8E">
              <w:rPr>
                <w:rFonts w:cstheme="minorHAnsi"/>
              </w:rPr>
              <w:t xml:space="preserve">Successor - add paragraph stating that prior period statements were reviewed by other accountants (example in paragraph 18). </w:t>
            </w:r>
            <w:r w:rsidRPr="00F41B8E">
              <w:rPr>
                <w:rFonts w:cstheme="minorHAnsi"/>
                <w:i/>
                <w:iCs/>
              </w:rPr>
              <w:t>or</w:t>
            </w:r>
          </w:p>
          <w:p w14:paraId="27A09584" w14:textId="2863A6B9" w:rsidR="00966CDC" w:rsidRDefault="00F41B8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F41B8E">
              <w:rPr>
                <w:rFonts w:cstheme="minorHAnsi"/>
              </w:rPr>
              <w:t>Successor - perform compilation</w:t>
            </w:r>
            <w:r w:rsidR="00030E85">
              <w:rPr>
                <w:rFonts w:cstheme="minorHAnsi"/>
              </w:rPr>
              <w:t>,</w:t>
            </w:r>
            <w:r w:rsidRPr="00F41B8E">
              <w:rPr>
                <w:rFonts w:cstheme="minorHAnsi"/>
              </w:rPr>
              <w:t xml:space="preserve"> review</w:t>
            </w:r>
            <w:r w:rsidR="00030E85">
              <w:rPr>
                <w:rFonts w:cstheme="minorHAnsi"/>
              </w:rPr>
              <w:t>,</w:t>
            </w:r>
            <w:r w:rsidRPr="00F41B8E">
              <w:rPr>
                <w:rFonts w:cstheme="minorHAnsi"/>
              </w:rPr>
              <w:t xml:space="preserve"> or audit of prior period statements and report on them accordingly.</w:t>
            </w:r>
          </w:p>
        </w:tc>
      </w:tr>
      <w:tr w:rsidR="00966CDC" w14:paraId="4A4C6F61" w14:textId="77777777" w:rsidTr="00F41B8E">
        <w:tc>
          <w:tcPr>
            <w:tcW w:w="0" w:type="auto"/>
          </w:tcPr>
          <w:p w14:paraId="1EF4319E" w14:textId="1FFF67B1" w:rsidR="00966CDC" w:rsidRDefault="00E05DBE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Review</w:t>
            </w:r>
          </w:p>
        </w:tc>
        <w:tc>
          <w:tcPr>
            <w:tcW w:w="0" w:type="auto"/>
          </w:tcPr>
          <w:p w14:paraId="19203A77" w14:textId="0252DD92" w:rsidR="00966CDC" w:rsidRDefault="00E05DBE" w:rsidP="00DE027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Compilation</w:t>
            </w:r>
          </w:p>
        </w:tc>
        <w:tc>
          <w:tcPr>
            <w:tcW w:w="0" w:type="auto"/>
          </w:tcPr>
          <w:p w14:paraId="287D8638" w14:textId="77777777" w:rsidR="00E05DBE" w:rsidRPr="00E05DBE" w:rsidRDefault="00E05DB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  <w:i/>
                <w:iCs/>
              </w:rPr>
            </w:pPr>
            <w:r w:rsidRPr="00E05DBE">
              <w:rPr>
                <w:rFonts w:cstheme="minorHAnsi"/>
              </w:rPr>
              <w:t xml:space="preserve">Predecessor - may reissue report at client's request if he complies with provisions of paragraphs 20 to 24*. </w:t>
            </w:r>
            <w:r w:rsidRPr="00E05DBE">
              <w:rPr>
                <w:rFonts w:cstheme="minorHAnsi"/>
                <w:i/>
                <w:iCs/>
              </w:rPr>
              <w:t>or</w:t>
            </w:r>
          </w:p>
          <w:p w14:paraId="7292E0CA" w14:textId="7C685078" w:rsidR="00E05DBE" w:rsidRPr="00E05DBE" w:rsidRDefault="00E05DB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E05DBE">
              <w:rPr>
                <w:rFonts w:cstheme="minorHAnsi"/>
              </w:rPr>
              <w:t>Successor</w:t>
            </w:r>
            <w:r>
              <w:rPr>
                <w:rFonts w:cstheme="minorHAnsi"/>
              </w:rPr>
              <w:t xml:space="preserve"> - </w:t>
            </w:r>
            <w:r w:rsidRPr="00E05DBE">
              <w:rPr>
                <w:rFonts w:cstheme="minorHAnsi"/>
              </w:rPr>
              <w:t xml:space="preserve">add paragraphs stating that prior period statements were reviewed by other accountants (example in paragraph 18). </w:t>
            </w:r>
            <w:r w:rsidRPr="00E05DBE">
              <w:rPr>
                <w:rFonts w:cstheme="minorHAnsi"/>
                <w:i/>
                <w:iCs/>
              </w:rPr>
              <w:t>or</w:t>
            </w:r>
          </w:p>
          <w:p w14:paraId="046FA653" w14:textId="1BD2A551" w:rsidR="00966CDC" w:rsidRDefault="00E05DBE" w:rsidP="001E01FB">
            <w:pPr>
              <w:kinsoku w:val="0"/>
              <w:overflowPunct w:val="0"/>
              <w:autoSpaceDE w:val="0"/>
              <w:autoSpaceDN w:val="0"/>
              <w:adjustRightInd w:val="0"/>
              <w:ind w:left="535" w:hanging="535"/>
              <w:rPr>
                <w:rFonts w:cstheme="minorHAnsi"/>
              </w:rPr>
            </w:pPr>
            <w:r w:rsidRPr="00E05DBE">
              <w:rPr>
                <w:rFonts w:cstheme="minorHAnsi"/>
              </w:rPr>
              <w:t>Successor - perform compilation</w:t>
            </w:r>
            <w:r w:rsidR="00F92E58">
              <w:rPr>
                <w:rFonts w:cstheme="minorHAnsi"/>
              </w:rPr>
              <w:t>, r</w:t>
            </w:r>
            <w:r w:rsidRPr="00E05DBE">
              <w:rPr>
                <w:rFonts w:cstheme="minorHAnsi"/>
              </w:rPr>
              <w:t>eview</w:t>
            </w:r>
            <w:r w:rsidR="00F92E58">
              <w:rPr>
                <w:rFonts w:cstheme="minorHAnsi"/>
              </w:rPr>
              <w:t>,</w:t>
            </w:r>
            <w:r w:rsidRPr="00E05DBE">
              <w:rPr>
                <w:rFonts w:cstheme="minorHAnsi"/>
              </w:rPr>
              <w:t xml:space="preserve"> or audit of prior period statements and report on them accordingly.</w:t>
            </w:r>
          </w:p>
        </w:tc>
      </w:tr>
    </w:tbl>
    <w:p w14:paraId="7A0C5730" w14:textId="54D42ED2" w:rsidR="00181349" w:rsidRDefault="00276B88" w:rsidP="00181349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* These </w:t>
      </w:r>
      <w:r w:rsidR="00181349" w:rsidRPr="00181349">
        <w:rPr>
          <w:rFonts w:cstheme="minorHAnsi"/>
        </w:rPr>
        <w:t>provisions</w:t>
      </w:r>
      <w:r w:rsidR="00181349" w:rsidRPr="00181349">
        <w:rPr>
          <w:rFonts w:cstheme="minorHAnsi"/>
          <w:b/>
          <w:bCs/>
        </w:rPr>
        <w:t xml:space="preserve"> </w:t>
      </w:r>
      <w:r w:rsidR="00181349" w:rsidRPr="00181349">
        <w:rPr>
          <w:rFonts w:cstheme="minorHAnsi"/>
        </w:rPr>
        <w:t>are described in detail in Table Ill</w:t>
      </w:r>
      <w:r>
        <w:rPr>
          <w:rFonts w:cstheme="minorHAnsi"/>
        </w:rPr>
        <w:t>.</w:t>
      </w:r>
    </w:p>
    <w:p w14:paraId="24D0DE87" w14:textId="77777777" w:rsidR="00276B88" w:rsidRDefault="00276B88" w:rsidP="00181349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2736C3E" w14:textId="7A57AD90" w:rsidR="00171D09" w:rsidRPr="00171D09" w:rsidRDefault="00171D09" w:rsidP="00171D09">
      <w:pPr>
        <w:spacing w:after="0"/>
      </w:pPr>
      <w:bookmarkStart w:id="6" w:name="Yahr_12511001-0005"/>
      <w:bookmarkEnd w:id="6"/>
      <w:r w:rsidRPr="00171D09">
        <w:t>TABLE Ill</w:t>
      </w:r>
      <w:r>
        <w:t xml:space="preserve">: </w:t>
      </w:r>
      <w:r w:rsidRPr="00171D09">
        <w:t>PRECEDESSOR'S COMPILATION OR REVIEW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9"/>
        <w:gridCol w:w="5391"/>
      </w:tblGrid>
      <w:tr w:rsidR="00240ACF" w:rsidRPr="000A4287" w14:paraId="0999D944" w14:textId="77777777" w:rsidTr="00E94413">
        <w:tc>
          <w:tcPr>
            <w:tcW w:w="0" w:type="auto"/>
          </w:tcPr>
          <w:p w14:paraId="13E439E2" w14:textId="1D3FFA01" w:rsidR="00240ACF" w:rsidRPr="000A4287" w:rsidRDefault="00240ACF" w:rsidP="00CC5270">
            <w:pPr>
              <w:rPr>
                <w:rFonts w:cstheme="minorHAnsi"/>
                <w:b/>
                <w:bCs/>
              </w:rPr>
            </w:pPr>
            <w:r w:rsidRPr="000A4287">
              <w:rPr>
                <w:rFonts w:cstheme="minorHAnsi"/>
                <w:b/>
                <w:bCs/>
              </w:rPr>
              <w:t>Situa</w:t>
            </w:r>
            <w:r w:rsidR="006A3D84" w:rsidRPr="000A4287">
              <w:rPr>
                <w:rFonts w:cstheme="minorHAnsi"/>
                <w:b/>
                <w:bCs/>
              </w:rPr>
              <w:t xml:space="preserve">tion A: </w:t>
            </w:r>
            <w:r w:rsidR="006A3D84" w:rsidRPr="000A4287">
              <w:rPr>
                <w:rFonts w:cstheme="minorHAnsi"/>
                <w:b/>
                <w:bCs/>
              </w:rPr>
              <w:t>The Predecessor Doe</w:t>
            </w:r>
            <w:r w:rsidR="006A3D84" w:rsidRPr="000A4287">
              <w:rPr>
                <w:rFonts w:cstheme="minorHAnsi"/>
                <w:b/>
                <w:bCs/>
                <w:color w:val="3E3E3E"/>
              </w:rPr>
              <w:t xml:space="preserve">s </w:t>
            </w:r>
            <w:r w:rsidR="006A3D84" w:rsidRPr="000A4287">
              <w:rPr>
                <w:rFonts w:cstheme="minorHAnsi"/>
                <w:b/>
                <w:bCs/>
              </w:rPr>
              <w:t>Not Reissue the Report</w:t>
            </w:r>
            <w:r w:rsidR="006A3D84" w:rsidRPr="000A4287">
              <w:rPr>
                <w:rFonts w:cstheme="minorHAnsi"/>
                <w:b/>
                <w:bCs/>
                <w:color w:val="3E3E3E"/>
              </w:rPr>
              <w:t>*</w:t>
            </w:r>
          </w:p>
        </w:tc>
        <w:tc>
          <w:tcPr>
            <w:tcW w:w="0" w:type="auto"/>
          </w:tcPr>
          <w:p w14:paraId="358D5244" w14:textId="3AE9E8B0" w:rsidR="00240ACF" w:rsidRPr="000A4287" w:rsidRDefault="006A3D84" w:rsidP="00CC5270">
            <w:pPr>
              <w:rPr>
                <w:rFonts w:cstheme="minorHAnsi"/>
                <w:b/>
                <w:bCs/>
              </w:rPr>
            </w:pPr>
            <w:r w:rsidRPr="000A4287">
              <w:rPr>
                <w:rFonts w:cstheme="minorHAnsi"/>
                <w:b/>
                <w:bCs/>
                <w:color w:val="3E3E3E"/>
              </w:rPr>
              <w:t>Si</w:t>
            </w:r>
            <w:r w:rsidRPr="000A4287">
              <w:rPr>
                <w:rFonts w:cstheme="minorHAnsi"/>
                <w:b/>
                <w:bCs/>
              </w:rPr>
              <w:t>t</w:t>
            </w:r>
            <w:r w:rsidRPr="000A4287">
              <w:rPr>
                <w:rFonts w:cstheme="minorHAnsi"/>
                <w:b/>
                <w:bCs/>
                <w:color w:val="3E3E3E"/>
              </w:rPr>
              <w:t>uatio</w:t>
            </w:r>
            <w:r w:rsidRPr="000A4287">
              <w:rPr>
                <w:rFonts w:cstheme="minorHAnsi"/>
                <w:b/>
                <w:bCs/>
              </w:rPr>
              <w:t>n B</w:t>
            </w:r>
            <w:r w:rsidRPr="000A4287">
              <w:rPr>
                <w:rFonts w:cstheme="minorHAnsi"/>
                <w:b/>
                <w:bCs/>
                <w:color w:val="3E3E3E"/>
              </w:rPr>
              <w:t>:</w:t>
            </w:r>
            <w:r w:rsidR="00CC5270" w:rsidRPr="000A4287">
              <w:rPr>
                <w:rFonts w:cstheme="minorHAnsi"/>
                <w:b/>
                <w:bCs/>
                <w:color w:val="3E3E3E"/>
              </w:rPr>
              <w:t xml:space="preserve"> </w:t>
            </w:r>
            <w:r w:rsidRPr="000A4287">
              <w:rPr>
                <w:rFonts w:cstheme="minorHAnsi"/>
                <w:b/>
                <w:bCs/>
              </w:rPr>
              <w:t>Th</w:t>
            </w:r>
            <w:r w:rsidRPr="000A4287">
              <w:rPr>
                <w:rFonts w:cstheme="minorHAnsi"/>
                <w:b/>
                <w:bCs/>
                <w:color w:val="3E3E3E"/>
              </w:rPr>
              <w:t xml:space="preserve">e </w:t>
            </w:r>
            <w:r w:rsidRPr="000A4287">
              <w:rPr>
                <w:rFonts w:cstheme="minorHAnsi"/>
                <w:b/>
                <w:bCs/>
              </w:rPr>
              <w:t>Pred</w:t>
            </w:r>
            <w:r w:rsidRPr="000A4287">
              <w:rPr>
                <w:rFonts w:cstheme="minorHAnsi"/>
                <w:b/>
                <w:bCs/>
                <w:color w:val="3E3E3E"/>
              </w:rPr>
              <w:t>ec</w:t>
            </w:r>
            <w:r w:rsidRPr="000A4287">
              <w:rPr>
                <w:rFonts w:cstheme="minorHAnsi"/>
                <w:b/>
                <w:bCs/>
              </w:rPr>
              <w:t>essor Reissue</w:t>
            </w:r>
            <w:r w:rsidRPr="000A4287">
              <w:rPr>
                <w:rFonts w:cstheme="minorHAnsi"/>
                <w:b/>
                <w:bCs/>
                <w:color w:val="3E3E3E"/>
              </w:rPr>
              <w:t xml:space="preserve">s </w:t>
            </w:r>
            <w:r w:rsidRPr="000A4287">
              <w:rPr>
                <w:rFonts w:cstheme="minorHAnsi"/>
                <w:b/>
                <w:bCs/>
              </w:rPr>
              <w:t xml:space="preserve">the </w:t>
            </w:r>
            <w:r w:rsidRPr="000A4287">
              <w:rPr>
                <w:rFonts w:cstheme="minorHAnsi"/>
                <w:b/>
                <w:bCs/>
                <w:color w:val="3E3E3E"/>
              </w:rPr>
              <w:t>Report</w:t>
            </w:r>
            <w:r w:rsidR="00CC5270" w:rsidRPr="000A4287">
              <w:rPr>
                <w:rFonts w:cstheme="minorHAnsi"/>
                <w:b/>
                <w:bCs/>
                <w:color w:val="3E3E3E"/>
              </w:rPr>
              <w:t>*</w:t>
            </w:r>
          </w:p>
        </w:tc>
      </w:tr>
      <w:tr w:rsidR="00240ACF" w:rsidRPr="00CC5270" w14:paraId="3693B717" w14:textId="77777777" w:rsidTr="00E94413">
        <w:tc>
          <w:tcPr>
            <w:tcW w:w="0" w:type="auto"/>
          </w:tcPr>
          <w:p w14:paraId="6E30C205" w14:textId="5D431203" w:rsidR="00240ACF" w:rsidRPr="00CC5270" w:rsidRDefault="002F5E0D" w:rsidP="00CC5270">
            <w:pPr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>The successor may do A or B below.</w:t>
            </w:r>
          </w:p>
        </w:tc>
        <w:tc>
          <w:tcPr>
            <w:tcW w:w="0" w:type="auto"/>
          </w:tcPr>
          <w:p w14:paraId="5F901C1F" w14:textId="2CD29414" w:rsidR="00240ACF" w:rsidRPr="00CC5270" w:rsidRDefault="002F5E0D" w:rsidP="00CC5270">
            <w:pPr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 xml:space="preserve">The predecessor should do each </w:t>
            </w:r>
            <w:r w:rsidRPr="00CC5270">
              <w:rPr>
                <w:rFonts w:cstheme="minorHAnsi"/>
                <w:color w:val="525252"/>
              </w:rPr>
              <w:t xml:space="preserve">of </w:t>
            </w:r>
            <w:r w:rsidRPr="00CC5270">
              <w:rPr>
                <w:rFonts w:cstheme="minorHAnsi"/>
                <w:color w:val="3E3E3E"/>
              </w:rPr>
              <w:t xml:space="preserve">the </w:t>
            </w:r>
            <w:r w:rsidRPr="00CC5270">
              <w:rPr>
                <w:rFonts w:cstheme="minorHAnsi"/>
                <w:color w:val="525252"/>
              </w:rPr>
              <w:t>foll</w:t>
            </w:r>
            <w:r w:rsidRPr="00CC5270">
              <w:rPr>
                <w:rFonts w:cstheme="minorHAnsi"/>
                <w:color w:val="525252"/>
              </w:rPr>
              <w:t>o</w:t>
            </w:r>
            <w:r w:rsidRPr="00CC5270">
              <w:rPr>
                <w:rFonts w:cstheme="minorHAnsi"/>
                <w:color w:val="525252"/>
              </w:rPr>
              <w:t>wing</w:t>
            </w:r>
            <w:r w:rsidRPr="00CC5270">
              <w:rPr>
                <w:rFonts w:cstheme="minorHAnsi"/>
                <w:color w:val="525252"/>
              </w:rPr>
              <w:t>:</w:t>
            </w:r>
          </w:p>
        </w:tc>
      </w:tr>
      <w:tr w:rsidR="00240ACF" w:rsidRPr="00CC5270" w14:paraId="12DC038E" w14:textId="77777777" w:rsidTr="00E94413">
        <w:tc>
          <w:tcPr>
            <w:tcW w:w="0" w:type="auto"/>
          </w:tcPr>
          <w:p w14:paraId="5BE3C16C" w14:textId="1D8221C0" w:rsidR="00240ACF" w:rsidRPr="00CC5270" w:rsidRDefault="00335645" w:rsidP="00D848CA">
            <w:pPr>
              <w:ind w:left="336" w:hanging="336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>A. Refer to the predecessor's report in a separate paragraph</w:t>
            </w:r>
            <w:r w:rsidRPr="00CC5270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(example in paragraph 19) which includes:</w:t>
            </w:r>
          </w:p>
        </w:tc>
        <w:tc>
          <w:tcPr>
            <w:tcW w:w="0" w:type="auto"/>
          </w:tcPr>
          <w:p w14:paraId="4B8044CB" w14:textId="01153C50" w:rsidR="00240ACF" w:rsidRPr="00CC5270" w:rsidRDefault="00335645" w:rsidP="00E94413">
            <w:pPr>
              <w:ind w:left="344" w:hanging="344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>A. Decide if report is st</w:t>
            </w:r>
            <w:r w:rsidRPr="00CC5270">
              <w:rPr>
                <w:rFonts w:cstheme="minorHAnsi"/>
                <w:color w:val="3E3E3E"/>
              </w:rPr>
              <w:t>ill</w:t>
            </w:r>
            <w:r w:rsidRPr="00CC5270">
              <w:rPr>
                <w:rFonts w:cstheme="minorHAnsi"/>
                <w:color w:val="3E3E3E"/>
              </w:rPr>
              <w:t xml:space="preserve"> appropriate by </w:t>
            </w:r>
            <w:r w:rsidRPr="00CC5270">
              <w:rPr>
                <w:rFonts w:cstheme="minorHAnsi"/>
                <w:color w:val="525252"/>
              </w:rPr>
              <w:t>considering:</w:t>
            </w:r>
          </w:p>
        </w:tc>
      </w:tr>
      <w:tr w:rsidR="00240ACF" w:rsidRPr="00CC5270" w14:paraId="04BDF680" w14:textId="77777777" w:rsidTr="00E94413">
        <w:tc>
          <w:tcPr>
            <w:tcW w:w="0" w:type="auto"/>
          </w:tcPr>
          <w:p w14:paraId="7F0DE3E6" w14:textId="00DEA0A7" w:rsidR="00363E26" w:rsidRPr="00CC5270" w:rsidRDefault="00363E26" w:rsidP="00D848CA">
            <w:pPr>
              <w:ind w:left="696" w:hanging="336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1. A statement that predecessor did the compilation</w:t>
            </w:r>
            <w:r w:rsidR="000F55D2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or review on prior period statements.</w:t>
            </w:r>
          </w:p>
          <w:p w14:paraId="52ECDFC5" w14:textId="77777777" w:rsidR="00363E26" w:rsidRPr="00CC5270" w:rsidRDefault="00363E26" w:rsidP="00D848CA">
            <w:pPr>
              <w:ind w:left="696" w:hanging="336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2. The date of the predecessor's report.</w:t>
            </w:r>
          </w:p>
          <w:p w14:paraId="22697CBA" w14:textId="77777777" w:rsidR="000F55D2" w:rsidRDefault="00363E26" w:rsidP="00D848CA">
            <w:pPr>
              <w:ind w:left="696" w:hanging="336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3. A description of the standard form of disclaimer or</w:t>
            </w:r>
            <w:r w:rsidR="000F55D2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limited assurance in the predecessor's report</w:t>
            </w:r>
            <w:r w:rsidR="000F55D2">
              <w:rPr>
                <w:rFonts w:cstheme="minorHAnsi"/>
                <w:color w:val="3E3E3E"/>
              </w:rPr>
              <w:t xml:space="preserve"> a</w:t>
            </w:r>
            <w:r w:rsidRPr="00CC5270">
              <w:rPr>
                <w:rFonts w:cstheme="minorHAnsi"/>
                <w:color w:val="3E3E3E"/>
              </w:rPr>
              <w:t>nd</w:t>
            </w:r>
            <w:r w:rsidR="000F55D2">
              <w:rPr>
                <w:rFonts w:cstheme="minorHAnsi"/>
                <w:color w:val="3E3E3E"/>
              </w:rPr>
              <w:t xml:space="preserve"> </w:t>
            </w:r>
          </w:p>
          <w:p w14:paraId="1D810FF7" w14:textId="3B82C95F" w:rsidR="00240ACF" w:rsidRPr="00CC5270" w:rsidRDefault="00363E26" w:rsidP="00D848CA">
            <w:pPr>
              <w:ind w:left="696" w:hanging="336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>4. A description (or direct quotation) of report modifications</w:t>
            </w:r>
            <w:r w:rsidR="00D848CA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or emphasis of matters in prior period</w:t>
            </w:r>
            <w:r w:rsidR="00D848CA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statements.</w:t>
            </w:r>
          </w:p>
        </w:tc>
        <w:tc>
          <w:tcPr>
            <w:tcW w:w="0" w:type="auto"/>
          </w:tcPr>
          <w:p w14:paraId="650F5D2E" w14:textId="77777777" w:rsidR="00363E26" w:rsidRPr="00CC5270" w:rsidRDefault="00363E26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1. Current presentation.</w:t>
            </w:r>
          </w:p>
          <w:p w14:paraId="19769E08" w14:textId="77777777" w:rsidR="00363E26" w:rsidRPr="00CC5270" w:rsidRDefault="00363E26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2. Subsequent events not previously </w:t>
            </w:r>
            <w:r w:rsidRPr="00CC5270">
              <w:rPr>
                <w:rFonts w:cstheme="minorHAnsi"/>
                <w:color w:val="525252"/>
              </w:rPr>
              <w:t xml:space="preserve">known. </w:t>
            </w:r>
            <w:r w:rsidRPr="00CC5270">
              <w:rPr>
                <w:rFonts w:cstheme="minorHAnsi"/>
                <w:color w:val="3E3E3E"/>
              </w:rPr>
              <w:t>and</w:t>
            </w:r>
          </w:p>
          <w:p w14:paraId="7B4E451A" w14:textId="351A692A" w:rsidR="00240ACF" w:rsidRPr="00CC5270" w:rsidRDefault="00363E26" w:rsidP="00E94413">
            <w:pPr>
              <w:ind w:left="344" w:hanging="344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 xml:space="preserve">3. Changes in the statement that require </w:t>
            </w:r>
            <w:r w:rsidRPr="00CC5270">
              <w:rPr>
                <w:rFonts w:cstheme="minorHAnsi"/>
                <w:color w:val="525252"/>
              </w:rPr>
              <w:t>a</w:t>
            </w:r>
            <w:r w:rsidRPr="00CC5270">
              <w:rPr>
                <w:rFonts w:cstheme="minorHAnsi"/>
                <w:color w:val="6D6D6D"/>
              </w:rPr>
              <w:t>d</w:t>
            </w:r>
            <w:r w:rsidRPr="00CC5270">
              <w:rPr>
                <w:rFonts w:cstheme="minorHAnsi"/>
                <w:color w:val="525252"/>
              </w:rPr>
              <w:t>ditions or</w:t>
            </w:r>
            <w:r w:rsidR="00F05B2F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 xml:space="preserve">deletions of modifications to the </w:t>
            </w:r>
            <w:r w:rsidRPr="00CC5270">
              <w:rPr>
                <w:rFonts w:cstheme="minorHAnsi"/>
                <w:color w:val="525252"/>
              </w:rPr>
              <w:t xml:space="preserve">standard </w:t>
            </w:r>
            <w:r w:rsidRPr="00CC5270">
              <w:rPr>
                <w:rFonts w:cstheme="minorHAnsi"/>
                <w:color w:val="3E3E3E"/>
              </w:rPr>
              <w:t>report.</w:t>
            </w:r>
          </w:p>
        </w:tc>
      </w:tr>
      <w:tr w:rsidR="00240ACF" w:rsidRPr="00CC5270" w14:paraId="51148654" w14:textId="77777777" w:rsidTr="00E94413">
        <w:tc>
          <w:tcPr>
            <w:tcW w:w="0" w:type="auto"/>
          </w:tcPr>
          <w:p w14:paraId="06A65050" w14:textId="473CF498" w:rsidR="00240ACF" w:rsidRPr="00CC5270" w:rsidRDefault="00363E26" w:rsidP="000A4287">
            <w:pPr>
              <w:ind w:left="336" w:hanging="336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>B. Perform a compilation</w:t>
            </w:r>
            <w:r w:rsidR="00D848CA">
              <w:rPr>
                <w:rFonts w:cstheme="minorHAnsi"/>
                <w:color w:val="3E3E3E"/>
              </w:rPr>
              <w:t>,</w:t>
            </w:r>
            <w:r w:rsidRPr="00CC5270">
              <w:rPr>
                <w:rFonts w:cstheme="minorHAnsi"/>
                <w:color w:val="3E3E3E"/>
              </w:rPr>
              <w:t xml:space="preserve"> review or audit on the prior</w:t>
            </w:r>
            <w:r w:rsidR="000A4287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statements and report accordingly.</w:t>
            </w:r>
          </w:p>
        </w:tc>
        <w:tc>
          <w:tcPr>
            <w:tcW w:w="0" w:type="auto"/>
          </w:tcPr>
          <w:p w14:paraId="3563CF4D" w14:textId="1F771037" w:rsidR="00240ACF" w:rsidRPr="00F05B2F" w:rsidRDefault="00363E26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B Before reissuing the report. he should</w:t>
            </w:r>
          </w:p>
        </w:tc>
      </w:tr>
      <w:tr w:rsidR="00240ACF" w:rsidRPr="00CC5270" w14:paraId="3941C10E" w14:textId="77777777" w:rsidTr="00E94413">
        <w:tc>
          <w:tcPr>
            <w:tcW w:w="0" w:type="auto"/>
          </w:tcPr>
          <w:p w14:paraId="1B7217B0" w14:textId="77777777" w:rsidR="00240ACF" w:rsidRPr="00CC5270" w:rsidRDefault="00240ACF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3A3F51CC" w14:textId="35B5D35D" w:rsidR="00363E26" w:rsidRPr="00CC5270" w:rsidRDefault="00363E26" w:rsidP="00E94413">
            <w:pPr>
              <w:ind w:left="344" w:hanging="344"/>
              <w:rPr>
                <w:rFonts w:cstheme="minorHAnsi"/>
                <w:color w:val="525252"/>
              </w:rPr>
            </w:pPr>
            <w:r w:rsidRPr="00CC5270">
              <w:rPr>
                <w:rFonts w:cstheme="minorHAnsi"/>
                <w:color w:val="3E3E3E"/>
              </w:rPr>
              <w:t xml:space="preserve">1. Read current period </w:t>
            </w:r>
            <w:r w:rsidRPr="00CC5270">
              <w:rPr>
                <w:rFonts w:cstheme="minorHAnsi"/>
                <w:color w:val="525252"/>
              </w:rPr>
              <w:t>statement</w:t>
            </w:r>
            <w:r w:rsidR="00F05B2F">
              <w:rPr>
                <w:rFonts w:cstheme="minorHAnsi"/>
                <w:color w:val="525252"/>
              </w:rPr>
              <w:t>.</w:t>
            </w:r>
          </w:p>
          <w:p w14:paraId="2A31D3EE" w14:textId="77777777" w:rsidR="00363E26" w:rsidRPr="00CC5270" w:rsidRDefault="00363E26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2. Read successor's report.</w:t>
            </w:r>
          </w:p>
          <w:p w14:paraId="71F452C2" w14:textId="60CE1A6B" w:rsidR="00363E26" w:rsidRPr="00CC5270" w:rsidRDefault="00363E26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3. Compare the original prior period </w:t>
            </w:r>
            <w:r w:rsidRPr="00CC5270">
              <w:rPr>
                <w:rFonts w:cstheme="minorHAnsi"/>
                <w:color w:val="525252"/>
              </w:rPr>
              <w:t>stat</w:t>
            </w:r>
            <w:r w:rsidRPr="00CC5270">
              <w:rPr>
                <w:rFonts w:cstheme="minorHAnsi"/>
                <w:color w:val="6D6D6D"/>
              </w:rPr>
              <w:t>e</w:t>
            </w:r>
            <w:r w:rsidRPr="00CC5270">
              <w:rPr>
                <w:rFonts w:cstheme="minorHAnsi"/>
                <w:color w:val="525252"/>
              </w:rPr>
              <w:t>ments with</w:t>
            </w:r>
            <w:r w:rsidR="00F05B2F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 xml:space="preserve">the current presentations </w:t>
            </w:r>
            <w:r w:rsidRPr="00CC5270">
              <w:rPr>
                <w:rFonts w:cstheme="minorHAnsi"/>
                <w:color w:val="525252"/>
              </w:rPr>
              <w:t xml:space="preserve">of </w:t>
            </w:r>
            <w:r w:rsidR="00F05B2F" w:rsidRPr="00CC5270">
              <w:rPr>
                <w:rFonts w:cstheme="minorHAnsi"/>
                <w:color w:val="525252"/>
              </w:rPr>
              <w:t>current</w:t>
            </w:r>
            <w:r w:rsidRPr="00CC5270">
              <w:rPr>
                <w:rFonts w:cstheme="minorHAnsi"/>
                <w:color w:val="525252"/>
              </w:rPr>
              <w:t xml:space="preserve"> and prior</w:t>
            </w:r>
            <w:r w:rsidR="00F05B2F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pe</w:t>
            </w:r>
            <w:r w:rsidR="00EB4EBF">
              <w:rPr>
                <w:rFonts w:cstheme="minorHAnsi"/>
                <w:color w:val="3E3E3E"/>
              </w:rPr>
              <w:t>ri</w:t>
            </w:r>
            <w:r w:rsidRPr="00CC5270">
              <w:rPr>
                <w:rFonts w:cstheme="minorHAnsi"/>
                <w:color w:val="3E3E3E"/>
              </w:rPr>
              <w:t>ods</w:t>
            </w:r>
          </w:p>
          <w:p w14:paraId="3E3ABF3D" w14:textId="5F5D0A8F" w:rsidR="00363E26" w:rsidRPr="00CC5270" w:rsidRDefault="00363E26" w:rsidP="00E94413">
            <w:pPr>
              <w:ind w:left="344" w:hanging="344"/>
              <w:rPr>
                <w:rFonts w:cstheme="minorHAnsi"/>
                <w:color w:val="525252"/>
              </w:rPr>
            </w:pPr>
            <w:r w:rsidRPr="00CC5270">
              <w:rPr>
                <w:rFonts w:cstheme="minorHAnsi"/>
                <w:color w:val="3E3E3E"/>
              </w:rPr>
              <w:t xml:space="preserve">4. Obtain a letter from the </w:t>
            </w:r>
            <w:r w:rsidRPr="00CC5270">
              <w:rPr>
                <w:rFonts w:cstheme="minorHAnsi"/>
                <w:color w:val="525252"/>
              </w:rPr>
              <w:t xml:space="preserve">successor </w:t>
            </w:r>
            <w:r w:rsidR="00EB4EBF">
              <w:rPr>
                <w:rFonts w:cstheme="minorHAnsi"/>
                <w:color w:val="525252"/>
              </w:rPr>
              <w:t>disclo</w:t>
            </w:r>
            <w:r w:rsidR="00C70E1E">
              <w:rPr>
                <w:rFonts w:cstheme="minorHAnsi"/>
                <w:color w:val="525252"/>
              </w:rPr>
              <w:t>sing a</w:t>
            </w:r>
            <w:r w:rsidRPr="00CC5270">
              <w:rPr>
                <w:rFonts w:cstheme="minorHAnsi"/>
                <w:color w:val="3E3E3E"/>
              </w:rPr>
              <w:t xml:space="preserve">wareness of any matters affecting the </w:t>
            </w:r>
            <w:r w:rsidRPr="00CC5270">
              <w:rPr>
                <w:rFonts w:cstheme="minorHAnsi"/>
                <w:color w:val="525252"/>
              </w:rPr>
              <w:t>prior periods.</w:t>
            </w:r>
          </w:p>
          <w:p w14:paraId="0303863F" w14:textId="1B56491A" w:rsidR="00240ACF" w:rsidRPr="00CC5270" w:rsidRDefault="00363E26" w:rsidP="00E94413">
            <w:pPr>
              <w:ind w:left="344" w:hanging="344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 xml:space="preserve">5. Not refer to the successor· s letter or </w:t>
            </w:r>
            <w:r w:rsidRPr="00CC5270">
              <w:rPr>
                <w:rFonts w:cstheme="minorHAnsi"/>
                <w:color w:val="525252"/>
              </w:rPr>
              <w:t>the successor's</w:t>
            </w:r>
            <w:r w:rsidR="00C70E1E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report.</w:t>
            </w:r>
          </w:p>
        </w:tc>
      </w:tr>
      <w:tr w:rsidR="00240ACF" w:rsidRPr="00CC5270" w14:paraId="290C18E0" w14:textId="77777777" w:rsidTr="00E94413">
        <w:tc>
          <w:tcPr>
            <w:tcW w:w="0" w:type="auto"/>
          </w:tcPr>
          <w:p w14:paraId="2A980956" w14:textId="77777777" w:rsidR="00240ACF" w:rsidRPr="00CC5270" w:rsidRDefault="00240ACF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25AAEB28" w14:textId="7B92FABE" w:rsidR="00240ACF" w:rsidRPr="00CC5270" w:rsidRDefault="0085311D" w:rsidP="00E94413">
            <w:pPr>
              <w:ind w:left="344" w:hanging="344"/>
              <w:rPr>
                <w:rFonts w:cstheme="minorHAnsi"/>
              </w:rPr>
            </w:pPr>
            <w:r w:rsidRPr="00CC5270">
              <w:rPr>
                <w:rFonts w:cstheme="minorHAnsi"/>
                <w:color w:val="3E3E3E"/>
              </w:rPr>
              <w:t>C If predecessor becomes aware of information affecting</w:t>
            </w:r>
            <w:r w:rsidR="00C70E1E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prior period statements or his report</w:t>
            </w:r>
            <w:r w:rsidR="0003257E">
              <w:rPr>
                <w:rFonts w:cstheme="minorHAnsi"/>
                <w:color w:val="3E3E3E"/>
              </w:rPr>
              <w:t>,</w:t>
            </w:r>
            <w:r w:rsidRPr="00CC5270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525252"/>
              </w:rPr>
              <w:t>he should:</w:t>
            </w:r>
          </w:p>
        </w:tc>
      </w:tr>
      <w:tr w:rsidR="0085311D" w:rsidRPr="00CC5270" w14:paraId="4D2AD46A" w14:textId="77777777" w:rsidTr="00E94413">
        <w:tc>
          <w:tcPr>
            <w:tcW w:w="0" w:type="auto"/>
          </w:tcPr>
          <w:p w14:paraId="39226CA1" w14:textId="77777777" w:rsidR="0085311D" w:rsidRPr="00CC5270" w:rsidRDefault="0085311D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2EB4937A" w14:textId="55528759" w:rsidR="0085311D" w:rsidRPr="00CC5270" w:rsidRDefault="0085311D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1. Make inquiries or per</w:t>
            </w:r>
            <w:r w:rsidR="0003257E">
              <w:rPr>
                <w:rFonts w:cstheme="minorHAnsi"/>
                <w:color w:val="3E3E3E"/>
              </w:rPr>
              <w:t>f</w:t>
            </w:r>
            <w:r w:rsidRPr="00CC5270">
              <w:rPr>
                <w:rFonts w:cstheme="minorHAnsi"/>
                <w:color w:val="3E3E3E"/>
              </w:rPr>
              <w:t>o</w:t>
            </w:r>
            <w:r w:rsidR="0003257E">
              <w:rPr>
                <w:rFonts w:cstheme="minorHAnsi"/>
                <w:color w:val="3E3E3E"/>
              </w:rPr>
              <w:t>rm</w:t>
            </w:r>
            <w:r w:rsidRPr="00CC5270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525252"/>
              </w:rPr>
              <w:t>analyti</w:t>
            </w:r>
            <w:r w:rsidR="0003257E">
              <w:rPr>
                <w:rFonts w:cstheme="minorHAnsi"/>
                <w:color w:val="525252"/>
              </w:rPr>
              <w:t>ca</w:t>
            </w:r>
            <w:r w:rsidRPr="00CC5270">
              <w:rPr>
                <w:rFonts w:cstheme="minorHAnsi"/>
                <w:color w:val="525252"/>
              </w:rPr>
              <w:t>l procedures</w:t>
            </w:r>
            <w:r w:rsidR="00521538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and</w:t>
            </w:r>
          </w:p>
          <w:p w14:paraId="78AE2E15" w14:textId="666161E3" w:rsidR="0085311D" w:rsidRPr="00CC5270" w:rsidRDefault="0085311D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2. Perform other procedures considered </w:t>
            </w:r>
            <w:r w:rsidRPr="00CC5270">
              <w:rPr>
                <w:rFonts w:cstheme="minorHAnsi"/>
                <w:color w:val="525252"/>
              </w:rPr>
              <w:t>necessary i</w:t>
            </w:r>
            <w:r w:rsidR="00521538">
              <w:rPr>
                <w:rFonts w:cstheme="minorHAnsi"/>
                <w:color w:val="525252"/>
              </w:rPr>
              <w:t xml:space="preserve">n </w:t>
            </w:r>
            <w:r w:rsidRPr="00CC5270">
              <w:rPr>
                <w:rFonts w:cstheme="minorHAnsi"/>
                <w:color w:val="3E3E3E"/>
              </w:rPr>
              <w:t>the circumstances (example in paragraph 22).</w:t>
            </w:r>
          </w:p>
        </w:tc>
      </w:tr>
      <w:tr w:rsidR="0085311D" w:rsidRPr="00CC5270" w14:paraId="2440D93E" w14:textId="77777777" w:rsidTr="00E94413">
        <w:tc>
          <w:tcPr>
            <w:tcW w:w="0" w:type="auto"/>
          </w:tcPr>
          <w:p w14:paraId="39CDEAD6" w14:textId="77777777" w:rsidR="0085311D" w:rsidRPr="00CC5270" w:rsidRDefault="0085311D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2BB6F0CE" w14:textId="59D2230B" w:rsidR="0085311D" w:rsidRPr="00CC5270" w:rsidRDefault="0085311D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D. If the prior period statements require </w:t>
            </w:r>
            <w:r w:rsidR="00521538">
              <w:rPr>
                <w:rFonts w:cstheme="minorHAnsi"/>
                <w:color w:val="3E3E3E"/>
              </w:rPr>
              <w:t>r</w:t>
            </w:r>
            <w:r w:rsidRPr="00CC5270">
              <w:rPr>
                <w:rFonts w:cstheme="minorHAnsi"/>
                <w:color w:val="525252"/>
              </w:rPr>
              <w:t>evision</w:t>
            </w:r>
            <w:r w:rsidR="00521538">
              <w:rPr>
                <w:rFonts w:cstheme="minorHAnsi"/>
                <w:color w:val="525252"/>
              </w:rPr>
              <w:t>,</w:t>
            </w:r>
            <w:r w:rsidRPr="00CC5270">
              <w:rPr>
                <w:rFonts w:cstheme="minorHAnsi"/>
                <w:color w:val="525252"/>
              </w:rPr>
              <w:t xml:space="preserve"> the</w:t>
            </w:r>
            <w:r w:rsidR="00521538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predecessor should:</w:t>
            </w:r>
          </w:p>
        </w:tc>
      </w:tr>
      <w:tr w:rsidR="0085311D" w:rsidRPr="00CC5270" w14:paraId="2CE04CE7" w14:textId="77777777" w:rsidTr="00E94413">
        <w:tc>
          <w:tcPr>
            <w:tcW w:w="0" w:type="auto"/>
          </w:tcPr>
          <w:p w14:paraId="47C9D0A9" w14:textId="77777777" w:rsidR="0085311D" w:rsidRPr="00CC5270" w:rsidRDefault="0085311D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4DD2B673" w14:textId="076A6837" w:rsidR="00CC5270" w:rsidRPr="00CC5270" w:rsidRDefault="00CC5270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1. Follow requirements in paragraphs </w:t>
            </w:r>
            <w:r w:rsidRPr="00CC5270">
              <w:rPr>
                <w:rFonts w:cstheme="minorHAnsi"/>
                <w:color w:val="525252"/>
              </w:rPr>
              <w:t>14 and 15 (dis</w:t>
            </w:r>
            <w:r w:rsidRPr="00CC5270">
              <w:rPr>
                <w:rFonts w:cstheme="minorHAnsi"/>
                <w:color w:val="3E3E3E"/>
              </w:rPr>
              <w:t>cussed</w:t>
            </w:r>
            <w:r w:rsidR="00521538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in Table IV).</w:t>
            </w:r>
          </w:p>
          <w:p w14:paraId="05A31965" w14:textId="45FA7805" w:rsidR="00CC5270" w:rsidRPr="00CC5270" w:rsidRDefault="00CC5270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2. </w:t>
            </w:r>
            <w:r w:rsidR="009163AE">
              <w:rPr>
                <w:rFonts w:cstheme="minorHAnsi"/>
                <w:color w:val="3E3E3E"/>
              </w:rPr>
              <w:t>“</w:t>
            </w:r>
            <w:r w:rsidRPr="00CC5270">
              <w:rPr>
                <w:rFonts w:cstheme="minorHAnsi"/>
                <w:color w:val="525252"/>
              </w:rPr>
              <w:t xml:space="preserve">Dual </w:t>
            </w:r>
            <w:r w:rsidRPr="00CC5270">
              <w:rPr>
                <w:rFonts w:cstheme="minorHAnsi"/>
                <w:color w:val="3E3E3E"/>
              </w:rPr>
              <w:t>date</w:t>
            </w:r>
            <w:r w:rsidR="009163AE">
              <w:rPr>
                <w:rFonts w:cstheme="minorHAnsi"/>
                <w:color w:val="3E3E3E"/>
              </w:rPr>
              <w:t>”</w:t>
            </w:r>
            <w:r w:rsidRPr="00CC5270">
              <w:rPr>
                <w:rFonts w:cstheme="minorHAnsi"/>
                <w:color w:val="3E3E3E"/>
              </w:rPr>
              <w:t xml:space="preserve"> the report (example in </w:t>
            </w:r>
            <w:r w:rsidRPr="00CC5270">
              <w:rPr>
                <w:rFonts w:cstheme="minorHAnsi"/>
                <w:color w:val="525252"/>
              </w:rPr>
              <w:t>paragraph 23).</w:t>
            </w:r>
            <w:r w:rsidR="009163AE">
              <w:rPr>
                <w:rFonts w:cstheme="minorHAnsi"/>
                <w:color w:val="525252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 xml:space="preserve">with his responsibility for subsequent </w:t>
            </w:r>
            <w:r w:rsidR="009163AE">
              <w:rPr>
                <w:rFonts w:cstheme="minorHAnsi"/>
                <w:color w:val="3E3E3E"/>
              </w:rPr>
              <w:t>e</w:t>
            </w:r>
            <w:r w:rsidRPr="00CC5270">
              <w:rPr>
                <w:rFonts w:cstheme="minorHAnsi"/>
                <w:color w:val="525252"/>
              </w:rPr>
              <w:t xml:space="preserve">vents </w:t>
            </w:r>
            <w:r w:rsidRPr="00CC5270">
              <w:rPr>
                <w:rFonts w:cstheme="minorHAnsi"/>
                <w:color w:val="3E3E3E"/>
              </w:rPr>
              <w:t>limited</w:t>
            </w:r>
            <w:r w:rsidR="009163AE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>to the specific event mentioned in th</w:t>
            </w:r>
            <w:r w:rsidR="009163AE">
              <w:rPr>
                <w:rFonts w:cstheme="minorHAnsi"/>
                <w:color w:val="3E3E3E"/>
              </w:rPr>
              <w:t>e</w:t>
            </w:r>
            <w:r w:rsidRPr="00CC5270">
              <w:rPr>
                <w:rFonts w:cstheme="minorHAnsi"/>
                <w:color w:val="3E3E3E"/>
              </w:rPr>
              <w:t xml:space="preserve"> note.</w:t>
            </w:r>
          </w:p>
          <w:p w14:paraId="2456B166" w14:textId="7E5F8604" w:rsidR="0085311D" w:rsidRPr="00CC5270" w:rsidRDefault="00CC5270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3. Obtain a written statement from </w:t>
            </w:r>
            <w:r w:rsidRPr="00CC5270">
              <w:rPr>
                <w:rFonts w:cstheme="minorHAnsi"/>
                <w:color w:val="525252"/>
              </w:rPr>
              <w:t xml:space="preserve">the former </w:t>
            </w:r>
            <w:r w:rsidRPr="00CC5270">
              <w:rPr>
                <w:rFonts w:cstheme="minorHAnsi"/>
                <w:color w:val="3E3E3E"/>
              </w:rPr>
              <w:t>client</w:t>
            </w:r>
            <w:r w:rsidR="007B7150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3E3E3E"/>
              </w:rPr>
              <w:t xml:space="preserve">setting forth new information and </w:t>
            </w:r>
            <w:r w:rsidRPr="00CC5270">
              <w:rPr>
                <w:rFonts w:cstheme="minorHAnsi"/>
                <w:color w:val="525252"/>
              </w:rPr>
              <w:t xml:space="preserve">its effect </w:t>
            </w:r>
            <w:r w:rsidRPr="00CC5270">
              <w:rPr>
                <w:rFonts w:cstheme="minorHAnsi"/>
                <w:color w:val="3E3E3E"/>
              </w:rPr>
              <w:t xml:space="preserve">on </w:t>
            </w:r>
            <w:r w:rsidRPr="00CC5270">
              <w:rPr>
                <w:rFonts w:cstheme="minorHAnsi"/>
                <w:color w:val="525252"/>
              </w:rPr>
              <w:t>th</w:t>
            </w:r>
            <w:r w:rsidR="007B7150">
              <w:rPr>
                <w:rFonts w:cstheme="minorHAnsi"/>
                <w:color w:val="525252"/>
              </w:rPr>
              <w:t xml:space="preserve">e </w:t>
            </w:r>
            <w:r w:rsidRPr="00CC5270">
              <w:rPr>
                <w:rFonts w:cstheme="minorHAnsi"/>
                <w:color w:val="3E3E3E"/>
              </w:rPr>
              <w:t>prior period statemen</w:t>
            </w:r>
            <w:r w:rsidR="007B7150">
              <w:rPr>
                <w:rFonts w:cstheme="minorHAnsi"/>
                <w:color w:val="3E3E3E"/>
              </w:rPr>
              <w:t>ts</w:t>
            </w:r>
            <w:r w:rsidRPr="00CC5270">
              <w:rPr>
                <w:rFonts w:cstheme="minorHAnsi"/>
                <w:color w:val="3E3E3E"/>
              </w:rPr>
              <w:t>.</w:t>
            </w:r>
          </w:p>
        </w:tc>
      </w:tr>
      <w:tr w:rsidR="00CC5270" w:rsidRPr="00CC5270" w14:paraId="63AEC9E9" w14:textId="77777777" w:rsidTr="00E94413">
        <w:tc>
          <w:tcPr>
            <w:tcW w:w="0" w:type="auto"/>
          </w:tcPr>
          <w:p w14:paraId="69C658DA" w14:textId="77777777" w:rsidR="00CC5270" w:rsidRPr="00CC5270" w:rsidRDefault="00CC5270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794B9562" w14:textId="5F44013C" w:rsidR="00CC5270" w:rsidRPr="00CC5270" w:rsidRDefault="00CC5270" w:rsidP="00E94413">
            <w:pPr>
              <w:ind w:left="34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 xml:space="preserve">E. If the predecessor is unable to </w:t>
            </w:r>
            <w:r w:rsidRPr="00CC5270">
              <w:rPr>
                <w:rFonts w:cstheme="minorHAnsi"/>
                <w:color w:val="525252"/>
              </w:rPr>
              <w:t>ca</w:t>
            </w:r>
            <w:r w:rsidR="006E186C">
              <w:rPr>
                <w:rFonts w:cstheme="minorHAnsi"/>
                <w:color w:val="525252"/>
              </w:rPr>
              <w:t>rry</w:t>
            </w:r>
            <w:r w:rsidRPr="00CC5270">
              <w:rPr>
                <w:rFonts w:cstheme="minorHAnsi"/>
                <w:color w:val="6D6D6D"/>
              </w:rPr>
              <w:t xml:space="preserve">, </w:t>
            </w:r>
            <w:r w:rsidRPr="00CC5270">
              <w:rPr>
                <w:rFonts w:cstheme="minorHAnsi"/>
                <w:color w:val="525252"/>
              </w:rPr>
              <w:t xml:space="preserve">out </w:t>
            </w:r>
            <w:r w:rsidRPr="00CC5270">
              <w:rPr>
                <w:rFonts w:cstheme="minorHAnsi"/>
                <w:color w:val="3E3E3E"/>
              </w:rPr>
              <w:t xml:space="preserve">the </w:t>
            </w:r>
            <w:r w:rsidRPr="00CC5270">
              <w:rPr>
                <w:rFonts w:cstheme="minorHAnsi"/>
                <w:color w:val="525252"/>
              </w:rPr>
              <w:t>abo</w:t>
            </w:r>
            <w:r w:rsidR="006E186C">
              <w:rPr>
                <w:rFonts w:cstheme="minorHAnsi"/>
                <w:color w:val="525252"/>
              </w:rPr>
              <w:t xml:space="preserve">ve </w:t>
            </w:r>
            <w:r w:rsidRPr="00CC5270">
              <w:rPr>
                <w:rFonts w:cstheme="minorHAnsi"/>
                <w:color w:val="3E3E3E"/>
              </w:rPr>
              <w:t>procedures (A through D):</w:t>
            </w:r>
          </w:p>
        </w:tc>
      </w:tr>
      <w:tr w:rsidR="00CC5270" w:rsidRPr="00CC5270" w14:paraId="7C6A49DA" w14:textId="77777777" w:rsidTr="00E94413">
        <w:tc>
          <w:tcPr>
            <w:tcW w:w="0" w:type="auto"/>
          </w:tcPr>
          <w:p w14:paraId="52DF1B0A" w14:textId="77777777" w:rsidR="00CC5270" w:rsidRPr="00CC5270" w:rsidRDefault="00CC5270" w:rsidP="00CC5270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23366029" w14:textId="7EE2609B" w:rsidR="00CC5270" w:rsidRPr="00CC5270" w:rsidRDefault="006E186C" w:rsidP="00E94413">
            <w:pPr>
              <w:ind w:left="704" w:hanging="344"/>
              <w:rPr>
                <w:rFonts w:cstheme="minorHAnsi"/>
                <w:color w:val="525252"/>
              </w:rPr>
            </w:pPr>
            <w:r>
              <w:rPr>
                <w:rFonts w:cstheme="minorHAnsi"/>
                <w:color w:val="3E3E3E"/>
              </w:rPr>
              <w:t>1</w:t>
            </w:r>
            <w:r w:rsidR="00CC5270" w:rsidRPr="00CC5270">
              <w:rPr>
                <w:rFonts w:cstheme="minorHAnsi"/>
                <w:color w:val="3E3E3E"/>
              </w:rPr>
              <w:t>. He should not reissue the report</w:t>
            </w:r>
            <w:r>
              <w:rPr>
                <w:rFonts w:cstheme="minorHAnsi"/>
                <w:color w:val="3E3E3E"/>
              </w:rPr>
              <w:t>,</w:t>
            </w:r>
            <w:r w:rsidR="00CC5270" w:rsidRPr="00CC5270">
              <w:rPr>
                <w:rFonts w:cstheme="minorHAnsi"/>
                <w:color w:val="3E3E3E"/>
              </w:rPr>
              <w:t xml:space="preserve"> </w:t>
            </w:r>
            <w:r w:rsidR="00CC5270" w:rsidRPr="00CC5270">
              <w:rPr>
                <w:rFonts w:cstheme="minorHAnsi"/>
                <w:color w:val="525252"/>
              </w:rPr>
              <w:t>and</w:t>
            </w:r>
          </w:p>
          <w:p w14:paraId="541D203B" w14:textId="7CF6E1B9" w:rsidR="00CC5270" w:rsidRPr="00CC5270" w:rsidRDefault="00CC5270" w:rsidP="00E94413">
            <w:pPr>
              <w:ind w:left="704" w:hanging="344"/>
              <w:rPr>
                <w:rFonts w:cstheme="minorHAnsi"/>
                <w:color w:val="3E3E3E"/>
              </w:rPr>
            </w:pPr>
            <w:r w:rsidRPr="00CC5270">
              <w:rPr>
                <w:rFonts w:cstheme="minorHAnsi"/>
                <w:color w:val="3E3E3E"/>
              </w:rPr>
              <w:t>2. He may wish to consult with hi</w:t>
            </w:r>
            <w:r w:rsidR="00E94413">
              <w:rPr>
                <w:rFonts w:cstheme="minorHAnsi"/>
                <w:color w:val="3E3E3E"/>
              </w:rPr>
              <w:t>s</w:t>
            </w:r>
            <w:r w:rsidRPr="00CC5270">
              <w:rPr>
                <w:rFonts w:cstheme="minorHAnsi"/>
                <w:color w:val="3E3E3E"/>
              </w:rPr>
              <w:t xml:space="preserve"> </w:t>
            </w:r>
            <w:r w:rsidRPr="00CC5270">
              <w:rPr>
                <w:rFonts w:cstheme="minorHAnsi"/>
                <w:color w:val="525252"/>
              </w:rPr>
              <w:t>attorney</w:t>
            </w:r>
            <w:r w:rsidRPr="00CC5270">
              <w:rPr>
                <w:rFonts w:cstheme="minorHAnsi"/>
                <w:color w:val="6D6D6D"/>
              </w:rPr>
              <w:t>.</w:t>
            </w:r>
          </w:p>
        </w:tc>
      </w:tr>
    </w:tbl>
    <w:p w14:paraId="278F8F24" w14:textId="7939CE57" w:rsidR="00DE0271" w:rsidRDefault="00CC5270" w:rsidP="00EA3AB9">
      <w:pPr>
        <w:pStyle w:val="NoSpacing"/>
      </w:pPr>
      <w:r w:rsidRPr="00E94413">
        <w:t>*If the prior period statements have been changed</w:t>
      </w:r>
      <w:r w:rsidR="00E057E0">
        <w:t>,</w:t>
      </w:r>
      <w:r w:rsidRPr="00E94413">
        <w:t xml:space="preserve"> the</w:t>
      </w:r>
      <w:r w:rsidR="00E057E0">
        <w:t xml:space="preserve"> </w:t>
      </w:r>
      <w:r w:rsidRPr="00E94413">
        <w:t>predecessor or successor should report on them as</w:t>
      </w:r>
      <w:r w:rsidR="00E057E0">
        <w:t xml:space="preserve"> </w:t>
      </w:r>
      <w:r w:rsidRPr="00E94413">
        <w:t>restated. The predecessor should follow the requirements as stated in Situation B. The successor should</w:t>
      </w:r>
      <w:r w:rsidR="00E057E0">
        <w:t xml:space="preserve"> </w:t>
      </w:r>
      <w:r w:rsidRPr="00E94413">
        <w:t>comply with SSARS No. 1 (or perform an audit) regarding</w:t>
      </w:r>
      <w:r w:rsidR="00E057E0">
        <w:t xml:space="preserve"> </w:t>
      </w:r>
      <w:r w:rsidRPr="00E94413">
        <w:t>the prior period statements. If the restatement</w:t>
      </w:r>
      <w:r w:rsidR="00E057E0">
        <w:t xml:space="preserve"> </w:t>
      </w:r>
      <w:r w:rsidRPr="00E94413">
        <w:t xml:space="preserve">does not involve a change in accounting </w:t>
      </w:r>
      <w:r w:rsidR="00E057E0" w:rsidRPr="00E94413">
        <w:t>principle</w:t>
      </w:r>
      <w:r w:rsidRPr="00E94413">
        <w:t xml:space="preserve"> or its</w:t>
      </w:r>
      <w:r w:rsidR="00E057E0">
        <w:t xml:space="preserve"> </w:t>
      </w:r>
      <w:r w:rsidRPr="00E94413">
        <w:t>application, the accountant (predecessor or successor)</w:t>
      </w:r>
      <w:r w:rsidR="00E057E0">
        <w:t xml:space="preserve"> </w:t>
      </w:r>
      <w:r w:rsidRPr="00E94413">
        <w:t>ma</w:t>
      </w:r>
      <w:r w:rsidRPr="00E94413">
        <w:rPr>
          <w:color w:val="242424"/>
        </w:rPr>
        <w:t xml:space="preserve">y </w:t>
      </w:r>
      <w:r w:rsidRPr="00E94413">
        <w:t>wish to include an explanatory paragraph.</w:t>
      </w:r>
    </w:p>
    <w:p w14:paraId="4A4E9FA8" w14:textId="77777777" w:rsidR="00EA3AB9" w:rsidRDefault="00EA3AB9" w:rsidP="00EA3AB9">
      <w:pPr>
        <w:pStyle w:val="NoSpacing"/>
      </w:pPr>
    </w:p>
    <w:p w14:paraId="7F135C19" w14:textId="0165A716" w:rsidR="00017239" w:rsidRPr="00017239" w:rsidRDefault="00017239" w:rsidP="000A4287">
      <w:pPr>
        <w:pStyle w:val="NoSpacing"/>
      </w:pPr>
      <w:bookmarkStart w:id="7" w:name="Yahr_12511001-0006"/>
      <w:bookmarkEnd w:id="7"/>
      <w:r w:rsidRPr="00017239">
        <w:t>TABLE IV</w:t>
      </w:r>
      <w:r>
        <w:t xml:space="preserve">: </w:t>
      </w:r>
      <w:r w:rsidRPr="00017239">
        <w:t>MISCELLANEOUS REPORTING REQUIREMENTS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3"/>
        <w:gridCol w:w="1854"/>
        <w:gridCol w:w="1798"/>
        <w:gridCol w:w="4075"/>
      </w:tblGrid>
      <w:tr w:rsidR="00A43DA3" w:rsidRPr="000A4287" w14:paraId="0990E0D1" w14:textId="77777777" w:rsidTr="00D01C8D">
        <w:tc>
          <w:tcPr>
            <w:tcW w:w="0" w:type="auto"/>
          </w:tcPr>
          <w:p w14:paraId="0C2410A7" w14:textId="188CBC49" w:rsidR="00A43DA3" w:rsidRPr="000A4287" w:rsidRDefault="00A43DA3" w:rsidP="00EA3AB9">
            <w:pPr>
              <w:rPr>
                <w:b/>
                <w:bCs/>
              </w:rPr>
            </w:pPr>
            <w:r w:rsidRPr="000A4287">
              <w:rPr>
                <w:b/>
                <w:bCs/>
              </w:rPr>
              <w:t>Prior Period (as Originally Issued)</w:t>
            </w:r>
          </w:p>
        </w:tc>
        <w:tc>
          <w:tcPr>
            <w:tcW w:w="0" w:type="auto"/>
          </w:tcPr>
          <w:p w14:paraId="5E9F7C48" w14:textId="66A61365" w:rsidR="00A43DA3" w:rsidRPr="000A4287" w:rsidRDefault="00A43DA3" w:rsidP="00EA3AB9">
            <w:pPr>
              <w:rPr>
                <w:b/>
                <w:bCs/>
              </w:rPr>
            </w:pPr>
            <w:r w:rsidRPr="000A4287">
              <w:rPr>
                <w:b/>
                <w:bCs/>
              </w:rPr>
              <w:t>Prior Period (Revised)</w:t>
            </w:r>
          </w:p>
        </w:tc>
        <w:tc>
          <w:tcPr>
            <w:tcW w:w="0" w:type="auto"/>
          </w:tcPr>
          <w:p w14:paraId="276FB70A" w14:textId="7795A55D" w:rsidR="00A43DA3" w:rsidRPr="000A4287" w:rsidRDefault="00A43DA3" w:rsidP="00EA3AB9">
            <w:pPr>
              <w:rPr>
                <w:b/>
                <w:bCs/>
              </w:rPr>
            </w:pPr>
            <w:r w:rsidRPr="000A4287">
              <w:rPr>
                <w:b/>
                <w:bCs/>
              </w:rPr>
              <w:t>Current Period</w:t>
            </w:r>
          </w:p>
        </w:tc>
        <w:tc>
          <w:tcPr>
            <w:tcW w:w="0" w:type="auto"/>
          </w:tcPr>
          <w:p w14:paraId="03CDCF28" w14:textId="1F564318" w:rsidR="00A43DA3" w:rsidRPr="000A4287" w:rsidRDefault="00A43DA3" w:rsidP="00EA3AB9">
            <w:pPr>
              <w:rPr>
                <w:b/>
                <w:bCs/>
              </w:rPr>
            </w:pPr>
            <w:r w:rsidRPr="000A4287">
              <w:rPr>
                <w:b/>
                <w:bCs/>
              </w:rPr>
              <w:t>Standards</w:t>
            </w:r>
          </w:p>
        </w:tc>
      </w:tr>
      <w:tr w:rsidR="00A43DA3" w14:paraId="73AACD18" w14:textId="77777777" w:rsidTr="00D01C8D">
        <w:tc>
          <w:tcPr>
            <w:tcW w:w="0" w:type="auto"/>
          </w:tcPr>
          <w:p w14:paraId="160D56A5" w14:textId="5378C220" w:rsidR="00A43DA3" w:rsidRDefault="007300B2" w:rsidP="00EA3AB9">
            <w:r>
              <w:t>Not in accordance with GAAP (including omission of disclosures</w:t>
            </w:r>
            <w:r w:rsidR="004F4F48">
              <w:t>)</w:t>
            </w:r>
          </w:p>
        </w:tc>
        <w:tc>
          <w:tcPr>
            <w:tcW w:w="0" w:type="auto"/>
          </w:tcPr>
          <w:p w14:paraId="18C1AB92" w14:textId="3C521595" w:rsidR="00A43DA3" w:rsidRDefault="007300B2" w:rsidP="00EA3AB9">
            <w:r>
              <w:t>Revised to conform with GAAP</w:t>
            </w:r>
          </w:p>
        </w:tc>
        <w:tc>
          <w:tcPr>
            <w:tcW w:w="0" w:type="auto"/>
          </w:tcPr>
          <w:p w14:paraId="58DFB948" w14:textId="72926AE6" w:rsidR="00A43DA3" w:rsidRDefault="007300B2" w:rsidP="00EA3AB9">
            <w:r>
              <w:t>In accordance with GAAP</w:t>
            </w:r>
          </w:p>
        </w:tc>
        <w:tc>
          <w:tcPr>
            <w:tcW w:w="0" w:type="auto"/>
          </w:tcPr>
          <w:p w14:paraId="19D3F6AB" w14:textId="5FB6137C" w:rsidR="00A43DA3" w:rsidRDefault="00D3190A" w:rsidP="00D01C8D">
            <w:pPr>
              <w:ind w:left="348" w:hanging="348"/>
            </w:pPr>
            <w:r w:rsidRPr="00D3190A">
              <w:t>Accountant should restate prior year statements and mention change in accountant's report (example in</w:t>
            </w:r>
            <w:r>
              <w:t xml:space="preserve"> </w:t>
            </w:r>
            <w:r w:rsidRPr="00D3190A">
              <w:t>paragraph 15</w:t>
            </w:r>
            <w:r w:rsidRPr="00D3190A">
              <w:t>).</w:t>
            </w:r>
          </w:p>
        </w:tc>
      </w:tr>
      <w:tr w:rsidR="00A43DA3" w14:paraId="17F96069" w14:textId="77777777" w:rsidTr="00D01C8D">
        <w:tc>
          <w:tcPr>
            <w:tcW w:w="0" w:type="auto"/>
          </w:tcPr>
          <w:p w14:paraId="7A8AFCCA" w14:textId="1F3C2263" w:rsidR="00A43DA3" w:rsidRDefault="00CC6A10" w:rsidP="00EA3AB9">
            <w:r>
              <w:t>Reviewed statements in accordance with GAAP (including substantially all disclosures)</w:t>
            </w:r>
          </w:p>
        </w:tc>
        <w:tc>
          <w:tcPr>
            <w:tcW w:w="0" w:type="auto"/>
          </w:tcPr>
          <w:p w14:paraId="4110C0F4" w14:textId="1AB6DE75" w:rsidR="00A43DA3" w:rsidRDefault="004F4F48" w:rsidP="00EA3AB9">
            <w:r w:rsidRPr="004F4F48">
              <w:t>Not in accordance with GAAP (omits substantially all disclosures)</w:t>
            </w:r>
          </w:p>
        </w:tc>
        <w:tc>
          <w:tcPr>
            <w:tcW w:w="0" w:type="auto"/>
          </w:tcPr>
          <w:p w14:paraId="3AC715F3" w14:textId="0492A4CE" w:rsidR="00A43DA3" w:rsidRDefault="00E8203D" w:rsidP="00EA3AB9">
            <w:r w:rsidRPr="00E8203D">
              <w:t>Compiled statements that omit substantially</w:t>
            </w:r>
            <w:r>
              <w:t xml:space="preserve"> </w:t>
            </w:r>
            <w:r w:rsidRPr="00E8203D">
              <w:t>all disclosures</w:t>
            </w:r>
          </w:p>
        </w:tc>
        <w:tc>
          <w:tcPr>
            <w:tcW w:w="0" w:type="auto"/>
          </w:tcPr>
          <w:p w14:paraId="02A1E5CB" w14:textId="78F33F7B" w:rsidR="00A43DA3" w:rsidRDefault="00E8203D" w:rsidP="00D01C8D">
            <w:pPr>
              <w:ind w:left="348" w:hanging="348"/>
            </w:pPr>
            <w:r w:rsidRPr="00E8203D">
              <w:t>Accountant may give report on comparative compiled financial statements if he includes paragraph detailing nature of his previous service (sample report in paragraph 30).</w:t>
            </w:r>
          </w:p>
        </w:tc>
      </w:tr>
      <w:tr w:rsidR="00A43DA3" w14:paraId="309FB7D1" w14:textId="77777777" w:rsidTr="00D01C8D">
        <w:tc>
          <w:tcPr>
            <w:tcW w:w="0" w:type="auto"/>
          </w:tcPr>
          <w:p w14:paraId="54F45072" w14:textId="7E5DB17B" w:rsidR="00A43DA3" w:rsidRDefault="00E8203D" w:rsidP="00EA3AB9">
            <w:r>
              <w:t>Non-public Entity</w:t>
            </w:r>
          </w:p>
        </w:tc>
        <w:tc>
          <w:tcPr>
            <w:tcW w:w="0" w:type="auto"/>
          </w:tcPr>
          <w:p w14:paraId="3BBF0E04" w14:textId="4E4AB678" w:rsidR="00A43DA3" w:rsidRDefault="005F09D6" w:rsidP="000A4287">
            <w:pPr>
              <w:jc w:val="center"/>
            </w:pPr>
            <w:r>
              <w:rPr>
                <w:rFonts w:ascii="Calibri" w:hAnsi="Calibri" w:cs="Calibri"/>
              </w:rPr>
              <w:t>―</w:t>
            </w:r>
          </w:p>
        </w:tc>
        <w:tc>
          <w:tcPr>
            <w:tcW w:w="0" w:type="auto"/>
          </w:tcPr>
          <w:p w14:paraId="2B8978CF" w14:textId="55E97519" w:rsidR="00A43DA3" w:rsidRDefault="00E8203D" w:rsidP="00EA3AB9">
            <w:r>
              <w:t>Public</w:t>
            </w:r>
            <w:r w:rsidR="006A74E3">
              <w:t xml:space="preserve"> Entity</w:t>
            </w:r>
          </w:p>
        </w:tc>
        <w:tc>
          <w:tcPr>
            <w:tcW w:w="0" w:type="auto"/>
          </w:tcPr>
          <w:p w14:paraId="53EC705E" w14:textId="177B5F18" w:rsidR="00A43DA3" w:rsidRDefault="006A74E3" w:rsidP="00D01C8D">
            <w:pPr>
              <w:ind w:left="348" w:hanging="348"/>
            </w:pPr>
            <w:r w:rsidRPr="006A74E3">
              <w:t xml:space="preserve">Accountant </w:t>
            </w:r>
            <w:r w:rsidRPr="006A74E3">
              <w:rPr>
                <w:i/>
                <w:iCs/>
              </w:rPr>
              <w:t xml:space="preserve">must not issue </w:t>
            </w:r>
            <w:r w:rsidRPr="006A74E3">
              <w:t xml:space="preserve">compilation or review report nor </w:t>
            </w:r>
            <w:r w:rsidRPr="006A74E3">
              <w:rPr>
                <w:i/>
                <w:iCs/>
              </w:rPr>
              <w:t xml:space="preserve">refer </w:t>
            </w:r>
            <w:r w:rsidRPr="006A74E3">
              <w:t xml:space="preserve">to that </w:t>
            </w:r>
            <w:r w:rsidRPr="006A74E3">
              <w:rPr>
                <w:i/>
                <w:iCs/>
              </w:rPr>
              <w:t xml:space="preserve">report </w:t>
            </w:r>
            <w:r w:rsidRPr="006A74E3">
              <w:t>in current financial statements. Instead</w:t>
            </w:r>
            <w:r w:rsidR="00373221">
              <w:t>,</w:t>
            </w:r>
            <w:r w:rsidRPr="006A74E3">
              <w:t xml:space="preserve"> he must </w:t>
            </w:r>
            <w:r w:rsidR="00373221">
              <w:t>s</w:t>
            </w:r>
            <w:r w:rsidRPr="006A74E3">
              <w:t>ee applicable SAS for</w:t>
            </w:r>
            <w:r w:rsidR="00373221">
              <w:t xml:space="preserve"> </w:t>
            </w:r>
            <w:r w:rsidRPr="006A74E3">
              <w:t>guidance.</w:t>
            </w:r>
          </w:p>
        </w:tc>
      </w:tr>
      <w:tr w:rsidR="00A43DA3" w14:paraId="72E4645D" w14:textId="77777777" w:rsidTr="00D01C8D">
        <w:tc>
          <w:tcPr>
            <w:tcW w:w="0" w:type="auto"/>
          </w:tcPr>
          <w:p w14:paraId="7A5B9574" w14:textId="5EBA4414" w:rsidR="00A43DA3" w:rsidRDefault="0099642E" w:rsidP="00EA3AB9">
            <w:r>
              <w:t>Public Entity</w:t>
            </w:r>
          </w:p>
        </w:tc>
        <w:tc>
          <w:tcPr>
            <w:tcW w:w="0" w:type="auto"/>
          </w:tcPr>
          <w:p w14:paraId="26817CC0" w14:textId="73C3C308" w:rsidR="00A43DA3" w:rsidRDefault="00A43DA3" w:rsidP="00EA3AB9"/>
        </w:tc>
        <w:tc>
          <w:tcPr>
            <w:tcW w:w="0" w:type="auto"/>
          </w:tcPr>
          <w:p w14:paraId="509BA418" w14:textId="381DFD5F" w:rsidR="00A43DA3" w:rsidRDefault="0099642E" w:rsidP="00EA3AB9">
            <w:r>
              <w:t>Non-public Entity</w:t>
            </w:r>
          </w:p>
        </w:tc>
        <w:tc>
          <w:tcPr>
            <w:tcW w:w="0" w:type="auto"/>
          </w:tcPr>
          <w:p w14:paraId="7DF31E75" w14:textId="22DED201" w:rsidR="00A43DA3" w:rsidRDefault="005514E8" w:rsidP="00D01C8D">
            <w:pPr>
              <w:ind w:left="348" w:hanging="348"/>
            </w:pPr>
            <w:r w:rsidRPr="005514E8">
              <w:t>If statements of prior period are audited</w:t>
            </w:r>
            <w:r>
              <w:t>,</w:t>
            </w:r>
            <w:r w:rsidRPr="005514E8">
              <w:t xml:space="preserve"> see Table I</w:t>
            </w:r>
            <w:r>
              <w:t xml:space="preserve"> </w:t>
            </w:r>
            <w:r w:rsidRPr="005514E8">
              <w:t>for a summary of reporting requirements</w:t>
            </w:r>
          </w:p>
        </w:tc>
      </w:tr>
      <w:tr w:rsidR="005514E8" w14:paraId="68082236" w14:textId="77777777" w:rsidTr="00D01C8D">
        <w:tc>
          <w:tcPr>
            <w:tcW w:w="0" w:type="auto"/>
          </w:tcPr>
          <w:p w14:paraId="51EB33DD" w14:textId="1AE7253C" w:rsidR="005514E8" w:rsidRDefault="00C05035" w:rsidP="00EA3AB9">
            <w:r>
              <w:t>A continuing accountant issued a disclaimer opinion for a non-public entity for periods ending on or after 7/1/79.</w:t>
            </w:r>
          </w:p>
        </w:tc>
        <w:tc>
          <w:tcPr>
            <w:tcW w:w="0" w:type="auto"/>
          </w:tcPr>
          <w:p w14:paraId="47318F02" w14:textId="77777777" w:rsidR="005514E8" w:rsidRDefault="005514E8" w:rsidP="00EA3AB9"/>
        </w:tc>
        <w:tc>
          <w:tcPr>
            <w:tcW w:w="0" w:type="auto"/>
          </w:tcPr>
          <w:p w14:paraId="534824E1" w14:textId="77777777" w:rsidR="005514E8" w:rsidRDefault="005514E8" w:rsidP="00EA3AB9"/>
        </w:tc>
        <w:tc>
          <w:tcPr>
            <w:tcW w:w="0" w:type="auto"/>
          </w:tcPr>
          <w:p w14:paraId="11BBADD3" w14:textId="120799DF" w:rsidR="005514E8" w:rsidRPr="005514E8" w:rsidRDefault="002910A5" w:rsidP="00D01C8D">
            <w:pPr>
              <w:ind w:left="348" w:hanging="348"/>
            </w:pPr>
            <w:r w:rsidRPr="002910A5">
              <w:t>Continuing accountant should reissue his prior report</w:t>
            </w:r>
            <w:r>
              <w:t>,</w:t>
            </w:r>
            <w:r w:rsidRPr="002910A5">
              <w:t xml:space="preserve"> </w:t>
            </w:r>
            <w:r w:rsidRPr="002910A5">
              <w:rPr>
                <w:i/>
                <w:iCs/>
              </w:rPr>
              <w:t xml:space="preserve">or </w:t>
            </w:r>
            <w:r w:rsidRPr="002910A5">
              <w:t xml:space="preserve">he should include in his report a description of responsibility assumed on the prior statements (example in paragraph 34). or he should comply with SSARS </w:t>
            </w:r>
            <w:r w:rsidRPr="002910A5">
              <w:t>No.</w:t>
            </w:r>
            <w:r w:rsidRPr="002910A5">
              <w:t xml:space="preserve"> 1 compilation or review standards.</w:t>
            </w:r>
          </w:p>
        </w:tc>
      </w:tr>
      <w:tr w:rsidR="002910A5" w14:paraId="4F48EFC9" w14:textId="77777777" w:rsidTr="00D01C8D">
        <w:tc>
          <w:tcPr>
            <w:tcW w:w="0" w:type="auto"/>
          </w:tcPr>
          <w:p w14:paraId="58B4CE3D" w14:textId="03B3B8BA" w:rsidR="002910A5" w:rsidRDefault="002910A5" w:rsidP="00EA3AB9">
            <w:r>
              <w:t>A predecessor accountant issued a disclaimer opinion for a non-public entity for periods ending on or after 7/1/79.</w:t>
            </w:r>
          </w:p>
        </w:tc>
        <w:tc>
          <w:tcPr>
            <w:tcW w:w="0" w:type="auto"/>
          </w:tcPr>
          <w:p w14:paraId="2B58CE28" w14:textId="77777777" w:rsidR="002910A5" w:rsidRDefault="002910A5" w:rsidP="00EA3AB9"/>
        </w:tc>
        <w:tc>
          <w:tcPr>
            <w:tcW w:w="0" w:type="auto"/>
          </w:tcPr>
          <w:p w14:paraId="08E99FC3" w14:textId="77777777" w:rsidR="002910A5" w:rsidRDefault="002910A5" w:rsidP="00EA3AB9"/>
        </w:tc>
        <w:tc>
          <w:tcPr>
            <w:tcW w:w="0" w:type="auto"/>
          </w:tcPr>
          <w:p w14:paraId="2D73A5B4" w14:textId="7107CA73" w:rsidR="00D01C8D" w:rsidRPr="00D01C8D" w:rsidRDefault="00D01C8D" w:rsidP="00D01C8D">
            <w:pPr>
              <w:ind w:left="348" w:hanging="348"/>
              <w:rPr>
                <w:i/>
                <w:iCs/>
              </w:rPr>
            </w:pPr>
            <w:r w:rsidRPr="00D01C8D">
              <w:t xml:space="preserve">Predecessor accountant may reissue his prior report, </w:t>
            </w:r>
            <w:r w:rsidRPr="00D01C8D">
              <w:rPr>
                <w:i/>
                <w:iCs/>
              </w:rPr>
              <w:t xml:space="preserve">or </w:t>
            </w:r>
            <w:r w:rsidRPr="00D01C8D">
              <w:t xml:space="preserve">he should comply with SSARS No. </w:t>
            </w:r>
            <w:r>
              <w:t>1</w:t>
            </w:r>
            <w:r w:rsidRPr="00D01C8D">
              <w:t xml:space="preserve"> compilation or review standards </w:t>
            </w:r>
            <w:r w:rsidRPr="00D01C8D">
              <w:rPr>
                <w:i/>
                <w:iCs/>
              </w:rPr>
              <w:t>or</w:t>
            </w:r>
          </w:p>
          <w:p w14:paraId="48A8A403" w14:textId="69680F8A" w:rsidR="00D01C8D" w:rsidRPr="00D01C8D" w:rsidRDefault="00D01C8D" w:rsidP="00D01C8D">
            <w:pPr>
              <w:ind w:left="348" w:hanging="348"/>
            </w:pPr>
            <w:r w:rsidRPr="00D01C8D">
              <w:t>Successor should refer to predecessor's previous report</w:t>
            </w:r>
            <w:r>
              <w:t>,</w:t>
            </w:r>
            <w:r w:rsidRPr="00D01C8D">
              <w:t xml:space="preserve"> </w:t>
            </w:r>
            <w:r w:rsidRPr="00D01C8D">
              <w:rPr>
                <w:i/>
                <w:iCs/>
              </w:rPr>
              <w:t xml:space="preserve">or </w:t>
            </w:r>
            <w:r w:rsidRPr="00D01C8D">
              <w:t xml:space="preserve">he should comply with SSARS No. </w:t>
            </w:r>
            <w:r>
              <w:t>1</w:t>
            </w:r>
          </w:p>
          <w:p w14:paraId="05A2BD68" w14:textId="2C30C8EF" w:rsidR="002910A5" w:rsidRPr="002910A5" w:rsidRDefault="00D01C8D" w:rsidP="00D01C8D">
            <w:pPr>
              <w:ind w:left="348" w:hanging="348"/>
            </w:pPr>
            <w:r w:rsidRPr="00D01C8D">
              <w:t>compilation or review standards.</w:t>
            </w:r>
          </w:p>
        </w:tc>
      </w:tr>
    </w:tbl>
    <w:p w14:paraId="23A0E36C" w14:textId="77777777" w:rsidR="00EA3AB9" w:rsidRPr="00E94413" w:rsidRDefault="00EA3AB9" w:rsidP="00EA3AB9"/>
    <w:sectPr w:rsidR="00EA3AB9" w:rsidRPr="00E94413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101FD"/>
    <w:multiLevelType w:val="multilevel"/>
    <w:tmpl w:val="04C44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2F066E"/>
    <w:multiLevelType w:val="hybridMultilevel"/>
    <w:tmpl w:val="D548A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41775"/>
    <w:multiLevelType w:val="hybridMultilevel"/>
    <w:tmpl w:val="25E07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418B9"/>
    <w:multiLevelType w:val="multilevel"/>
    <w:tmpl w:val="3244D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A52708"/>
    <w:multiLevelType w:val="multilevel"/>
    <w:tmpl w:val="102A9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16506B"/>
    <w:multiLevelType w:val="hybridMultilevel"/>
    <w:tmpl w:val="DF845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D0846"/>
    <w:multiLevelType w:val="multilevel"/>
    <w:tmpl w:val="2522F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F85337"/>
    <w:multiLevelType w:val="multilevel"/>
    <w:tmpl w:val="6B727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12540"/>
    <w:multiLevelType w:val="multilevel"/>
    <w:tmpl w:val="8E9A4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57408B"/>
    <w:multiLevelType w:val="multilevel"/>
    <w:tmpl w:val="B54CA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FE43E6"/>
    <w:multiLevelType w:val="multilevel"/>
    <w:tmpl w:val="350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780C56"/>
    <w:multiLevelType w:val="multilevel"/>
    <w:tmpl w:val="E626F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7F2D20"/>
    <w:multiLevelType w:val="hybridMultilevel"/>
    <w:tmpl w:val="DC66D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6E90"/>
    <w:multiLevelType w:val="multilevel"/>
    <w:tmpl w:val="C4CA1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584DF8"/>
    <w:multiLevelType w:val="multilevel"/>
    <w:tmpl w:val="F4167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4"/>
  </w:num>
  <w:num w:numId="5">
    <w:abstractNumId w:val="3"/>
  </w:num>
  <w:num w:numId="6">
    <w:abstractNumId w:val="11"/>
  </w:num>
  <w:num w:numId="7">
    <w:abstractNumId w:val="14"/>
  </w:num>
  <w:num w:numId="8">
    <w:abstractNumId w:val="8"/>
  </w:num>
  <w:num w:numId="9">
    <w:abstractNumId w:val="9"/>
  </w:num>
  <w:num w:numId="10">
    <w:abstractNumId w:val="6"/>
  </w:num>
  <w:num w:numId="11">
    <w:abstractNumId w:val="7"/>
  </w:num>
  <w:num w:numId="12">
    <w:abstractNumId w:val="1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readOnly" w:formatting="1" w:enforcement="1" w:cryptProviderType="rsaAES" w:cryptAlgorithmClass="hash" w:cryptAlgorithmType="typeAny" w:cryptAlgorithmSid="14" w:cryptSpinCount="100000" w:hash="tBo4/c20cu0gvQfPm9Yy3Lu11tserOnllB9/IHoG5qdJksgl5NWx1ldltEhYxQE6Z2lJHP+c6H0/CII03487Sw==" w:salt="ZOq0RaWvQCD9lE8MfuhZbA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3DA4"/>
    <w:rsid w:val="00014F38"/>
    <w:rsid w:val="000158A2"/>
    <w:rsid w:val="00017239"/>
    <w:rsid w:val="00017E9A"/>
    <w:rsid w:val="000233C1"/>
    <w:rsid w:val="00024048"/>
    <w:rsid w:val="00026BC7"/>
    <w:rsid w:val="0003036D"/>
    <w:rsid w:val="00030E85"/>
    <w:rsid w:val="0003257E"/>
    <w:rsid w:val="00032F9B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52A0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4287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B71A8"/>
    <w:rsid w:val="000C0E5B"/>
    <w:rsid w:val="000C6BA7"/>
    <w:rsid w:val="000D3573"/>
    <w:rsid w:val="000D4F0B"/>
    <w:rsid w:val="000D6BF2"/>
    <w:rsid w:val="000E1586"/>
    <w:rsid w:val="000E69EF"/>
    <w:rsid w:val="000E7C46"/>
    <w:rsid w:val="000F0449"/>
    <w:rsid w:val="000F08DA"/>
    <w:rsid w:val="000F14F0"/>
    <w:rsid w:val="000F1D5E"/>
    <w:rsid w:val="000F33D0"/>
    <w:rsid w:val="000F55D2"/>
    <w:rsid w:val="00101A98"/>
    <w:rsid w:val="00101B1C"/>
    <w:rsid w:val="00104CE6"/>
    <w:rsid w:val="00107EA8"/>
    <w:rsid w:val="0011064D"/>
    <w:rsid w:val="00114114"/>
    <w:rsid w:val="0011470E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67473"/>
    <w:rsid w:val="00171D09"/>
    <w:rsid w:val="00173556"/>
    <w:rsid w:val="0018114F"/>
    <w:rsid w:val="00181349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0BA8"/>
    <w:rsid w:val="001C3A3F"/>
    <w:rsid w:val="001D1087"/>
    <w:rsid w:val="001D2448"/>
    <w:rsid w:val="001D3ADE"/>
    <w:rsid w:val="001D58D3"/>
    <w:rsid w:val="001D776C"/>
    <w:rsid w:val="001D7BCC"/>
    <w:rsid w:val="001E01FB"/>
    <w:rsid w:val="001E18FE"/>
    <w:rsid w:val="001F0952"/>
    <w:rsid w:val="001F6975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17D6F"/>
    <w:rsid w:val="0022247C"/>
    <w:rsid w:val="00224240"/>
    <w:rsid w:val="00226FA2"/>
    <w:rsid w:val="00240ACF"/>
    <w:rsid w:val="0024134B"/>
    <w:rsid w:val="002448AF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B88"/>
    <w:rsid w:val="00276C06"/>
    <w:rsid w:val="00276D63"/>
    <w:rsid w:val="00280198"/>
    <w:rsid w:val="00282094"/>
    <w:rsid w:val="002843BC"/>
    <w:rsid w:val="00284A84"/>
    <w:rsid w:val="002910A5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C78AA"/>
    <w:rsid w:val="002D02F2"/>
    <w:rsid w:val="002D28EA"/>
    <w:rsid w:val="002D51BB"/>
    <w:rsid w:val="002D5BAE"/>
    <w:rsid w:val="002D5DDC"/>
    <w:rsid w:val="002D6AA3"/>
    <w:rsid w:val="002E5C33"/>
    <w:rsid w:val="002E5D29"/>
    <w:rsid w:val="002F5E0D"/>
    <w:rsid w:val="00300EE4"/>
    <w:rsid w:val="003017A5"/>
    <w:rsid w:val="0030197F"/>
    <w:rsid w:val="0030223E"/>
    <w:rsid w:val="00303A1E"/>
    <w:rsid w:val="00303BBD"/>
    <w:rsid w:val="00313440"/>
    <w:rsid w:val="00314FCD"/>
    <w:rsid w:val="00324290"/>
    <w:rsid w:val="0032603D"/>
    <w:rsid w:val="00331737"/>
    <w:rsid w:val="00331B11"/>
    <w:rsid w:val="0033243D"/>
    <w:rsid w:val="00335645"/>
    <w:rsid w:val="0033652E"/>
    <w:rsid w:val="00340617"/>
    <w:rsid w:val="00340B13"/>
    <w:rsid w:val="00340CDB"/>
    <w:rsid w:val="003427C6"/>
    <w:rsid w:val="00343472"/>
    <w:rsid w:val="0034388B"/>
    <w:rsid w:val="003455AA"/>
    <w:rsid w:val="00347634"/>
    <w:rsid w:val="00351E90"/>
    <w:rsid w:val="00360206"/>
    <w:rsid w:val="003624EE"/>
    <w:rsid w:val="003632E1"/>
    <w:rsid w:val="00363CD3"/>
    <w:rsid w:val="00363E26"/>
    <w:rsid w:val="003656A9"/>
    <w:rsid w:val="00366852"/>
    <w:rsid w:val="003706EF"/>
    <w:rsid w:val="00370BE4"/>
    <w:rsid w:val="00371D56"/>
    <w:rsid w:val="00373221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A7340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3E95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22BC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4FC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3128"/>
    <w:rsid w:val="004F4F48"/>
    <w:rsid w:val="004F657B"/>
    <w:rsid w:val="0050408D"/>
    <w:rsid w:val="00504C6A"/>
    <w:rsid w:val="00510364"/>
    <w:rsid w:val="005116C9"/>
    <w:rsid w:val="00511BEE"/>
    <w:rsid w:val="005151BE"/>
    <w:rsid w:val="005175E9"/>
    <w:rsid w:val="00520368"/>
    <w:rsid w:val="00521538"/>
    <w:rsid w:val="0052658A"/>
    <w:rsid w:val="00533270"/>
    <w:rsid w:val="00540146"/>
    <w:rsid w:val="00543C22"/>
    <w:rsid w:val="0054405B"/>
    <w:rsid w:val="0054567F"/>
    <w:rsid w:val="00546B44"/>
    <w:rsid w:val="005514E8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77863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E7426"/>
    <w:rsid w:val="005F09D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4842"/>
    <w:rsid w:val="00615A83"/>
    <w:rsid w:val="00620C28"/>
    <w:rsid w:val="00620EA0"/>
    <w:rsid w:val="00623E47"/>
    <w:rsid w:val="00624CD2"/>
    <w:rsid w:val="0062795C"/>
    <w:rsid w:val="00631A06"/>
    <w:rsid w:val="00632823"/>
    <w:rsid w:val="00633D28"/>
    <w:rsid w:val="00633F1B"/>
    <w:rsid w:val="00634D07"/>
    <w:rsid w:val="00635799"/>
    <w:rsid w:val="00636A77"/>
    <w:rsid w:val="00637F3E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4C2D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6D1C"/>
    <w:rsid w:val="00697377"/>
    <w:rsid w:val="006A1F61"/>
    <w:rsid w:val="006A3D84"/>
    <w:rsid w:val="006A533C"/>
    <w:rsid w:val="006A5E52"/>
    <w:rsid w:val="006A712D"/>
    <w:rsid w:val="006A74E3"/>
    <w:rsid w:val="006A7B71"/>
    <w:rsid w:val="006B0F24"/>
    <w:rsid w:val="006B20FD"/>
    <w:rsid w:val="006B3B2B"/>
    <w:rsid w:val="006C024E"/>
    <w:rsid w:val="006C7ED1"/>
    <w:rsid w:val="006D75E1"/>
    <w:rsid w:val="006D7670"/>
    <w:rsid w:val="006E10F4"/>
    <w:rsid w:val="006E10FD"/>
    <w:rsid w:val="006E186C"/>
    <w:rsid w:val="006E2996"/>
    <w:rsid w:val="006E2EEC"/>
    <w:rsid w:val="006E471E"/>
    <w:rsid w:val="006E4859"/>
    <w:rsid w:val="006F24E3"/>
    <w:rsid w:val="006F4F4A"/>
    <w:rsid w:val="007065D3"/>
    <w:rsid w:val="007071B1"/>
    <w:rsid w:val="00707EC1"/>
    <w:rsid w:val="00710582"/>
    <w:rsid w:val="00710957"/>
    <w:rsid w:val="00714EE9"/>
    <w:rsid w:val="00720AC7"/>
    <w:rsid w:val="007246B0"/>
    <w:rsid w:val="007258CB"/>
    <w:rsid w:val="007300B2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27D9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B7150"/>
    <w:rsid w:val="007C0B0D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5F23"/>
    <w:rsid w:val="00816489"/>
    <w:rsid w:val="00817C16"/>
    <w:rsid w:val="00820049"/>
    <w:rsid w:val="0082013E"/>
    <w:rsid w:val="00822617"/>
    <w:rsid w:val="008242D7"/>
    <w:rsid w:val="00824B15"/>
    <w:rsid w:val="008322E3"/>
    <w:rsid w:val="00834DF7"/>
    <w:rsid w:val="00836F01"/>
    <w:rsid w:val="008406F5"/>
    <w:rsid w:val="00841F1E"/>
    <w:rsid w:val="00842203"/>
    <w:rsid w:val="00842710"/>
    <w:rsid w:val="00850E3E"/>
    <w:rsid w:val="0085311D"/>
    <w:rsid w:val="00854375"/>
    <w:rsid w:val="00862FCE"/>
    <w:rsid w:val="00864432"/>
    <w:rsid w:val="008649A3"/>
    <w:rsid w:val="0086670A"/>
    <w:rsid w:val="008706C5"/>
    <w:rsid w:val="00870BA1"/>
    <w:rsid w:val="00871EEB"/>
    <w:rsid w:val="00873A7D"/>
    <w:rsid w:val="00873CDE"/>
    <w:rsid w:val="00874421"/>
    <w:rsid w:val="00875997"/>
    <w:rsid w:val="00876192"/>
    <w:rsid w:val="0087796C"/>
    <w:rsid w:val="00880932"/>
    <w:rsid w:val="008825B5"/>
    <w:rsid w:val="00885E74"/>
    <w:rsid w:val="00886B14"/>
    <w:rsid w:val="008927F4"/>
    <w:rsid w:val="0089339E"/>
    <w:rsid w:val="00893B58"/>
    <w:rsid w:val="00894221"/>
    <w:rsid w:val="00894E4C"/>
    <w:rsid w:val="0089642A"/>
    <w:rsid w:val="008A0935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690"/>
    <w:rsid w:val="008D0F0D"/>
    <w:rsid w:val="008D0FF2"/>
    <w:rsid w:val="008D149E"/>
    <w:rsid w:val="008D14D6"/>
    <w:rsid w:val="008D1D7F"/>
    <w:rsid w:val="008D3526"/>
    <w:rsid w:val="008F0401"/>
    <w:rsid w:val="008F04C1"/>
    <w:rsid w:val="008F1684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3AE"/>
    <w:rsid w:val="00916ADA"/>
    <w:rsid w:val="00916C64"/>
    <w:rsid w:val="00925107"/>
    <w:rsid w:val="00925421"/>
    <w:rsid w:val="009267EE"/>
    <w:rsid w:val="00927998"/>
    <w:rsid w:val="0093004D"/>
    <w:rsid w:val="00932185"/>
    <w:rsid w:val="009346E4"/>
    <w:rsid w:val="00935F23"/>
    <w:rsid w:val="009372D8"/>
    <w:rsid w:val="00937D12"/>
    <w:rsid w:val="009406A4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34A"/>
    <w:rsid w:val="009554A6"/>
    <w:rsid w:val="00956FEB"/>
    <w:rsid w:val="009650D5"/>
    <w:rsid w:val="0096535F"/>
    <w:rsid w:val="00965F35"/>
    <w:rsid w:val="00966500"/>
    <w:rsid w:val="00966CDC"/>
    <w:rsid w:val="009729A3"/>
    <w:rsid w:val="009732A9"/>
    <w:rsid w:val="00977C0E"/>
    <w:rsid w:val="00977F1D"/>
    <w:rsid w:val="00982217"/>
    <w:rsid w:val="00984B39"/>
    <w:rsid w:val="00986A83"/>
    <w:rsid w:val="00990645"/>
    <w:rsid w:val="009913D4"/>
    <w:rsid w:val="0099642E"/>
    <w:rsid w:val="009A130B"/>
    <w:rsid w:val="009A2639"/>
    <w:rsid w:val="009A397F"/>
    <w:rsid w:val="009B3096"/>
    <w:rsid w:val="009B4F83"/>
    <w:rsid w:val="009B6018"/>
    <w:rsid w:val="009B6983"/>
    <w:rsid w:val="009C35B0"/>
    <w:rsid w:val="009C5450"/>
    <w:rsid w:val="009C5716"/>
    <w:rsid w:val="009D316A"/>
    <w:rsid w:val="009D3527"/>
    <w:rsid w:val="009D5368"/>
    <w:rsid w:val="009D54DF"/>
    <w:rsid w:val="009E0C33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2504"/>
    <w:rsid w:val="00A22D4B"/>
    <w:rsid w:val="00A231A4"/>
    <w:rsid w:val="00A2534F"/>
    <w:rsid w:val="00A310DA"/>
    <w:rsid w:val="00A32FCB"/>
    <w:rsid w:val="00A34468"/>
    <w:rsid w:val="00A3561C"/>
    <w:rsid w:val="00A400BC"/>
    <w:rsid w:val="00A40701"/>
    <w:rsid w:val="00A42169"/>
    <w:rsid w:val="00A424F1"/>
    <w:rsid w:val="00A426B2"/>
    <w:rsid w:val="00A43DA3"/>
    <w:rsid w:val="00A45EE8"/>
    <w:rsid w:val="00A465FC"/>
    <w:rsid w:val="00A47B50"/>
    <w:rsid w:val="00A50459"/>
    <w:rsid w:val="00A506CB"/>
    <w:rsid w:val="00A50F24"/>
    <w:rsid w:val="00A52369"/>
    <w:rsid w:val="00A52A88"/>
    <w:rsid w:val="00A55701"/>
    <w:rsid w:val="00A56ED1"/>
    <w:rsid w:val="00A64156"/>
    <w:rsid w:val="00A648A4"/>
    <w:rsid w:val="00A650B2"/>
    <w:rsid w:val="00A7290A"/>
    <w:rsid w:val="00A748B3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9557A"/>
    <w:rsid w:val="00AA3FF3"/>
    <w:rsid w:val="00AA493D"/>
    <w:rsid w:val="00AB4807"/>
    <w:rsid w:val="00AB4813"/>
    <w:rsid w:val="00AC0052"/>
    <w:rsid w:val="00AC04D6"/>
    <w:rsid w:val="00AC7417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334F"/>
    <w:rsid w:val="00AF5947"/>
    <w:rsid w:val="00AF692A"/>
    <w:rsid w:val="00AF6D69"/>
    <w:rsid w:val="00AF7626"/>
    <w:rsid w:val="00B02F01"/>
    <w:rsid w:val="00B03D08"/>
    <w:rsid w:val="00B05BF7"/>
    <w:rsid w:val="00B079F6"/>
    <w:rsid w:val="00B1094A"/>
    <w:rsid w:val="00B129D1"/>
    <w:rsid w:val="00B12F61"/>
    <w:rsid w:val="00B14CBC"/>
    <w:rsid w:val="00B16DA6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1E7A"/>
    <w:rsid w:val="00B722AD"/>
    <w:rsid w:val="00B74E41"/>
    <w:rsid w:val="00B7740D"/>
    <w:rsid w:val="00B82203"/>
    <w:rsid w:val="00B82F58"/>
    <w:rsid w:val="00B839A9"/>
    <w:rsid w:val="00B84C63"/>
    <w:rsid w:val="00B86814"/>
    <w:rsid w:val="00B8729A"/>
    <w:rsid w:val="00B910CB"/>
    <w:rsid w:val="00B91743"/>
    <w:rsid w:val="00B91D38"/>
    <w:rsid w:val="00B927D2"/>
    <w:rsid w:val="00B935A4"/>
    <w:rsid w:val="00B945E5"/>
    <w:rsid w:val="00B948B4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035"/>
    <w:rsid w:val="00C05302"/>
    <w:rsid w:val="00C06B6B"/>
    <w:rsid w:val="00C06F37"/>
    <w:rsid w:val="00C0799A"/>
    <w:rsid w:val="00C13438"/>
    <w:rsid w:val="00C170FF"/>
    <w:rsid w:val="00C173E1"/>
    <w:rsid w:val="00C200D8"/>
    <w:rsid w:val="00C2019E"/>
    <w:rsid w:val="00C27AEF"/>
    <w:rsid w:val="00C3110E"/>
    <w:rsid w:val="00C3466C"/>
    <w:rsid w:val="00C355FF"/>
    <w:rsid w:val="00C41A64"/>
    <w:rsid w:val="00C4219E"/>
    <w:rsid w:val="00C44DEE"/>
    <w:rsid w:val="00C47122"/>
    <w:rsid w:val="00C47959"/>
    <w:rsid w:val="00C47CEA"/>
    <w:rsid w:val="00C515E0"/>
    <w:rsid w:val="00C531A3"/>
    <w:rsid w:val="00C57F24"/>
    <w:rsid w:val="00C61E9B"/>
    <w:rsid w:val="00C62E43"/>
    <w:rsid w:val="00C63EA6"/>
    <w:rsid w:val="00C6619F"/>
    <w:rsid w:val="00C6624A"/>
    <w:rsid w:val="00C70E1E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C4322"/>
    <w:rsid w:val="00CC5270"/>
    <w:rsid w:val="00CC6A10"/>
    <w:rsid w:val="00CD00FD"/>
    <w:rsid w:val="00CD139B"/>
    <w:rsid w:val="00CD408D"/>
    <w:rsid w:val="00CD5E59"/>
    <w:rsid w:val="00CD7831"/>
    <w:rsid w:val="00CE05D4"/>
    <w:rsid w:val="00CE4712"/>
    <w:rsid w:val="00CF53EE"/>
    <w:rsid w:val="00D01C8D"/>
    <w:rsid w:val="00D01E5B"/>
    <w:rsid w:val="00D02378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190A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6E31"/>
    <w:rsid w:val="00D77E53"/>
    <w:rsid w:val="00D8135F"/>
    <w:rsid w:val="00D81DD5"/>
    <w:rsid w:val="00D848CA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B5465"/>
    <w:rsid w:val="00DC4F7C"/>
    <w:rsid w:val="00DC7134"/>
    <w:rsid w:val="00DC7C2C"/>
    <w:rsid w:val="00DD2256"/>
    <w:rsid w:val="00DD4B55"/>
    <w:rsid w:val="00DD5871"/>
    <w:rsid w:val="00DE0271"/>
    <w:rsid w:val="00DE2F66"/>
    <w:rsid w:val="00DE4173"/>
    <w:rsid w:val="00DE4592"/>
    <w:rsid w:val="00DF6125"/>
    <w:rsid w:val="00E057E0"/>
    <w:rsid w:val="00E05DBE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37F08"/>
    <w:rsid w:val="00E40A15"/>
    <w:rsid w:val="00E40CCE"/>
    <w:rsid w:val="00E43654"/>
    <w:rsid w:val="00E459FA"/>
    <w:rsid w:val="00E45A4B"/>
    <w:rsid w:val="00E46996"/>
    <w:rsid w:val="00E50522"/>
    <w:rsid w:val="00E50D03"/>
    <w:rsid w:val="00E52F87"/>
    <w:rsid w:val="00E6082E"/>
    <w:rsid w:val="00E6120D"/>
    <w:rsid w:val="00E61D06"/>
    <w:rsid w:val="00E7043E"/>
    <w:rsid w:val="00E747D9"/>
    <w:rsid w:val="00E74BD2"/>
    <w:rsid w:val="00E75D5D"/>
    <w:rsid w:val="00E766CA"/>
    <w:rsid w:val="00E81F85"/>
    <w:rsid w:val="00E8203D"/>
    <w:rsid w:val="00E8413D"/>
    <w:rsid w:val="00E84C2A"/>
    <w:rsid w:val="00E90CA1"/>
    <w:rsid w:val="00E91D25"/>
    <w:rsid w:val="00E94413"/>
    <w:rsid w:val="00E95F4D"/>
    <w:rsid w:val="00E97067"/>
    <w:rsid w:val="00EA3AB9"/>
    <w:rsid w:val="00EA6E8E"/>
    <w:rsid w:val="00EA7978"/>
    <w:rsid w:val="00EA7D19"/>
    <w:rsid w:val="00EB4EBF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EF5C94"/>
    <w:rsid w:val="00F00B9A"/>
    <w:rsid w:val="00F0246E"/>
    <w:rsid w:val="00F026DB"/>
    <w:rsid w:val="00F04133"/>
    <w:rsid w:val="00F05B2F"/>
    <w:rsid w:val="00F06955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1B8E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1B17"/>
    <w:rsid w:val="00F83712"/>
    <w:rsid w:val="00F86BEC"/>
    <w:rsid w:val="00F87A34"/>
    <w:rsid w:val="00F92E58"/>
    <w:rsid w:val="00F93F90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C2C92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68F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39E"/>
  </w:style>
  <w:style w:type="paragraph" w:styleId="Heading1">
    <w:name w:val="heading 1"/>
    <w:basedOn w:val="Normal"/>
    <w:next w:val="Normal"/>
    <w:link w:val="Heading1Char"/>
    <w:uiPriority w:val="9"/>
    <w:qFormat/>
    <w:rsid w:val="008933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33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33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9339E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39E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39E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3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39E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3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339E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9339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9339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9339E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39E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39E"/>
  </w:style>
  <w:style w:type="character" w:customStyle="1" w:styleId="Heading7Char">
    <w:name w:val="Heading 7 Char"/>
    <w:basedOn w:val="DefaultParagraphFont"/>
    <w:link w:val="Heading7"/>
    <w:uiPriority w:val="9"/>
    <w:semiHidden/>
    <w:rsid w:val="0089339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39E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39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9339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933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339E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39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339E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89339E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89339E"/>
    <w:rPr>
      <w:i/>
      <w:iCs/>
      <w:color w:val="auto"/>
    </w:rPr>
  </w:style>
  <w:style w:type="paragraph" w:styleId="NoSpacing">
    <w:name w:val="No Spacing"/>
    <w:uiPriority w:val="1"/>
    <w:qFormat/>
    <w:rsid w:val="008933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9339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339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39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39E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89339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9339E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9339E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89339E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89339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339E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8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-text">
    <w:name w:val="title-text"/>
    <w:basedOn w:val="DefaultParagraphFont"/>
    <w:rsid w:val="00B8729A"/>
  </w:style>
  <w:style w:type="character" w:customStyle="1" w:styleId="sr-only">
    <w:name w:val="sr-only"/>
    <w:basedOn w:val="DefaultParagraphFont"/>
    <w:rsid w:val="00B8729A"/>
  </w:style>
  <w:style w:type="character" w:styleId="Hyperlink">
    <w:name w:val="Hyperlink"/>
    <w:basedOn w:val="DefaultParagraphFont"/>
    <w:uiPriority w:val="99"/>
    <w:unhideWhenUsed/>
    <w:rsid w:val="00B872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729A"/>
    <w:rPr>
      <w:color w:val="800080"/>
      <w:u w:val="single"/>
    </w:rPr>
  </w:style>
  <w:style w:type="character" w:customStyle="1" w:styleId="content">
    <w:name w:val="content"/>
    <w:basedOn w:val="DefaultParagraphFont"/>
    <w:rsid w:val="00B8729A"/>
  </w:style>
  <w:style w:type="character" w:customStyle="1" w:styleId="text">
    <w:name w:val="text"/>
    <w:basedOn w:val="DefaultParagraphFont"/>
    <w:rsid w:val="00B8729A"/>
  </w:style>
  <w:style w:type="character" w:customStyle="1" w:styleId="author-ref">
    <w:name w:val="author-ref"/>
    <w:basedOn w:val="DefaultParagraphFont"/>
    <w:rsid w:val="00B8729A"/>
  </w:style>
  <w:style w:type="character" w:customStyle="1" w:styleId="button-text">
    <w:name w:val="button-text"/>
    <w:basedOn w:val="DefaultParagraphFont"/>
    <w:rsid w:val="00B8729A"/>
  </w:style>
  <w:style w:type="character" w:customStyle="1" w:styleId="button-link-text">
    <w:name w:val="button-link-text"/>
    <w:basedOn w:val="DefaultParagraphFont"/>
    <w:rsid w:val="00B8729A"/>
  </w:style>
  <w:style w:type="paragraph" w:styleId="NormalWeb">
    <w:name w:val="Normal (Web)"/>
    <w:basedOn w:val="Normal"/>
    <w:uiPriority w:val="99"/>
    <w:semiHidden/>
    <w:unhideWhenUsed/>
    <w:rsid w:val="00B8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splay">
    <w:name w:val="display"/>
    <w:basedOn w:val="DefaultParagraphFont"/>
    <w:rsid w:val="00B8729A"/>
  </w:style>
  <w:style w:type="character" w:customStyle="1" w:styleId="anchor-text">
    <w:name w:val="anchor-text"/>
    <w:basedOn w:val="DefaultParagraphFont"/>
    <w:rsid w:val="00B8729A"/>
  </w:style>
  <w:style w:type="character" w:customStyle="1" w:styleId="download-link-title">
    <w:name w:val="download-link-title"/>
    <w:basedOn w:val="DefaultParagraphFont"/>
    <w:rsid w:val="00B8729A"/>
  </w:style>
  <w:style w:type="paragraph" w:customStyle="1" w:styleId="previous">
    <w:name w:val="previous"/>
    <w:basedOn w:val="Normal"/>
    <w:rsid w:val="00B8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ton-alternative-text">
    <w:name w:val="button-alternative-text"/>
    <w:basedOn w:val="DefaultParagraphFont"/>
    <w:rsid w:val="00B8729A"/>
  </w:style>
  <w:style w:type="character" w:customStyle="1" w:styleId="extra-detail-1">
    <w:name w:val="extra-detail-1"/>
    <w:basedOn w:val="DefaultParagraphFont"/>
    <w:rsid w:val="00B8729A"/>
  </w:style>
  <w:style w:type="paragraph" w:customStyle="1" w:styleId="next">
    <w:name w:val="next"/>
    <w:basedOn w:val="Normal"/>
    <w:rsid w:val="00B87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ions">
    <w:name w:val="captions"/>
    <w:basedOn w:val="DefaultParagraphFont"/>
    <w:rsid w:val="00B8729A"/>
  </w:style>
  <w:style w:type="character" w:customStyle="1" w:styleId="label">
    <w:name w:val="label"/>
    <w:basedOn w:val="DefaultParagraphFont"/>
    <w:rsid w:val="00B8729A"/>
  </w:style>
  <w:style w:type="character" w:customStyle="1" w:styleId="math">
    <w:name w:val="math"/>
    <w:basedOn w:val="DefaultParagraphFont"/>
    <w:rsid w:val="00B8729A"/>
  </w:style>
  <w:style w:type="character" w:customStyle="1" w:styleId="mathjaxpreview">
    <w:name w:val="mathjax_preview"/>
    <w:basedOn w:val="DefaultParagraphFont"/>
    <w:rsid w:val="00B8729A"/>
  </w:style>
  <w:style w:type="character" w:customStyle="1" w:styleId="mathjaxsvg">
    <w:name w:val="mathjax_svg"/>
    <w:basedOn w:val="DefaultParagraphFont"/>
    <w:rsid w:val="00B8729A"/>
  </w:style>
  <w:style w:type="character" w:customStyle="1" w:styleId="mjxassistivemathml">
    <w:name w:val="mjx_assistive_mathml"/>
    <w:basedOn w:val="DefaultParagraphFont"/>
    <w:rsid w:val="00B8729A"/>
  </w:style>
  <w:style w:type="character" w:customStyle="1" w:styleId="formula">
    <w:name w:val="formula"/>
    <w:basedOn w:val="DefaultParagraphFont"/>
    <w:rsid w:val="00B8729A"/>
  </w:style>
  <w:style w:type="character" w:customStyle="1" w:styleId="copyright-line">
    <w:name w:val="copyright-line"/>
    <w:basedOn w:val="DefaultParagraphFont"/>
    <w:rsid w:val="00B8729A"/>
  </w:style>
  <w:style w:type="character" w:styleId="UnresolvedMention">
    <w:name w:val="Unresolved Mention"/>
    <w:basedOn w:val="DefaultParagraphFont"/>
    <w:uiPriority w:val="99"/>
    <w:semiHidden/>
    <w:unhideWhenUsed/>
    <w:rsid w:val="00B8729A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uiPriority w:val="99"/>
    <w:rsid w:val="00A22D4B"/>
    <w:pPr>
      <w:spacing w:after="0" w:line="240" w:lineRule="auto"/>
    </w:pPr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A22D4B"/>
    <w:pPr>
      <w:spacing w:after="0" w:line="240" w:lineRule="auto"/>
    </w:pPr>
    <w:rPr>
      <w:rFonts w:ascii="Times New Roman" w:hAnsi="Times New Roman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unhideWhenUsed/>
    <w:rsid w:val="00664C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4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4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18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6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  <w:divsChild>
                <w:div w:id="156540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3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49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94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05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3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5337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5695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19398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single" w:sz="12" w:space="24" w:color="EBEBEB"/>
            <w:right w:val="none" w:sz="0" w:space="0" w:color="auto"/>
          </w:divBdr>
          <w:divsChild>
            <w:div w:id="1605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5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2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9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6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5947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56623444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92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23157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09570624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5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4477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59567406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776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6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5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391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48323194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10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79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744115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11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9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8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8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1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48256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3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0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30293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8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8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00286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3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12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6418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2676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8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3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826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5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5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3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9611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4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7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9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58578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4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6797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1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4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3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3809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9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3202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498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acct.org/ho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2349</Words>
  <Characters>13392</Characters>
  <Application>Microsoft Office Word</Application>
  <DocSecurity>8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138</cp:revision>
  <dcterms:created xsi:type="dcterms:W3CDTF">2022-01-31T15:00:00Z</dcterms:created>
  <dcterms:modified xsi:type="dcterms:W3CDTF">2022-01-31T16:44:00Z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