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923237"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923237"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923237">
        <w:rPr>
          <w:rFonts w:cstheme="minorHAnsi"/>
          <w:b/>
          <w:bCs/>
          <w:color w:val="316192"/>
          <w:sz w:val="28"/>
          <w:szCs w:val="26"/>
        </w:rPr>
        <w:t>Marquette University</w:t>
      </w:r>
    </w:p>
    <w:p w14:paraId="158D4B9F" w14:textId="77777777" w:rsidR="000A7622" w:rsidRPr="00923237" w:rsidRDefault="000A7622" w:rsidP="00D14423">
      <w:pPr>
        <w:autoSpaceDE w:val="0"/>
        <w:autoSpaceDN w:val="0"/>
        <w:adjustRightInd w:val="0"/>
        <w:rPr>
          <w:rFonts w:cstheme="minorHAnsi"/>
          <w:b/>
          <w:bCs/>
          <w:color w:val="316192"/>
          <w:sz w:val="40"/>
          <w:szCs w:val="36"/>
        </w:rPr>
      </w:pPr>
      <w:proofErr w:type="spellStart"/>
      <w:r w:rsidRPr="00923237">
        <w:rPr>
          <w:rFonts w:cstheme="minorHAnsi"/>
          <w:b/>
          <w:bCs/>
          <w:color w:val="316192"/>
          <w:sz w:val="40"/>
          <w:szCs w:val="36"/>
        </w:rPr>
        <w:t>e-Publications@Marquette</w:t>
      </w:r>
      <w:proofErr w:type="spellEnd"/>
    </w:p>
    <w:p w14:paraId="689ACF87" w14:textId="77777777" w:rsidR="000A7622" w:rsidRPr="00923237" w:rsidRDefault="000A7622" w:rsidP="00D14423">
      <w:pPr>
        <w:autoSpaceDE w:val="0"/>
        <w:autoSpaceDN w:val="0"/>
        <w:adjustRightInd w:val="0"/>
        <w:rPr>
          <w:rFonts w:cstheme="minorHAnsi"/>
          <w:b/>
          <w:bCs/>
          <w:i/>
          <w:iCs/>
        </w:rPr>
      </w:pPr>
    </w:p>
    <w:p w14:paraId="161853CC" w14:textId="4E69D633" w:rsidR="000A7622" w:rsidRPr="00923237" w:rsidRDefault="006C75BB" w:rsidP="00D14423">
      <w:pPr>
        <w:autoSpaceDE w:val="0"/>
        <w:autoSpaceDN w:val="0"/>
        <w:adjustRightInd w:val="0"/>
        <w:rPr>
          <w:rFonts w:cstheme="minorHAnsi"/>
          <w:b/>
          <w:bCs/>
          <w:i/>
          <w:iCs/>
          <w:sz w:val="32"/>
          <w:szCs w:val="32"/>
        </w:rPr>
      </w:pPr>
      <w:r w:rsidRPr="00923237">
        <w:rPr>
          <w:rFonts w:cstheme="minorHAnsi"/>
          <w:b/>
          <w:bCs/>
          <w:i/>
          <w:iCs/>
          <w:sz w:val="32"/>
          <w:szCs w:val="32"/>
        </w:rPr>
        <w:t xml:space="preserve">Finance </w:t>
      </w:r>
      <w:r w:rsidR="000A7622" w:rsidRPr="00923237">
        <w:rPr>
          <w:rFonts w:cstheme="minorHAnsi"/>
          <w:b/>
          <w:bCs/>
          <w:i/>
          <w:iCs/>
          <w:sz w:val="32"/>
          <w:szCs w:val="32"/>
        </w:rPr>
        <w:t>Faculty Research and Publications/</w:t>
      </w:r>
      <w:r w:rsidR="009732A9" w:rsidRPr="00923237">
        <w:rPr>
          <w:rFonts w:cstheme="minorHAnsi"/>
          <w:b/>
          <w:bCs/>
          <w:i/>
          <w:iCs/>
          <w:sz w:val="32"/>
          <w:szCs w:val="32"/>
        </w:rPr>
        <w:t xml:space="preserve">College of </w:t>
      </w:r>
      <w:r w:rsidRPr="00923237">
        <w:rPr>
          <w:rFonts w:cstheme="minorHAnsi"/>
          <w:b/>
          <w:bCs/>
          <w:i/>
          <w:iCs/>
          <w:sz w:val="32"/>
          <w:szCs w:val="32"/>
        </w:rPr>
        <w:t>Business Administration</w:t>
      </w:r>
    </w:p>
    <w:bookmarkEnd w:id="1"/>
    <w:p w14:paraId="3E538636" w14:textId="77777777" w:rsidR="000A7622" w:rsidRPr="00923237" w:rsidRDefault="000A7622" w:rsidP="00D14423">
      <w:pPr>
        <w:jc w:val="center"/>
        <w:rPr>
          <w:rFonts w:cstheme="minorHAnsi"/>
          <w:b/>
          <w:bCs/>
          <w:i/>
          <w:iCs/>
        </w:rPr>
      </w:pPr>
    </w:p>
    <w:p w14:paraId="25509BF0" w14:textId="3FC0B04E" w:rsidR="000A7622" w:rsidRPr="00923237" w:rsidRDefault="000A7622" w:rsidP="00D14423">
      <w:pPr>
        <w:jc w:val="center"/>
        <w:rPr>
          <w:rFonts w:cstheme="minorHAnsi"/>
          <w:sz w:val="24"/>
          <w:szCs w:val="24"/>
        </w:rPr>
      </w:pPr>
      <w:r w:rsidRPr="00923237">
        <w:rPr>
          <w:rFonts w:cstheme="minorHAnsi"/>
          <w:b/>
          <w:bCs/>
          <w:i/>
          <w:iCs/>
          <w:sz w:val="24"/>
          <w:szCs w:val="24"/>
        </w:rPr>
        <w:t xml:space="preserve">This paper is NOT THE PUBLISHED VERSION; </w:t>
      </w:r>
      <w:r w:rsidRPr="00923237">
        <w:rPr>
          <w:rFonts w:cstheme="minorHAnsi"/>
          <w:b/>
          <w:bCs/>
          <w:sz w:val="24"/>
          <w:szCs w:val="24"/>
        </w:rPr>
        <w:t xml:space="preserve">but the author’s final, peer-reviewed manuscript. </w:t>
      </w:r>
      <w:r w:rsidRPr="00923237">
        <w:rPr>
          <w:rFonts w:cstheme="minorHAnsi"/>
          <w:sz w:val="24"/>
          <w:szCs w:val="24"/>
        </w:rPr>
        <w:t xml:space="preserve">The published version may be accessed by following the link in </w:t>
      </w:r>
      <w:proofErr w:type="spellStart"/>
      <w:r w:rsidRPr="00923237">
        <w:rPr>
          <w:rFonts w:cstheme="minorHAnsi"/>
          <w:sz w:val="24"/>
          <w:szCs w:val="24"/>
        </w:rPr>
        <w:t>th</w:t>
      </w:r>
      <w:proofErr w:type="spellEnd"/>
      <w:r w:rsidRPr="00923237">
        <w:rPr>
          <w:rFonts w:cstheme="minorHAnsi"/>
          <w:sz w:val="24"/>
          <w:szCs w:val="24"/>
        </w:rPr>
        <w:t xml:space="preserve"> citation below.</w:t>
      </w:r>
    </w:p>
    <w:p w14:paraId="207B0342" w14:textId="77777777" w:rsidR="000A7622" w:rsidRPr="00923237" w:rsidRDefault="000A7622" w:rsidP="00D14423">
      <w:pPr>
        <w:jc w:val="center"/>
        <w:rPr>
          <w:rFonts w:cstheme="minorHAnsi"/>
          <w:sz w:val="24"/>
          <w:szCs w:val="24"/>
        </w:rPr>
      </w:pPr>
    </w:p>
    <w:p w14:paraId="2A38AFE1" w14:textId="596EFF7D" w:rsidR="000A7622" w:rsidRPr="00923237" w:rsidRDefault="000A7622" w:rsidP="00D14423">
      <w:pPr>
        <w:rPr>
          <w:rFonts w:cstheme="minorHAnsi"/>
          <w:sz w:val="24"/>
          <w:szCs w:val="24"/>
        </w:rPr>
      </w:pPr>
      <w:r w:rsidRPr="00923237">
        <w:rPr>
          <w:rFonts w:cstheme="minorHAnsi"/>
          <w:i/>
          <w:sz w:val="24"/>
          <w:szCs w:val="24"/>
          <w:lang w:val="fr-FR"/>
        </w:rPr>
        <w:t>Journal</w:t>
      </w:r>
      <w:r w:rsidR="004914F8" w:rsidRPr="00923237">
        <w:rPr>
          <w:rFonts w:cstheme="minorHAnsi"/>
          <w:i/>
          <w:sz w:val="24"/>
          <w:szCs w:val="24"/>
          <w:lang w:val="fr-FR"/>
        </w:rPr>
        <w:t xml:space="preserve"> of </w:t>
      </w:r>
      <w:proofErr w:type="spellStart"/>
      <w:r w:rsidR="004914F8" w:rsidRPr="00923237">
        <w:rPr>
          <w:rFonts w:cstheme="minorHAnsi"/>
          <w:i/>
          <w:sz w:val="24"/>
          <w:szCs w:val="24"/>
          <w:lang w:val="fr-FR"/>
        </w:rPr>
        <w:t>Corporate</w:t>
      </w:r>
      <w:proofErr w:type="spellEnd"/>
      <w:r w:rsidR="004914F8" w:rsidRPr="00923237">
        <w:rPr>
          <w:rFonts w:cstheme="minorHAnsi"/>
          <w:i/>
          <w:sz w:val="24"/>
          <w:szCs w:val="24"/>
          <w:lang w:val="fr-FR"/>
        </w:rPr>
        <w:t xml:space="preserve"> Finance</w:t>
      </w:r>
      <w:r w:rsidRPr="00923237">
        <w:rPr>
          <w:rFonts w:cstheme="minorHAnsi"/>
          <w:sz w:val="24"/>
          <w:szCs w:val="24"/>
          <w:lang w:val="fr-FR"/>
        </w:rPr>
        <w:t xml:space="preserve">, Vol. </w:t>
      </w:r>
      <w:r w:rsidR="00414D5C" w:rsidRPr="00923237">
        <w:rPr>
          <w:rFonts w:cstheme="minorHAnsi"/>
          <w:sz w:val="24"/>
          <w:szCs w:val="24"/>
          <w:lang w:val="fr-FR"/>
        </w:rPr>
        <w:t>51</w:t>
      </w:r>
      <w:r w:rsidRPr="00923237">
        <w:rPr>
          <w:rFonts w:cstheme="minorHAnsi"/>
          <w:sz w:val="24"/>
          <w:szCs w:val="24"/>
          <w:lang w:val="fr-FR"/>
        </w:rPr>
        <w:t xml:space="preserve"> (</w:t>
      </w:r>
      <w:r w:rsidR="00414D5C" w:rsidRPr="00923237">
        <w:rPr>
          <w:rFonts w:cstheme="minorHAnsi"/>
          <w:sz w:val="24"/>
          <w:szCs w:val="24"/>
          <w:lang w:val="fr-FR"/>
        </w:rPr>
        <w:t>August 2018</w:t>
      </w:r>
      <w:proofErr w:type="gramStart"/>
      <w:r w:rsidRPr="00923237">
        <w:rPr>
          <w:rFonts w:cstheme="minorHAnsi"/>
          <w:sz w:val="24"/>
          <w:szCs w:val="24"/>
          <w:lang w:val="fr-FR"/>
        </w:rPr>
        <w:t>):</w:t>
      </w:r>
      <w:proofErr w:type="gramEnd"/>
      <w:r w:rsidRPr="00923237">
        <w:rPr>
          <w:rFonts w:cstheme="minorHAnsi"/>
          <w:sz w:val="24"/>
          <w:szCs w:val="24"/>
          <w:lang w:val="fr-FR"/>
        </w:rPr>
        <w:t xml:space="preserve"> </w:t>
      </w:r>
      <w:r w:rsidR="00414D5C" w:rsidRPr="00923237">
        <w:rPr>
          <w:rFonts w:cstheme="minorHAnsi"/>
          <w:sz w:val="24"/>
          <w:szCs w:val="24"/>
          <w:lang w:val="fr-FR"/>
        </w:rPr>
        <w:t>109-124</w:t>
      </w:r>
      <w:r w:rsidRPr="00923237">
        <w:rPr>
          <w:rFonts w:cstheme="minorHAnsi"/>
          <w:sz w:val="24"/>
          <w:szCs w:val="24"/>
          <w:lang w:val="fr-FR"/>
        </w:rPr>
        <w:t xml:space="preserve">. </w:t>
      </w:r>
      <w:hyperlink r:id="rId8" w:history="1">
        <w:r w:rsidRPr="00923237">
          <w:rPr>
            <w:rFonts w:cstheme="minorHAnsi"/>
            <w:color w:val="0563C1" w:themeColor="hyperlink"/>
            <w:sz w:val="24"/>
            <w:szCs w:val="24"/>
            <w:u w:val="single"/>
            <w:lang w:val="fr-FR"/>
          </w:rPr>
          <w:t>DOI</w:t>
        </w:r>
      </w:hyperlink>
      <w:r w:rsidRPr="00923237">
        <w:rPr>
          <w:rFonts w:cstheme="minorHAnsi"/>
          <w:sz w:val="24"/>
          <w:szCs w:val="24"/>
          <w:lang w:val="fr-FR"/>
        </w:rPr>
        <w:t xml:space="preserve">. </w:t>
      </w:r>
      <w:r w:rsidRPr="00923237">
        <w:rPr>
          <w:rFonts w:cstheme="minorHAnsi"/>
          <w:sz w:val="24"/>
          <w:szCs w:val="24"/>
        </w:rPr>
        <w:t xml:space="preserve">This article is © </w:t>
      </w:r>
      <w:r w:rsidR="001B5DF4" w:rsidRPr="00923237">
        <w:rPr>
          <w:rFonts w:cstheme="minorHAnsi"/>
          <w:sz w:val="24"/>
          <w:szCs w:val="24"/>
        </w:rPr>
        <w:t>Elsevier</w:t>
      </w:r>
      <w:r w:rsidRPr="00923237">
        <w:rPr>
          <w:rFonts w:cstheme="minorHAnsi"/>
          <w:sz w:val="24"/>
          <w:szCs w:val="24"/>
        </w:rPr>
        <w:t xml:space="preserve"> and permission has been granted for this version to appear in </w:t>
      </w:r>
      <w:hyperlink r:id="rId9" w:history="1">
        <w:proofErr w:type="spellStart"/>
        <w:r w:rsidRPr="00923237">
          <w:rPr>
            <w:rFonts w:cstheme="minorHAnsi"/>
            <w:color w:val="0563C1" w:themeColor="hyperlink"/>
            <w:sz w:val="24"/>
            <w:szCs w:val="24"/>
            <w:u w:val="single"/>
          </w:rPr>
          <w:t>e-Publications@Marquette</w:t>
        </w:r>
        <w:proofErr w:type="spellEnd"/>
      </w:hyperlink>
      <w:r w:rsidRPr="00923237">
        <w:rPr>
          <w:rFonts w:cstheme="minorHAnsi"/>
          <w:sz w:val="24"/>
          <w:szCs w:val="24"/>
        </w:rPr>
        <w:t xml:space="preserve">. </w:t>
      </w:r>
      <w:r w:rsidR="001B5DF4" w:rsidRPr="00923237">
        <w:rPr>
          <w:rFonts w:cstheme="minorHAnsi"/>
          <w:sz w:val="24"/>
          <w:szCs w:val="24"/>
        </w:rPr>
        <w:t>Elsevier</w:t>
      </w:r>
      <w:r w:rsidRPr="00923237">
        <w:rPr>
          <w:rFonts w:cstheme="minorHAnsi"/>
          <w:sz w:val="24"/>
          <w:szCs w:val="24"/>
        </w:rPr>
        <w:t xml:space="preserve"> does not grant permission for this article to be further copied/distributed or hosted elsewhere without the express permission from </w:t>
      </w:r>
      <w:r w:rsidR="001B5DF4" w:rsidRPr="00923237">
        <w:rPr>
          <w:rFonts w:cstheme="minorHAnsi"/>
          <w:sz w:val="24"/>
          <w:szCs w:val="24"/>
        </w:rPr>
        <w:t>Elsevier</w:t>
      </w:r>
      <w:r w:rsidRPr="00923237">
        <w:rPr>
          <w:rFonts w:cstheme="minorHAnsi"/>
          <w:sz w:val="24"/>
          <w:szCs w:val="24"/>
        </w:rPr>
        <w:t xml:space="preserve">. </w:t>
      </w:r>
    </w:p>
    <w:p w14:paraId="1D32BE53" w14:textId="151A51E4" w:rsidR="0036383C" w:rsidRPr="00923237" w:rsidRDefault="0036383C" w:rsidP="008961C8">
      <w:pPr>
        <w:pStyle w:val="Title"/>
        <w:rPr>
          <w:rFonts w:asciiTheme="minorHAnsi" w:hAnsiTheme="minorHAnsi" w:cstheme="minorHAnsi"/>
        </w:rPr>
      </w:pPr>
      <w:r w:rsidRPr="00923237">
        <w:rPr>
          <w:rFonts w:asciiTheme="minorHAnsi" w:hAnsiTheme="minorHAnsi" w:cstheme="minorHAnsi"/>
        </w:rPr>
        <w:t xml:space="preserve">Boards </w:t>
      </w:r>
      <w:r w:rsidR="00D5668A" w:rsidRPr="00923237">
        <w:rPr>
          <w:rFonts w:asciiTheme="minorHAnsi" w:hAnsiTheme="minorHAnsi" w:cstheme="minorHAnsi"/>
        </w:rPr>
        <w:t xml:space="preserve">of Directors and Firm Leverage: </w:t>
      </w:r>
      <w:r w:rsidRPr="00923237">
        <w:rPr>
          <w:rFonts w:asciiTheme="minorHAnsi" w:hAnsiTheme="minorHAnsi" w:cstheme="minorHAnsi"/>
        </w:rPr>
        <w:t xml:space="preserve">Evidence </w:t>
      </w:r>
      <w:r w:rsidR="00D5668A" w:rsidRPr="00923237">
        <w:rPr>
          <w:rFonts w:asciiTheme="minorHAnsi" w:hAnsiTheme="minorHAnsi" w:cstheme="minorHAnsi"/>
        </w:rPr>
        <w:t>from Real Estate Investment Trusts</w:t>
      </w:r>
    </w:p>
    <w:p w14:paraId="442026AF" w14:textId="77777777" w:rsidR="008961C8" w:rsidRPr="00923237" w:rsidRDefault="008961C8" w:rsidP="00D14423">
      <w:pPr>
        <w:rPr>
          <w:rFonts w:cstheme="minorHAnsi"/>
          <w:sz w:val="24"/>
          <w:szCs w:val="24"/>
        </w:rPr>
      </w:pPr>
    </w:p>
    <w:p w14:paraId="05267F4F" w14:textId="56ACF42C" w:rsidR="0036383C" w:rsidRPr="00923237" w:rsidRDefault="0036383C" w:rsidP="00D5668A">
      <w:pPr>
        <w:pStyle w:val="NoSpacing"/>
        <w:rPr>
          <w:rFonts w:cstheme="minorHAnsi"/>
          <w:sz w:val="32"/>
          <w:szCs w:val="32"/>
        </w:rPr>
      </w:pPr>
      <w:r w:rsidRPr="00923237">
        <w:rPr>
          <w:rFonts w:cstheme="minorHAnsi"/>
          <w:sz w:val="32"/>
          <w:szCs w:val="32"/>
        </w:rPr>
        <w:t>Trang Doan</w:t>
      </w:r>
    </w:p>
    <w:p w14:paraId="512B555C" w14:textId="3CB02CB4" w:rsidR="0036383C" w:rsidRPr="00923237" w:rsidRDefault="008961C8" w:rsidP="00D5668A">
      <w:pPr>
        <w:pStyle w:val="NoSpacing"/>
        <w:rPr>
          <w:rFonts w:cstheme="minorHAnsi"/>
          <w:sz w:val="24"/>
          <w:szCs w:val="24"/>
        </w:rPr>
      </w:pPr>
      <w:r w:rsidRPr="00923237">
        <w:rPr>
          <w:rFonts w:cstheme="minorHAnsi"/>
          <w:sz w:val="24"/>
          <w:szCs w:val="24"/>
        </w:rPr>
        <w:t>School of Business, Eastern Illinois University, Charleston, IL</w:t>
      </w:r>
    </w:p>
    <w:p w14:paraId="550CDBEA" w14:textId="0F88644E" w:rsidR="005C5477" w:rsidRPr="00923237" w:rsidRDefault="0036383C" w:rsidP="00D5668A">
      <w:pPr>
        <w:pStyle w:val="NoSpacing"/>
        <w:rPr>
          <w:rFonts w:cstheme="minorHAnsi"/>
          <w:sz w:val="32"/>
          <w:szCs w:val="32"/>
        </w:rPr>
      </w:pPr>
      <w:r w:rsidRPr="00923237">
        <w:rPr>
          <w:rFonts w:cstheme="minorHAnsi"/>
          <w:sz w:val="32"/>
          <w:szCs w:val="32"/>
        </w:rPr>
        <w:t>Nga Q. Nguyen</w:t>
      </w:r>
    </w:p>
    <w:p w14:paraId="0A584DF1" w14:textId="2DD3A22A" w:rsidR="005C5477" w:rsidRPr="00923237" w:rsidRDefault="008961C8" w:rsidP="00D5668A">
      <w:pPr>
        <w:pStyle w:val="NoSpacing"/>
        <w:rPr>
          <w:rFonts w:cstheme="minorHAnsi"/>
          <w:sz w:val="24"/>
          <w:szCs w:val="24"/>
        </w:rPr>
      </w:pPr>
      <w:r w:rsidRPr="00923237">
        <w:rPr>
          <w:rFonts w:cstheme="minorHAnsi"/>
          <w:sz w:val="24"/>
          <w:szCs w:val="24"/>
        </w:rPr>
        <w:t>College of Business, Finance Department, Marquette University, Milwaukee, WI</w:t>
      </w:r>
    </w:p>
    <w:bookmarkEnd w:id="2"/>
    <w:p w14:paraId="5BC0075B" w14:textId="5451AE7C" w:rsidR="000A7622" w:rsidRPr="00923237" w:rsidRDefault="000A7622" w:rsidP="000A7622">
      <w:pPr>
        <w:rPr>
          <w:rFonts w:cstheme="minorHAnsi"/>
        </w:rPr>
      </w:pPr>
    </w:p>
    <w:p w14:paraId="66947C3F" w14:textId="77777777" w:rsidR="00A4606E" w:rsidRPr="00923237" w:rsidRDefault="00A4606E" w:rsidP="00D5668A">
      <w:pPr>
        <w:pStyle w:val="Heading1"/>
        <w:rPr>
          <w:rFonts w:asciiTheme="minorHAnsi" w:hAnsiTheme="minorHAnsi" w:cstheme="minorHAnsi"/>
          <w:sz w:val="36"/>
          <w:szCs w:val="36"/>
          <w:lang w:val="en"/>
        </w:rPr>
      </w:pPr>
      <w:r w:rsidRPr="00923237">
        <w:rPr>
          <w:rFonts w:asciiTheme="minorHAnsi" w:hAnsiTheme="minorHAnsi" w:cstheme="minorHAnsi"/>
          <w:lang w:val="en"/>
        </w:rPr>
        <w:t>Abstract</w:t>
      </w:r>
    </w:p>
    <w:p w14:paraId="696F6A5B" w14:textId="77777777" w:rsidR="00A4606E" w:rsidRPr="00923237" w:rsidRDefault="00A4606E" w:rsidP="00D5668A">
      <w:pPr>
        <w:rPr>
          <w:rFonts w:cstheme="minorHAnsi"/>
          <w:color w:val="2E2E2E"/>
          <w:lang w:val="en"/>
        </w:rPr>
      </w:pPr>
      <w:r w:rsidRPr="00923237">
        <w:rPr>
          <w:rFonts w:cstheme="minorHAnsi"/>
          <w:color w:val="2E2E2E"/>
          <w:lang w:val="en"/>
        </w:rPr>
        <w:t>We re-examine the negative association between </w:t>
      </w:r>
      <w:hyperlink r:id="rId10" w:tooltip="Learn more about Leverage from ScienceDirect's AI-generated Topic Pages" w:history="1">
        <w:r w:rsidRPr="00923237">
          <w:rPr>
            <w:rStyle w:val="Hyperlink"/>
            <w:rFonts w:eastAsiaTheme="majorEastAsia" w:cstheme="minorHAnsi"/>
            <w:color w:val="0C7DBB"/>
            <w:lang w:val="en"/>
          </w:rPr>
          <w:t>leverage</w:t>
        </w:r>
      </w:hyperlink>
      <w:r w:rsidRPr="00923237">
        <w:rPr>
          <w:rFonts w:cstheme="minorHAnsi"/>
          <w:color w:val="2E2E2E"/>
          <w:lang w:val="en"/>
        </w:rPr>
        <w:t> and returns while also focusing on the role of </w:t>
      </w:r>
      <w:hyperlink r:id="rId11" w:tooltip="Learn more about Board of Directors from ScienceDirect's AI-generated Topic Pages" w:history="1">
        <w:r w:rsidRPr="00923237">
          <w:rPr>
            <w:rStyle w:val="Hyperlink"/>
            <w:rFonts w:eastAsiaTheme="majorEastAsia" w:cstheme="minorHAnsi"/>
            <w:color w:val="0C7DBB"/>
            <w:lang w:val="en"/>
          </w:rPr>
          <w:t>boards of directors</w:t>
        </w:r>
      </w:hyperlink>
      <w:r w:rsidRPr="00923237">
        <w:rPr>
          <w:rFonts w:cstheme="minorHAnsi"/>
          <w:color w:val="2E2E2E"/>
          <w:lang w:val="en"/>
        </w:rPr>
        <w:t>. To do so, we utilize the unique setting of </w:t>
      </w:r>
      <w:hyperlink r:id="rId12" w:tooltip="Learn more about Real Estate Investment from ScienceDirect's AI-generated Topic Pages" w:history="1">
        <w:r w:rsidRPr="00923237">
          <w:rPr>
            <w:rStyle w:val="Hyperlink"/>
            <w:rFonts w:eastAsiaTheme="majorEastAsia" w:cstheme="minorHAnsi"/>
            <w:color w:val="0C7DBB"/>
            <w:lang w:val="en"/>
          </w:rPr>
          <w:t>real estate investment</w:t>
        </w:r>
      </w:hyperlink>
      <w:r w:rsidRPr="00923237">
        <w:rPr>
          <w:rFonts w:cstheme="minorHAnsi"/>
          <w:color w:val="2E2E2E"/>
          <w:lang w:val="en"/>
        </w:rPr>
        <w:t> trusts (REITs), their high leverage, and the volatility that the industry experienced during the recent </w:t>
      </w:r>
      <w:hyperlink r:id="rId13" w:tooltip="Learn more about Financial Crisis from ScienceDirect's AI-generated Topic Pages" w:history="1">
        <w:r w:rsidRPr="00923237">
          <w:rPr>
            <w:rStyle w:val="Hyperlink"/>
            <w:rFonts w:eastAsiaTheme="majorEastAsia" w:cstheme="minorHAnsi"/>
            <w:color w:val="0C7DBB"/>
            <w:lang w:val="en"/>
          </w:rPr>
          <w:t>financial crisis</w:t>
        </w:r>
      </w:hyperlink>
      <w:r w:rsidRPr="00923237">
        <w:rPr>
          <w:rFonts w:cstheme="minorHAnsi"/>
          <w:color w:val="2E2E2E"/>
          <w:lang w:val="en"/>
        </w:rPr>
        <w:t xml:space="preserve">. We find that during the financial crisis REIT board activity increased, especially among firms with high leverage. We also find that board activity helps mitigate the previously reported negative effect of leverage on returns during this time period. Post-crisis, we find evidence suggesting that firms with more active boards reduce their leverage if their pre-crisis leverage was high. Further, firms with more active boards have better post-crisis returns. Our findings are robust to using different measures of activity that </w:t>
      </w:r>
      <w:proofErr w:type="gramStart"/>
      <w:r w:rsidRPr="00923237">
        <w:rPr>
          <w:rFonts w:cstheme="minorHAnsi"/>
          <w:color w:val="2E2E2E"/>
          <w:lang w:val="en"/>
        </w:rPr>
        <w:t>take into account</w:t>
      </w:r>
      <w:proofErr w:type="gramEnd"/>
      <w:r w:rsidRPr="00923237">
        <w:rPr>
          <w:rFonts w:cstheme="minorHAnsi"/>
          <w:color w:val="2E2E2E"/>
          <w:lang w:val="en"/>
        </w:rPr>
        <w:t xml:space="preserve"> director experience in real estate and finance.</w:t>
      </w:r>
    </w:p>
    <w:p w14:paraId="3811359D" w14:textId="77777777" w:rsidR="00A4606E" w:rsidRPr="00923237" w:rsidRDefault="00A4606E" w:rsidP="00F32A6D">
      <w:pPr>
        <w:pStyle w:val="Heading1"/>
        <w:rPr>
          <w:rFonts w:asciiTheme="minorHAnsi" w:hAnsiTheme="minorHAnsi" w:cstheme="minorHAnsi"/>
          <w:sz w:val="36"/>
          <w:szCs w:val="36"/>
        </w:rPr>
      </w:pPr>
      <w:r w:rsidRPr="00923237">
        <w:rPr>
          <w:rFonts w:asciiTheme="minorHAnsi" w:hAnsiTheme="minorHAnsi" w:cstheme="minorHAnsi"/>
        </w:rPr>
        <w:lastRenderedPageBreak/>
        <w:t>Keywords</w:t>
      </w:r>
    </w:p>
    <w:p w14:paraId="61381A55" w14:textId="6BF9E888" w:rsidR="00A4606E" w:rsidRPr="00923237" w:rsidRDefault="00A4606E" w:rsidP="00D8247D">
      <w:pPr>
        <w:rPr>
          <w:rFonts w:cstheme="minorHAnsi"/>
        </w:rPr>
      </w:pPr>
      <w:r w:rsidRPr="00923237">
        <w:rPr>
          <w:rFonts w:cstheme="minorHAnsi"/>
        </w:rPr>
        <w:t>Corporate boards</w:t>
      </w:r>
      <w:r w:rsidR="00F32A6D" w:rsidRPr="00923237">
        <w:rPr>
          <w:rFonts w:cstheme="minorHAnsi"/>
        </w:rPr>
        <w:t xml:space="preserve">, </w:t>
      </w:r>
      <w:r w:rsidRPr="00923237">
        <w:rPr>
          <w:rFonts w:cstheme="minorHAnsi"/>
        </w:rPr>
        <w:t>Board meeting</w:t>
      </w:r>
      <w:r w:rsidR="00F32A6D" w:rsidRPr="00923237">
        <w:rPr>
          <w:rFonts w:cstheme="minorHAnsi"/>
        </w:rPr>
        <w:t xml:space="preserve">, </w:t>
      </w:r>
      <w:r w:rsidRPr="00923237">
        <w:rPr>
          <w:rFonts w:cstheme="minorHAnsi"/>
        </w:rPr>
        <w:t>Board committee</w:t>
      </w:r>
      <w:r w:rsidR="00F32A6D" w:rsidRPr="00923237">
        <w:rPr>
          <w:rFonts w:cstheme="minorHAnsi"/>
        </w:rPr>
        <w:t xml:space="preserve">, </w:t>
      </w:r>
      <w:r w:rsidRPr="00923237">
        <w:rPr>
          <w:rFonts w:cstheme="minorHAnsi"/>
        </w:rPr>
        <w:t>Director experience</w:t>
      </w:r>
      <w:r w:rsidR="00F32A6D" w:rsidRPr="00923237">
        <w:rPr>
          <w:rFonts w:cstheme="minorHAnsi"/>
        </w:rPr>
        <w:t xml:space="preserve">, </w:t>
      </w:r>
      <w:r w:rsidRPr="00923237">
        <w:rPr>
          <w:rFonts w:cstheme="minorHAnsi"/>
        </w:rPr>
        <w:t>Leverage</w:t>
      </w:r>
      <w:r w:rsidR="00D8247D" w:rsidRPr="00923237">
        <w:rPr>
          <w:rFonts w:cstheme="minorHAnsi"/>
        </w:rPr>
        <w:t xml:space="preserve">, </w:t>
      </w:r>
      <w:r w:rsidRPr="00923237">
        <w:rPr>
          <w:rFonts w:cstheme="minorHAnsi"/>
        </w:rPr>
        <w:t>Firm performance</w:t>
      </w:r>
    </w:p>
    <w:p w14:paraId="405709FE" w14:textId="77777777" w:rsidR="00A4606E" w:rsidRPr="00923237" w:rsidRDefault="00A4606E" w:rsidP="00D8247D">
      <w:pPr>
        <w:pStyle w:val="Heading1"/>
        <w:rPr>
          <w:rFonts w:asciiTheme="minorHAnsi" w:hAnsiTheme="minorHAnsi" w:cstheme="minorHAnsi"/>
        </w:rPr>
      </w:pPr>
      <w:r w:rsidRPr="00923237">
        <w:rPr>
          <w:rFonts w:asciiTheme="minorHAnsi" w:hAnsiTheme="minorHAnsi" w:cstheme="minorHAnsi"/>
        </w:rPr>
        <w:t>1. Introduction</w:t>
      </w:r>
    </w:p>
    <w:p w14:paraId="66272A51" w14:textId="77777777" w:rsidR="00A4606E" w:rsidRPr="00923237" w:rsidRDefault="00A4606E" w:rsidP="00D8247D">
      <w:pPr>
        <w:rPr>
          <w:rFonts w:cstheme="minorHAnsi"/>
          <w:color w:val="2E2E2E"/>
        </w:rPr>
      </w:pPr>
      <w:r w:rsidRPr="00923237">
        <w:rPr>
          <w:rFonts w:cstheme="minorHAnsi"/>
          <w:color w:val="2E2E2E"/>
        </w:rPr>
        <w:t>Two areas of </w:t>
      </w:r>
      <w:hyperlink r:id="rId14" w:tooltip="Learn more about Corporate Finance from ScienceDirect's AI-generated Topic Pages" w:history="1">
        <w:r w:rsidRPr="00923237">
          <w:rPr>
            <w:rStyle w:val="Hyperlink"/>
            <w:rFonts w:eastAsiaTheme="majorEastAsia" w:cstheme="minorHAnsi"/>
            <w:color w:val="0C7DBB"/>
          </w:rPr>
          <w:t>corporate finance</w:t>
        </w:r>
      </w:hyperlink>
      <w:r w:rsidRPr="00923237">
        <w:rPr>
          <w:rFonts w:cstheme="minorHAnsi"/>
          <w:color w:val="2E2E2E"/>
        </w:rPr>
        <w:t> that have been studied extensively, both theoretically and empirically, are </w:t>
      </w:r>
      <w:hyperlink r:id="rId15" w:tooltip="Learn more about Capital Structure from ScienceDirect's AI-generated Topic Pages" w:history="1">
        <w:r w:rsidRPr="00923237">
          <w:rPr>
            <w:rStyle w:val="Hyperlink"/>
            <w:rFonts w:eastAsiaTheme="majorEastAsia" w:cstheme="minorHAnsi"/>
            <w:color w:val="0C7DBB"/>
          </w:rPr>
          <w:t>capital structure</w:t>
        </w:r>
      </w:hyperlink>
      <w:r w:rsidRPr="00923237">
        <w:rPr>
          <w:rFonts w:cstheme="minorHAnsi"/>
          <w:color w:val="2E2E2E"/>
        </w:rPr>
        <w:t> and </w:t>
      </w:r>
      <w:hyperlink r:id="rId16" w:tooltip="Learn more about Corporate Governance from ScienceDirect's AI-generated Topic Pages" w:history="1">
        <w:r w:rsidRPr="00923237">
          <w:rPr>
            <w:rStyle w:val="Hyperlink"/>
            <w:rFonts w:eastAsiaTheme="majorEastAsia" w:cstheme="minorHAnsi"/>
            <w:color w:val="0C7DBB"/>
          </w:rPr>
          <w:t>corporate governance</w:t>
        </w:r>
      </w:hyperlink>
      <w:r w:rsidRPr="00923237">
        <w:rPr>
          <w:rFonts w:cstheme="minorHAnsi"/>
          <w:color w:val="2E2E2E"/>
        </w:rPr>
        <w:t xml:space="preserve">. Additionally, </w:t>
      </w:r>
      <w:proofErr w:type="gramStart"/>
      <w:r w:rsidRPr="00923237">
        <w:rPr>
          <w:rFonts w:cstheme="minorHAnsi"/>
          <w:color w:val="2E2E2E"/>
        </w:rPr>
        <w:t>a large number of</w:t>
      </w:r>
      <w:proofErr w:type="gramEnd"/>
      <w:r w:rsidRPr="00923237">
        <w:rPr>
          <w:rFonts w:cstheme="minorHAnsi"/>
          <w:color w:val="2E2E2E"/>
        </w:rPr>
        <w:t xml:space="preserve"> papers examine how capital structure and corporate governance are linked to each other and to firm performance. For example, </w:t>
      </w:r>
      <w:hyperlink r:id="rId17" w:tooltip="Learn more about Capital Structure Theory from ScienceDirect's AI-generated Topic Pages" w:history="1">
        <w:r w:rsidRPr="00923237">
          <w:rPr>
            <w:rStyle w:val="Hyperlink"/>
            <w:rFonts w:eastAsiaTheme="majorEastAsia" w:cstheme="minorHAnsi"/>
            <w:color w:val="0C7DBB"/>
          </w:rPr>
          <w:t>capital structure theory</w:t>
        </w:r>
      </w:hyperlink>
      <w:r w:rsidRPr="00923237">
        <w:rPr>
          <w:rFonts w:cstheme="minorHAnsi"/>
          <w:color w:val="2E2E2E"/>
        </w:rPr>
        <w:t> starting with </w:t>
      </w:r>
      <w:bookmarkStart w:id="3" w:name="bbb0215"/>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"bb0215" </w:instrText>
      </w:r>
      <w:r w:rsidRPr="00923237">
        <w:rPr>
          <w:rFonts w:cstheme="minorHAnsi"/>
          <w:color w:val="2E2E2E"/>
        </w:rPr>
        <w:fldChar w:fldCharType="separate"/>
      </w:r>
      <w:r w:rsidRPr="00923237">
        <w:rPr>
          <w:rStyle w:val="Hyperlink"/>
          <w:rFonts w:eastAsiaTheme="majorEastAsia" w:cstheme="minorHAnsi"/>
          <w:color w:val="0C7DBB"/>
        </w:rPr>
        <w:t>Modigliani and Miller (1958)</w:t>
      </w:r>
      <w:r w:rsidRPr="00923237">
        <w:rPr>
          <w:rFonts w:cstheme="minorHAnsi"/>
          <w:color w:val="2E2E2E"/>
        </w:rPr>
        <w:fldChar w:fldCharType="end"/>
      </w:r>
      <w:r w:rsidRPr="00923237">
        <w:rPr>
          <w:rFonts w:cstheme="minorHAnsi"/>
          <w:color w:val="2E2E2E"/>
        </w:rPr>
        <w:t> suggests that increased financial </w:t>
      </w:r>
      <w:hyperlink r:id="rId18" w:tooltip="Learn more about Leverage from ScienceDirect's AI-generated Topic Pages" w:history="1">
        <w:r w:rsidRPr="00923237">
          <w:rPr>
            <w:rStyle w:val="Hyperlink"/>
            <w:rFonts w:eastAsiaTheme="majorEastAsia" w:cstheme="minorHAnsi"/>
            <w:color w:val="0C7DBB"/>
          </w:rPr>
          <w:t>leverage</w:t>
        </w:r>
      </w:hyperlink>
      <w:r w:rsidRPr="00923237">
        <w:rPr>
          <w:rFonts w:cstheme="minorHAnsi"/>
          <w:color w:val="2E2E2E"/>
        </w:rPr>
        <w:t> increases the risk to equity holders and thus, raises their required rate of return. Other work based on either </w:t>
      </w:r>
      <w:hyperlink r:id="rId19" w:tooltip="Learn more about Asymmetric Information from ScienceDirect's AI-generated Topic Pages" w:history="1">
        <w:r w:rsidRPr="00923237">
          <w:rPr>
            <w:rStyle w:val="Hyperlink"/>
            <w:rFonts w:eastAsiaTheme="majorEastAsia" w:cstheme="minorHAnsi"/>
            <w:color w:val="0C7DBB"/>
          </w:rPr>
          <w:t>information asymmetry</w:t>
        </w:r>
      </w:hyperlink>
      <w:r w:rsidRPr="00923237">
        <w:rPr>
          <w:rFonts w:cstheme="minorHAnsi"/>
          <w:color w:val="2E2E2E"/>
        </w:rPr>
        <w:t> or on agency costs also predicts a positive association between financial leverage and returns (e.g. </w:t>
      </w:r>
      <w:bookmarkStart w:id="4" w:name="bbb0260"/>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"bb0260" </w:instrText>
      </w:r>
      <w:r w:rsidRPr="00923237">
        <w:rPr>
          <w:rFonts w:cstheme="minorHAnsi"/>
          <w:color w:val="2E2E2E"/>
        </w:rPr>
        <w:fldChar w:fldCharType="separate"/>
      </w:r>
      <w:r w:rsidRPr="00923237">
        <w:rPr>
          <w:rStyle w:val="Hyperlink"/>
          <w:rFonts w:eastAsiaTheme="majorEastAsia" w:cstheme="minorHAnsi"/>
          <w:color w:val="0C7DBB"/>
        </w:rPr>
        <w:t>Ross (1977)</w:t>
      </w:r>
      <w:r w:rsidRPr="00923237">
        <w:rPr>
          <w:rFonts w:cstheme="minorHAnsi"/>
          <w:color w:val="2E2E2E"/>
        </w:rPr>
        <w:fldChar w:fldCharType="end"/>
      </w:r>
      <w:r w:rsidRPr="00923237">
        <w:rPr>
          <w:rFonts w:cstheme="minorHAnsi"/>
          <w:color w:val="2E2E2E"/>
        </w:rPr>
        <w:t>, </w:t>
      </w:r>
      <w:bookmarkStart w:id="5" w:name="bbb0170"/>
      <w:proofErr w:type="spellStart"/>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"bb0170" </w:instrText>
      </w:r>
      <w:r w:rsidRPr="00923237">
        <w:rPr>
          <w:rFonts w:cstheme="minorHAnsi"/>
          <w:color w:val="2E2E2E"/>
        </w:rPr>
        <w:fldChar w:fldCharType="separate"/>
      </w:r>
      <w:r w:rsidRPr="00923237">
        <w:rPr>
          <w:rStyle w:val="Hyperlink"/>
          <w:rFonts w:eastAsiaTheme="majorEastAsia" w:cstheme="minorHAnsi"/>
          <w:color w:val="0C7DBB"/>
        </w:rPr>
        <w:t>Hirshleifer</w:t>
      </w:r>
      <w:proofErr w:type="spellEnd"/>
      <w:r w:rsidRPr="00923237">
        <w:rPr>
          <w:rStyle w:val="Hyperlink"/>
          <w:rFonts w:eastAsiaTheme="majorEastAsia" w:cstheme="minorHAnsi"/>
          <w:color w:val="0C7DBB"/>
        </w:rPr>
        <w:t xml:space="preserve"> and </w:t>
      </w:r>
      <w:proofErr w:type="spellStart"/>
      <w:r w:rsidRPr="00923237">
        <w:rPr>
          <w:rStyle w:val="Hyperlink"/>
          <w:rFonts w:eastAsiaTheme="majorEastAsia" w:cstheme="minorHAnsi"/>
          <w:color w:val="0C7DBB"/>
        </w:rPr>
        <w:t>Thakor</w:t>
      </w:r>
      <w:proofErr w:type="spellEnd"/>
      <w:r w:rsidRPr="00923237">
        <w:rPr>
          <w:rStyle w:val="Hyperlink"/>
          <w:rFonts w:eastAsiaTheme="majorEastAsia" w:cstheme="minorHAnsi"/>
          <w:color w:val="0C7DBB"/>
        </w:rPr>
        <w:t xml:space="preserve"> (1992)</w:t>
      </w:r>
      <w:r w:rsidRPr="00923237">
        <w:rPr>
          <w:rFonts w:cstheme="minorHAnsi"/>
          <w:color w:val="2E2E2E"/>
        </w:rPr>
        <w:fldChar w:fldCharType="end"/>
      </w:r>
      <w:r w:rsidRPr="00923237">
        <w:rPr>
          <w:rFonts w:cstheme="minorHAnsi"/>
          <w:color w:val="2E2E2E"/>
        </w:rPr>
        <w:t>, </w:t>
      </w:r>
      <w:bookmarkStart w:id="6" w:name="bbb0130"/>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"bb0130" </w:instrText>
      </w:r>
      <w:r w:rsidRPr="00923237">
        <w:rPr>
          <w:rFonts w:cstheme="minorHAnsi"/>
          <w:color w:val="2E2E2E"/>
        </w:rPr>
        <w:fldChar w:fldCharType="separate"/>
      </w:r>
      <w:r w:rsidRPr="00923237">
        <w:rPr>
          <w:rStyle w:val="Hyperlink"/>
          <w:rFonts w:eastAsiaTheme="majorEastAsia" w:cstheme="minorHAnsi"/>
          <w:color w:val="0C7DBB"/>
        </w:rPr>
        <w:t xml:space="preserve">Harris and </w:t>
      </w:r>
      <w:proofErr w:type="spellStart"/>
      <w:r w:rsidRPr="00923237">
        <w:rPr>
          <w:rStyle w:val="Hyperlink"/>
          <w:rFonts w:eastAsiaTheme="majorEastAsia" w:cstheme="minorHAnsi"/>
          <w:color w:val="0C7DBB"/>
        </w:rPr>
        <w:t>Raviv</w:t>
      </w:r>
      <w:proofErr w:type="spellEnd"/>
      <w:r w:rsidRPr="00923237">
        <w:rPr>
          <w:rStyle w:val="Hyperlink"/>
          <w:rFonts w:eastAsiaTheme="majorEastAsia" w:cstheme="minorHAnsi"/>
          <w:color w:val="0C7DBB"/>
        </w:rPr>
        <w:t xml:space="preserve"> (1990)</w:t>
      </w:r>
      <w:r w:rsidRPr="00923237">
        <w:rPr>
          <w:rFonts w:cstheme="minorHAnsi"/>
          <w:color w:val="2E2E2E"/>
        </w:rPr>
        <w:fldChar w:fldCharType="end"/>
      </w:r>
      <w:r w:rsidRPr="00923237">
        <w:rPr>
          <w:rFonts w:cstheme="minorHAnsi"/>
          <w:color w:val="2E2E2E"/>
        </w:rPr>
        <w:t>, </w:t>
      </w:r>
      <w:bookmarkStart w:id="7" w:name="bbb0265"/>
      <w:proofErr w:type="spellStart"/>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"bb0265" </w:instrText>
      </w:r>
      <w:r w:rsidRPr="00923237">
        <w:rPr>
          <w:rFonts w:cstheme="minorHAnsi"/>
          <w:color w:val="2E2E2E"/>
        </w:rPr>
        <w:fldChar w:fldCharType="separate"/>
      </w:r>
      <w:r w:rsidRPr="00923237">
        <w:rPr>
          <w:rStyle w:val="Hyperlink"/>
          <w:rFonts w:eastAsiaTheme="majorEastAsia" w:cstheme="minorHAnsi"/>
          <w:color w:val="0C7DBB"/>
        </w:rPr>
        <w:t>Stulz</w:t>
      </w:r>
      <w:proofErr w:type="spellEnd"/>
      <w:r w:rsidRPr="00923237">
        <w:rPr>
          <w:rStyle w:val="Hyperlink"/>
          <w:rFonts w:eastAsiaTheme="majorEastAsia" w:cstheme="minorHAnsi"/>
          <w:color w:val="0C7DBB"/>
        </w:rPr>
        <w:t xml:space="preserve"> (1990)</w:t>
      </w:r>
      <w:r w:rsidRPr="00923237">
        <w:rPr>
          <w:rFonts w:cstheme="minorHAnsi"/>
          <w:color w:val="2E2E2E"/>
        </w:rPr>
        <w:fldChar w:fldCharType="end"/>
      </w:r>
      <w:r w:rsidRPr="00923237">
        <w:rPr>
          <w:rFonts w:cstheme="minorHAnsi"/>
          <w:color w:val="2E2E2E"/>
        </w:rPr>
        <w:t>, and </w:t>
      </w:r>
      <w:bookmarkStart w:id="8" w:name="bbb0115"/>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"bb0115" </w:instrText>
      </w:r>
      <w:r w:rsidRPr="00923237">
        <w:rPr>
          <w:rFonts w:cstheme="minorHAnsi"/>
          <w:color w:val="2E2E2E"/>
        </w:rPr>
        <w:fldChar w:fldCharType="separate"/>
      </w:r>
      <w:r w:rsidRPr="00923237">
        <w:rPr>
          <w:rStyle w:val="Hyperlink"/>
          <w:rFonts w:eastAsiaTheme="majorEastAsia" w:cstheme="minorHAnsi"/>
          <w:color w:val="0C7DBB"/>
        </w:rPr>
        <w:t>Gomes and Schmid (2010)</w:t>
      </w:r>
      <w:r w:rsidRPr="00923237">
        <w:rPr>
          <w:rFonts w:cstheme="minorHAnsi"/>
          <w:color w:val="2E2E2E"/>
        </w:rPr>
        <w:fldChar w:fldCharType="end"/>
      </w:r>
      <w:r w:rsidRPr="00923237">
        <w:rPr>
          <w:rFonts w:cstheme="minorHAnsi"/>
          <w:color w:val="2E2E2E"/>
        </w:rPr>
        <w:t>). However, the empirical evidence on this issue is mixed. While </w:t>
      </w:r>
      <w:bookmarkStart w:id="9" w:name="bbb0045"/>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"bb0045" </w:instrText>
      </w:r>
      <w:r w:rsidRPr="00923237">
        <w:rPr>
          <w:rFonts w:cstheme="minorHAnsi"/>
          <w:color w:val="2E2E2E"/>
        </w:rPr>
        <w:fldChar w:fldCharType="separate"/>
      </w:r>
      <w:r w:rsidRPr="00923237">
        <w:rPr>
          <w:rStyle w:val="Hyperlink"/>
          <w:rFonts w:eastAsiaTheme="majorEastAsia" w:cstheme="minorHAnsi"/>
          <w:color w:val="0C7DBB"/>
        </w:rPr>
        <w:t>Bhandari (1988)</w:t>
      </w:r>
      <w:r w:rsidRPr="00923237">
        <w:rPr>
          <w:rFonts w:cstheme="minorHAnsi"/>
          <w:color w:val="2E2E2E"/>
        </w:rPr>
        <w:fldChar w:fldCharType="end"/>
      </w:r>
      <w:r w:rsidRPr="00923237">
        <w:rPr>
          <w:rFonts w:cstheme="minorHAnsi"/>
          <w:color w:val="2E2E2E"/>
        </w:rPr>
        <w:t> and </w:t>
      </w:r>
      <w:bookmarkStart w:id="10" w:name="bbb0075"/>
      <w:proofErr w:type="spellStart"/>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"bb0075" </w:instrText>
      </w:r>
      <w:r w:rsidRPr="00923237">
        <w:rPr>
          <w:rFonts w:cstheme="minorHAnsi"/>
          <w:color w:val="2E2E2E"/>
        </w:rPr>
        <w:fldChar w:fldCharType="separate"/>
      </w:r>
      <w:r w:rsidRPr="00923237">
        <w:rPr>
          <w:rStyle w:val="Hyperlink"/>
          <w:rFonts w:eastAsiaTheme="majorEastAsia" w:cstheme="minorHAnsi"/>
          <w:color w:val="0C7DBB"/>
        </w:rPr>
        <w:t>Fama</w:t>
      </w:r>
      <w:proofErr w:type="spellEnd"/>
      <w:r w:rsidRPr="00923237">
        <w:rPr>
          <w:rStyle w:val="Hyperlink"/>
          <w:rFonts w:eastAsiaTheme="majorEastAsia" w:cstheme="minorHAnsi"/>
          <w:color w:val="0C7DBB"/>
        </w:rPr>
        <w:t xml:space="preserve"> and French (1992)</w:t>
      </w:r>
      <w:r w:rsidRPr="00923237">
        <w:rPr>
          <w:rFonts w:cstheme="minorHAnsi"/>
          <w:color w:val="2E2E2E"/>
        </w:rPr>
        <w:fldChar w:fldCharType="end"/>
      </w:r>
      <w:r w:rsidRPr="00923237">
        <w:rPr>
          <w:rFonts w:cstheme="minorHAnsi"/>
          <w:color w:val="2E2E2E"/>
        </w:rPr>
        <w:t> find a positive relation between leverage and expected returns, </w:t>
      </w:r>
      <w:bookmarkStart w:id="11" w:name="bbb0245"/>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"bb0245" </w:instrText>
      </w:r>
      <w:r w:rsidRPr="00923237">
        <w:rPr>
          <w:rFonts w:cstheme="minorHAnsi"/>
          <w:color w:val="2E2E2E"/>
        </w:rPr>
        <w:fldChar w:fldCharType="separate"/>
      </w:r>
      <w:r w:rsidRPr="00923237">
        <w:rPr>
          <w:rStyle w:val="Hyperlink"/>
          <w:rFonts w:eastAsiaTheme="majorEastAsia" w:cstheme="minorHAnsi"/>
          <w:color w:val="0C7DBB"/>
        </w:rPr>
        <w:t>Penman et al. (2007)</w:t>
      </w:r>
      <w:r w:rsidRPr="00923237">
        <w:rPr>
          <w:rFonts w:cstheme="minorHAnsi"/>
          <w:color w:val="2E2E2E"/>
        </w:rPr>
        <w:fldChar w:fldCharType="end"/>
      </w:r>
      <w:r w:rsidRPr="00923237">
        <w:rPr>
          <w:rFonts w:cstheme="minorHAnsi"/>
          <w:color w:val="2E2E2E"/>
        </w:rPr>
        <w:t>, </w:t>
      </w:r>
      <w:bookmarkStart w:id="12" w:name="bbb0070"/>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"bb0070" </w:instrText>
      </w:r>
      <w:r w:rsidRPr="00923237">
        <w:rPr>
          <w:rFonts w:cstheme="minorHAnsi"/>
          <w:color w:val="2E2E2E"/>
        </w:rPr>
        <w:fldChar w:fldCharType="separate"/>
      </w:r>
      <w:r w:rsidRPr="00923237">
        <w:rPr>
          <w:rStyle w:val="Hyperlink"/>
          <w:rFonts w:eastAsiaTheme="majorEastAsia" w:cstheme="minorHAnsi"/>
          <w:color w:val="0C7DBB"/>
        </w:rPr>
        <w:t>Dimitrov and Jain (2008)</w:t>
      </w:r>
      <w:r w:rsidRPr="00923237">
        <w:rPr>
          <w:rFonts w:cstheme="minorHAnsi"/>
          <w:color w:val="2E2E2E"/>
        </w:rPr>
        <w:fldChar w:fldCharType="end"/>
      </w:r>
      <w:bookmarkEnd w:id="12"/>
      <w:r w:rsidRPr="00923237">
        <w:rPr>
          <w:rFonts w:cstheme="minorHAnsi"/>
          <w:color w:val="2E2E2E"/>
        </w:rPr>
        <w:t>, and </w:t>
      </w:r>
      <w:bookmarkStart w:id="13" w:name="bbb0090"/>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"bb0090" </w:instrText>
      </w:r>
      <w:r w:rsidRPr="00923237">
        <w:rPr>
          <w:rFonts w:cstheme="minorHAnsi"/>
          <w:color w:val="2E2E2E"/>
        </w:rPr>
        <w:fldChar w:fldCharType="separate"/>
      </w:r>
      <w:r w:rsidRPr="00923237">
        <w:rPr>
          <w:rStyle w:val="Hyperlink"/>
          <w:rFonts w:eastAsiaTheme="majorEastAsia" w:cstheme="minorHAnsi"/>
          <w:color w:val="0C7DBB"/>
        </w:rPr>
        <w:t>George and Hwang (2010)</w:t>
      </w:r>
      <w:r w:rsidRPr="00923237">
        <w:rPr>
          <w:rFonts w:cstheme="minorHAnsi"/>
          <w:color w:val="2E2E2E"/>
        </w:rPr>
        <w:fldChar w:fldCharType="end"/>
      </w:r>
      <w:r w:rsidRPr="00923237">
        <w:rPr>
          <w:rFonts w:cstheme="minorHAnsi"/>
          <w:color w:val="2E2E2E"/>
        </w:rPr>
        <w:t> find the opposite. Furthermore, </w:t>
      </w:r>
      <w:bookmarkStart w:id="14" w:name="bbb0085"/>
      <w:proofErr w:type="spellStart"/>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"bb0085" </w:instrText>
      </w:r>
      <w:r w:rsidRPr="00923237">
        <w:rPr>
          <w:rFonts w:cstheme="minorHAnsi"/>
          <w:color w:val="2E2E2E"/>
        </w:rPr>
        <w:fldChar w:fldCharType="separate"/>
      </w:r>
      <w:r w:rsidRPr="00923237">
        <w:rPr>
          <w:rStyle w:val="Hyperlink"/>
          <w:rFonts w:eastAsiaTheme="majorEastAsia" w:cstheme="minorHAnsi"/>
          <w:color w:val="0C7DBB"/>
        </w:rPr>
        <w:t>Garlappi</w:t>
      </w:r>
      <w:proofErr w:type="spellEnd"/>
      <w:r w:rsidRPr="00923237">
        <w:rPr>
          <w:rStyle w:val="Hyperlink"/>
          <w:rFonts w:eastAsiaTheme="majorEastAsia" w:cstheme="minorHAnsi"/>
          <w:color w:val="0C7DBB"/>
        </w:rPr>
        <w:t xml:space="preserve"> et al. (2006)</w:t>
      </w:r>
      <w:r w:rsidRPr="00923237">
        <w:rPr>
          <w:rFonts w:cstheme="minorHAnsi"/>
          <w:color w:val="2E2E2E"/>
        </w:rPr>
        <w:fldChar w:fldCharType="end"/>
      </w:r>
      <w:bookmarkEnd w:id="14"/>
      <w:r w:rsidRPr="00923237">
        <w:rPr>
          <w:rFonts w:cstheme="minorHAnsi"/>
          <w:color w:val="2E2E2E"/>
        </w:rPr>
        <w:t> and </w:t>
      </w:r>
      <w:bookmarkStart w:id="15" w:name="bbb0195"/>
      <w:proofErr w:type="spellStart"/>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"bb0195" </w:instrText>
      </w:r>
      <w:r w:rsidRPr="00923237">
        <w:rPr>
          <w:rFonts w:cstheme="minorHAnsi"/>
          <w:color w:val="2E2E2E"/>
        </w:rPr>
        <w:fldChar w:fldCharType="separate"/>
      </w:r>
      <w:r w:rsidRPr="00923237">
        <w:rPr>
          <w:rStyle w:val="Hyperlink"/>
          <w:rFonts w:eastAsiaTheme="majorEastAsia" w:cstheme="minorHAnsi"/>
          <w:color w:val="0C7DBB"/>
        </w:rPr>
        <w:t>Korteweg</w:t>
      </w:r>
      <w:proofErr w:type="spellEnd"/>
      <w:r w:rsidRPr="00923237">
        <w:rPr>
          <w:rStyle w:val="Hyperlink"/>
          <w:rFonts w:eastAsiaTheme="majorEastAsia" w:cstheme="minorHAnsi"/>
          <w:color w:val="0C7DBB"/>
        </w:rPr>
        <w:t xml:space="preserve"> (2010)</w:t>
      </w:r>
      <w:r w:rsidRPr="00923237">
        <w:rPr>
          <w:rFonts w:cstheme="minorHAnsi"/>
          <w:color w:val="2E2E2E"/>
        </w:rPr>
        <w:fldChar w:fldCharType="end"/>
      </w:r>
      <w:bookmarkEnd w:id="15"/>
      <w:r w:rsidRPr="00923237">
        <w:rPr>
          <w:rFonts w:cstheme="minorHAnsi"/>
          <w:color w:val="2E2E2E"/>
        </w:rPr>
        <w:t> find a non-linear relation between leverage and </w:t>
      </w:r>
      <w:hyperlink r:id="rId20" w:tooltip="Learn more about Capital Market Returns from ScienceDirect's AI-generated Topic Pages" w:history="1">
        <w:r w:rsidRPr="00923237">
          <w:rPr>
            <w:rStyle w:val="Hyperlink"/>
            <w:rFonts w:eastAsiaTheme="majorEastAsia" w:cstheme="minorHAnsi"/>
            <w:color w:val="0C7DBB"/>
          </w:rPr>
          <w:t>abnormal returns</w:t>
        </w:r>
      </w:hyperlink>
      <w:r w:rsidRPr="00923237">
        <w:rPr>
          <w:rFonts w:cstheme="minorHAnsi"/>
          <w:color w:val="2E2E2E"/>
        </w:rPr>
        <w:t>.</w:t>
      </w:r>
    </w:p>
    <w:p w14:paraId="078F457D" w14:textId="77777777" w:rsidR="00A4606E" w:rsidRPr="00923237" w:rsidRDefault="006C60C6" w:rsidP="00D8247D">
      <w:pPr>
        <w:rPr>
          <w:rFonts w:cstheme="minorHAnsi"/>
          <w:color w:val="2E2E2E"/>
        </w:rPr>
      </w:pPr>
      <w:hyperlink r:id="rId21" w:tooltip="Learn more about Agency Theory from ScienceDirect's AI-generated Topic Pages" w:history="1">
        <w:r w:rsidR="00A4606E" w:rsidRPr="00923237">
          <w:rPr>
            <w:rStyle w:val="Hyperlink"/>
            <w:rFonts w:eastAsiaTheme="majorEastAsia" w:cstheme="minorHAnsi"/>
            <w:color w:val="0C7DBB"/>
          </w:rPr>
          <w:t>Agency theory</w:t>
        </w:r>
      </w:hyperlink>
      <w:r w:rsidR="00A4606E" w:rsidRPr="00923237">
        <w:rPr>
          <w:rFonts w:cstheme="minorHAnsi"/>
          <w:color w:val="2E2E2E"/>
        </w:rPr>
        <w:t> also suggests that debt can act as a self-enforcing mechanism to mitigate conflicts of interest between managers and shareholders (e.g. </w:t>
      </w:r>
      <w:bookmarkStart w:id="16" w:name="bbb0120"/>
      <w:r w:rsidR="00A4606E" w:rsidRPr="00923237">
        <w:rPr>
          <w:rFonts w:cstheme="minorHAnsi"/>
          <w:color w:val="2E2E2E"/>
        </w:rPr>
        <w:fldChar w:fldCharType="begin"/>
      </w:r>
      <w:r w:rsidR="00A4606E" w:rsidRPr="00923237">
        <w:rPr>
          <w:rFonts w:cstheme="minorHAnsi"/>
          <w:color w:val="2E2E2E"/>
        </w:rPr>
        <w:instrText xml:space="preserve"> HYPERLINK "https://0-www-sciencedirect-com.libus.csd.mu.edu/science/article/pii/S0929119917307344" \l "bb0120" </w:instrText>
      </w:r>
      <w:r w:rsidR="00A4606E" w:rsidRPr="00923237">
        <w:rPr>
          <w:rFonts w:cstheme="minorHAnsi"/>
          <w:color w:val="2E2E2E"/>
        </w:rPr>
        <w:fldChar w:fldCharType="separate"/>
      </w:r>
      <w:r w:rsidR="00A4606E" w:rsidRPr="00923237">
        <w:rPr>
          <w:rStyle w:val="Hyperlink"/>
          <w:rFonts w:eastAsiaTheme="majorEastAsia" w:cstheme="minorHAnsi"/>
          <w:color w:val="0C7DBB"/>
        </w:rPr>
        <w:t>Grossman and Hart (1982)</w:t>
      </w:r>
      <w:r w:rsidR="00A4606E" w:rsidRPr="00923237">
        <w:rPr>
          <w:rFonts w:cstheme="minorHAnsi"/>
          <w:color w:val="2E2E2E"/>
        </w:rPr>
        <w:fldChar w:fldCharType="end"/>
      </w:r>
      <w:r w:rsidR="00A4606E" w:rsidRPr="00923237">
        <w:rPr>
          <w:rFonts w:cstheme="minorHAnsi"/>
          <w:color w:val="2E2E2E"/>
        </w:rPr>
        <w:t>, </w:t>
      </w:r>
      <w:bookmarkStart w:id="17" w:name="bbb0175"/>
      <w:r w:rsidR="00A4606E" w:rsidRPr="00923237">
        <w:rPr>
          <w:rFonts w:cstheme="minorHAnsi"/>
          <w:color w:val="2E2E2E"/>
        </w:rPr>
        <w:fldChar w:fldCharType="begin"/>
      </w:r>
      <w:r w:rsidR="00A4606E" w:rsidRPr="00923237">
        <w:rPr>
          <w:rFonts w:cstheme="minorHAnsi"/>
          <w:color w:val="2E2E2E"/>
        </w:rPr>
        <w:instrText xml:space="preserve"> HYPERLINK "https://0-www-sciencedirect-com.libus.csd.mu.edu/science/article/pii/S0929119917307344" \l "bb0175" </w:instrText>
      </w:r>
      <w:r w:rsidR="00A4606E" w:rsidRPr="00923237">
        <w:rPr>
          <w:rFonts w:cstheme="minorHAnsi"/>
          <w:color w:val="2E2E2E"/>
        </w:rPr>
        <w:fldChar w:fldCharType="separate"/>
      </w:r>
      <w:r w:rsidR="00A4606E" w:rsidRPr="00923237">
        <w:rPr>
          <w:rStyle w:val="Hyperlink"/>
          <w:rFonts w:eastAsiaTheme="majorEastAsia" w:cstheme="minorHAnsi"/>
          <w:color w:val="0C7DBB"/>
        </w:rPr>
        <w:t>Jensen (1986)</w:t>
      </w:r>
      <w:r w:rsidR="00A4606E" w:rsidRPr="00923237">
        <w:rPr>
          <w:rFonts w:cstheme="minorHAnsi"/>
          <w:color w:val="2E2E2E"/>
        </w:rPr>
        <w:fldChar w:fldCharType="end"/>
      </w:r>
      <w:r w:rsidR="00A4606E" w:rsidRPr="00923237">
        <w:rPr>
          <w:rFonts w:cstheme="minorHAnsi"/>
          <w:color w:val="2E2E2E"/>
        </w:rPr>
        <w:t>, </w:t>
      </w:r>
      <w:proofErr w:type="spellStart"/>
      <w:r w:rsidR="00EB1576" w:rsidRPr="00923237">
        <w:fldChar w:fldCharType="begin"/>
      </w:r>
      <w:r w:rsidR="00EB1576" w:rsidRPr="00923237">
        <w:rPr>
          <w:rFonts w:cstheme="minorHAnsi"/>
        </w:rPr>
        <w:instrText xml:space="preserve"> HYPERLINK "https://0-www-sciencedirect-com.libus.csd.mu.edu/science/article/pii/S0929119917307344" \l "bb0265" </w:instrText>
      </w:r>
      <w:r w:rsidR="00EB1576" w:rsidRPr="00923237">
        <w:fldChar w:fldCharType="separate"/>
      </w:r>
      <w:r w:rsidR="00A4606E" w:rsidRPr="00923237">
        <w:rPr>
          <w:rStyle w:val="Hyperlink"/>
          <w:rFonts w:eastAsiaTheme="majorEastAsia" w:cstheme="minorHAnsi"/>
          <w:color w:val="0C7DBB"/>
        </w:rPr>
        <w:t>Stulz</w:t>
      </w:r>
      <w:proofErr w:type="spellEnd"/>
      <w:r w:rsidR="00A4606E" w:rsidRPr="00923237">
        <w:rPr>
          <w:rStyle w:val="Hyperlink"/>
          <w:rFonts w:eastAsiaTheme="majorEastAsia" w:cstheme="minorHAnsi"/>
          <w:color w:val="0C7DBB"/>
        </w:rPr>
        <w:t xml:space="preserve"> (1990)</w:t>
      </w:r>
      <w:r w:rsidR="00EB1576" w:rsidRPr="00923237">
        <w:rPr>
          <w:rStyle w:val="Hyperlink"/>
          <w:rFonts w:eastAsiaTheme="majorEastAsia" w:cstheme="minorHAnsi"/>
          <w:color w:val="0C7DBB"/>
        </w:rPr>
        <w:fldChar w:fldCharType="end"/>
      </w:r>
      <w:r w:rsidR="00A4606E" w:rsidRPr="00923237">
        <w:rPr>
          <w:rFonts w:cstheme="minorHAnsi"/>
          <w:color w:val="2E2E2E"/>
        </w:rPr>
        <w:t>, </w:t>
      </w:r>
      <w:bookmarkStart w:id="18" w:name="bbb0145"/>
      <w:r w:rsidR="00A4606E" w:rsidRPr="00923237">
        <w:rPr>
          <w:rFonts w:cstheme="minorHAnsi"/>
          <w:color w:val="2E2E2E"/>
        </w:rPr>
        <w:fldChar w:fldCharType="begin"/>
      </w:r>
      <w:r w:rsidR="00A4606E" w:rsidRPr="00923237">
        <w:rPr>
          <w:rFonts w:cstheme="minorHAnsi"/>
          <w:color w:val="2E2E2E"/>
        </w:rPr>
        <w:instrText xml:space="preserve"> HYPERLINK "https://0-www-sciencedirect-com.libus.csd.mu.edu/science/article/pii/S0929119917307344" \l "bb0145" </w:instrText>
      </w:r>
      <w:r w:rsidR="00A4606E" w:rsidRPr="00923237">
        <w:rPr>
          <w:rFonts w:cstheme="minorHAnsi"/>
          <w:color w:val="2E2E2E"/>
        </w:rPr>
        <w:fldChar w:fldCharType="separate"/>
      </w:r>
      <w:r w:rsidR="00A4606E" w:rsidRPr="00923237">
        <w:rPr>
          <w:rStyle w:val="Hyperlink"/>
          <w:rFonts w:eastAsiaTheme="majorEastAsia" w:cstheme="minorHAnsi"/>
          <w:color w:val="0C7DBB"/>
        </w:rPr>
        <w:t>Hart and Moore (1995)</w:t>
      </w:r>
      <w:r w:rsidR="00A4606E" w:rsidRPr="00923237">
        <w:rPr>
          <w:rFonts w:cstheme="minorHAnsi"/>
          <w:color w:val="2E2E2E"/>
        </w:rPr>
        <w:fldChar w:fldCharType="end"/>
      </w:r>
      <w:r w:rsidR="00A4606E" w:rsidRPr="00923237">
        <w:rPr>
          <w:rFonts w:cstheme="minorHAnsi"/>
          <w:color w:val="2E2E2E"/>
        </w:rPr>
        <w:t>, </w:t>
      </w:r>
      <w:bookmarkStart w:id="19" w:name="bbb0285"/>
      <w:r w:rsidR="00A4606E" w:rsidRPr="00923237">
        <w:rPr>
          <w:rFonts w:cstheme="minorHAnsi"/>
          <w:color w:val="2E2E2E"/>
        </w:rPr>
        <w:fldChar w:fldCharType="begin"/>
      </w:r>
      <w:r w:rsidR="00A4606E" w:rsidRPr="00923237">
        <w:rPr>
          <w:rFonts w:cstheme="minorHAnsi"/>
          <w:color w:val="2E2E2E"/>
        </w:rPr>
        <w:instrText xml:space="preserve"> HYPERLINK "https://0-www-sciencedirect-com.libus.csd.mu.edu/science/article/pii/S0929119917307344" \l "bb0285" </w:instrText>
      </w:r>
      <w:r w:rsidR="00A4606E" w:rsidRPr="00923237">
        <w:rPr>
          <w:rFonts w:cstheme="minorHAnsi"/>
          <w:color w:val="2E2E2E"/>
        </w:rPr>
        <w:fldChar w:fldCharType="separate"/>
      </w:r>
      <w:r w:rsidR="00A4606E" w:rsidRPr="00923237">
        <w:rPr>
          <w:rStyle w:val="Hyperlink"/>
          <w:rFonts w:eastAsiaTheme="majorEastAsia" w:cstheme="minorHAnsi"/>
          <w:color w:val="0C7DBB"/>
        </w:rPr>
        <w:t>Williamson (1988)</w:t>
      </w:r>
      <w:r w:rsidR="00A4606E" w:rsidRPr="00923237">
        <w:rPr>
          <w:rFonts w:cstheme="minorHAnsi"/>
          <w:color w:val="2E2E2E"/>
        </w:rPr>
        <w:fldChar w:fldCharType="end"/>
      </w:r>
      <w:r w:rsidR="00A4606E" w:rsidRPr="00923237">
        <w:rPr>
          <w:rFonts w:cstheme="minorHAnsi"/>
          <w:color w:val="2E2E2E"/>
        </w:rPr>
        <w:t>, </w:t>
      </w:r>
      <w:bookmarkStart w:id="20" w:name="bbb0255"/>
      <w:proofErr w:type="spellStart"/>
      <w:r w:rsidR="00A4606E" w:rsidRPr="00923237">
        <w:rPr>
          <w:rFonts w:cstheme="minorHAnsi"/>
          <w:color w:val="2E2E2E"/>
        </w:rPr>
        <w:fldChar w:fldCharType="begin"/>
      </w:r>
      <w:r w:rsidR="00A4606E" w:rsidRPr="00923237">
        <w:rPr>
          <w:rFonts w:cstheme="minorHAnsi"/>
          <w:color w:val="2E2E2E"/>
        </w:rPr>
        <w:instrText xml:space="preserve"> HYPERLINK "https://0-www-sciencedirect-com.libus.csd.mu.edu/science/article/pii/S0929119917307344" \l "bb0255" </w:instrText>
      </w:r>
      <w:r w:rsidR="00A4606E" w:rsidRPr="00923237">
        <w:rPr>
          <w:rFonts w:cstheme="minorHAnsi"/>
          <w:color w:val="2E2E2E"/>
        </w:rPr>
        <w:fldChar w:fldCharType="separate"/>
      </w:r>
      <w:r w:rsidR="00A4606E" w:rsidRPr="00923237">
        <w:rPr>
          <w:rStyle w:val="Hyperlink"/>
          <w:rFonts w:eastAsiaTheme="majorEastAsia" w:cstheme="minorHAnsi"/>
          <w:color w:val="0C7DBB"/>
        </w:rPr>
        <w:t>Rajan</w:t>
      </w:r>
      <w:proofErr w:type="spellEnd"/>
      <w:r w:rsidR="00A4606E" w:rsidRPr="00923237">
        <w:rPr>
          <w:rStyle w:val="Hyperlink"/>
          <w:rFonts w:eastAsiaTheme="majorEastAsia" w:cstheme="minorHAnsi"/>
          <w:color w:val="0C7DBB"/>
        </w:rPr>
        <w:t xml:space="preserve"> and Winton (1995)</w:t>
      </w:r>
      <w:r w:rsidR="00A4606E" w:rsidRPr="00923237">
        <w:rPr>
          <w:rFonts w:cstheme="minorHAnsi"/>
          <w:color w:val="2E2E2E"/>
        </w:rPr>
        <w:fldChar w:fldCharType="end"/>
      </w:r>
      <w:r w:rsidR="00A4606E" w:rsidRPr="00923237">
        <w:rPr>
          <w:rFonts w:cstheme="minorHAnsi"/>
          <w:color w:val="2E2E2E"/>
        </w:rPr>
        <w:t>, and </w:t>
      </w:r>
      <w:bookmarkStart w:id="21" w:name="bbb0270"/>
      <w:proofErr w:type="spellStart"/>
      <w:r w:rsidR="00A4606E" w:rsidRPr="00923237">
        <w:rPr>
          <w:rFonts w:cstheme="minorHAnsi"/>
          <w:color w:val="2E2E2E"/>
        </w:rPr>
        <w:fldChar w:fldCharType="begin"/>
      </w:r>
      <w:r w:rsidR="00A4606E" w:rsidRPr="00923237">
        <w:rPr>
          <w:rFonts w:cstheme="minorHAnsi"/>
          <w:color w:val="2E2E2E"/>
        </w:rPr>
        <w:instrText xml:space="preserve"> HYPERLINK "https://0-www-sciencedirect-com.libus.csd.mu.edu/science/article/pii/S0929119917307344" \l "bb0270" </w:instrText>
      </w:r>
      <w:r w:rsidR="00A4606E" w:rsidRPr="00923237">
        <w:rPr>
          <w:rFonts w:cstheme="minorHAnsi"/>
          <w:color w:val="2E2E2E"/>
        </w:rPr>
        <w:fldChar w:fldCharType="separate"/>
      </w:r>
      <w:r w:rsidR="00A4606E" w:rsidRPr="00923237">
        <w:rPr>
          <w:rStyle w:val="Hyperlink"/>
          <w:rFonts w:eastAsiaTheme="majorEastAsia" w:cstheme="minorHAnsi"/>
          <w:color w:val="0C7DBB"/>
        </w:rPr>
        <w:t>Stulz</w:t>
      </w:r>
      <w:proofErr w:type="spellEnd"/>
      <w:r w:rsidR="00A4606E" w:rsidRPr="00923237">
        <w:rPr>
          <w:rStyle w:val="Hyperlink"/>
          <w:rFonts w:eastAsiaTheme="majorEastAsia" w:cstheme="minorHAnsi"/>
          <w:color w:val="0C7DBB"/>
        </w:rPr>
        <w:t xml:space="preserve"> (2000)</w:t>
      </w:r>
      <w:r w:rsidR="00A4606E" w:rsidRPr="00923237">
        <w:rPr>
          <w:rFonts w:cstheme="minorHAnsi"/>
          <w:color w:val="2E2E2E"/>
        </w:rPr>
        <w:fldChar w:fldCharType="end"/>
      </w:r>
      <w:r w:rsidR="00A4606E" w:rsidRPr="00923237">
        <w:rPr>
          <w:rFonts w:cstheme="minorHAnsi"/>
          <w:color w:val="2E2E2E"/>
        </w:rPr>
        <w:t>). The intuition is that debt, and particularly short-term debt, can reduce discretionary funds, thus subjecting managers to the scrutiny of the financial market. Such scrutiny, in turn, reduces managers' self-serving behavior. While emphasizing the use of debt as an effective way to mitigate agency problems, agency theory also highlights the importance of board monitoring in constraining managerial behavior (</w:t>
      </w:r>
      <w:bookmarkStart w:id="22" w:name="bbb0185"/>
      <w:r w:rsidR="00A4606E" w:rsidRPr="00923237">
        <w:rPr>
          <w:rFonts w:cstheme="minorHAnsi"/>
          <w:color w:val="2E2E2E"/>
        </w:rPr>
        <w:fldChar w:fldCharType="begin"/>
      </w:r>
      <w:r w:rsidR="00A4606E" w:rsidRPr="00923237">
        <w:rPr>
          <w:rFonts w:cstheme="minorHAnsi"/>
          <w:color w:val="2E2E2E"/>
        </w:rPr>
        <w:instrText xml:space="preserve"> HYPERLINK "https://0-www-sciencedirect-com.libus.csd.mu.edu/science/article/pii/S0929119917307344" \l "bb0185" </w:instrText>
      </w:r>
      <w:r w:rsidR="00A4606E" w:rsidRPr="00923237">
        <w:rPr>
          <w:rFonts w:cstheme="minorHAnsi"/>
          <w:color w:val="2E2E2E"/>
        </w:rPr>
        <w:fldChar w:fldCharType="separate"/>
      </w:r>
      <w:r w:rsidR="00A4606E" w:rsidRPr="00923237">
        <w:rPr>
          <w:rStyle w:val="Hyperlink"/>
          <w:rFonts w:eastAsiaTheme="majorEastAsia" w:cstheme="minorHAnsi"/>
          <w:color w:val="0C7DBB"/>
        </w:rPr>
        <w:t xml:space="preserve">Jensen and </w:t>
      </w:r>
      <w:proofErr w:type="spellStart"/>
      <w:r w:rsidR="00A4606E" w:rsidRPr="00923237">
        <w:rPr>
          <w:rStyle w:val="Hyperlink"/>
          <w:rFonts w:eastAsiaTheme="majorEastAsia" w:cstheme="minorHAnsi"/>
          <w:color w:val="0C7DBB"/>
        </w:rPr>
        <w:t>Meckling</w:t>
      </w:r>
      <w:proofErr w:type="spellEnd"/>
      <w:r w:rsidR="00A4606E" w:rsidRPr="00923237">
        <w:rPr>
          <w:rStyle w:val="Hyperlink"/>
          <w:rFonts w:eastAsiaTheme="majorEastAsia" w:cstheme="minorHAnsi"/>
          <w:color w:val="0C7DBB"/>
        </w:rPr>
        <w:t xml:space="preserve"> (1976)</w:t>
      </w:r>
      <w:r w:rsidR="00A4606E" w:rsidRPr="00923237">
        <w:rPr>
          <w:rFonts w:cstheme="minorHAnsi"/>
          <w:color w:val="2E2E2E"/>
        </w:rPr>
        <w:fldChar w:fldCharType="end"/>
      </w:r>
      <w:bookmarkEnd w:id="22"/>
      <w:r w:rsidR="00A4606E" w:rsidRPr="00923237">
        <w:rPr>
          <w:rFonts w:cstheme="minorHAnsi"/>
          <w:color w:val="2E2E2E"/>
        </w:rPr>
        <w:t>). However, evidence on the effectiveness of board structure on firm value is also mixed (e.g. </w:t>
      </w:r>
      <w:bookmarkStart w:id="23" w:name="bbb0295"/>
      <w:r w:rsidR="00A4606E" w:rsidRPr="00923237">
        <w:rPr>
          <w:rFonts w:cstheme="minorHAnsi"/>
          <w:color w:val="2E2E2E"/>
        </w:rPr>
        <w:fldChar w:fldCharType="begin"/>
      </w:r>
      <w:r w:rsidR="00A4606E" w:rsidRPr="00923237">
        <w:rPr>
          <w:rFonts w:cstheme="minorHAnsi"/>
          <w:color w:val="2E2E2E"/>
        </w:rPr>
        <w:instrText xml:space="preserve"> HYPERLINK "https://0-www-sciencedirect-com.libus.csd.mu.edu/science/article/pii/S0929119917307344" \l "bb0295" </w:instrText>
      </w:r>
      <w:r w:rsidR="00A4606E" w:rsidRPr="00923237">
        <w:rPr>
          <w:rFonts w:cstheme="minorHAnsi"/>
          <w:color w:val="2E2E2E"/>
        </w:rPr>
        <w:fldChar w:fldCharType="separate"/>
      </w:r>
      <w:r w:rsidR="00A4606E" w:rsidRPr="00923237">
        <w:rPr>
          <w:rStyle w:val="Hyperlink"/>
          <w:rFonts w:eastAsiaTheme="majorEastAsia" w:cstheme="minorHAnsi"/>
          <w:color w:val="0C7DBB"/>
        </w:rPr>
        <w:t>Yermack (1996)</w:t>
      </w:r>
      <w:r w:rsidR="00A4606E" w:rsidRPr="00923237">
        <w:rPr>
          <w:rFonts w:cstheme="minorHAnsi"/>
          <w:color w:val="2E2E2E"/>
        </w:rPr>
        <w:fldChar w:fldCharType="end"/>
      </w:r>
      <w:r w:rsidR="00A4606E" w:rsidRPr="00923237">
        <w:rPr>
          <w:rFonts w:cstheme="minorHAnsi"/>
          <w:color w:val="2E2E2E"/>
        </w:rPr>
        <w:t>, </w:t>
      </w:r>
      <w:bookmarkStart w:id="24" w:name="bbb0060"/>
      <w:r w:rsidR="00A4606E" w:rsidRPr="00923237">
        <w:rPr>
          <w:rFonts w:cstheme="minorHAnsi"/>
          <w:color w:val="2E2E2E"/>
        </w:rPr>
        <w:fldChar w:fldCharType="begin"/>
      </w:r>
      <w:r w:rsidR="00A4606E" w:rsidRPr="00923237">
        <w:rPr>
          <w:rFonts w:cstheme="minorHAnsi"/>
          <w:color w:val="2E2E2E"/>
        </w:rPr>
        <w:instrText xml:space="preserve"> HYPERLINK "https://0-www-sciencedirect-com.libus.csd.mu.edu/science/article/pii/S0929119917307344" \l "bb0060" </w:instrText>
      </w:r>
      <w:r w:rsidR="00A4606E" w:rsidRPr="00923237">
        <w:rPr>
          <w:rFonts w:cstheme="minorHAnsi"/>
          <w:color w:val="2E2E2E"/>
        </w:rPr>
        <w:fldChar w:fldCharType="separate"/>
      </w:r>
      <w:r w:rsidR="00A4606E" w:rsidRPr="00923237">
        <w:rPr>
          <w:rStyle w:val="Hyperlink"/>
          <w:rFonts w:eastAsiaTheme="majorEastAsia" w:cstheme="minorHAnsi"/>
          <w:color w:val="0C7DBB"/>
        </w:rPr>
        <w:t>Coles et al. (2008)</w:t>
      </w:r>
      <w:r w:rsidR="00A4606E" w:rsidRPr="00923237">
        <w:rPr>
          <w:rFonts w:cstheme="minorHAnsi"/>
          <w:color w:val="2E2E2E"/>
        </w:rPr>
        <w:fldChar w:fldCharType="end"/>
      </w:r>
      <w:r w:rsidR="00A4606E" w:rsidRPr="00923237">
        <w:rPr>
          <w:rFonts w:cstheme="minorHAnsi"/>
          <w:color w:val="2E2E2E"/>
        </w:rPr>
        <w:t>, and </w:t>
      </w:r>
      <w:bookmarkStart w:id="25" w:name="bbb0010"/>
      <w:r w:rsidR="00A4606E" w:rsidRPr="00923237">
        <w:rPr>
          <w:rFonts w:cstheme="minorHAnsi"/>
          <w:color w:val="2E2E2E"/>
        </w:rPr>
        <w:fldChar w:fldCharType="begin"/>
      </w:r>
      <w:r w:rsidR="00A4606E" w:rsidRPr="00923237">
        <w:rPr>
          <w:rFonts w:cstheme="minorHAnsi"/>
          <w:color w:val="2E2E2E"/>
        </w:rPr>
        <w:instrText xml:space="preserve"> HYPERLINK "https://0-www-sciencedirect-com.libus.csd.mu.edu/science/article/pii/S0929119917307344" \l "bb0010" </w:instrText>
      </w:r>
      <w:r w:rsidR="00A4606E" w:rsidRPr="00923237">
        <w:rPr>
          <w:rFonts w:cstheme="minorHAnsi"/>
          <w:color w:val="2E2E2E"/>
        </w:rPr>
        <w:fldChar w:fldCharType="separate"/>
      </w:r>
      <w:r w:rsidR="00A4606E" w:rsidRPr="00923237">
        <w:rPr>
          <w:rStyle w:val="Hyperlink"/>
          <w:rFonts w:eastAsiaTheme="majorEastAsia" w:cstheme="minorHAnsi"/>
          <w:color w:val="0C7DBB"/>
        </w:rPr>
        <w:t>Adams et al. (2010)</w:t>
      </w:r>
      <w:r w:rsidR="00A4606E" w:rsidRPr="00923237">
        <w:rPr>
          <w:rFonts w:cstheme="minorHAnsi"/>
          <w:color w:val="2E2E2E"/>
        </w:rPr>
        <w:fldChar w:fldCharType="end"/>
      </w:r>
      <w:r w:rsidR="00A4606E" w:rsidRPr="00923237">
        <w:rPr>
          <w:rFonts w:cstheme="minorHAnsi"/>
          <w:color w:val="2E2E2E"/>
        </w:rPr>
        <w:t>).</w:t>
      </w:r>
    </w:p>
    <w:p w14:paraId="1E697AA5" w14:textId="77777777" w:rsidR="00A4606E" w:rsidRPr="00923237" w:rsidRDefault="00A4606E" w:rsidP="00D8247D">
      <w:pPr>
        <w:rPr>
          <w:rFonts w:cstheme="minorHAnsi"/>
          <w:color w:val="2E2E2E"/>
        </w:rPr>
      </w:pPr>
      <w:r w:rsidRPr="00923237">
        <w:rPr>
          <w:rFonts w:cstheme="minorHAnsi"/>
          <w:color w:val="2E2E2E"/>
        </w:rPr>
        <w:t>We re-examine the link between </w:t>
      </w:r>
      <w:hyperlink r:id="rId22" w:tooltip="Learn more about Board of Directors from ScienceDirect's AI-generated Topic Pages" w:history="1">
        <w:r w:rsidRPr="00923237">
          <w:rPr>
            <w:rStyle w:val="Hyperlink"/>
            <w:rFonts w:eastAsiaTheme="majorEastAsia" w:cstheme="minorHAnsi"/>
            <w:color w:val="0C7DBB"/>
          </w:rPr>
          <w:t>boards of directors</w:t>
        </w:r>
      </w:hyperlink>
      <w:r w:rsidRPr="00923237">
        <w:rPr>
          <w:rFonts w:cstheme="minorHAnsi"/>
          <w:color w:val="2E2E2E"/>
        </w:rPr>
        <w:t>, leverage, and firm performance by focusing on board activity before and after the 2008 </w:t>
      </w:r>
      <w:hyperlink r:id="rId23" w:tooltip="Learn more about Financial Crisis from ScienceDirect's AI-generated Topic Pages" w:history="1">
        <w:r w:rsidRPr="00923237">
          <w:rPr>
            <w:rStyle w:val="Hyperlink"/>
            <w:rFonts w:eastAsiaTheme="majorEastAsia" w:cstheme="minorHAnsi"/>
            <w:color w:val="0C7DBB"/>
          </w:rPr>
          <w:t>financial crisis</w:t>
        </w:r>
      </w:hyperlink>
      <w:r w:rsidRPr="00923237">
        <w:rPr>
          <w:rFonts w:cstheme="minorHAnsi"/>
          <w:color w:val="2E2E2E"/>
        </w:rPr>
        <w:t>. To do so, we use a sample of </w:t>
      </w:r>
      <w:hyperlink r:id="rId24" w:tooltip="Learn more about Real Estate Investment from ScienceDirect's AI-generated Topic Pages" w:history="1">
        <w:r w:rsidRPr="00923237">
          <w:rPr>
            <w:rStyle w:val="Hyperlink"/>
            <w:rFonts w:eastAsiaTheme="majorEastAsia" w:cstheme="minorHAnsi"/>
            <w:color w:val="0C7DBB"/>
          </w:rPr>
          <w:t>real estate investment</w:t>
        </w:r>
      </w:hyperlink>
      <w:r w:rsidRPr="00923237">
        <w:rPr>
          <w:rFonts w:cstheme="minorHAnsi"/>
          <w:color w:val="2E2E2E"/>
        </w:rPr>
        <w:t> trusts (REITs). REITs provide a unique setting to study the association between leverage and firm performance for three reasons. First, REITs tend to be highly levered (</w:t>
      </w:r>
      <w:bookmarkStart w:id="26" w:name="bbb0025"/>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"bb0025" </w:instrText>
      </w:r>
      <w:r w:rsidRPr="00923237">
        <w:rPr>
          <w:rFonts w:cstheme="minorHAnsi"/>
          <w:color w:val="2E2E2E"/>
        </w:rPr>
        <w:fldChar w:fldCharType="separate"/>
      </w:r>
      <w:r w:rsidRPr="00923237">
        <w:rPr>
          <w:rStyle w:val="Hyperlink"/>
          <w:rFonts w:eastAsiaTheme="majorEastAsia" w:cstheme="minorHAnsi"/>
          <w:color w:val="0C7DBB"/>
        </w:rPr>
        <w:t>Barclay et al., 2013</w:t>
      </w:r>
      <w:r w:rsidRPr="00923237">
        <w:rPr>
          <w:rFonts w:cstheme="minorHAnsi"/>
          <w:color w:val="2E2E2E"/>
        </w:rPr>
        <w:fldChar w:fldCharType="end"/>
      </w:r>
      <w:bookmarkEnd w:id="26"/>
      <w:r w:rsidRPr="00923237">
        <w:rPr>
          <w:rFonts w:cstheme="minorHAnsi"/>
          <w:color w:val="2E2E2E"/>
        </w:rPr>
        <w:t>; </w:t>
      </w:r>
      <w:bookmarkStart w:id="27" w:name="bbb0140"/>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"bb0140" </w:instrText>
      </w:r>
      <w:r w:rsidRPr="00923237">
        <w:rPr>
          <w:rFonts w:cstheme="minorHAnsi"/>
          <w:color w:val="2E2E2E"/>
        </w:rPr>
        <w:fldChar w:fldCharType="separate"/>
      </w:r>
      <w:r w:rsidRPr="00923237">
        <w:rPr>
          <w:rStyle w:val="Hyperlink"/>
          <w:rFonts w:eastAsiaTheme="majorEastAsia" w:cstheme="minorHAnsi"/>
          <w:color w:val="0C7DBB"/>
        </w:rPr>
        <w:t>Harrison et al., 2011</w:t>
      </w:r>
      <w:r w:rsidRPr="00923237">
        <w:rPr>
          <w:rFonts w:cstheme="minorHAnsi"/>
          <w:color w:val="2E2E2E"/>
        </w:rPr>
        <w:fldChar w:fldCharType="end"/>
      </w:r>
      <w:r w:rsidRPr="00923237">
        <w:rPr>
          <w:rFonts w:cstheme="minorHAnsi"/>
          <w:color w:val="2E2E2E"/>
        </w:rPr>
        <w:t>). Second, REITs were heavily impacted by the 2008 financial crisis: the aggregate REIT market capitalization of $438 billion at the end of 2006 had declined to $192 billion by the end of 2008, and the National Association of Real Estate Investment Trusts (NAREIT) Equity REITs Index fell from 10,256.96 in January 2007 to 3337.41 in February 2009, a cumulative loss of 67.46%.</w:t>
      </w:r>
      <w:bookmarkStart w:id="28" w:name="bfn0005"/>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"fn0005" </w:instrText>
      </w:r>
      <w:r w:rsidRPr="00923237">
        <w:rPr>
          <w:rFonts w:cstheme="minorHAnsi"/>
          <w:color w:val="2E2E2E"/>
        </w:rPr>
        <w:fldChar w:fldCharType="separate"/>
      </w:r>
      <w:r w:rsidRPr="00923237">
        <w:rPr>
          <w:rStyle w:val="Hyperlink"/>
          <w:rFonts w:eastAsiaTheme="majorEastAsia" w:cstheme="minorHAnsi"/>
          <w:color w:val="0C7DBB"/>
          <w:vertAlign w:val="superscript"/>
        </w:rPr>
        <w:t>1</w:t>
      </w:r>
      <w:r w:rsidRPr="00923237">
        <w:rPr>
          <w:rFonts w:cstheme="minorHAnsi"/>
          <w:color w:val="2E2E2E"/>
        </w:rPr>
        <w:fldChar w:fldCharType="end"/>
      </w:r>
      <w:bookmarkEnd w:id="28"/>
    </w:p>
    <w:p w14:paraId="4F92C230" w14:textId="77777777" w:rsidR="00A4606E" w:rsidRPr="00923237" w:rsidRDefault="00A4606E" w:rsidP="00D8247D">
      <w:pPr>
        <w:rPr>
          <w:rFonts w:cstheme="minorHAnsi"/>
          <w:color w:val="2E2E2E"/>
        </w:rPr>
      </w:pPr>
      <w:r w:rsidRPr="00923237">
        <w:rPr>
          <w:rFonts w:cstheme="minorHAnsi"/>
          <w:color w:val="2E2E2E"/>
        </w:rPr>
        <w:t>Third, because of the legal structure under which REITs operate, the need for strong internal governance is not obvious. Given that REITs are required to distribute 90% of their taxable income to shareholders, REIT managers have limited scope to expropriate (or waste) free </w:t>
      </w:r>
      <w:hyperlink r:id="rId25" w:tooltip="Learn more about Cash Flow from ScienceDirect's AI-generated Topic Pages" w:history="1">
        <w:r w:rsidRPr="00923237">
          <w:rPr>
            <w:rStyle w:val="Hyperlink"/>
            <w:rFonts w:eastAsiaTheme="majorEastAsia" w:cstheme="minorHAnsi"/>
            <w:color w:val="0C7DBB"/>
          </w:rPr>
          <w:t>cash flow</w:t>
        </w:r>
      </w:hyperlink>
      <w:r w:rsidRPr="00923237">
        <w:rPr>
          <w:rFonts w:cstheme="minorHAnsi"/>
          <w:color w:val="2E2E2E"/>
        </w:rPr>
        <w:t>. This attenuates agency problems and limits the need for board monitoring. At the same time, however, the top five investors in any REITs together cannot hold &gt;50% of the company. This requirement mitigates the effectiveness of external governance by reducing the ability of shareholders to take control of the company and </w:t>
      </w:r>
      <w:hyperlink r:id="rId26" w:tooltip="Learn more about Organizational Change from ScienceDirect's AI-generated Topic Pages" w:history="1">
        <w:r w:rsidRPr="00923237">
          <w:rPr>
            <w:rStyle w:val="Hyperlink"/>
            <w:rFonts w:eastAsiaTheme="majorEastAsia" w:cstheme="minorHAnsi"/>
            <w:color w:val="0C7DBB"/>
          </w:rPr>
          <w:t>change management</w:t>
        </w:r>
      </w:hyperlink>
      <w:r w:rsidRPr="00923237">
        <w:rPr>
          <w:rFonts w:cstheme="minorHAnsi"/>
          <w:color w:val="2E2E2E"/>
        </w:rPr>
        <w:t>. As a result, strong boards might be needed to prevent managerial entrenchment and agency problems. Taken together, the role of internal governance during normal times might not be clear; however, the financial crisis and ensuing volatility for REITs allows us to examine the role of boards at a time when they are arguably needed most.</w:t>
      </w:r>
    </w:p>
    <w:p w14:paraId="4C3098C2" w14:textId="77777777" w:rsidR="00A4606E" w:rsidRPr="00923237" w:rsidRDefault="00A4606E" w:rsidP="00D8247D">
      <w:pPr>
        <w:rPr>
          <w:rFonts w:cstheme="minorHAnsi"/>
          <w:color w:val="2E2E2E"/>
        </w:rPr>
      </w:pPr>
      <w:r w:rsidRPr="00923237">
        <w:rPr>
          <w:rFonts w:cstheme="minorHAnsi"/>
          <w:color w:val="2E2E2E"/>
        </w:rPr>
        <w:t>Empirically, board size and board independence are frequently used as proxies for board monitoring. We contribute to the literature by incorporating a focus on board activity through time. A number of </w:t>
      </w:r>
      <w:hyperlink r:id="rId27" w:tooltip="Learn more about Bayesian Inference from ScienceDirect's AI-generated Topic Pages" w:history="1">
        <w:r w:rsidRPr="00923237">
          <w:rPr>
            <w:rStyle w:val="Hyperlink"/>
            <w:rFonts w:eastAsiaTheme="majorEastAsia" w:cstheme="minorHAnsi"/>
            <w:color w:val="0C7DBB"/>
          </w:rPr>
          <w:t>prior</w:t>
        </w:r>
      </w:hyperlink>
      <w:r w:rsidRPr="00923237">
        <w:rPr>
          <w:rFonts w:cstheme="minorHAnsi"/>
          <w:color w:val="2E2E2E"/>
        </w:rPr>
        <w:t> papers focusing on industrial companies have used board meeting frequency to proxy for director effort (e.g. </w:t>
      </w:r>
      <w:bookmarkStart w:id="29" w:name="bbb0210"/>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"bb0210" </w:instrText>
      </w:r>
      <w:r w:rsidRPr="00923237">
        <w:rPr>
          <w:rFonts w:cstheme="minorHAnsi"/>
          <w:color w:val="2E2E2E"/>
        </w:rPr>
        <w:fldChar w:fldCharType="separate"/>
      </w:r>
      <w:r w:rsidRPr="00923237">
        <w:rPr>
          <w:rStyle w:val="Hyperlink"/>
          <w:rFonts w:eastAsiaTheme="majorEastAsia" w:cstheme="minorHAnsi"/>
          <w:color w:val="0C7DBB"/>
        </w:rPr>
        <w:t>Menon and Williams (1994)</w:t>
      </w:r>
      <w:r w:rsidRPr="00923237">
        <w:rPr>
          <w:rFonts w:cstheme="minorHAnsi"/>
          <w:color w:val="2E2E2E"/>
        </w:rPr>
        <w:fldChar w:fldCharType="end"/>
      </w:r>
      <w:r w:rsidRPr="00923237">
        <w:rPr>
          <w:rFonts w:cstheme="minorHAnsi"/>
          <w:color w:val="2E2E2E"/>
        </w:rPr>
        <w:t>, </w:t>
      </w:r>
      <w:bookmarkStart w:id="30" w:name="bbb0280"/>
      <w:proofErr w:type="spellStart"/>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"bb0280" </w:instrText>
      </w:r>
      <w:r w:rsidRPr="00923237">
        <w:rPr>
          <w:rFonts w:cstheme="minorHAnsi"/>
          <w:color w:val="2E2E2E"/>
        </w:rPr>
        <w:fldChar w:fldCharType="separate"/>
      </w:r>
      <w:r w:rsidRPr="00923237">
        <w:rPr>
          <w:rStyle w:val="Hyperlink"/>
          <w:rFonts w:eastAsiaTheme="majorEastAsia" w:cstheme="minorHAnsi"/>
          <w:color w:val="0C7DBB"/>
        </w:rPr>
        <w:t>Vafaes</w:t>
      </w:r>
      <w:proofErr w:type="spellEnd"/>
      <w:r w:rsidRPr="00923237">
        <w:rPr>
          <w:rStyle w:val="Hyperlink"/>
          <w:rFonts w:eastAsiaTheme="majorEastAsia" w:cstheme="minorHAnsi"/>
          <w:color w:val="0C7DBB"/>
        </w:rPr>
        <w:t xml:space="preserve"> (1999)</w:t>
      </w:r>
      <w:r w:rsidRPr="00923237">
        <w:rPr>
          <w:rFonts w:cstheme="minorHAnsi"/>
          <w:color w:val="2E2E2E"/>
        </w:rPr>
        <w:fldChar w:fldCharType="end"/>
      </w:r>
      <w:r w:rsidRPr="00923237">
        <w:rPr>
          <w:rFonts w:cstheme="minorHAnsi"/>
          <w:color w:val="2E2E2E"/>
        </w:rPr>
        <w:t>, </w:t>
      </w:r>
      <w:bookmarkStart w:id="31" w:name="bbb0065"/>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"bb0065" </w:instrText>
      </w:r>
      <w:r w:rsidRPr="00923237">
        <w:rPr>
          <w:rFonts w:cstheme="minorHAnsi"/>
          <w:color w:val="2E2E2E"/>
        </w:rPr>
        <w:fldChar w:fldCharType="separate"/>
      </w:r>
      <w:r w:rsidRPr="00923237">
        <w:rPr>
          <w:rStyle w:val="Hyperlink"/>
          <w:rFonts w:eastAsiaTheme="majorEastAsia" w:cstheme="minorHAnsi"/>
          <w:color w:val="0C7DBB"/>
        </w:rPr>
        <w:t xml:space="preserve">Deli and </w:t>
      </w:r>
      <w:proofErr w:type="spellStart"/>
      <w:r w:rsidRPr="00923237">
        <w:rPr>
          <w:rStyle w:val="Hyperlink"/>
          <w:rFonts w:eastAsiaTheme="majorEastAsia" w:cstheme="minorHAnsi"/>
          <w:color w:val="0C7DBB"/>
        </w:rPr>
        <w:t>Gillan</w:t>
      </w:r>
      <w:proofErr w:type="spellEnd"/>
      <w:r w:rsidRPr="00923237">
        <w:rPr>
          <w:rStyle w:val="Hyperlink"/>
          <w:rFonts w:eastAsiaTheme="majorEastAsia" w:cstheme="minorHAnsi"/>
          <w:color w:val="0C7DBB"/>
        </w:rPr>
        <w:t xml:space="preserve"> (2000)</w:t>
      </w:r>
      <w:r w:rsidRPr="00923237">
        <w:rPr>
          <w:rFonts w:cstheme="minorHAnsi"/>
          <w:color w:val="2E2E2E"/>
        </w:rPr>
        <w:fldChar w:fldCharType="end"/>
      </w:r>
      <w:r w:rsidRPr="00923237">
        <w:rPr>
          <w:rFonts w:cstheme="minorHAnsi"/>
          <w:color w:val="2E2E2E"/>
        </w:rPr>
        <w:t>, </w:t>
      </w:r>
      <w:bookmarkStart w:id="32" w:name="bbb0050"/>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"bb0050" </w:instrText>
      </w:r>
      <w:r w:rsidRPr="00923237">
        <w:rPr>
          <w:rFonts w:cstheme="minorHAnsi"/>
          <w:color w:val="2E2E2E"/>
        </w:rPr>
        <w:fldChar w:fldCharType="separate"/>
      </w:r>
      <w:r w:rsidRPr="00923237">
        <w:rPr>
          <w:rStyle w:val="Hyperlink"/>
          <w:rFonts w:eastAsiaTheme="majorEastAsia" w:cstheme="minorHAnsi"/>
          <w:color w:val="0C7DBB"/>
        </w:rPr>
        <w:t xml:space="preserve">Brick and </w:t>
      </w:r>
      <w:proofErr w:type="spellStart"/>
      <w:r w:rsidRPr="00923237">
        <w:rPr>
          <w:rStyle w:val="Hyperlink"/>
          <w:rFonts w:eastAsiaTheme="majorEastAsia" w:cstheme="minorHAnsi"/>
          <w:color w:val="0C7DBB"/>
        </w:rPr>
        <w:t>Chidambaran</w:t>
      </w:r>
      <w:proofErr w:type="spellEnd"/>
      <w:r w:rsidRPr="00923237">
        <w:rPr>
          <w:rStyle w:val="Hyperlink"/>
          <w:rFonts w:eastAsiaTheme="majorEastAsia" w:cstheme="minorHAnsi"/>
          <w:color w:val="0C7DBB"/>
        </w:rPr>
        <w:t xml:space="preserve"> (2010)</w:t>
      </w:r>
      <w:r w:rsidRPr="00923237">
        <w:rPr>
          <w:rFonts w:cstheme="minorHAnsi"/>
          <w:color w:val="2E2E2E"/>
        </w:rPr>
        <w:fldChar w:fldCharType="end"/>
      </w:r>
      <w:r w:rsidRPr="00923237">
        <w:rPr>
          <w:rFonts w:cstheme="minorHAnsi"/>
          <w:color w:val="2E2E2E"/>
        </w:rPr>
        <w:t>, and </w:t>
      </w:r>
      <w:bookmarkStart w:id="33" w:name="bbb0225"/>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"bb0225" </w:instrText>
      </w:r>
      <w:r w:rsidRPr="00923237">
        <w:rPr>
          <w:rFonts w:cstheme="minorHAnsi"/>
          <w:color w:val="2E2E2E"/>
        </w:rPr>
        <w:fldChar w:fldCharType="separate"/>
      </w:r>
      <w:r w:rsidRPr="00923237">
        <w:rPr>
          <w:rStyle w:val="Hyperlink"/>
          <w:rFonts w:eastAsiaTheme="majorEastAsia" w:cstheme="minorHAnsi"/>
          <w:color w:val="0C7DBB"/>
        </w:rPr>
        <w:t>Nguyen (2014)</w:t>
      </w:r>
      <w:r w:rsidRPr="00923237">
        <w:rPr>
          <w:rFonts w:cstheme="minorHAnsi"/>
          <w:color w:val="2E2E2E"/>
        </w:rPr>
        <w:fldChar w:fldCharType="end"/>
      </w:r>
      <w:r w:rsidRPr="00923237">
        <w:rPr>
          <w:rFonts w:cstheme="minorHAnsi"/>
          <w:color w:val="2E2E2E"/>
        </w:rPr>
        <w:t>). Anecdotal evidence suggests that REIT boards changed their meeting frequency in response to the financial crisis. For example, before the financial crisis Redwood Trust Inc.'s board met five times a year and the top three </w:t>
      </w:r>
      <w:hyperlink r:id="rId28" w:tooltip="Learn more about Audit Committee from ScienceDirect's AI-generated Topic Pages" w:history="1">
        <w:r w:rsidRPr="00923237">
          <w:rPr>
            <w:rStyle w:val="Hyperlink"/>
            <w:rFonts w:eastAsiaTheme="majorEastAsia" w:cstheme="minorHAnsi"/>
            <w:color w:val="0C7DBB"/>
          </w:rPr>
          <w:t>committees (Audit</w:t>
        </w:r>
      </w:hyperlink>
      <w:r w:rsidRPr="00923237">
        <w:rPr>
          <w:rFonts w:cstheme="minorHAnsi"/>
          <w:color w:val="2E2E2E"/>
        </w:rPr>
        <w:t>, Compensation, and Nomination/Governance) met a total of 16 times a year. During the financial crisis, the board met 7.5 times a year while the top three committees met 19 times a year. Post-crisis, the board met seven times a year and the top three committees met 15 times. We also note that Redwood Trust Inc.'s pre-crisis leverage of approximately 92% reduced to approximately 71% post-crisis.</w:t>
      </w:r>
    </w:p>
    <w:p w14:paraId="7F6124D6" w14:textId="77777777" w:rsidR="00A4606E" w:rsidRPr="00923237" w:rsidRDefault="00A4606E" w:rsidP="00D8247D">
      <w:pPr>
        <w:rPr>
          <w:rFonts w:cstheme="minorHAnsi"/>
          <w:color w:val="2E2E2E"/>
        </w:rPr>
      </w:pPr>
      <w:r w:rsidRPr="00923237">
        <w:rPr>
          <w:rFonts w:cstheme="minorHAnsi"/>
          <w:color w:val="2E2E2E"/>
        </w:rPr>
        <w:t>Using a sample of 222 REITs from 2003 to 2016, we find that REIT boards and board committees meet more often during the financial crisis, a result that is driven primarily by larger firms. These findings are consistent with director activity changing according to the firm's need for both monitoring and advising from the board. We also find evidence of a negative association between leverage and stock returns during the financial crisis and a positive association post-crisis, consisted with </w:t>
      </w:r>
      <w:bookmarkStart w:id="34" w:name="bbb0275"/>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"bb0275" </w:instrText>
      </w:r>
      <w:r w:rsidRPr="00923237">
        <w:rPr>
          <w:rFonts w:cstheme="minorHAnsi"/>
          <w:color w:val="2E2E2E"/>
        </w:rPr>
        <w:fldChar w:fldCharType="separate"/>
      </w:r>
      <w:r w:rsidRPr="00923237">
        <w:rPr>
          <w:rStyle w:val="Hyperlink"/>
          <w:rFonts w:eastAsiaTheme="majorEastAsia" w:cstheme="minorHAnsi"/>
          <w:color w:val="0C7DBB"/>
        </w:rPr>
        <w:t>Sun et al. (2015)</w:t>
      </w:r>
      <w:r w:rsidRPr="00923237">
        <w:rPr>
          <w:rFonts w:cstheme="minorHAnsi"/>
          <w:color w:val="2E2E2E"/>
        </w:rPr>
        <w:fldChar w:fldCharType="end"/>
      </w:r>
      <w:r w:rsidRPr="00923237">
        <w:rPr>
          <w:rFonts w:cstheme="minorHAnsi"/>
          <w:color w:val="2E2E2E"/>
        </w:rPr>
        <w:t>. However, it appears that board activity attenuates the negative association between leverage and returns during the crisis in that returns are not as negative for REITs with active boards. Moreover, we find that increased board activity is associated with reduced post-crisis leverage, a result driven by the sample of highly levered firms. Specifically, post-crisis, on average, firms in the top quartile of leverage reduce their leverage by approximately 8% and a one </w:t>
      </w:r>
      <w:hyperlink r:id="rId29" w:tooltip="Learn more about Measure of Dispersion from ScienceDirect's AI-generated Topic Pages" w:history="1">
        <w:r w:rsidRPr="00923237">
          <w:rPr>
            <w:rStyle w:val="Hyperlink"/>
            <w:rFonts w:eastAsiaTheme="majorEastAsia" w:cstheme="minorHAnsi"/>
            <w:color w:val="0C7DBB"/>
          </w:rPr>
          <w:t>standard deviation</w:t>
        </w:r>
      </w:hyperlink>
      <w:r w:rsidRPr="00923237">
        <w:rPr>
          <w:rFonts w:cstheme="minorHAnsi"/>
          <w:color w:val="2E2E2E"/>
        </w:rPr>
        <w:t xml:space="preserve"> change in excess board activity is associated with approximately 1% lower leverage. Lastly, post-crisis we find that board activity is positively associated with stock returns. Our results hold after controlling for endogeneity and/or using different measures of board activity where we </w:t>
      </w:r>
      <w:proofErr w:type="gramStart"/>
      <w:r w:rsidRPr="00923237">
        <w:rPr>
          <w:rFonts w:cstheme="minorHAnsi"/>
          <w:color w:val="2E2E2E"/>
        </w:rPr>
        <w:t>take into account</w:t>
      </w:r>
      <w:proofErr w:type="gramEnd"/>
      <w:r w:rsidRPr="00923237">
        <w:rPr>
          <w:rFonts w:cstheme="minorHAnsi"/>
          <w:color w:val="2E2E2E"/>
        </w:rPr>
        <w:t xml:space="preserve"> the financial and real estate experience of directors. Taken together, our findings suggest that REIT boards of directors add to firm value via monitoring and advising </w:t>
      </w:r>
      <w:proofErr w:type="gramStart"/>
      <w:r w:rsidRPr="00923237">
        <w:rPr>
          <w:rFonts w:cstheme="minorHAnsi"/>
          <w:color w:val="2E2E2E"/>
        </w:rPr>
        <w:t>with regard to</w:t>
      </w:r>
      <w:proofErr w:type="gramEnd"/>
      <w:r w:rsidRPr="00923237">
        <w:rPr>
          <w:rFonts w:cstheme="minorHAnsi"/>
          <w:color w:val="2E2E2E"/>
        </w:rPr>
        <w:t xml:space="preserve"> the capital structure decision, especially for highly levered firms during a period of financial crisis.</w:t>
      </w:r>
    </w:p>
    <w:p w14:paraId="4CCF2831" w14:textId="77777777" w:rsidR="00A4606E" w:rsidRPr="00923237" w:rsidRDefault="00A4606E" w:rsidP="00D8247D">
      <w:pPr>
        <w:rPr>
          <w:rFonts w:cstheme="minorHAnsi"/>
          <w:color w:val="2E2E2E"/>
        </w:rPr>
      </w:pPr>
      <w:r w:rsidRPr="00923237">
        <w:rPr>
          <w:rFonts w:cstheme="minorHAnsi"/>
          <w:color w:val="2E2E2E"/>
        </w:rPr>
        <w:t>Our paper contributes to the literature along several dimensions. First, we add to the work examining the effect of financial leverage on firm performance. Although the association between leverage and firm value has been studied extensively, and the theory has provided strong directional predictions as to that relationship, the empirical evidence remains mixed. Second, we provide insights into how boards can add value. As suggested by </w:t>
      </w:r>
      <w:bookmarkStart w:id="35" w:name="bbb0015"/>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"bb0015" </w:instrText>
      </w:r>
      <w:r w:rsidRPr="00923237">
        <w:rPr>
          <w:rFonts w:cstheme="minorHAnsi"/>
          <w:color w:val="2E2E2E"/>
        </w:rPr>
        <w:fldChar w:fldCharType="separate"/>
      </w:r>
      <w:r w:rsidRPr="00923237">
        <w:rPr>
          <w:rStyle w:val="Hyperlink"/>
          <w:rFonts w:eastAsiaTheme="majorEastAsia" w:cstheme="minorHAnsi"/>
          <w:color w:val="0C7DBB"/>
        </w:rPr>
        <w:t>Aggarwal et al. (2016)</w:t>
      </w:r>
      <w:r w:rsidRPr="00923237">
        <w:rPr>
          <w:rFonts w:cstheme="minorHAnsi"/>
          <w:color w:val="2E2E2E"/>
        </w:rPr>
        <w:fldChar w:fldCharType="end"/>
      </w:r>
      <w:bookmarkEnd w:id="35"/>
      <w:r w:rsidRPr="00923237">
        <w:rPr>
          <w:rFonts w:cstheme="minorHAnsi"/>
          <w:color w:val="2E2E2E"/>
        </w:rPr>
        <w:t>, while “…studies generally focus on outcomes that relate to board monitoring, … much less is known about the evolution of boardroom practices after regulation, and no study … connects such changes to firm value.” We attempt to address this gap in the literature by focusing on how board activity changed around the time of the financial crisis - a period during which board input is particularly important. Additionally, we explore the link between these changes and firm value.</w:t>
      </w:r>
    </w:p>
    <w:p w14:paraId="4245C2C8" w14:textId="77777777" w:rsidR="00A4606E" w:rsidRPr="00923237" w:rsidRDefault="00A4606E" w:rsidP="00D8247D">
      <w:pPr>
        <w:rPr>
          <w:rFonts w:cstheme="minorHAnsi"/>
          <w:color w:val="2E2E2E"/>
        </w:rPr>
      </w:pPr>
      <w:r w:rsidRPr="00923237">
        <w:rPr>
          <w:rFonts w:cstheme="minorHAnsi"/>
          <w:color w:val="2E2E2E"/>
        </w:rPr>
        <w:t>Third, we add to the literature on corporate governance in REITs by using board and board committee meetings to proxy for board monitoring and advising. Most prior work has emphasized board size and board independence as proxies for board strength, or monitoring, but has found little evidence of a connection between these proxies and firm performance. Nonetheless, a board that does not meet, or meets rarely, may not be effective. By using board and committee meeting frequency for REITs we capture another dynamic of board monitoring that has shown to be important in other organizational forms. Furthermore, our newly created measure of director activity which incorporates directors' managerial experience in finance and real estate allow us to proxy for both the quantity and quality of director activity.</w:t>
      </w:r>
    </w:p>
    <w:p w14:paraId="094E4A7A" w14:textId="77777777" w:rsidR="00A4606E" w:rsidRPr="00923237" w:rsidRDefault="00A4606E" w:rsidP="00D8247D">
      <w:pPr>
        <w:rPr>
          <w:rFonts w:cstheme="minorHAnsi"/>
        </w:rPr>
      </w:pPr>
      <w:r w:rsidRPr="00923237">
        <w:rPr>
          <w:rFonts w:cstheme="minorHAnsi"/>
        </w:rPr>
        <w:t>The remainder of the paper is organized as follows. </w:t>
      </w:r>
      <w:bookmarkStart w:id="36" w:name="bs0010"/>
      <w:r w:rsidRPr="00923237">
        <w:rPr>
          <w:rFonts w:cstheme="minorHAnsi"/>
        </w:rPr>
        <w:fldChar w:fldCharType="begin"/>
      </w:r>
      <w:r w:rsidRPr="00923237">
        <w:rPr>
          <w:rFonts w:cstheme="minorHAnsi"/>
        </w:rPr>
        <w:instrText xml:space="preserve"> HYPERLINK "https://0-www-sciencedirect-com.libus.csd.mu.edu/science/article/pii/S0929119917307344" \l "s0010" </w:instrText>
      </w:r>
      <w:r w:rsidRPr="00923237">
        <w:rPr>
          <w:rFonts w:cstheme="minorHAnsi"/>
        </w:rPr>
        <w:fldChar w:fldCharType="separate"/>
      </w:r>
      <w:r w:rsidRPr="00923237">
        <w:rPr>
          <w:rStyle w:val="Hyperlink"/>
          <w:rFonts w:eastAsiaTheme="majorEastAsia" w:cstheme="minorHAnsi"/>
          <w:color w:val="0C7DBB"/>
        </w:rPr>
        <w:t>Section 2</w:t>
      </w:r>
      <w:r w:rsidRPr="00923237">
        <w:rPr>
          <w:rFonts w:cstheme="minorHAnsi"/>
        </w:rPr>
        <w:fldChar w:fldCharType="end"/>
      </w:r>
      <w:bookmarkEnd w:id="36"/>
      <w:r w:rsidRPr="00923237">
        <w:rPr>
          <w:rFonts w:cstheme="minorHAnsi"/>
        </w:rPr>
        <w:t> provides a brief review of the current literature and hypothesis development. </w:t>
      </w:r>
      <w:bookmarkStart w:id="37" w:name="bs0015"/>
      <w:r w:rsidRPr="00923237">
        <w:rPr>
          <w:rFonts w:cstheme="minorHAnsi"/>
        </w:rPr>
        <w:fldChar w:fldCharType="begin"/>
      </w:r>
      <w:r w:rsidRPr="00923237">
        <w:rPr>
          <w:rFonts w:cstheme="minorHAnsi"/>
        </w:rPr>
        <w:instrText xml:space="preserve"> HYPERLINK "https://0-www-sciencedirect-com.libus.csd.mu.edu/science/article/pii/S0929119917307344" \l "s0015" </w:instrText>
      </w:r>
      <w:r w:rsidRPr="00923237">
        <w:rPr>
          <w:rFonts w:cstheme="minorHAnsi"/>
        </w:rPr>
        <w:fldChar w:fldCharType="separate"/>
      </w:r>
      <w:r w:rsidRPr="00923237">
        <w:rPr>
          <w:rStyle w:val="Hyperlink"/>
          <w:rFonts w:eastAsiaTheme="majorEastAsia" w:cstheme="minorHAnsi"/>
          <w:color w:val="0C7DBB"/>
        </w:rPr>
        <w:t>Section 3</w:t>
      </w:r>
      <w:r w:rsidRPr="00923237">
        <w:rPr>
          <w:rFonts w:cstheme="minorHAnsi"/>
        </w:rPr>
        <w:fldChar w:fldCharType="end"/>
      </w:r>
      <w:bookmarkEnd w:id="37"/>
      <w:r w:rsidRPr="00923237">
        <w:rPr>
          <w:rFonts w:cstheme="minorHAnsi"/>
        </w:rPr>
        <w:t> describes our data. </w:t>
      </w:r>
      <w:bookmarkStart w:id="38" w:name="bs0020"/>
      <w:r w:rsidRPr="00923237">
        <w:rPr>
          <w:rFonts w:cstheme="minorHAnsi"/>
        </w:rPr>
        <w:fldChar w:fldCharType="begin"/>
      </w:r>
      <w:r w:rsidRPr="00923237">
        <w:rPr>
          <w:rFonts w:cstheme="minorHAnsi"/>
        </w:rPr>
        <w:instrText xml:space="preserve"> HYPERLINK "https://0-www-sciencedirect-com.libus.csd.mu.edu/science/article/pii/S0929119917307344" \l "s0020" </w:instrText>
      </w:r>
      <w:r w:rsidRPr="00923237">
        <w:rPr>
          <w:rFonts w:cstheme="minorHAnsi"/>
        </w:rPr>
        <w:fldChar w:fldCharType="separate"/>
      </w:r>
      <w:r w:rsidRPr="00923237">
        <w:rPr>
          <w:rStyle w:val="Hyperlink"/>
          <w:rFonts w:eastAsiaTheme="majorEastAsia" w:cstheme="minorHAnsi"/>
          <w:color w:val="0C7DBB"/>
        </w:rPr>
        <w:t>Section 4</w:t>
      </w:r>
      <w:r w:rsidRPr="00923237">
        <w:rPr>
          <w:rFonts w:cstheme="minorHAnsi"/>
        </w:rPr>
        <w:fldChar w:fldCharType="end"/>
      </w:r>
      <w:bookmarkEnd w:id="38"/>
      <w:r w:rsidRPr="00923237">
        <w:rPr>
          <w:rFonts w:cstheme="minorHAnsi"/>
        </w:rPr>
        <w:t> reports </w:t>
      </w:r>
      <w:hyperlink r:id="rId30" w:tooltip="Learn more about Descriptive Statistics from ScienceDirect's AI-generated Topic Pages" w:history="1">
        <w:r w:rsidRPr="00923237">
          <w:rPr>
            <w:rStyle w:val="Hyperlink"/>
            <w:rFonts w:eastAsiaTheme="majorEastAsia" w:cstheme="minorHAnsi"/>
            <w:color w:val="0C7DBB"/>
          </w:rPr>
          <w:t>descriptive statistics</w:t>
        </w:r>
      </w:hyperlink>
      <w:r w:rsidRPr="00923237">
        <w:rPr>
          <w:rFonts w:cstheme="minorHAnsi"/>
        </w:rPr>
        <w:t>, while </w:t>
      </w:r>
      <w:bookmarkStart w:id="39" w:name="bs0025"/>
      <w:r w:rsidRPr="00923237">
        <w:rPr>
          <w:rFonts w:cstheme="minorHAnsi"/>
        </w:rPr>
        <w:fldChar w:fldCharType="begin"/>
      </w:r>
      <w:r w:rsidRPr="00923237">
        <w:rPr>
          <w:rFonts w:cstheme="minorHAnsi"/>
        </w:rPr>
        <w:instrText xml:space="preserve"> HYPERLINK "https://0-www-sciencedirect-com.libus.csd.mu.edu/science/article/pii/S0929119917307344" \l "s0025" </w:instrText>
      </w:r>
      <w:r w:rsidRPr="00923237">
        <w:rPr>
          <w:rFonts w:cstheme="minorHAnsi"/>
        </w:rPr>
        <w:fldChar w:fldCharType="separate"/>
      </w:r>
      <w:r w:rsidRPr="00923237">
        <w:rPr>
          <w:rStyle w:val="Hyperlink"/>
          <w:rFonts w:eastAsiaTheme="majorEastAsia" w:cstheme="minorHAnsi"/>
          <w:color w:val="0C7DBB"/>
        </w:rPr>
        <w:t>section 5</w:t>
      </w:r>
      <w:r w:rsidRPr="00923237">
        <w:rPr>
          <w:rFonts w:cstheme="minorHAnsi"/>
        </w:rPr>
        <w:fldChar w:fldCharType="end"/>
      </w:r>
      <w:bookmarkEnd w:id="39"/>
      <w:r w:rsidRPr="00923237">
        <w:rPr>
          <w:rFonts w:cstheme="minorHAnsi"/>
        </w:rPr>
        <w:t> contains our multivariate analyses. Finally, </w:t>
      </w:r>
      <w:bookmarkStart w:id="40" w:name="bs0040"/>
      <w:r w:rsidRPr="00923237">
        <w:rPr>
          <w:rFonts w:cstheme="minorHAnsi"/>
        </w:rPr>
        <w:fldChar w:fldCharType="begin"/>
      </w:r>
      <w:r w:rsidRPr="00923237">
        <w:rPr>
          <w:rFonts w:cstheme="minorHAnsi"/>
        </w:rPr>
        <w:instrText xml:space="preserve"> HYPERLINK "https://0-www-sciencedirect-com.libus.csd.mu.edu/science/article/pii/S0929119917307344" \l "s0040" </w:instrText>
      </w:r>
      <w:r w:rsidRPr="00923237">
        <w:rPr>
          <w:rFonts w:cstheme="minorHAnsi"/>
        </w:rPr>
        <w:fldChar w:fldCharType="separate"/>
      </w:r>
      <w:r w:rsidRPr="00923237">
        <w:rPr>
          <w:rStyle w:val="Hyperlink"/>
          <w:rFonts w:eastAsiaTheme="majorEastAsia" w:cstheme="minorHAnsi"/>
          <w:color w:val="0C7DBB"/>
        </w:rPr>
        <w:t>section 6</w:t>
      </w:r>
      <w:r w:rsidRPr="00923237">
        <w:rPr>
          <w:rFonts w:cstheme="minorHAnsi"/>
        </w:rPr>
        <w:fldChar w:fldCharType="end"/>
      </w:r>
      <w:bookmarkEnd w:id="40"/>
      <w:r w:rsidRPr="00923237">
        <w:rPr>
          <w:rFonts w:cstheme="minorHAnsi"/>
        </w:rPr>
        <w:t> concludes.</w:t>
      </w:r>
    </w:p>
    <w:p w14:paraId="1B8BD94E" w14:textId="77777777" w:rsidR="00A4606E" w:rsidRPr="00923237" w:rsidRDefault="00A4606E" w:rsidP="005F7244">
      <w:pPr>
        <w:pStyle w:val="Heading1"/>
        <w:rPr>
          <w:rFonts w:asciiTheme="minorHAnsi" w:hAnsiTheme="minorHAnsi" w:cstheme="minorHAnsi"/>
          <w:sz w:val="36"/>
          <w:szCs w:val="36"/>
        </w:rPr>
      </w:pPr>
      <w:r w:rsidRPr="00923237">
        <w:rPr>
          <w:rFonts w:asciiTheme="minorHAnsi" w:hAnsiTheme="minorHAnsi" w:cstheme="minorHAnsi"/>
        </w:rPr>
        <w:t>2. Related literature and hypothesis development</w:t>
      </w:r>
    </w:p>
    <w:p w14:paraId="5F1C348A" w14:textId="77777777" w:rsidR="00A4606E" w:rsidRPr="00923237" w:rsidRDefault="00A4606E" w:rsidP="005F7244">
      <w:pPr>
        <w:rPr>
          <w:rFonts w:cstheme="minorHAnsi"/>
          <w:color w:val="2E2E2E"/>
        </w:rPr>
      </w:pPr>
      <w:r w:rsidRPr="00923237">
        <w:rPr>
          <w:rFonts w:cstheme="minorHAnsi"/>
          <w:color w:val="2E2E2E"/>
        </w:rPr>
        <w:t>The classic work of </w:t>
      </w:r>
      <w:hyperlink r:id="rId31" w:anchor="bb0215" w:history="1">
        <w:r w:rsidRPr="00923237">
          <w:rPr>
            <w:rStyle w:val="Hyperlink"/>
            <w:rFonts w:eastAsiaTheme="majorEastAsia" w:cstheme="minorHAnsi"/>
            <w:color w:val="0C7DBB"/>
          </w:rPr>
          <w:t>Modigliani and Miller (1958)</w:t>
        </w:r>
      </w:hyperlink>
      <w:r w:rsidRPr="00923237">
        <w:rPr>
          <w:rFonts w:cstheme="minorHAnsi"/>
          <w:color w:val="2E2E2E"/>
        </w:rPr>
        <w:t> predicts a positive association between </w:t>
      </w:r>
      <w:hyperlink r:id="rId32" w:tooltip="Learn more about Leverage from ScienceDirect's AI-generated Topic Pages" w:history="1">
        <w:r w:rsidRPr="00923237">
          <w:rPr>
            <w:rStyle w:val="Hyperlink"/>
            <w:rFonts w:eastAsiaTheme="majorEastAsia" w:cstheme="minorHAnsi"/>
            <w:color w:val="0C7DBB"/>
          </w:rPr>
          <w:t>leverage</w:t>
        </w:r>
      </w:hyperlink>
      <w:r w:rsidRPr="00923237">
        <w:rPr>
          <w:rFonts w:cstheme="minorHAnsi"/>
          <w:color w:val="2E2E2E"/>
        </w:rPr>
        <w:t> and equity risk and returns. Similarly, models based on agency costs (e.g. </w:t>
      </w:r>
      <w:proofErr w:type="spellStart"/>
      <w:r w:rsidR="00EB1576" w:rsidRPr="00923237">
        <w:fldChar w:fldCharType="begin"/>
      </w:r>
      <w:r w:rsidR="00EB1576" w:rsidRPr="00923237">
        <w:rPr>
          <w:rFonts w:cstheme="minorHAnsi"/>
        </w:rPr>
        <w:instrText xml:space="preserve"> HYPERLINK "https://0-www-sciencedirect-com.libus.csd.mu.edu/science/article/pii/S0929119917307344" \l "bb0170" </w:instrText>
      </w:r>
      <w:r w:rsidR="00EB1576" w:rsidRPr="00923237">
        <w:fldChar w:fldCharType="separate"/>
      </w:r>
      <w:r w:rsidRPr="00923237">
        <w:rPr>
          <w:rStyle w:val="Hyperlink"/>
          <w:rFonts w:eastAsiaTheme="majorEastAsia" w:cstheme="minorHAnsi"/>
          <w:color w:val="0C7DBB"/>
        </w:rPr>
        <w:t>Hirshleifer</w:t>
      </w:r>
      <w:proofErr w:type="spellEnd"/>
      <w:r w:rsidRPr="00923237">
        <w:rPr>
          <w:rStyle w:val="Hyperlink"/>
          <w:rFonts w:eastAsiaTheme="majorEastAsia" w:cstheme="minorHAnsi"/>
          <w:color w:val="0C7DBB"/>
        </w:rPr>
        <w:t xml:space="preserve"> and </w:t>
      </w:r>
      <w:proofErr w:type="spellStart"/>
      <w:r w:rsidRPr="00923237">
        <w:rPr>
          <w:rStyle w:val="Hyperlink"/>
          <w:rFonts w:eastAsiaTheme="majorEastAsia" w:cstheme="minorHAnsi"/>
          <w:color w:val="0C7DBB"/>
        </w:rPr>
        <w:t>Thakor</w:t>
      </w:r>
      <w:proofErr w:type="spellEnd"/>
      <w:r w:rsidRPr="00923237">
        <w:rPr>
          <w:rStyle w:val="Hyperlink"/>
          <w:rFonts w:eastAsiaTheme="majorEastAsia" w:cstheme="minorHAnsi"/>
          <w:color w:val="0C7DBB"/>
        </w:rPr>
        <w:t xml:space="preserve"> (1992)</w:t>
      </w:r>
      <w:r w:rsidR="00EB1576" w:rsidRPr="00923237">
        <w:rPr>
          <w:rStyle w:val="Hyperlink"/>
          <w:rFonts w:eastAsiaTheme="majorEastAsia" w:cstheme="minorHAnsi"/>
          <w:color w:val="0C7DBB"/>
        </w:rPr>
        <w:fldChar w:fldCharType="end"/>
      </w:r>
      <w:r w:rsidRPr="00923237">
        <w:rPr>
          <w:rFonts w:cstheme="minorHAnsi"/>
          <w:color w:val="2E2E2E"/>
        </w:rPr>
        <w:t>, </w:t>
      </w:r>
      <w:hyperlink r:id="rId33" w:anchor="bb0130" w:history="1">
        <w:r w:rsidRPr="00923237">
          <w:rPr>
            <w:rStyle w:val="Hyperlink"/>
            <w:rFonts w:eastAsiaTheme="majorEastAsia" w:cstheme="minorHAnsi"/>
            <w:color w:val="0C7DBB"/>
          </w:rPr>
          <w:t xml:space="preserve">Harris and </w:t>
        </w:r>
        <w:proofErr w:type="spellStart"/>
        <w:r w:rsidRPr="00923237">
          <w:rPr>
            <w:rStyle w:val="Hyperlink"/>
            <w:rFonts w:eastAsiaTheme="majorEastAsia" w:cstheme="minorHAnsi"/>
            <w:color w:val="0C7DBB"/>
          </w:rPr>
          <w:t>Raviv</w:t>
        </w:r>
        <w:proofErr w:type="spellEnd"/>
        <w:r w:rsidRPr="00923237">
          <w:rPr>
            <w:rStyle w:val="Hyperlink"/>
            <w:rFonts w:eastAsiaTheme="majorEastAsia" w:cstheme="minorHAnsi"/>
            <w:color w:val="0C7DBB"/>
          </w:rPr>
          <w:t xml:space="preserve"> (1990)</w:t>
        </w:r>
      </w:hyperlink>
      <w:r w:rsidRPr="00923237">
        <w:rPr>
          <w:rFonts w:cstheme="minorHAnsi"/>
          <w:color w:val="2E2E2E"/>
        </w:rPr>
        <w:t>, and </w:t>
      </w:r>
      <w:proofErr w:type="spellStart"/>
      <w:r w:rsidR="00EB1576" w:rsidRPr="00923237">
        <w:fldChar w:fldCharType="begin"/>
      </w:r>
      <w:r w:rsidR="00EB1576" w:rsidRPr="00923237">
        <w:rPr>
          <w:rFonts w:cstheme="minorHAnsi"/>
        </w:rPr>
        <w:instrText xml:space="preserve"> HYPERLINK "https://0-www-sciencedirect-com.libus.csd.mu.edu/science/article/pii/S0929119917307344" \l "bb0265" </w:instrText>
      </w:r>
      <w:r w:rsidR="00EB1576" w:rsidRPr="00923237">
        <w:fldChar w:fldCharType="separate"/>
      </w:r>
      <w:r w:rsidRPr="00923237">
        <w:rPr>
          <w:rStyle w:val="Hyperlink"/>
          <w:rFonts w:eastAsiaTheme="majorEastAsia" w:cstheme="minorHAnsi"/>
          <w:color w:val="0C7DBB"/>
        </w:rPr>
        <w:t>Stulz</w:t>
      </w:r>
      <w:proofErr w:type="spellEnd"/>
      <w:r w:rsidRPr="00923237">
        <w:rPr>
          <w:rStyle w:val="Hyperlink"/>
          <w:rFonts w:eastAsiaTheme="majorEastAsia" w:cstheme="minorHAnsi"/>
          <w:color w:val="0C7DBB"/>
        </w:rPr>
        <w:t xml:space="preserve"> (1990)</w:t>
      </w:r>
      <w:r w:rsidR="00EB1576" w:rsidRPr="00923237">
        <w:rPr>
          <w:rStyle w:val="Hyperlink"/>
          <w:rFonts w:eastAsiaTheme="majorEastAsia" w:cstheme="minorHAnsi"/>
          <w:color w:val="0C7DBB"/>
        </w:rPr>
        <w:fldChar w:fldCharType="end"/>
      </w:r>
      <w:r w:rsidRPr="00923237">
        <w:rPr>
          <w:rFonts w:cstheme="minorHAnsi"/>
          <w:color w:val="2E2E2E"/>
        </w:rPr>
        <w:t>) or </w:t>
      </w:r>
      <w:hyperlink r:id="rId34" w:tooltip="Learn more about Asymmetric Information from ScienceDirect's AI-generated Topic Pages" w:history="1">
        <w:r w:rsidRPr="00923237">
          <w:rPr>
            <w:rStyle w:val="Hyperlink"/>
            <w:rFonts w:eastAsiaTheme="majorEastAsia" w:cstheme="minorHAnsi"/>
            <w:color w:val="0C7DBB"/>
          </w:rPr>
          <w:t>information asymmetry</w:t>
        </w:r>
      </w:hyperlink>
      <w:r w:rsidRPr="00923237">
        <w:rPr>
          <w:rFonts w:cstheme="minorHAnsi"/>
          <w:color w:val="2E2E2E"/>
        </w:rPr>
        <w:t> (</w:t>
      </w:r>
      <w:hyperlink r:id="rId35" w:anchor="bb0260" w:history="1">
        <w:r w:rsidRPr="00923237">
          <w:rPr>
            <w:rStyle w:val="Hyperlink"/>
            <w:rFonts w:eastAsiaTheme="majorEastAsia" w:cstheme="minorHAnsi"/>
            <w:color w:val="0C7DBB"/>
          </w:rPr>
          <w:t>Ross, 1977</w:t>
        </w:r>
      </w:hyperlink>
      <w:r w:rsidRPr="00923237">
        <w:rPr>
          <w:rFonts w:cstheme="minorHAnsi"/>
          <w:color w:val="2E2E2E"/>
        </w:rPr>
        <w:t>) predict that leverage is positively associated with firm value. However, the empirical evidence is mixed. For example, </w:t>
      </w:r>
      <w:hyperlink r:id="rId36" w:anchor="bb0045" w:history="1">
        <w:r w:rsidRPr="00923237">
          <w:rPr>
            <w:rStyle w:val="Hyperlink"/>
            <w:rFonts w:eastAsiaTheme="majorEastAsia" w:cstheme="minorHAnsi"/>
            <w:color w:val="0C7DBB"/>
          </w:rPr>
          <w:t>Bhandari (1988)</w:t>
        </w:r>
      </w:hyperlink>
      <w:r w:rsidRPr="00923237">
        <w:rPr>
          <w:rFonts w:cstheme="minorHAnsi"/>
          <w:color w:val="2E2E2E"/>
        </w:rPr>
        <w:t> and </w:t>
      </w:r>
      <w:proofErr w:type="spellStart"/>
      <w:r w:rsidR="00EB1576" w:rsidRPr="00923237">
        <w:fldChar w:fldCharType="begin"/>
      </w:r>
      <w:r w:rsidR="00EB1576" w:rsidRPr="00923237">
        <w:rPr>
          <w:rFonts w:cstheme="minorHAnsi"/>
        </w:rPr>
        <w:instrText xml:space="preserve"> HYPERLINK "https://0-www-sciencedirect-com.libus.csd.mu.edu/science/article/pii/S0929119917307344" \l "bb0075" </w:instrText>
      </w:r>
      <w:r w:rsidR="00EB1576" w:rsidRPr="00923237">
        <w:fldChar w:fldCharType="separate"/>
      </w:r>
      <w:r w:rsidRPr="00923237">
        <w:rPr>
          <w:rStyle w:val="Hyperlink"/>
          <w:rFonts w:eastAsiaTheme="majorEastAsia" w:cstheme="minorHAnsi"/>
          <w:color w:val="0C7DBB"/>
        </w:rPr>
        <w:t>Fama</w:t>
      </w:r>
      <w:proofErr w:type="spellEnd"/>
      <w:r w:rsidRPr="00923237">
        <w:rPr>
          <w:rStyle w:val="Hyperlink"/>
          <w:rFonts w:eastAsiaTheme="majorEastAsia" w:cstheme="minorHAnsi"/>
          <w:color w:val="0C7DBB"/>
        </w:rPr>
        <w:t xml:space="preserve"> and French (1992)</w:t>
      </w:r>
      <w:r w:rsidR="00EB1576" w:rsidRPr="00923237">
        <w:rPr>
          <w:rStyle w:val="Hyperlink"/>
          <w:rFonts w:eastAsiaTheme="majorEastAsia" w:cstheme="minorHAnsi"/>
          <w:color w:val="0C7DBB"/>
        </w:rPr>
        <w:fldChar w:fldCharType="end"/>
      </w:r>
      <w:r w:rsidRPr="00923237">
        <w:rPr>
          <w:rFonts w:cstheme="minorHAnsi"/>
          <w:color w:val="2E2E2E"/>
        </w:rPr>
        <w:t> report a positive relationship between market leverage and </w:t>
      </w:r>
      <w:hyperlink r:id="rId37" w:tooltip="Learn more about Capital Market Returns from ScienceDirect's AI-generated Topic Pages" w:history="1">
        <w:r w:rsidRPr="00923237">
          <w:rPr>
            <w:rStyle w:val="Hyperlink"/>
            <w:rFonts w:eastAsiaTheme="majorEastAsia" w:cstheme="minorHAnsi"/>
            <w:color w:val="0C7DBB"/>
          </w:rPr>
          <w:t>stock returns</w:t>
        </w:r>
      </w:hyperlink>
      <w:r w:rsidRPr="00923237">
        <w:rPr>
          <w:rFonts w:cstheme="minorHAnsi"/>
          <w:color w:val="2E2E2E"/>
        </w:rPr>
        <w:t>. However, </w:t>
      </w:r>
      <w:proofErr w:type="spellStart"/>
      <w:r w:rsidR="00EB1576" w:rsidRPr="00923237">
        <w:fldChar w:fldCharType="begin"/>
      </w:r>
      <w:r w:rsidR="00EB1576" w:rsidRPr="00923237">
        <w:rPr>
          <w:rFonts w:cstheme="minorHAnsi"/>
        </w:rPr>
        <w:instrText xml:space="preserve"> HYPERLINK "https://0-www-sciencedirect-com.libus.csd.mu.edu/science/article/pii/S0929119917307344" \l "bb0075" </w:instrText>
      </w:r>
      <w:r w:rsidR="00EB1576" w:rsidRPr="00923237">
        <w:fldChar w:fldCharType="separate"/>
      </w:r>
      <w:r w:rsidRPr="00923237">
        <w:rPr>
          <w:rStyle w:val="Hyperlink"/>
          <w:rFonts w:eastAsiaTheme="majorEastAsia" w:cstheme="minorHAnsi"/>
          <w:color w:val="0C7DBB"/>
        </w:rPr>
        <w:t>Fama</w:t>
      </w:r>
      <w:proofErr w:type="spellEnd"/>
      <w:r w:rsidRPr="00923237">
        <w:rPr>
          <w:rStyle w:val="Hyperlink"/>
          <w:rFonts w:eastAsiaTheme="majorEastAsia" w:cstheme="minorHAnsi"/>
          <w:color w:val="0C7DBB"/>
        </w:rPr>
        <w:t xml:space="preserve"> and French (1992)</w:t>
      </w:r>
      <w:r w:rsidR="00EB1576" w:rsidRPr="00923237">
        <w:rPr>
          <w:rStyle w:val="Hyperlink"/>
          <w:rFonts w:eastAsiaTheme="majorEastAsia" w:cstheme="minorHAnsi"/>
          <w:color w:val="0C7DBB"/>
        </w:rPr>
        <w:fldChar w:fldCharType="end"/>
      </w:r>
      <w:r w:rsidRPr="00923237">
        <w:rPr>
          <w:rFonts w:cstheme="minorHAnsi"/>
          <w:color w:val="2E2E2E"/>
        </w:rPr>
        <w:t> also find a negative relation between book leverage and stock returns. More recently, </w:t>
      </w:r>
      <w:hyperlink r:id="rId38" w:anchor="bb0245" w:history="1">
        <w:r w:rsidRPr="00923237">
          <w:rPr>
            <w:rStyle w:val="Hyperlink"/>
            <w:rFonts w:eastAsiaTheme="majorEastAsia" w:cstheme="minorHAnsi"/>
            <w:color w:val="0C7DBB"/>
          </w:rPr>
          <w:t>Penman et al. (2007)</w:t>
        </w:r>
      </w:hyperlink>
      <w:bookmarkEnd w:id="11"/>
      <w:r w:rsidRPr="00923237">
        <w:rPr>
          <w:rFonts w:cstheme="minorHAnsi"/>
          <w:color w:val="2E2E2E"/>
        </w:rPr>
        <w:t> document that when decomposing book-to-market equity into an asset component and a leverage component, the leverage component is negatively related to stock returns, even after controlling for risk factors such as size, estimated beta, </w:t>
      </w:r>
      <w:hyperlink r:id="rId39" w:tooltip="Learn more about Returns Volatility from ScienceDirect's AI-generated Topic Pages" w:history="1">
        <w:r w:rsidRPr="00923237">
          <w:rPr>
            <w:rStyle w:val="Hyperlink"/>
            <w:rFonts w:eastAsiaTheme="majorEastAsia" w:cstheme="minorHAnsi"/>
            <w:color w:val="0C7DBB"/>
          </w:rPr>
          <w:t>return volatility</w:t>
        </w:r>
      </w:hyperlink>
      <w:r w:rsidRPr="00923237">
        <w:rPr>
          <w:rFonts w:cstheme="minorHAnsi"/>
          <w:color w:val="2E2E2E"/>
        </w:rPr>
        <w:t>, momentum, and default risk. To explain the negative relation between leverage and stock returns, </w:t>
      </w:r>
      <w:hyperlink r:id="rId40" w:anchor="bb0090" w:history="1">
        <w:r w:rsidRPr="00923237">
          <w:rPr>
            <w:rStyle w:val="Hyperlink"/>
            <w:rFonts w:eastAsiaTheme="majorEastAsia" w:cstheme="minorHAnsi"/>
            <w:color w:val="0C7DBB"/>
          </w:rPr>
          <w:t>George and Hwang (2010)</w:t>
        </w:r>
      </w:hyperlink>
      <w:bookmarkEnd w:id="13"/>
      <w:r w:rsidRPr="00923237">
        <w:rPr>
          <w:rFonts w:cstheme="minorHAnsi"/>
          <w:color w:val="2E2E2E"/>
        </w:rPr>
        <w:t> develop a theoretical model and provide empirical evidence showing that this relationship could be explained by distress costs. Specifically, they show that since firms with high distress costs choose low leverage, low leverage firms will have the greatest exposure to systematic risk related to distress. In the cross section, expected returns will therefore be negatively related to leverage. Focusing on product markets, </w:t>
      </w:r>
      <w:bookmarkStart w:id="41" w:name="bbb0055"/>
      <w:proofErr w:type="spellStart"/>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"bb0055" </w:instrText>
      </w:r>
      <w:r w:rsidRPr="00923237">
        <w:rPr>
          <w:rFonts w:cstheme="minorHAnsi"/>
          <w:color w:val="2E2E2E"/>
        </w:rPr>
        <w:fldChar w:fldCharType="separate"/>
      </w:r>
      <w:r w:rsidRPr="00923237">
        <w:rPr>
          <w:rStyle w:val="Hyperlink"/>
          <w:rFonts w:eastAsiaTheme="majorEastAsia" w:cstheme="minorHAnsi"/>
          <w:color w:val="0C7DBB"/>
        </w:rPr>
        <w:t>Campello</w:t>
      </w:r>
      <w:proofErr w:type="spellEnd"/>
      <w:r w:rsidRPr="00923237">
        <w:rPr>
          <w:rStyle w:val="Hyperlink"/>
          <w:rFonts w:eastAsiaTheme="majorEastAsia" w:cstheme="minorHAnsi"/>
          <w:color w:val="0C7DBB"/>
        </w:rPr>
        <w:t xml:space="preserve"> (2006)</w:t>
      </w:r>
      <w:r w:rsidRPr="00923237">
        <w:rPr>
          <w:rFonts w:cstheme="minorHAnsi"/>
          <w:color w:val="2E2E2E"/>
        </w:rPr>
        <w:fldChar w:fldCharType="end"/>
      </w:r>
      <w:bookmarkEnd w:id="41"/>
      <w:r w:rsidRPr="00923237">
        <w:rPr>
          <w:rFonts w:cstheme="minorHAnsi"/>
          <w:color w:val="2E2E2E"/>
        </w:rPr>
        <w:t> shows both theoretically and empirically that debt could increase or decrease a firm's product market performance: at low debt levels, taking on more debt is associated with higher sales; however, at high level of debt, taking on more debt is associated with lower sales.</w:t>
      </w:r>
    </w:p>
    <w:p w14:paraId="58187C9B" w14:textId="77777777" w:rsidR="00A4606E" w:rsidRPr="00923237" w:rsidRDefault="00A4606E" w:rsidP="005F7244">
      <w:pPr>
        <w:rPr>
          <w:rFonts w:cstheme="minorHAnsi"/>
          <w:color w:val="2E2E2E"/>
        </w:rPr>
      </w:pPr>
      <w:r w:rsidRPr="00923237">
        <w:rPr>
          <w:rFonts w:cstheme="minorHAnsi"/>
          <w:color w:val="2E2E2E"/>
        </w:rPr>
        <w:t>Similarly, in real estate, </w:t>
      </w:r>
      <w:bookmarkStart w:id="42" w:name="bbb0110"/>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"bb0110" </w:instrText>
      </w:r>
      <w:r w:rsidRPr="00923237">
        <w:rPr>
          <w:rFonts w:cstheme="minorHAnsi"/>
          <w:color w:val="2E2E2E"/>
        </w:rPr>
        <w:fldChar w:fldCharType="separate"/>
      </w:r>
      <w:r w:rsidRPr="00923237">
        <w:rPr>
          <w:rStyle w:val="Hyperlink"/>
          <w:rFonts w:eastAsiaTheme="majorEastAsia" w:cstheme="minorHAnsi"/>
          <w:color w:val="0C7DBB"/>
        </w:rPr>
        <w:t>Giacomini et al. (2015)</w:t>
      </w:r>
      <w:r w:rsidRPr="00923237">
        <w:rPr>
          <w:rFonts w:cstheme="minorHAnsi"/>
          <w:color w:val="2E2E2E"/>
        </w:rPr>
        <w:fldChar w:fldCharType="end"/>
      </w:r>
      <w:r w:rsidRPr="00923237">
        <w:rPr>
          <w:rFonts w:cstheme="minorHAnsi"/>
          <w:color w:val="2E2E2E"/>
        </w:rPr>
        <w:t> find a positive correlation between leverage and returns while </w:t>
      </w:r>
      <w:hyperlink r:id="rId41" w:anchor="bb0275" w:history="1">
        <w:r w:rsidRPr="00923237">
          <w:rPr>
            <w:rStyle w:val="Hyperlink"/>
            <w:rFonts w:eastAsiaTheme="majorEastAsia" w:cstheme="minorHAnsi"/>
            <w:color w:val="0C7DBB"/>
          </w:rPr>
          <w:t>Sun et al. (2015)</w:t>
        </w:r>
      </w:hyperlink>
      <w:r w:rsidRPr="00923237">
        <w:rPr>
          <w:rFonts w:cstheme="minorHAnsi"/>
          <w:color w:val="2E2E2E"/>
        </w:rPr>
        <w:t> find an inverse relationship. Specifically, using sample of </w:t>
      </w:r>
      <w:hyperlink r:id="rId42" w:tooltip="Learn more about Public Real Estate from ScienceDirect's AI-generated Topic Pages" w:history="1">
        <w:r w:rsidRPr="00923237">
          <w:rPr>
            <w:rStyle w:val="Hyperlink"/>
            <w:rFonts w:eastAsiaTheme="majorEastAsia" w:cstheme="minorHAnsi"/>
            <w:color w:val="0C7DBB"/>
          </w:rPr>
          <w:t>public real estate</w:t>
        </w:r>
      </w:hyperlink>
      <w:r w:rsidRPr="00923237">
        <w:rPr>
          <w:rFonts w:cstheme="minorHAnsi"/>
          <w:color w:val="2E2E2E"/>
        </w:rPr>
        <w:t> firms from eight countries between 2003 and 2011, </w:t>
      </w:r>
      <w:hyperlink r:id="rId43" w:anchor="bb0110" w:history="1">
        <w:r w:rsidRPr="00923237">
          <w:rPr>
            <w:rStyle w:val="Hyperlink"/>
            <w:rFonts w:eastAsiaTheme="majorEastAsia" w:cstheme="minorHAnsi"/>
            <w:color w:val="0C7DBB"/>
          </w:rPr>
          <w:t>Giacomini et al. (2015)</w:t>
        </w:r>
      </w:hyperlink>
      <w:r w:rsidRPr="00923237">
        <w:rPr>
          <w:rFonts w:cstheme="minorHAnsi"/>
          <w:color w:val="2E2E2E"/>
        </w:rPr>
        <w:t> find a positive unconditional relation between leverage and returns. However, they also find that during the </w:t>
      </w:r>
      <w:hyperlink r:id="rId44" w:tooltip="Learn more about Financial Crisis from ScienceDirect's AI-generated Topic Pages" w:history="1">
        <w:r w:rsidRPr="00923237">
          <w:rPr>
            <w:rStyle w:val="Hyperlink"/>
            <w:rFonts w:eastAsiaTheme="majorEastAsia" w:cstheme="minorHAnsi"/>
            <w:color w:val="0C7DBB"/>
          </w:rPr>
          <w:t>financial crisis</w:t>
        </w:r>
      </w:hyperlink>
      <w:r w:rsidRPr="00923237">
        <w:rPr>
          <w:rFonts w:cstheme="minorHAnsi"/>
          <w:color w:val="2E2E2E"/>
        </w:rPr>
        <w:t>, higher leverage is associated with larger share price declines. This finding is consistent with </w:t>
      </w:r>
      <w:hyperlink r:id="rId45" w:anchor="bb0275" w:history="1">
        <w:r w:rsidRPr="00923237">
          <w:rPr>
            <w:rStyle w:val="Hyperlink"/>
            <w:rFonts w:eastAsiaTheme="majorEastAsia" w:cstheme="minorHAnsi"/>
            <w:color w:val="0C7DBB"/>
          </w:rPr>
          <w:t>Sun et al. (2015)</w:t>
        </w:r>
      </w:hyperlink>
      <w:r w:rsidRPr="00923237">
        <w:rPr>
          <w:rFonts w:cstheme="minorHAnsi"/>
          <w:color w:val="2E2E2E"/>
        </w:rPr>
        <w:t> who find that during the years surrounding the financial crisis, share prices of REITs with higher debt-to-asset ratios and shorter maturity debt fell more. In contrast, </w:t>
      </w:r>
      <w:bookmarkStart w:id="43" w:name="bbb0235"/>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"bb0235" </w:instrText>
      </w:r>
      <w:r w:rsidRPr="00923237">
        <w:rPr>
          <w:rFonts w:cstheme="minorHAnsi"/>
          <w:color w:val="2E2E2E"/>
        </w:rPr>
        <w:fldChar w:fldCharType="separate"/>
      </w:r>
      <w:r w:rsidRPr="00923237">
        <w:rPr>
          <w:rStyle w:val="Hyperlink"/>
          <w:rFonts w:eastAsiaTheme="majorEastAsia" w:cstheme="minorHAnsi"/>
          <w:color w:val="0C7DBB"/>
        </w:rPr>
        <w:t>Pavlov et al. (2015)</w:t>
      </w:r>
      <w:r w:rsidRPr="00923237">
        <w:rPr>
          <w:rFonts w:cstheme="minorHAnsi"/>
          <w:color w:val="2E2E2E"/>
        </w:rPr>
        <w:fldChar w:fldCharType="end"/>
      </w:r>
      <w:bookmarkEnd w:id="43"/>
      <w:r w:rsidRPr="00923237">
        <w:rPr>
          <w:rFonts w:cstheme="minorHAnsi"/>
          <w:color w:val="2E2E2E"/>
        </w:rPr>
        <w:t> find no evidence of a significant relationship between leverage and returns for a sample of global real estate securities over the period 1999 to 2011.</w:t>
      </w:r>
    </w:p>
    <w:p w14:paraId="3E71246B" w14:textId="77777777" w:rsidR="00A4606E" w:rsidRPr="00923237" w:rsidRDefault="00A4606E" w:rsidP="005F7244">
      <w:pPr>
        <w:rPr>
          <w:rFonts w:cstheme="minorHAnsi"/>
          <w:color w:val="2E2E2E"/>
        </w:rPr>
      </w:pPr>
      <w:r w:rsidRPr="00923237">
        <w:rPr>
          <w:rFonts w:cstheme="minorHAnsi"/>
          <w:color w:val="2E2E2E"/>
        </w:rPr>
        <w:t>Furthermore, </w:t>
      </w:r>
      <w:hyperlink r:id="rId46" w:tooltip="Learn more about Agency Theory from ScienceDirect's AI-generated Topic Pages" w:history="1">
        <w:r w:rsidRPr="00923237">
          <w:rPr>
            <w:rStyle w:val="Hyperlink"/>
            <w:rFonts w:eastAsiaTheme="majorEastAsia" w:cstheme="minorHAnsi"/>
            <w:color w:val="0C7DBB"/>
          </w:rPr>
          <w:t>agency theory</w:t>
        </w:r>
      </w:hyperlink>
      <w:r w:rsidRPr="00923237">
        <w:rPr>
          <w:rFonts w:cstheme="minorHAnsi"/>
          <w:color w:val="2E2E2E"/>
        </w:rPr>
        <w:t> suggests that debt acts as a self-enforcing mechanism to mitigate agency problems (e.g. </w:t>
      </w:r>
      <w:hyperlink r:id="rId47" w:anchor="bb0120" w:history="1">
        <w:r w:rsidRPr="00923237">
          <w:rPr>
            <w:rStyle w:val="Hyperlink"/>
            <w:rFonts w:eastAsiaTheme="majorEastAsia" w:cstheme="minorHAnsi"/>
            <w:color w:val="0C7DBB"/>
          </w:rPr>
          <w:t>Grossman and Hart (1982)</w:t>
        </w:r>
      </w:hyperlink>
      <w:bookmarkEnd w:id="16"/>
      <w:r w:rsidRPr="00923237">
        <w:rPr>
          <w:rFonts w:cstheme="minorHAnsi"/>
          <w:color w:val="2E2E2E"/>
        </w:rPr>
        <w:t>, </w:t>
      </w:r>
      <w:hyperlink r:id="rId48" w:anchor="bb0175" w:history="1">
        <w:r w:rsidRPr="00923237">
          <w:rPr>
            <w:rStyle w:val="Hyperlink"/>
            <w:rFonts w:eastAsiaTheme="majorEastAsia" w:cstheme="minorHAnsi"/>
            <w:color w:val="0C7DBB"/>
          </w:rPr>
          <w:t>Jensen (1986)</w:t>
        </w:r>
      </w:hyperlink>
      <w:bookmarkEnd w:id="17"/>
      <w:r w:rsidRPr="00923237">
        <w:rPr>
          <w:rFonts w:cstheme="minorHAnsi"/>
          <w:color w:val="2E2E2E"/>
        </w:rPr>
        <w:t>, </w:t>
      </w:r>
      <w:proofErr w:type="spellStart"/>
      <w:r w:rsidR="00EB1576" w:rsidRPr="00923237">
        <w:fldChar w:fldCharType="begin"/>
      </w:r>
      <w:r w:rsidR="00EB1576" w:rsidRPr="00923237">
        <w:rPr>
          <w:rFonts w:cstheme="minorHAnsi"/>
        </w:rPr>
        <w:instrText xml:space="preserve"> HYPERLINK "https://0-www-sciencedirect-com.libus.csd.mu.edu/science/article/pii/S0929119917307344" \l "bb0265" </w:instrText>
      </w:r>
      <w:r w:rsidR="00EB1576" w:rsidRPr="00923237">
        <w:fldChar w:fldCharType="separate"/>
      </w:r>
      <w:r w:rsidRPr="00923237">
        <w:rPr>
          <w:rStyle w:val="Hyperlink"/>
          <w:rFonts w:eastAsiaTheme="majorEastAsia" w:cstheme="minorHAnsi"/>
          <w:color w:val="0C7DBB"/>
        </w:rPr>
        <w:t>Stulz</w:t>
      </w:r>
      <w:proofErr w:type="spellEnd"/>
      <w:r w:rsidRPr="00923237">
        <w:rPr>
          <w:rStyle w:val="Hyperlink"/>
          <w:rFonts w:eastAsiaTheme="majorEastAsia" w:cstheme="minorHAnsi"/>
          <w:color w:val="0C7DBB"/>
        </w:rPr>
        <w:t xml:space="preserve"> (1990)</w:t>
      </w:r>
      <w:r w:rsidR="00EB1576" w:rsidRPr="00923237">
        <w:rPr>
          <w:rStyle w:val="Hyperlink"/>
          <w:rFonts w:eastAsiaTheme="majorEastAsia" w:cstheme="minorHAnsi"/>
          <w:color w:val="0C7DBB"/>
        </w:rPr>
        <w:fldChar w:fldCharType="end"/>
      </w:r>
      <w:r w:rsidRPr="00923237">
        <w:rPr>
          <w:rFonts w:cstheme="minorHAnsi"/>
          <w:color w:val="2E2E2E"/>
        </w:rPr>
        <w:t>, </w:t>
      </w:r>
      <w:hyperlink r:id="rId49" w:anchor="bb0145" w:history="1">
        <w:r w:rsidRPr="00923237">
          <w:rPr>
            <w:rStyle w:val="Hyperlink"/>
            <w:rFonts w:eastAsiaTheme="majorEastAsia" w:cstheme="minorHAnsi"/>
            <w:color w:val="0C7DBB"/>
          </w:rPr>
          <w:t>Hart and Moore (1995)</w:t>
        </w:r>
      </w:hyperlink>
      <w:bookmarkEnd w:id="18"/>
      <w:r w:rsidRPr="00923237">
        <w:rPr>
          <w:rFonts w:cstheme="minorHAnsi"/>
          <w:color w:val="2E2E2E"/>
        </w:rPr>
        <w:t>, </w:t>
      </w:r>
      <w:hyperlink r:id="rId50" w:anchor="bb0285" w:history="1">
        <w:r w:rsidRPr="00923237">
          <w:rPr>
            <w:rStyle w:val="Hyperlink"/>
            <w:rFonts w:eastAsiaTheme="majorEastAsia" w:cstheme="minorHAnsi"/>
            <w:color w:val="0C7DBB"/>
          </w:rPr>
          <w:t>Williamson (1988)</w:t>
        </w:r>
      </w:hyperlink>
      <w:bookmarkEnd w:id="19"/>
      <w:r w:rsidRPr="00923237">
        <w:rPr>
          <w:rFonts w:cstheme="minorHAnsi"/>
          <w:color w:val="2E2E2E"/>
        </w:rPr>
        <w:t>, </w:t>
      </w:r>
      <w:proofErr w:type="spellStart"/>
      <w:r w:rsidR="00EB1576" w:rsidRPr="00923237">
        <w:fldChar w:fldCharType="begin"/>
      </w:r>
      <w:r w:rsidR="00EB1576" w:rsidRPr="00923237">
        <w:rPr>
          <w:rFonts w:cstheme="minorHAnsi"/>
        </w:rPr>
        <w:instrText xml:space="preserve"> HYPERLINK "https://0-www-sciencedirect-com.libus.csd.mu.edu/science/article/pii/S0929119917307344" \l "bb0255" </w:instrText>
      </w:r>
      <w:r w:rsidR="00EB1576" w:rsidRPr="00923237">
        <w:fldChar w:fldCharType="separate"/>
      </w:r>
      <w:r w:rsidRPr="00923237">
        <w:rPr>
          <w:rStyle w:val="Hyperlink"/>
          <w:rFonts w:eastAsiaTheme="majorEastAsia" w:cstheme="minorHAnsi"/>
          <w:color w:val="0C7DBB"/>
        </w:rPr>
        <w:t>Rajan</w:t>
      </w:r>
      <w:proofErr w:type="spellEnd"/>
      <w:r w:rsidRPr="00923237">
        <w:rPr>
          <w:rStyle w:val="Hyperlink"/>
          <w:rFonts w:eastAsiaTheme="majorEastAsia" w:cstheme="minorHAnsi"/>
          <w:color w:val="0C7DBB"/>
        </w:rPr>
        <w:t xml:space="preserve"> and Winton (1995)</w:t>
      </w:r>
      <w:r w:rsidR="00EB1576" w:rsidRPr="00923237">
        <w:rPr>
          <w:rStyle w:val="Hyperlink"/>
          <w:rFonts w:eastAsiaTheme="majorEastAsia" w:cstheme="minorHAnsi"/>
          <w:color w:val="0C7DBB"/>
        </w:rPr>
        <w:fldChar w:fldCharType="end"/>
      </w:r>
      <w:bookmarkEnd w:id="20"/>
      <w:r w:rsidRPr="00923237">
        <w:rPr>
          <w:rFonts w:cstheme="minorHAnsi"/>
          <w:color w:val="2E2E2E"/>
        </w:rPr>
        <w:t>, and </w:t>
      </w:r>
      <w:proofErr w:type="spellStart"/>
      <w:r w:rsidR="00EB1576" w:rsidRPr="00923237">
        <w:fldChar w:fldCharType="begin"/>
      </w:r>
      <w:r w:rsidR="00EB1576" w:rsidRPr="00923237">
        <w:rPr>
          <w:rFonts w:cstheme="minorHAnsi"/>
        </w:rPr>
        <w:instrText xml:space="preserve"> HYPERLINK "https://0-www-sciencedirect-com.libus.csd.mu.edu/science/article/pii/S0929119917307344" \l "bb0270" </w:instrText>
      </w:r>
      <w:r w:rsidR="00EB1576" w:rsidRPr="00923237">
        <w:fldChar w:fldCharType="separate"/>
      </w:r>
      <w:r w:rsidRPr="00923237">
        <w:rPr>
          <w:rStyle w:val="Hyperlink"/>
          <w:rFonts w:eastAsiaTheme="majorEastAsia" w:cstheme="minorHAnsi"/>
          <w:color w:val="0C7DBB"/>
        </w:rPr>
        <w:t>Stulz</w:t>
      </w:r>
      <w:proofErr w:type="spellEnd"/>
      <w:r w:rsidRPr="00923237">
        <w:rPr>
          <w:rStyle w:val="Hyperlink"/>
          <w:rFonts w:eastAsiaTheme="majorEastAsia" w:cstheme="minorHAnsi"/>
          <w:color w:val="0C7DBB"/>
        </w:rPr>
        <w:t xml:space="preserve"> (2000)</w:t>
      </w:r>
      <w:r w:rsidR="00EB1576" w:rsidRPr="00923237">
        <w:rPr>
          <w:rStyle w:val="Hyperlink"/>
          <w:rFonts w:eastAsiaTheme="majorEastAsia" w:cstheme="minorHAnsi"/>
          <w:color w:val="0C7DBB"/>
        </w:rPr>
        <w:fldChar w:fldCharType="end"/>
      </w:r>
      <w:bookmarkEnd w:id="21"/>
      <w:r w:rsidRPr="00923237">
        <w:rPr>
          <w:rFonts w:cstheme="minorHAnsi"/>
          <w:color w:val="2E2E2E"/>
        </w:rPr>
        <w:t>). More recently, </w:t>
      </w:r>
      <w:bookmarkStart w:id="44" w:name="bbb0220"/>
      <w:proofErr w:type="spellStart"/>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"bb0220" </w:instrText>
      </w:r>
      <w:r w:rsidRPr="00923237">
        <w:rPr>
          <w:rFonts w:cstheme="minorHAnsi"/>
          <w:color w:val="2E2E2E"/>
        </w:rPr>
        <w:fldChar w:fldCharType="separate"/>
      </w:r>
      <w:r w:rsidRPr="00923237">
        <w:rPr>
          <w:rStyle w:val="Hyperlink"/>
          <w:rFonts w:eastAsiaTheme="majorEastAsia" w:cstheme="minorHAnsi"/>
          <w:color w:val="0C7DBB"/>
        </w:rPr>
        <w:t>Morellec</w:t>
      </w:r>
      <w:proofErr w:type="spellEnd"/>
      <w:r w:rsidRPr="00923237">
        <w:rPr>
          <w:rStyle w:val="Hyperlink"/>
          <w:rFonts w:eastAsiaTheme="majorEastAsia" w:cstheme="minorHAnsi"/>
          <w:color w:val="0C7DBB"/>
        </w:rPr>
        <w:t xml:space="preserve"> et al. (2012)</w:t>
      </w:r>
      <w:r w:rsidRPr="00923237">
        <w:rPr>
          <w:rFonts w:cstheme="minorHAnsi"/>
          <w:color w:val="2E2E2E"/>
        </w:rPr>
        <w:fldChar w:fldCharType="end"/>
      </w:r>
      <w:bookmarkEnd w:id="44"/>
      <w:r w:rsidRPr="00923237">
        <w:rPr>
          <w:rFonts w:cstheme="minorHAnsi"/>
          <w:color w:val="2E2E2E"/>
        </w:rPr>
        <w:t> develop a dynamic tradeoff model to examine the effect of agency conflicts on </w:t>
      </w:r>
      <w:hyperlink r:id="rId51" w:tooltip="Learn more about Capital Structure from ScienceDirect's AI-generated Topic Pages" w:history="1">
        <w:r w:rsidRPr="00923237">
          <w:rPr>
            <w:rStyle w:val="Hyperlink"/>
            <w:rFonts w:eastAsiaTheme="majorEastAsia" w:cstheme="minorHAnsi"/>
            <w:color w:val="0C7DBB"/>
          </w:rPr>
          <w:t>capital structure</w:t>
        </w:r>
      </w:hyperlink>
      <w:r w:rsidRPr="00923237">
        <w:rPr>
          <w:rFonts w:cstheme="minorHAnsi"/>
          <w:color w:val="2E2E2E"/>
        </w:rPr>
        <w:t>. Among other results, they provide evidence that external and internal governance mechanisms (including board independence) significantly affect the value of control and firms' </w:t>
      </w:r>
      <w:hyperlink r:id="rId52" w:tooltip="Learn more about Financing Decision from ScienceDirect's AI-generated Topic Pages" w:history="1">
        <w:r w:rsidRPr="00923237">
          <w:rPr>
            <w:rStyle w:val="Hyperlink"/>
            <w:rFonts w:eastAsiaTheme="majorEastAsia" w:cstheme="minorHAnsi"/>
            <w:color w:val="0C7DBB"/>
          </w:rPr>
          <w:t>financing decisions</w:t>
        </w:r>
      </w:hyperlink>
      <w:r w:rsidRPr="00923237">
        <w:rPr>
          <w:rFonts w:cstheme="minorHAnsi"/>
          <w:color w:val="2E2E2E"/>
        </w:rPr>
        <w:t>. Empirically, </w:t>
      </w:r>
      <w:bookmarkStart w:id="45" w:name="bbb0125"/>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"bb0125" </w:instrText>
      </w:r>
      <w:r w:rsidRPr="00923237">
        <w:rPr>
          <w:rFonts w:cstheme="minorHAnsi"/>
          <w:color w:val="2E2E2E"/>
        </w:rPr>
        <w:fldChar w:fldCharType="separate"/>
      </w:r>
      <w:r w:rsidRPr="00923237">
        <w:rPr>
          <w:rStyle w:val="Hyperlink"/>
          <w:rFonts w:eastAsiaTheme="majorEastAsia" w:cstheme="minorHAnsi"/>
          <w:color w:val="0C7DBB"/>
        </w:rPr>
        <w:t>Harford et al. (2008)</w:t>
      </w:r>
      <w:r w:rsidRPr="00923237">
        <w:rPr>
          <w:rFonts w:cstheme="minorHAnsi"/>
          <w:color w:val="2E2E2E"/>
        </w:rPr>
        <w:fldChar w:fldCharType="end"/>
      </w:r>
      <w:bookmarkEnd w:id="45"/>
      <w:r w:rsidRPr="00923237">
        <w:rPr>
          <w:rFonts w:cstheme="minorHAnsi"/>
          <w:color w:val="2E2E2E"/>
        </w:rPr>
        <w:t> show that firms with stronger boards use more debt and more short-term debt. Similarly, focusing on REITs, </w:t>
      </w:r>
      <w:bookmarkStart w:id="46" w:name="bbb0105"/>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"bb0105" </w:instrText>
      </w:r>
      <w:r w:rsidRPr="00923237">
        <w:rPr>
          <w:rFonts w:cstheme="minorHAnsi"/>
          <w:color w:val="2E2E2E"/>
        </w:rPr>
        <w:fldChar w:fldCharType="separate"/>
      </w:r>
      <w:r w:rsidRPr="00923237">
        <w:rPr>
          <w:rStyle w:val="Hyperlink"/>
          <w:rFonts w:eastAsiaTheme="majorEastAsia" w:cstheme="minorHAnsi"/>
          <w:color w:val="0C7DBB"/>
        </w:rPr>
        <w:t>Ghosh et al. (2011)</w:t>
      </w:r>
      <w:r w:rsidRPr="00923237">
        <w:rPr>
          <w:rFonts w:cstheme="minorHAnsi"/>
          <w:color w:val="2E2E2E"/>
        </w:rPr>
        <w:fldChar w:fldCharType="end"/>
      </w:r>
      <w:bookmarkEnd w:id="46"/>
      <w:r w:rsidRPr="00923237">
        <w:rPr>
          <w:rFonts w:cstheme="minorHAnsi"/>
          <w:color w:val="2E2E2E"/>
        </w:rPr>
        <w:t> report that more entrenched CEOs use less debt and shorter maturity debt. In contrast, </w:t>
      </w:r>
      <w:bookmarkStart w:id="47" w:name="bbb0190"/>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"bb0190" </w:instrText>
      </w:r>
      <w:r w:rsidRPr="00923237">
        <w:rPr>
          <w:rFonts w:cstheme="minorHAnsi"/>
          <w:color w:val="2E2E2E"/>
        </w:rPr>
        <w:fldChar w:fldCharType="separate"/>
      </w:r>
      <w:r w:rsidRPr="00923237">
        <w:rPr>
          <w:rStyle w:val="Hyperlink"/>
          <w:rFonts w:eastAsiaTheme="majorEastAsia" w:cstheme="minorHAnsi"/>
          <w:color w:val="0C7DBB"/>
        </w:rPr>
        <w:t xml:space="preserve">John and </w:t>
      </w:r>
      <w:proofErr w:type="spellStart"/>
      <w:r w:rsidRPr="00923237">
        <w:rPr>
          <w:rStyle w:val="Hyperlink"/>
          <w:rFonts w:eastAsiaTheme="majorEastAsia" w:cstheme="minorHAnsi"/>
          <w:color w:val="0C7DBB"/>
        </w:rPr>
        <w:t>Litov</w:t>
      </w:r>
      <w:proofErr w:type="spellEnd"/>
      <w:r w:rsidRPr="00923237">
        <w:rPr>
          <w:rStyle w:val="Hyperlink"/>
          <w:rFonts w:eastAsiaTheme="majorEastAsia" w:cstheme="minorHAnsi"/>
          <w:color w:val="0C7DBB"/>
        </w:rPr>
        <w:t xml:space="preserve"> (2010)</w:t>
      </w:r>
      <w:r w:rsidRPr="00923237">
        <w:rPr>
          <w:rFonts w:cstheme="minorHAnsi"/>
          <w:color w:val="2E2E2E"/>
        </w:rPr>
        <w:fldChar w:fldCharType="end"/>
      </w:r>
      <w:bookmarkEnd w:id="47"/>
      <w:r w:rsidRPr="00923237">
        <w:rPr>
          <w:rFonts w:cstheme="minorHAnsi"/>
          <w:color w:val="2E2E2E"/>
        </w:rPr>
        <w:t> find that firms with entrenched managers use more debt and have higher leverage ratios. Thus, evidence on the link between board structure and firm leverage is also conflicting.</w:t>
      </w:r>
    </w:p>
    <w:p w14:paraId="158EFC1C" w14:textId="77777777" w:rsidR="00A4606E" w:rsidRPr="00923237" w:rsidRDefault="00A4606E" w:rsidP="005F7244">
      <w:pPr>
        <w:rPr>
          <w:rFonts w:cstheme="minorHAnsi"/>
          <w:color w:val="2E2E2E"/>
        </w:rPr>
      </w:pPr>
      <w:r w:rsidRPr="00923237">
        <w:rPr>
          <w:rFonts w:cstheme="minorHAnsi"/>
          <w:color w:val="2E2E2E"/>
        </w:rPr>
        <w:t>Monitoring managers can also reduce agency problems, and in this regard </w:t>
      </w:r>
      <w:hyperlink r:id="rId53" w:tooltip="Learn more about Board of Directors from ScienceDirect's AI-generated Topic Pages" w:history="1">
        <w:r w:rsidRPr="00923237">
          <w:rPr>
            <w:rStyle w:val="Hyperlink"/>
            <w:rFonts w:eastAsiaTheme="majorEastAsia" w:cstheme="minorHAnsi"/>
            <w:color w:val="0C7DBB"/>
          </w:rPr>
          <w:t>boards of directors</w:t>
        </w:r>
      </w:hyperlink>
      <w:r w:rsidRPr="00923237">
        <w:rPr>
          <w:rFonts w:cstheme="minorHAnsi"/>
          <w:color w:val="2E2E2E"/>
        </w:rPr>
        <w:t> play a central role in </w:t>
      </w:r>
      <w:hyperlink r:id="rId54" w:tooltip="Learn more about Corporate Governance from ScienceDirect's AI-generated Topic Pages" w:history="1">
        <w:r w:rsidRPr="00923237">
          <w:rPr>
            <w:rStyle w:val="Hyperlink"/>
            <w:rFonts w:eastAsiaTheme="majorEastAsia" w:cstheme="minorHAnsi"/>
            <w:color w:val="0C7DBB"/>
          </w:rPr>
          <w:t>corporate governance</w:t>
        </w:r>
      </w:hyperlink>
      <w:r w:rsidRPr="00923237">
        <w:rPr>
          <w:rFonts w:cstheme="minorHAnsi"/>
          <w:color w:val="2E2E2E"/>
        </w:rPr>
        <w:t> (</w:t>
      </w:r>
      <w:bookmarkStart w:id="48" w:name="bbb0180"/>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"bb0180" </w:instrText>
      </w:r>
      <w:r w:rsidRPr="00923237">
        <w:rPr>
          <w:rFonts w:cstheme="minorHAnsi"/>
          <w:color w:val="2E2E2E"/>
        </w:rPr>
        <w:fldChar w:fldCharType="separate"/>
      </w:r>
      <w:r w:rsidRPr="00923237">
        <w:rPr>
          <w:rStyle w:val="Hyperlink"/>
          <w:rFonts w:eastAsiaTheme="majorEastAsia" w:cstheme="minorHAnsi"/>
          <w:color w:val="0C7DBB"/>
        </w:rPr>
        <w:t>Jensen, 1993</w:t>
      </w:r>
      <w:r w:rsidRPr="00923237">
        <w:rPr>
          <w:rFonts w:cstheme="minorHAnsi"/>
          <w:color w:val="2E2E2E"/>
        </w:rPr>
        <w:fldChar w:fldCharType="end"/>
      </w:r>
      <w:bookmarkEnd w:id="48"/>
      <w:r w:rsidRPr="00923237">
        <w:rPr>
          <w:rFonts w:cstheme="minorHAnsi"/>
          <w:color w:val="2E2E2E"/>
        </w:rPr>
        <w:t>). Indeed, a rich body of theoretical and empirical literature has examined board structure including board size and independence (as proxies for board monitoring) and board effectiveness (</w:t>
      </w:r>
      <w:bookmarkStart w:id="49" w:name="bbb0165"/>
      <w:proofErr w:type="spellStart"/>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"bb0165" </w:instrText>
      </w:r>
      <w:r w:rsidRPr="00923237">
        <w:rPr>
          <w:rFonts w:cstheme="minorHAnsi"/>
          <w:color w:val="2E2E2E"/>
        </w:rPr>
        <w:fldChar w:fldCharType="separate"/>
      </w:r>
      <w:r w:rsidRPr="00923237">
        <w:rPr>
          <w:rStyle w:val="Hyperlink"/>
          <w:rFonts w:eastAsiaTheme="majorEastAsia" w:cstheme="minorHAnsi"/>
          <w:color w:val="0C7DBB"/>
        </w:rPr>
        <w:t>Hermalin</w:t>
      </w:r>
      <w:proofErr w:type="spellEnd"/>
      <w:r w:rsidRPr="00923237">
        <w:rPr>
          <w:rStyle w:val="Hyperlink"/>
          <w:rFonts w:eastAsiaTheme="majorEastAsia" w:cstheme="minorHAnsi"/>
          <w:color w:val="0C7DBB"/>
        </w:rPr>
        <w:t xml:space="preserve"> and </w:t>
      </w:r>
      <w:proofErr w:type="spellStart"/>
      <w:r w:rsidRPr="00923237">
        <w:rPr>
          <w:rStyle w:val="Hyperlink"/>
          <w:rFonts w:eastAsiaTheme="majorEastAsia" w:cstheme="minorHAnsi"/>
          <w:color w:val="0C7DBB"/>
        </w:rPr>
        <w:t>Weisbach</w:t>
      </w:r>
      <w:proofErr w:type="spellEnd"/>
      <w:r w:rsidRPr="00923237">
        <w:rPr>
          <w:rStyle w:val="Hyperlink"/>
          <w:rFonts w:eastAsiaTheme="majorEastAsia" w:cstheme="minorHAnsi"/>
          <w:color w:val="0C7DBB"/>
        </w:rPr>
        <w:t xml:space="preserve"> (2003)</w:t>
      </w:r>
      <w:r w:rsidRPr="00923237">
        <w:rPr>
          <w:rFonts w:cstheme="minorHAnsi"/>
          <w:color w:val="2E2E2E"/>
        </w:rPr>
        <w:fldChar w:fldCharType="end"/>
      </w:r>
      <w:r w:rsidRPr="00923237">
        <w:rPr>
          <w:rFonts w:cstheme="minorHAnsi"/>
          <w:color w:val="2E2E2E"/>
        </w:rPr>
        <w:t>, </w:t>
      </w:r>
      <w:bookmarkStart w:id="50" w:name="bbb0030"/>
      <w:proofErr w:type="spellStart"/>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"bb0030" </w:instrText>
      </w:r>
      <w:r w:rsidRPr="00923237">
        <w:rPr>
          <w:rFonts w:cstheme="minorHAnsi"/>
          <w:color w:val="2E2E2E"/>
        </w:rPr>
        <w:fldChar w:fldCharType="separate"/>
      </w:r>
      <w:r w:rsidRPr="00923237">
        <w:rPr>
          <w:rStyle w:val="Hyperlink"/>
          <w:rFonts w:eastAsiaTheme="majorEastAsia" w:cstheme="minorHAnsi"/>
          <w:color w:val="0C7DBB"/>
        </w:rPr>
        <w:t>Bebchuk</w:t>
      </w:r>
      <w:proofErr w:type="spellEnd"/>
      <w:r w:rsidRPr="00923237">
        <w:rPr>
          <w:rStyle w:val="Hyperlink"/>
          <w:rFonts w:eastAsiaTheme="majorEastAsia" w:cstheme="minorHAnsi"/>
          <w:color w:val="0C7DBB"/>
        </w:rPr>
        <w:t xml:space="preserve"> and </w:t>
      </w:r>
      <w:proofErr w:type="spellStart"/>
      <w:r w:rsidRPr="00923237">
        <w:rPr>
          <w:rStyle w:val="Hyperlink"/>
          <w:rFonts w:eastAsiaTheme="majorEastAsia" w:cstheme="minorHAnsi"/>
          <w:color w:val="0C7DBB"/>
        </w:rPr>
        <w:t>Weisbach</w:t>
      </w:r>
      <w:proofErr w:type="spellEnd"/>
      <w:r w:rsidRPr="00923237">
        <w:rPr>
          <w:rStyle w:val="Hyperlink"/>
          <w:rFonts w:eastAsiaTheme="majorEastAsia" w:cstheme="minorHAnsi"/>
          <w:color w:val="0C7DBB"/>
        </w:rPr>
        <w:t xml:space="preserve"> (2010)</w:t>
      </w:r>
      <w:r w:rsidRPr="00923237">
        <w:rPr>
          <w:rFonts w:cstheme="minorHAnsi"/>
          <w:color w:val="2E2E2E"/>
        </w:rPr>
        <w:fldChar w:fldCharType="end"/>
      </w:r>
      <w:bookmarkEnd w:id="50"/>
      <w:r w:rsidRPr="00923237">
        <w:rPr>
          <w:rFonts w:cstheme="minorHAnsi"/>
          <w:color w:val="2E2E2E"/>
        </w:rPr>
        <w:t>, and </w:t>
      </w:r>
      <w:hyperlink r:id="rId55" w:anchor="bb0010" w:history="1">
        <w:r w:rsidRPr="00923237">
          <w:rPr>
            <w:rStyle w:val="Hyperlink"/>
            <w:rFonts w:eastAsiaTheme="majorEastAsia" w:cstheme="minorHAnsi"/>
            <w:color w:val="0C7DBB"/>
          </w:rPr>
          <w:t>Adams et al. (2010)</w:t>
        </w:r>
      </w:hyperlink>
      <w:r w:rsidRPr="00923237">
        <w:rPr>
          <w:rFonts w:cstheme="minorHAnsi"/>
          <w:color w:val="2E2E2E"/>
        </w:rPr>
        <w:t>). For example, </w:t>
      </w:r>
      <w:hyperlink r:id="rId56" w:anchor="bb0295" w:history="1">
        <w:r w:rsidRPr="00923237">
          <w:rPr>
            <w:rStyle w:val="Hyperlink"/>
            <w:rFonts w:eastAsiaTheme="majorEastAsia" w:cstheme="minorHAnsi"/>
            <w:color w:val="0C7DBB"/>
          </w:rPr>
          <w:t>Yermack (1996)</w:t>
        </w:r>
      </w:hyperlink>
      <w:bookmarkEnd w:id="23"/>
      <w:r w:rsidRPr="00923237">
        <w:rPr>
          <w:rFonts w:cstheme="minorHAnsi"/>
          <w:color w:val="2E2E2E"/>
        </w:rPr>
        <w:t> reports an association between board size and firm value, suggesting that small boards are more effective. In contrast, </w:t>
      </w:r>
      <w:hyperlink r:id="rId57" w:anchor="bb0060" w:history="1">
        <w:r w:rsidRPr="00923237">
          <w:rPr>
            <w:rStyle w:val="Hyperlink"/>
            <w:rFonts w:eastAsiaTheme="majorEastAsia" w:cstheme="minorHAnsi"/>
            <w:color w:val="0C7DBB"/>
          </w:rPr>
          <w:t>Coles et al. (2008)</w:t>
        </w:r>
      </w:hyperlink>
      <w:r w:rsidRPr="00923237">
        <w:rPr>
          <w:rFonts w:cstheme="minorHAnsi"/>
          <w:color w:val="2E2E2E"/>
        </w:rPr>
        <w:t> find that the relation between board size and firm performance is non-linear. Similarly, while independent directors are considered better monitors, inside directors can act as a conduit of information to the rest of the board which enhances their ability to monitor and advise management (</w:t>
      </w:r>
      <w:bookmarkStart w:id="51" w:name="bbb0250"/>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"bb0250" </w:instrText>
      </w:r>
      <w:r w:rsidRPr="00923237">
        <w:rPr>
          <w:rFonts w:cstheme="minorHAnsi"/>
          <w:color w:val="2E2E2E"/>
        </w:rPr>
        <w:fldChar w:fldCharType="separate"/>
      </w:r>
      <w:r w:rsidRPr="00923237">
        <w:rPr>
          <w:rStyle w:val="Hyperlink"/>
          <w:rFonts w:eastAsiaTheme="majorEastAsia" w:cstheme="minorHAnsi"/>
          <w:color w:val="0C7DBB"/>
        </w:rPr>
        <w:t>Raheja (2005)</w:t>
      </w:r>
      <w:r w:rsidRPr="00923237">
        <w:rPr>
          <w:rFonts w:cstheme="minorHAnsi"/>
          <w:color w:val="2E2E2E"/>
        </w:rPr>
        <w:fldChar w:fldCharType="end"/>
      </w:r>
      <w:bookmarkEnd w:id="51"/>
      <w:r w:rsidRPr="00923237">
        <w:rPr>
          <w:rFonts w:cstheme="minorHAnsi"/>
          <w:color w:val="2E2E2E"/>
        </w:rPr>
        <w:t>, </w:t>
      </w:r>
      <w:bookmarkStart w:id="52" w:name="bbb0005"/>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"bb0005" </w:instrText>
      </w:r>
      <w:r w:rsidRPr="00923237">
        <w:rPr>
          <w:rFonts w:cstheme="minorHAnsi"/>
          <w:color w:val="2E2E2E"/>
        </w:rPr>
        <w:fldChar w:fldCharType="separate"/>
      </w:r>
      <w:r w:rsidRPr="00923237">
        <w:rPr>
          <w:rStyle w:val="Hyperlink"/>
          <w:rFonts w:eastAsiaTheme="majorEastAsia" w:cstheme="minorHAnsi"/>
          <w:color w:val="0C7DBB"/>
        </w:rPr>
        <w:t>Adams and Ferreira (2007)</w:t>
      </w:r>
      <w:r w:rsidRPr="00923237">
        <w:rPr>
          <w:rFonts w:cstheme="minorHAnsi"/>
          <w:color w:val="2E2E2E"/>
        </w:rPr>
        <w:fldChar w:fldCharType="end"/>
      </w:r>
      <w:bookmarkEnd w:id="52"/>
      <w:r w:rsidRPr="00923237">
        <w:rPr>
          <w:rFonts w:cstheme="minorHAnsi"/>
          <w:color w:val="2E2E2E"/>
        </w:rPr>
        <w:t>, and </w:t>
      </w:r>
      <w:bookmarkStart w:id="53" w:name="bbb0135"/>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"bb0135" </w:instrText>
      </w:r>
      <w:r w:rsidRPr="00923237">
        <w:rPr>
          <w:rFonts w:cstheme="minorHAnsi"/>
          <w:color w:val="2E2E2E"/>
        </w:rPr>
        <w:fldChar w:fldCharType="separate"/>
      </w:r>
      <w:r w:rsidRPr="00923237">
        <w:rPr>
          <w:rStyle w:val="Hyperlink"/>
          <w:rFonts w:eastAsiaTheme="majorEastAsia" w:cstheme="minorHAnsi"/>
          <w:color w:val="0C7DBB"/>
        </w:rPr>
        <w:t xml:space="preserve">Harris and </w:t>
      </w:r>
      <w:proofErr w:type="spellStart"/>
      <w:r w:rsidRPr="00923237">
        <w:rPr>
          <w:rStyle w:val="Hyperlink"/>
          <w:rFonts w:eastAsiaTheme="majorEastAsia" w:cstheme="minorHAnsi"/>
          <w:color w:val="0C7DBB"/>
        </w:rPr>
        <w:t>Raviv</w:t>
      </w:r>
      <w:proofErr w:type="spellEnd"/>
      <w:r w:rsidRPr="00923237">
        <w:rPr>
          <w:rStyle w:val="Hyperlink"/>
          <w:rFonts w:eastAsiaTheme="majorEastAsia" w:cstheme="minorHAnsi"/>
          <w:color w:val="0C7DBB"/>
        </w:rPr>
        <w:t xml:space="preserve"> (2008)</w:t>
      </w:r>
      <w:r w:rsidRPr="00923237">
        <w:rPr>
          <w:rFonts w:cstheme="minorHAnsi"/>
          <w:color w:val="2E2E2E"/>
        </w:rPr>
        <w:fldChar w:fldCharType="end"/>
      </w:r>
      <w:bookmarkEnd w:id="53"/>
      <w:r w:rsidRPr="00923237">
        <w:rPr>
          <w:rFonts w:cstheme="minorHAnsi"/>
          <w:color w:val="2E2E2E"/>
        </w:rPr>
        <w:t>). Empirically, </w:t>
      </w:r>
      <w:bookmarkStart w:id="54" w:name="bbb0160"/>
      <w:proofErr w:type="spellStart"/>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"bb0160" </w:instrText>
      </w:r>
      <w:r w:rsidRPr="00923237">
        <w:rPr>
          <w:rFonts w:cstheme="minorHAnsi"/>
          <w:color w:val="2E2E2E"/>
        </w:rPr>
        <w:fldChar w:fldCharType="separate"/>
      </w:r>
      <w:r w:rsidRPr="00923237">
        <w:rPr>
          <w:rStyle w:val="Hyperlink"/>
          <w:rFonts w:eastAsiaTheme="majorEastAsia" w:cstheme="minorHAnsi"/>
          <w:color w:val="0C7DBB"/>
        </w:rPr>
        <w:t>Hermalin</w:t>
      </w:r>
      <w:proofErr w:type="spellEnd"/>
      <w:r w:rsidRPr="00923237">
        <w:rPr>
          <w:rStyle w:val="Hyperlink"/>
          <w:rFonts w:eastAsiaTheme="majorEastAsia" w:cstheme="minorHAnsi"/>
          <w:color w:val="0C7DBB"/>
        </w:rPr>
        <w:t xml:space="preserve"> and </w:t>
      </w:r>
      <w:proofErr w:type="spellStart"/>
      <w:r w:rsidRPr="00923237">
        <w:rPr>
          <w:rStyle w:val="Hyperlink"/>
          <w:rFonts w:eastAsiaTheme="majorEastAsia" w:cstheme="minorHAnsi"/>
          <w:color w:val="0C7DBB"/>
        </w:rPr>
        <w:t>Weisbach</w:t>
      </w:r>
      <w:proofErr w:type="spellEnd"/>
      <w:r w:rsidRPr="00923237">
        <w:rPr>
          <w:rStyle w:val="Hyperlink"/>
          <w:rFonts w:eastAsiaTheme="majorEastAsia" w:cstheme="minorHAnsi"/>
          <w:color w:val="0C7DBB"/>
        </w:rPr>
        <w:t xml:space="preserve"> (1991)</w:t>
      </w:r>
      <w:r w:rsidRPr="00923237">
        <w:rPr>
          <w:rFonts w:cstheme="minorHAnsi"/>
          <w:color w:val="2E2E2E"/>
        </w:rPr>
        <w:fldChar w:fldCharType="end"/>
      </w:r>
      <w:bookmarkEnd w:id="54"/>
      <w:r w:rsidRPr="00923237">
        <w:rPr>
          <w:rFonts w:cstheme="minorHAnsi"/>
          <w:color w:val="2E2E2E"/>
        </w:rPr>
        <w:t> and </w:t>
      </w:r>
      <w:bookmarkStart w:id="55" w:name="bbb0035"/>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"bb0035" </w:instrText>
      </w:r>
      <w:r w:rsidRPr="00923237">
        <w:rPr>
          <w:rFonts w:cstheme="minorHAnsi"/>
          <w:color w:val="2E2E2E"/>
        </w:rPr>
        <w:fldChar w:fldCharType="separate"/>
      </w:r>
      <w:r w:rsidRPr="00923237">
        <w:rPr>
          <w:rStyle w:val="Hyperlink"/>
          <w:rFonts w:eastAsiaTheme="majorEastAsia" w:cstheme="minorHAnsi"/>
          <w:color w:val="0C7DBB"/>
        </w:rPr>
        <w:t>Bhagat and Black, 1999</w:t>
      </w:r>
      <w:r w:rsidRPr="00923237">
        <w:rPr>
          <w:rFonts w:cstheme="minorHAnsi"/>
          <w:color w:val="2E2E2E"/>
        </w:rPr>
        <w:fldChar w:fldCharType="end"/>
      </w:r>
      <w:bookmarkEnd w:id="55"/>
      <w:r w:rsidRPr="00923237">
        <w:rPr>
          <w:rFonts w:cstheme="minorHAnsi"/>
          <w:color w:val="2E2E2E"/>
        </w:rPr>
        <w:t>, </w:t>
      </w:r>
      <w:bookmarkStart w:id="56" w:name="bbb0040"/>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"bb0040" </w:instrText>
      </w:r>
      <w:r w:rsidRPr="00923237">
        <w:rPr>
          <w:rFonts w:cstheme="minorHAnsi"/>
          <w:color w:val="2E2E2E"/>
        </w:rPr>
        <w:fldChar w:fldCharType="separate"/>
      </w:r>
      <w:r w:rsidRPr="00923237">
        <w:rPr>
          <w:rStyle w:val="Hyperlink"/>
          <w:rFonts w:eastAsiaTheme="majorEastAsia" w:cstheme="minorHAnsi"/>
          <w:color w:val="0C7DBB"/>
        </w:rPr>
        <w:t>Bhagat and Black, 2002</w:t>
      </w:r>
      <w:r w:rsidRPr="00923237">
        <w:rPr>
          <w:rFonts w:cstheme="minorHAnsi"/>
          <w:color w:val="2E2E2E"/>
        </w:rPr>
        <w:fldChar w:fldCharType="end"/>
      </w:r>
      <w:bookmarkEnd w:id="56"/>
      <w:r w:rsidRPr="00923237">
        <w:rPr>
          <w:rFonts w:cstheme="minorHAnsi"/>
          <w:color w:val="2E2E2E"/>
        </w:rPr>
        <w:t> find no evidence of an association between board independence and firm performance. In contrast, </w:t>
      </w:r>
      <w:hyperlink r:id="rId58" w:anchor="bb0060" w:history="1">
        <w:r w:rsidRPr="00923237">
          <w:rPr>
            <w:rStyle w:val="Hyperlink"/>
            <w:rFonts w:eastAsiaTheme="majorEastAsia" w:cstheme="minorHAnsi"/>
            <w:color w:val="0C7DBB"/>
          </w:rPr>
          <w:t>Coles et al. (2008)</w:t>
        </w:r>
      </w:hyperlink>
      <w:bookmarkEnd w:id="24"/>
      <w:r w:rsidRPr="00923237">
        <w:rPr>
          <w:rFonts w:cstheme="minorHAnsi"/>
          <w:color w:val="2E2E2E"/>
        </w:rPr>
        <w:t> find that, for complex firms, board independence is positively associated with firm performance, but for R&amp;D-intensive firms, the link is negative. More recently, however, </w:t>
      </w:r>
      <w:bookmarkStart w:id="57" w:name="bbb0290"/>
      <w:proofErr w:type="spellStart"/>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"bb0290" </w:instrText>
      </w:r>
      <w:r w:rsidRPr="00923237">
        <w:rPr>
          <w:rFonts w:cstheme="minorHAnsi"/>
          <w:color w:val="2E2E2E"/>
        </w:rPr>
        <w:fldChar w:fldCharType="separate"/>
      </w:r>
      <w:r w:rsidRPr="00923237">
        <w:rPr>
          <w:rStyle w:val="Hyperlink"/>
          <w:rFonts w:eastAsiaTheme="majorEastAsia" w:cstheme="minorHAnsi"/>
          <w:color w:val="0C7DBB"/>
        </w:rPr>
        <w:t>Wintoki</w:t>
      </w:r>
      <w:proofErr w:type="spellEnd"/>
      <w:r w:rsidRPr="00923237">
        <w:rPr>
          <w:rStyle w:val="Hyperlink"/>
          <w:rFonts w:eastAsiaTheme="majorEastAsia" w:cstheme="minorHAnsi"/>
          <w:color w:val="0C7DBB"/>
        </w:rPr>
        <w:t xml:space="preserve"> et al. (2012)</w:t>
      </w:r>
      <w:r w:rsidRPr="00923237">
        <w:rPr>
          <w:rFonts w:cstheme="minorHAnsi"/>
          <w:color w:val="2E2E2E"/>
        </w:rPr>
        <w:fldChar w:fldCharType="end"/>
      </w:r>
      <w:bookmarkEnd w:id="57"/>
      <w:r w:rsidRPr="00923237">
        <w:rPr>
          <w:rFonts w:cstheme="minorHAnsi"/>
          <w:color w:val="2E2E2E"/>
        </w:rPr>
        <w:t> conclude that there is no causal relation between board structure and firm performance after controlling for endogeneity. Again, the evidence on the effectiveness of independent boards is not clear.</w:t>
      </w:r>
    </w:p>
    <w:p w14:paraId="296A6C7B" w14:textId="77777777" w:rsidR="00A4606E" w:rsidRPr="00923237" w:rsidRDefault="00A4606E" w:rsidP="005F7244">
      <w:pPr>
        <w:rPr>
          <w:rFonts w:cstheme="minorHAnsi"/>
          <w:color w:val="2E2E2E"/>
        </w:rPr>
      </w:pPr>
      <w:r w:rsidRPr="00923237">
        <w:rPr>
          <w:rFonts w:cstheme="minorHAnsi"/>
          <w:color w:val="2E2E2E"/>
        </w:rPr>
        <w:t>In addition to board size and board independence, board activity is another dimension of director monitoring and advising. Among industrial firms, meeting frequency has been used as proxy for board and committee activity (</w:t>
      </w:r>
      <w:hyperlink r:id="rId59" w:anchor="bb0210" w:history="1">
        <w:r w:rsidRPr="00923237">
          <w:rPr>
            <w:rStyle w:val="Hyperlink"/>
            <w:rFonts w:eastAsiaTheme="majorEastAsia" w:cstheme="minorHAnsi"/>
            <w:color w:val="0C7DBB"/>
          </w:rPr>
          <w:t>Menon and Williams, 1994</w:t>
        </w:r>
      </w:hyperlink>
      <w:r w:rsidRPr="00923237">
        <w:rPr>
          <w:rFonts w:cstheme="minorHAnsi"/>
          <w:color w:val="2E2E2E"/>
        </w:rPr>
        <w:t>; </w:t>
      </w:r>
      <w:proofErr w:type="spellStart"/>
      <w:r w:rsidR="00EB1576" w:rsidRPr="00923237">
        <w:fldChar w:fldCharType="begin"/>
      </w:r>
      <w:r w:rsidR="00EB1576" w:rsidRPr="00923237">
        <w:rPr>
          <w:rFonts w:cstheme="minorHAnsi"/>
        </w:rPr>
        <w:instrText xml:space="preserve"> HYPERLINK "https://0-www-sciencedirect-com.libus.csd.mu.edu/science/article/pii/S0929119917307344" \l "bb0280" </w:instrText>
      </w:r>
      <w:r w:rsidR="00EB1576" w:rsidRPr="00923237">
        <w:fldChar w:fldCharType="separate"/>
      </w:r>
      <w:r w:rsidRPr="00923237">
        <w:rPr>
          <w:rStyle w:val="Hyperlink"/>
          <w:rFonts w:eastAsiaTheme="majorEastAsia" w:cstheme="minorHAnsi"/>
          <w:color w:val="0C7DBB"/>
        </w:rPr>
        <w:t>Vafaes</w:t>
      </w:r>
      <w:proofErr w:type="spellEnd"/>
      <w:r w:rsidRPr="00923237">
        <w:rPr>
          <w:rStyle w:val="Hyperlink"/>
          <w:rFonts w:eastAsiaTheme="majorEastAsia" w:cstheme="minorHAnsi"/>
          <w:color w:val="0C7DBB"/>
        </w:rPr>
        <w:t>, 1999</w:t>
      </w:r>
      <w:r w:rsidR="00EB1576" w:rsidRPr="00923237">
        <w:rPr>
          <w:rStyle w:val="Hyperlink"/>
          <w:rFonts w:eastAsiaTheme="majorEastAsia" w:cstheme="minorHAnsi"/>
          <w:color w:val="0C7DBB"/>
        </w:rPr>
        <w:fldChar w:fldCharType="end"/>
      </w:r>
      <w:r w:rsidRPr="00923237">
        <w:rPr>
          <w:rFonts w:cstheme="minorHAnsi"/>
          <w:color w:val="2E2E2E"/>
        </w:rPr>
        <w:t>; </w:t>
      </w:r>
      <w:hyperlink r:id="rId60" w:anchor="bb0065" w:history="1">
        <w:r w:rsidRPr="00923237">
          <w:rPr>
            <w:rStyle w:val="Hyperlink"/>
            <w:rFonts w:eastAsiaTheme="majorEastAsia" w:cstheme="minorHAnsi"/>
            <w:color w:val="0C7DBB"/>
          </w:rPr>
          <w:t xml:space="preserve">Deli and </w:t>
        </w:r>
        <w:proofErr w:type="spellStart"/>
        <w:r w:rsidRPr="00923237">
          <w:rPr>
            <w:rStyle w:val="Hyperlink"/>
            <w:rFonts w:eastAsiaTheme="majorEastAsia" w:cstheme="minorHAnsi"/>
            <w:color w:val="0C7DBB"/>
          </w:rPr>
          <w:t>Gillan</w:t>
        </w:r>
        <w:proofErr w:type="spellEnd"/>
        <w:r w:rsidRPr="00923237">
          <w:rPr>
            <w:rStyle w:val="Hyperlink"/>
            <w:rFonts w:eastAsiaTheme="majorEastAsia" w:cstheme="minorHAnsi"/>
            <w:color w:val="0C7DBB"/>
          </w:rPr>
          <w:t>, 2000</w:t>
        </w:r>
      </w:hyperlink>
      <w:r w:rsidRPr="00923237">
        <w:rPr>
          <w:rFonts w:cstheme="minorHAnsi"/>
          <w:color w:val="2E2E2E"/>
        </w:rPr>
        <w:t>; </w:t>
      </w:r>
      <w:hyperlink r:id="rId61" w:anchor="bb0050" w:history="1">
        <w:r w:rsidRPr="00923237">
          <w:rPr>
            <w:rStyle w:val="Hyperlink"/>
            <w:rFonts w:eastAsiaTheme="majorEastAsia" w:cstheme="minorHAnsi"/>
            <w:color w:val="0C7DBB"/>
          </w:rPr>
          <w:t xml:space="preserve">Brick and </w:t>
        </w:r>
        <w:proofErr w:type="spellStart"/>
        <w:r w:rsidRPr="00923237">
          <w:rPr>
            <w:rStyle w:val="Hyperlink"/>
            <w:rFonts w:eastAsiaTheme="majorEastAsia" w:cstheme="minorHAnsi"/>
            <w:color w:val="0C7DBB"/>
          </w:rPr>
          <w:t>Chidambaran</w:t>
        </w:r>
        <w:proofErr w:type="spellEnd"/>
        <w:r w:rsidRPr="00923237">
          <w:rPr>
            <w:rStyle w:val="Hyperlink"/>
            <w:rFonts w:eastAsiaTheme="majorEastAsia" w:cstheme="minorHAnsi"/>
            <w:color w:val="0C7DBB"/>
          </w:rPr>
          <w:t>, 2010</w:t>
        </w:r>
      </w:hyperlink>
      <w:r w:rsidRPr="00923237">
        <w:rPr>
          <w:rFonts w:cstheme="minorHAnsi"/>
          <w:color w:val="2E2E2E"/>
        </w:rPr>
        <w:t>; </w:t>
      </w:r>
      <w:hyperlink r:id="rId62" w:anchor="bb0225" w:history="1">
        <w:r w:rsidRPr="00923237">
          <w:rPr>
            <w:rStyle w:val="Hyperlink"/>
            <w:rFonts w:eastAsiaTheme="majorEastAsia" w:cstheme="minorHAnsi"/>
            <w:color w:val="0C7DBB"/>
          </w:rPr>
          <w:t>Nguyen, 2014</w:t>
        </w:r>
      </w:hyperlink>
      <w:r w:rsidRPr="00923237">
        <w:rPr>
          <w:rFonts w:cstheme="minorHAnsi"/>
          <w:color w:val="2E2E2E"/>
        </w:rPr>
        <w:t>). For example, </w:t>
      </w:r>
      <w:proofErr w:type="spellStart"/>
      <w:r w:rsidR="00EB1576" w:rsidRPr="00923237">
        <w:fldChar w:fldCharType="begin"/>
      </w:r>
      <w:r w:rsidR="00EB1576" w:rsidRPr="00923237">
        <w:rPr>
          <w:rFonts w:cstheme="minorHAnsi"/>
        </w:rPr>
        <w:instrText xml:space="preserve"> HYPERLINK "https://0-www-sciencedirect-com.libus.csd.mu.edu/science/article/pii/S0929119917307344" \l "bb0280" </w:instrText>
      </w:r>
      <w:r w:rsidR="00EB1576" w:rsidRPr="00923237">
        <w:fldChar w:fldCharType="separate"/>
      </w:r>
      <w:r w:rsidRPr="00923237">
        <w:rPr>
          <w:rStyle w:val="Hyperlink"/>
          <w:rFonts w:eastAsiaTheme="majorEastAsia" w:cstheme="minorHAnsi"/>
          <w:color w:val="0C7DBB"/>
        </w:rPr>
        <w:t>Vafaes</w:t>
      </w:r>
      <w:proofErr w:type="spellEnd"/>
      <w:r w:rsidRPr="00923237">
        <w:rPr>
          <w:rStyle w:val="Hyperlink"/>
          <w:rFonts w:eastAsiaTheme="majorEastAsia" w:cstheme="minorHAnsi"/>
          <w:color w:val="0C7DBB"/>
        </w:rPr>
        <w:t xml:space="preserve"> (1999)</w:t>
      </w:r>
      <w:r w:rsidR="00EB1576" w:rsidRPr="00923237">
        <w:rPr>
          <w:rStyle w:val="Hyperlink"/>
          <w:rFonts w:eastAsiaTheme="majorEastAsia" w:cstheme="minorHAnsi"/>
          <w:color w:val="0C7DBB"/>
        </w:rPr>
        <w:fldChar w:fldCharType="end"/>
      </w:r>
      <w:r w:rsidRPr="00923237">
        <w:rPr>
          <w:rFonts w:cstheme="minorHAnsi"/>
          <w:color w:val="2E2E2E"/>
        </w:rPr>
        <w:t> shows that abnormal board activity improves firm performance, especially among those with poor </w:t>
      </w:r>
      <w:hyperlink r:id="rId63" w:tooltip="Learn more about Bayesian Inference from ScienceDirect's AI-generated Topic Pages" w:history="1">
        <w:r w:rsidRPr="00923237">
          <w:rPr>
            <w:rStyle w:val="Hyperlink"/>
            <w:rFonts w:eastAsiaTheme="majorEastAsia" w:cstheme="minorHAnsi"/>
            <w:color w:val="0C7DBB"/>
          </w:rPr>
          <w:t>prior</w:t>
        </w:r>
      </w:hyperlink>
      <w:r w:rsidRPr="00923237">
        <w:rPr>
          <w:rFonts w:cstheme="minorHAnsi"/>
          <w:color w:val="2E2E2E"/>
        </w:rPr>
        <w:t> performance. Focusing on </w:t>
      </w:r>
      <w:hyperlink r:id="rId64" w:tooltip="Learn more about Audit Committee from ScienceDirect's AI-generated Topic Pages" w:history="1">
        <w:r w:rsidRPr="00923237">
          <w:rPr>
            <w:rStyle w:val="Hyperlink"/>
            <w:rFonts w:eastAsiaTheme="majorEastAsia" w:cstheme="minorHAnsi"/>
            <w:color w:val="0C7DBB"/>
          </w:rPr>
          <w:t>audit committees</w:t>
        </w:r>
      </w:hyperlink>
      <w:r w:rsidRPr="00923237">
        <w:rPr>
          <w:rFonts w:cstheme="minorHAnsi"/>
          <w:color w:val="2E2E2E"/>
        </w:rPr>
        <w:t>, </w:t>
      </w:r>
      <w:hyperlink r:id="rId65" w:anchor="bb0065" w:history="1">
        <w:r w:rsidRPr="00923237">
          <w:rPr>
            <w:rStyle w:val="Hyperlink"/>
            <w:rFonts w:eastAsiaTheme="majorEastAsia" w:cstheme="minorHAnsi"/>
            <w:color w:val="0C7DBB"/>
          </w:rPr>
          <w:t xml:space="preserve">Deli and </w:t>
        </w:r>
        <w:proofErr w:type="spellStart"/>
        <w:r w:rsidRPr="00923237">
          <w:rPr>
            <w:rStyle w:val="Hyperlink"/>
            <w:rFonts w:eastAsiaTheme="majorEastAsia" w:cstheme="minorHAnsi"/>
            <w:color w:val="0C7DBB"/>
          </w:rPr>
          <w:t>Gillan</w:t>
        </w:r>
        <w:proofErr w:type="spellEnd"/>
        <w:r w:rsidRPr="00923237">
          <w:rPr>
            <w:rStyle w:val="Hyperlink"/>
            <w:rFonts w:eastAsiaTheme="majorEastAsia" w:cstheme="minorHAnsi"/>
            <w:color w:val="0C7DBB"/>
          </w:rPr>
          <w:t xml:space="preserve"> (2000)</w:t>
        </w:r>
      </w:hyperlink>
      <w:bookmarkEnd w:id="31"/>
      <w:r w:rsidRPr="00923237">
        <w:rPr>
          <w:rFonts w:cstheme="minorHAnsi"/>
          <w:color w:val="2E2E2E"/>
        </w:rPr>
        <w:t> report that firms' demand for independent and active audit committee is driven by the demand for accounting certification. </w:t>
      </w:r>
      <w:hyperlink r:id="rId66" w:anchor="bb0050" w:history="1">
        <w:r w:rsidRPr="00923237">
          <w:rPr>
            <w:rStyle w:val="Hyperlink"/>
            <w:rFonts w:eastAsiaTheme="majorEastAsia" w:cstheme="minorHAnsi"/>
            <w:color w:val="0C7DBB"/>
          </w:rPr>
          <w:t xml:space="preserve">Brick and </w:t>
        </w:r>
        <w:proofErr w:type="spellStart"/>
        <w:r w:rsidRPr="00923237">
          <w:rPr>
            <w:rStyle w:val="Hyperlink"/>
            <w:rFonts w:eastAsiaTheme="majorEastAsia" w:cstheme="minorHAnsi"/>
            <w:color w:val="0C7DBB"/>
          </w:rPr>
          <w:t>Chidambaran</w:t>
        </w:r>
        <w:proofErr w:type="spellEnd"/>
        <w:r w:rsidRPr="00923237">
          <w:rPr>
            <w:rStyle w:val="Hyperlink"/>
            <w:rFonts w:eastAsiaTheme="majorEastAsia" w:cstheme="minorHAnsi"/>
            <w:color w:val="0C7DBB"/>
          </w:rPr>
          <w:t xml:space="preserve"> (2010)</w:t>
        </w:r>
      </w:hyperlink>
      <w:r w:rsidRPr="00923237">
        <w:rPr>
          <w:rFonts w:cstheme="minorHAnsi"/>
          <w:color w:val="2E2E2E"/>
        </w:rPr>
        <w:t xml:space="preserve"> find that board monitoring activity (as proxied by the number of board and committee meetings and by the independence of Audit, Compensation and Nominating committees) is positively associated with a firm's industry-adjusted Tobin's Q. Thus, we use board and committee meetings as proxies for board activity while </w:t>
      </w:r>
      <w:proofErr w:type="gramStart"/>
      <w:r w:rsidRPr="00923237">
        <w:rPr>
          <w:rFonts w:cstheme="minorHAnsi"/>
          <w:color w:val="2E2E2E"/>
        </w:rPr>
        <w:t>taking into account</w:t>
      </w:r>
      <w:proofErr w:type="gramEnd"/>
      <w:r w:rsidRPr="00923237">
        <w:rPr>
          <w:rFonts w:cstheme="minorHAnsi"/>
          <w:color w:val="2E2E2E"/>
        </w:rPr>
        <w:t xml:space="preserve"> director experience and controlling for board size and independence.</w:t>
      </w:r>
    </w:p>
    <w:p w14:paraId="72D067E6" w14:textId="77777777" w:rsidR="00A4606E" w:rsidRPr="00923237" w:rsidRDefault="00A4606E" w:rsidP="005F7244">
      <w:pPr>
        <w:rPr>
          <w:rFonts w:cstheme="minorHAnsi"/>
          <w:color w:val="2E2E2E"/>
        </w:rPr>
      </w:pPr>
      <w:r w:rsidRPr="00923237">
        <w:rPr>
          <w:rFonts w:cstheme="minorHAnsi"/>
          <w:color w:val="2E2E2E"/>
        </w:rPr>
        <w:t>As mentioned earlier, we choose to focus on REITs in testing our hypotheses because REITs are highly levered and leverage amplifies REIT returns in both a positive and negative direction (</w:t>
      </w:r>
      <w:hyperlink r:id="rId67" w:anchor="bb0110" w:history="1">
        <w:r w:rsidRPr="00923237">
          <w:rPr>
            <w:rStyle w:val="Hyperlink"/>
            <w:rFonts w:eastAsiaTheme="majorEastAsia" w:cstheme="minorHAnsi"/>
            <w:color w:val="0C7DBB"/>
          </w:rPr>
          <w:t>Giacomini et al., 2015</w:t>
        </w:r>
      </w:hyperlink>
      <w:r w:rsidRPr="00923237">
        <w:rPr>
          <w:rFonts w:cstheme="minorHAnsi"/>
          <w:color w:val="2E2E2E"/>
        </w:rPr>
        <w:t>; </w:t>
      </w:r>
      <w:hyperlink r:id="rId68" w:anchor="bb0275" w:history="1">
        <w:r w:rsidRPr="00923237">
          <w:rPr>
            <w:rStyle w:val="Hyperlink"/>
            <w:rFonts w:eastAsiaTheme="majorEastAsia" w:cstheme="minorHAnsi"/>
            <w:color w:val="0C7DBB"/>
          </w:rPr>
          <w:t>Sun et al., 2015</w:t>
        </w:r>
      </w:hyperlink>
      <w:r w:rsidRPr="00923237">
        <w:rPr>
          <w:rFonts w:cstheme="minorHAnsi"/>
          <w:color w:val="2E2E2E"/>
        </w:rPr>
        <w:t>). Moreover, because of the dividend payout requirement and the restrictions on ownership concentration, the role of internal governance in REITs is not clear. Nevertheless, the evidence to date suggests that REITs boards do matter. For example, </w:t>
      </w:r>
      <w:bookmarkStart w:id="58" w:name="bbb0080"/>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"bb0080" </w:instrText>
      </w:r>
      <w:r w:rsidRPr="00923237">
        <w:rPr>
          <w:rFonts w:cstheme="minorHAnsi"/>
          <w:color w:val="2E2E2E"/>
        </w:rPr>
        <w:fldChar w:fldCharType="separate"/>
      </w:r>
      <w:r w:rsidRPr="00923237">
        <w:rPr>
          <w:rStyle w:val="Hyperlink"/>
          <w:rFonts w:eastAsiaTheme="majorEastAsia" w:cstheme="minorHAnsi"/>
          <w:color w:val="0C7DBB"/>
        </w:rPr>
        <w:t xml:space="preserve">Friday and </w:t>
      </w:r>
      <w:proofErr w:type="spellStart"/>
      <w:r w:rsidRPr="00923237">
        <w:rPr>
          <w:rStyle w:val="Hyperlink"/>
          <w:rFonts w:eastAsiaTheme="majorEastAsia" w:cstheme="minorHAnsi"/>
          <w:color w:val="0C7DBB"/>
        </w:rPr>
        <w:t>Sirmans</w:t>
      </w:r>
      <w:proofErr w:type="spellEnd"/>
      <w:r w:rsidRPr="00923237">
        <w:rPr>
          <w:rStyle w:val="Hyperlink"/>
          <w:rFonts w:eastAsiaTheme="majorEastAsia" w:cstheme="minorHAnsi"/>
          <w:color w:val="0C7DBB"/>
        </w:rPr>
        <w:t xml:space="preserve"> (1998)</w:t>
      </w:r>
      <w:r w:rsidRPr="00923237">
        <w:rPr>
          <w:rFonts w:cstheme="minorHAnsi"/>
          <w:color w:val="2E2E2E"/>
        </w:rPr>
        <w:fldChar w:fldCharType="end"/>
      </w:r>
      <w:bookmarkEnd w:id="58"/>
      <w:r w:rsidRPr="00923237">
        <w:rPr>
          <w:rFonts w:cstheme="minorHAnsi"/>
          <w:color w:val="2E2E2E"/>
        </w:rPr>
        <w:t> and </w:t>
      </w:r>
      <w:bookmarkStart w:id="59" w:name="bbb0095"/>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"bb0095" </w:instrText>
      </w:r>
      <w:r w:rsidRPr="00923237">
        <w:rPr>
          <w:rFonts w:cstheme="minorHAnsi"/>
          <w:color w:val="2E2E2E"/>
        </w:rPr>
        <w:fldChar w:fldCharType="separate"/>
      </w:r>
      <w:r w:rsidRPr="00923237">
        <w:rPr>
          <w:rStyle w:val="Hyperlink"/>
          <w:rFonts w:eastAsiaTheme="majorEastAsia" w:cstheme="minorHAnsi"/>
          <w:color w:val="0C7DBB"/>
        </w:rPr>
        <w:t xml:space="preserve">Ghosh and </w:t>
      </w:r>
      <w:proofErr w:type="spellStart"/>
      <w:r w:rsidRPr="00923237">
        <w:rPr>
          <w:rStyle w:val="Hyperlink"/>
          <w:rFonts w:eastAsiaTheme="majorEastAsia" w:cstheme="minorHAnsi"/>
          <w:color w:val="0C7DBB"/>
        </w:rPr>
        <w:t>Sirmans</w:t>
      </w:r>
      <w:proofErr w:type="spellEnd"/>
      <w:r w:rsidRPr="00923237">
        <w:rPr>
          <w:rStyle w:val="Hyperlink"/>
          <w:rFonts w:eastAsiaTheme="majorEastAsia" w:cstheme="minorHAnsi"/>
          <w:color w:val="0C7DBB"/>
        </w:rPr>
        <w:t xml:space="preserve"> (2003)</w:t>
      </w:r>
      <w:r w:rsidRPr="00923237">
        <w:rPr>
          <w:rFonts w:cstheme="minorHAnsi"/>
          <w:color w:val="2E2E2E"/>
        </w:rPr>
        <w:fldChar w:fldCharType="end"/>
      </w:r>
      <w:bookmarkEnd w:id="59"/>
      <w:r w:rsidRPr="00923237">
        <w:rPr>
          <w:rFonts w:cstheme="minorHAnsi"/>
          <w:color w:val="2E2E2E"/>
        </w:rPr>
        <w:t> show that there is a positive association between board independence and firm value. In addition, </w:t>
      </w:r>
      <w:bookmarkStart w:id="60" w:name="bbb0100"/>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"bb0100" </w:instrText>
      </w:r>
      <w:r w:rsidRPr="00923237">
        <w:rPr>
          <w:rFonts w:cstheme="minorHAnsi"/>
          <w:color w:val="2E2E2E"/>
        </w:rPr>
        <w:fldChar w:fldCharType="separate"/>
      </w:r>
      <w:r w:rsidRPr="00923237">
        <w:rPr>
          <w:rStyle w:val="Hyperlink"/>
          <w:rFonts w:eastAsiaTheme="majorEastAsia" w:cstheme="minorHAnsi"/>
          <w:color w:val="0C7DBB"/>
        </w:rPr>
        <w:t xml:space="preserve">Ghosh and </w:t>
      </w:r>
      <w:proofErr w:type="spellStart"/>
      <w:r w:rsidRPr="00923237">
        <w:rPr>
          <w:rStyle w:val="Hyperlink"/>
          <w:rFonts w:eastAsiaTheme="majorEastAsia" w:cstheme="minorHAnsi"/>
          <w:color w:val="0C7DBB"/>
        </w:rPr>
        <w:t>Sirmans</w:t>
      </w:r>
      <w:proofErr w:type="spellEnd"/>
      <w:r w:rsidRPr="00923237">
        <w:rPr>
          <w:rStyle w:val="Hyperlink"/>
          <w:rFonts w:eastAsiaTheme="majorEastAsia" w:cstheme="minorHAnsi"/>
          <w:color w:val="0C7DBB"/>
        </w:rPr>
        <w:t xml:space="preserve"> (2005)</w:t>
      </w:r>
      <w:r w:rsidRPr="00923237">
        <w:rPr>
          <w:rFonts w:cstheme="minorHAnsi"/>
          <w:color w:val="2E2E2E"/>
        </w:rPr>
        <w:fldChar w:fldCharType="end"/>
      </w:r>
      <w:r w:rsidRPr="00923237">
        <w:rPr>
          <w:rFonts w:cstheme="minorHAnsi"/>
          <w:color w:val="2E2E2E"/>
        </w:rPr>
        <w:t> show that firms with weak director monitoring (large boards and boards with older and busier directors) pay their CEOs more. </w:t>
      </w:r>
      <w:bookmarkStart w:id="61" w:name="bbb0150"/>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"bb0150" </w:instrText>
      </w:r>
      <w:r w:rsidRPr="00923237">
        <w:rPr>
          <w:rFonts w:cstheme="minorHAnsi"/>
          <w:color w:val="2E2E2E"/>
        </w:rPr>
        <w:fldChar w:fldCharType="separate"/>
      </w:r>
      <w:r w:rsidRPr="00923237">
        <w:rPr>
          <w:rStyle w:val="Hyperlink"/>
          <w:rFonts w:eastAsiaTheme="majorEastAsia" w:cstheme="minorHAnsi"/>
          <w:color w:val="0C7DBB"/>
        </w:rPr>
        <w:t>Hartzell et al. (2008)</w:t>
      </w:r>
      <w:r w:rsidRPr="00923237">
        <w:rPr>
          <w:rFonts w:cstheme="minorHAnsi"/>
          <w:color w:val="2E2E2E"/>
        </w:rPr>
        <w:fldChar w:fldCharType="end"/>
      </w:r>
      <w:bookmarkEnd w:id="61"/>
      <w:r w:rsidRPr="00923237">
        <w:rPr>
          <w:rFonts w:cstheme="minorHAnsi"/>
          <w:color w:val="2E2E2E"/>
        </w:rPr>
        <w:t> find that firms with better </w:t>
      </w:r>
      <w:hyperlink r:id="rId69" w:tooltip="Learn more about Governance Structure from ScienceDirect's AI-generated Topic Pages" w:history="1">
        <w:r w:rsidRPr="00923237">
          <w:rPr>
            <w:rStyle w:val="Hyperlink"/>
            <w:rFonts w:eastAsiaTheme="majorEastAsia" w:cstheme="minorHAnsi"/>
            <w:color w:val="0C7DBB"/>
          </w:rPr>
          <w:t>governance structure</w:t>
        </w:r>
      </w:hyperlink>
      <w:r w:rsidRPr="00923237">
        <w:rPr>
          <w:rFonts w:cstheme="minorHAnsi"/>
          <w:color w:val="2E2E2E"/>
        </w:rPr>
        <w:t> at the time of IPO not only have higher initial valuations but also better long-term performance than their counterparts. More recently, </w:t>
      </w:r>
      <w:bookmarkStart w:id="62" w:name="bbb0020"/>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"bb0020" </w:instrText>
      </w:r>
      <w:r w:rsidRPr="00923237">
        <w:rPr>
          <w:rFonts w:cstheme="minorHAnsi"/>
          <w:color w:val="2E2E2E"/>
        </w:rPr>
        <w:fldChar w:fldCharType="separate"/>
      </w:r>
      <w:r w:rsidRPr="00923237">
        <w:rPr>
          <w:rStyle w:val="Hyperlink"/>
          <w:rFonts w:eastAsiaTheme="majorEastAsia" w:cstheme="minorHAnsi"/>
          <w:color w:val="0C7DBB"/>
        </w:rPr>
        <w:t>Anglin et al. (2012)</w:t>
      </w:r>
      <w:r w:rsidRPr="00923237">
        <w:rPr>
          <w:rFonts w:cstheme="minorHAnsi"/>
          <w:color w:val="2E2E2E"/>
        </w:rPr>
        <w:fldChar w:fldCharType="end"/>
      </w:r>
      <w:r w:rsidRPr="00923237">
        <w:rPr>
          <w:rFonts w:cstheme="minorHAnsi"/>
          <w:color w:val="2E2E2E"/>
        </w:rPr>
        <w:t> report that good corporate governance is essential for constraining </w:t>
      </w:r>
      <w:hyperlink r:id="rId70" w:tooltip="Learn more about Accounting Policy from ScienceDirect's AI-generated Topic Pages" w:history="1">
        <w:r w:rsidRPr="00923237">
          <w:rPr>
            <w:rStyle w:val="Hyperlink"/>
            <w:rFonts w:eastAsiaTheme="majorEastAsia" w:cstheme="minorHAnsi"/>
            <w:color w:val="0C7DBB"/>
          </w:rPr>
          <w:t>earnings management</w:t>
        </w:r>
      </w:hyperlink>
      <w:r w:rsidRPr="00923237">
        <w:rPr>
          <w:rFonts w:cstheme="minorHAnsi"/>
          <w:color w:val="2E2E2E"/>
        </w:rPr>
        <w:t>, especially for a subset of REITs that are more susceptible to such activities. As a result, focusing on REITs between 2003 and 2016, a period spanning the financial crisis, provides an ideal setting to observe both the effect of leverage and the role of the boards in affecting firm performance.</w:t>
      </w:r>
    </w:p>
    <w:p w14:paraId="402ECBC1" w14:textId="77777777" w:rsidR="00A4606E" w:rsidRPr="00923237" w:rsidRDefault="00A4606E" w:rsidP="005F7244">
      <w:pPr>
        <w:rPr>
          <w:rFonts w:cstheme="minorHAnsi"/>
          <w:color w:val="2E2E2E"/>
        </w:rPr>
      </w:pPr>
      <w:r w:rsidRPr="00923237">
        <w:rPr>
          <w:rFonts w:cstheme="minorHAnsi"/>
          <w:color w:val="2E2E2E"/>
        </w:rPr>
        <w:t>In addition to the impact on market value and volatility, the financial crisis led to many changes in the regulatory environment. As consequence, firms and their boards were under intense scrutiny, and this has continued post-crisis. This is especially true for REITs. Consistent with prior literature, we argue that during the financial crisis, the performance of REITs with high leverage will be more negative. However, this is also the time when internal governance, specifically the board, will act to monitor and advise management. As such, we also anticipate that director activity increases and has the potential to attenuate the negative effect of leverage on performance.</w:t>
      </w:r>
    </w:p>
    <w:p w14:paraId="5E4B85DA" w14:textId="77777777" w:rsidR="00A4606E" w:rsidRPr="00923237" w:rsidRDefault="00A4606E" w:rsidP="00A4606E">
      <w:pPr>
        <w:pStyle w:val="NormalWeb"/>
        <w:spacing w:before="0" w:beforeAutospacing="0" w:after="0" w:afterAutospacing="0" w:line="390" w:lineRule="atLeast"/>
        <w:rPr>
          <w:rFonts w:asciiTheme="minorHAnsi" w:hAnsiTheme="minorHAnsi" w:cstheme="minorHAnsi"/>
          <w:color w:val="2E2E2E"/>
          <w:sz w:val="27"/>
          <w:szCs w:val="27"/>
        </w:rPr>
      </w:pPr>
      <w:r w:rsidRPr="00923237">
        <w:rPr>
          <w:rStyle w:val="Strong"/>
          <w:rFonts w:asciiTheme="minorHAnsi" w:eastAsiaTheme="majorEastAsia" w:hAnsiTheme="minorHAnsi" w:cstheme="minorHAnsi"/>
          <w:color w:val="2E2E2E"/>
          <w:sz w:val="27"/>
          <w:szCs w:val="27"/>
        </w:rPr>
        <w:t>H1a</w:t>
      </w:r>
    </w:p>
    <w:p w14:paraId="125AD4C3" w14:textId="77777777" w:rsidR="00A4606E" w:rsidRPr="00923237" w:rsidRDefault="00A4606E" w:rsidP="005F7244">
      <w:pPr>
        <w:rPr>
          <w:rFonts w:cstheme="minorHAnsi"/>
        </w:rPr>
      </w:pPr>
      <w:r w:rsidRPr="00923237">
        <w:rPr>
          <w:rFonts w:cstheme="minorHAnsi"/>
        </w:rPr>
        <w:t>During the financial crisis, boards at firms with high leverage increase their activity.</w:t>
      </w:r>
    </w:p>
    <w:p w14:paraId="41A10B24" w14:textId="77777777" w:rsidR="00A4606E" w:rsidRPr="00923237" w:rsidRDefault="00A4606E" w:rsidP="00A4606E">
      <w:pPr>
        <w:pStyle w:val="NormalWeb"/>
        <w:spacing w:before="0" w:beforeAutospacing="0" w:after="0" w:afterAutospacing="0" w:line="390" w:lineRule="atLeast"/>
        <w:rPr>
          <w:rFonts w:asciiTheme="minorHAnsi" w:hAnsiTheme="minorHAnsi" w:cstheme="minorHAnsi"/>
          <w:color w:val="2E2E2E"/>
          <w:sz w:val="27"/>
          <w:szCs w:val="27"/>
        </w:rPr>
      </w:pPr>
      <w:r w:rsidRPr="00923237">
        <w:rPr>
          <w:rStyle w:val="Strong"/>
          <w:rFonts w:asciiTheme="minorHAnsi" w:eastAsiaTheme="majorEastAsia" w:hAnsiTheme="minorHAnsi" w:cstheme="minorHAnsi"/>
          <w:color w:val="2E2E2E"/>
          <w:sz w:val="27"/>
          <w:szCs w:val="27"/>
        </w:rPr>
        <w:t>H1b</w:t>
      </w:r>
    </w:p>
    <w:p w14:paraId="5A3536CC" w14:textId="77777777" w:rsidR="00A4606E" w:rsidRPr="00923237" w:rsidRDefault="00A4606E" w:rsidP="005F7244">
      <w:pPr>
        <w:rPr>
          <w:rFonts w:cstheme="minorHAnsi"/>
        </w:rPr>
      </w:pPr>
      <w:r w:rsidRPr="00923237">
        <w:rPr>
          <w:rFonts w:cstheme="minorHAnsi"/>
        </w:rPr>
        <w:t>Active boards mitigate the negative effects of leverage on returns during the financial crisis.</w:t>
      </w:r>
    </w:p>
    <w:p w14:paraId="46841E54" w14:textId="77777777" w:rsidR="00A4606E" w:rsidRPr="00923237" w:rsidRDefault="00A4606E" w:rsidP="005F7244">
      <w:pPr>
        <w:rPr>
          <w:rFonts w:cstheme="minorHAnsi"/>
        </w:rPr>
      </w:pPr>
      <w:r w:rsidRPr="00923237">
        <w:rPr>
          <w:rFonts w:cstheme="minorHAnsi"/>
        </w:rPr>
        <w:t>In the post crisis period, we would expect boards to learn from their experience during the crisis and potentially adjust the firm's capital structure. Indeed, in related work, </w:t>
      </w:r>
      <w:bookmarkStart w:id="63" w:name="bbb0240"/>
      <w:r w:rsidRPr="00923237">
        <w:rPr>
          <w:rFonts w:cstheme="minorHAnsi"/>
        </w:rPr>
        <w:fldChar w:fldCharType="begin"/>
      </w:r>
      <w:r w:rsidRPr="00923237">
        <w:rPr>
          <w:rFonts w:cstheme="minorHAnsi"/>
        </w:rPr>
        <w:instrText xml:space="preserve"> HYPERLINK "https://0-www-sciencedirect-com.libus.csd.mu.edu/science/article/pii/S0929119917307344" \l "bb0240" </w:instrText>
      </w:r>
      <w:r w:rsidRPr="00923237">
        <w:rPr>
          <w:rFonts w:cstheme="minorHAnsi"/>
        </w:rPr>
        <w:fldChar w:fldCharType="separate"/>
      </w:r>
      <w:r w:rsidRPr="00923237">
        <w:rPr>
          <w:rStyle w:val="Hyperlink"/>
          <w:rFonts w:eastAsiaTheme="majorEastAsia" w:cstheme="minorHAnsi"/>
          <w:color w:val="0C7DBB"/>
        </w:rPr>
        <w:t>Pavlov et al. (2018)</w:t>
      </w:r>
      <w:r w:rsidRPr="00923237">
        <w:rPr>
          <w:rFonts w:cstheme="minorHAnsi"/>
        </w:rPr>
        <w:fldChar w:fldCharType="end"/>
      </w:r>
      <w:bookmarkEnd w:id="63"/>
      <w:r w:rsidRPr="00923237">
        <w:rPr>
          <w:rFonts w:cstheme="minorHAnsi"/>
        </w:rPr>
        <w:t> report that some REITs mitigated risk </w:t>
      </w:r>
      <w:r w:rsidRPr="00923237">
        <w:rPr>
          <w:rStyle w:val="Emphasis"/>
          <w:rFonts w:eastAsiaTheme="majorEastAsia" w:cstheme="minorHAnsi"/>
          <w:color w:val="2E2E2E"/>
        </w:rPr>
        <w:t>prior</w:t>
      </w:r>
      <w:r w:rsidRPr="00923237">
        <w:rPr>
          <w:rFonts w:cstheme="minorHAnsi"/>
        </w:rPr>
        <w:t> to the crisis by reducing leverage and extending their debt maturity. This, in turn, was associated with better performance during the crisis. We build on these insights and argue that, conditioned on performance and board activity during the crisis, RIETs with high leverage will lower debt levels post-crisis.</w:t>
      </w:r>
    </w:p>
    <w:p w14:paraId="558C5DC6" w14:textId="77777777" w:rsidR="00A4606E" w:rsidRPr="00923237" w:rsidRDefault="00A4606E" w:rsidP="00A4606E">
      <w:pPr>
        <w:pStyle w:val="NormalWeb"/>
        <w:spacing w:before="0" w:beforeAutospacing="0" w:after="0" w:afterAutospacing="0" w:line="390" w:lineRule="atLeast"/>
        <w:rPr>
          <w:rFonts w:asciiTheme="minorHAnsi" w:hAnsiTheme="minorHAnsi" w:cstheme="minorHAnsi"/>
          <w:color w:val="2E2E2E"/>
          <w:sz w:val="27"/>
          <w:szCs w:val="27"/>
        </w:rPr>
      </w:pPr>
      <w:r w:rsidRPr="00923237">
        <w:rPr>
          <w:rStyle w:val="Strong"/>
          <w:rFonts w:asciiTheme="minorHAnsi" w:eastAsiaTheme="majorEastAsia" w:hAnsiTheme="minorHAnsi" w:cstheme="minorHAnsi"/>
          <w:color w:val="2E2E2E"/>
          <w:sz w:val="27"/>
          <w:szCs w:val="27"/>
        </w:rPr>
        <w:t>H2</w:t>
      </w:r>
    </w:p>
    <w:p w14:paraId="04F645EE" w14:textId="77777777" w:rsidR="00A4606E" w:rsidRPr="00923237" w:rsidRDefault="00A4606E" w:rsidP="005F7244">
      <w:pPr>
        <w:rPr>
          <w:rFonts w:cstheme="minorHAnsi"/>
        </w:rPr>
      </w:pPr>
      <w:r w:rsidRPr="00923237">
        <w:rPr>
          <w:rFonts w:cstheme="minorHAnsi"/>
        </w:rPr>
        <w:t>Post-crisis, firm with high leverage and more active boards will lower their leverage to reduce leverage risk.</w:t>
      </w:r>
    </w:p>
    <w:p w14:paraId="76E57C7F" w14:textId="77777777" w:rsidR="00A4606E" w:rsidRPr="00923237" w:rsidRDefault="006C60C6" w:rsidP="005F7244">
      <w:pPr>
        <w:rPr>
          <w:rFonts w:cstheme="minorHAnsi"/>
        </w:rPr>
      </w:pPr>
      <w:hyperlink r:id="rId71" w:anchor="bb0275" w:history="1">
        <w:r w:rsidR="00A4606E" w:rsidRPr="00923237">
          <w:rPr>
            <w:rStyle w:val="Hyperlink"/>
            <w:rFonts w:eastAsiaTheme="majorEastAsia" w:cstheme="minorHAnsi"/>
            <w:color w:val="0C7DBB"/>
          </w:rPr>
          <w:t>Sun et al. (2015)</w:t>
        </w:r>
      </w:hyperlink>
      <w:r w:rsidR="00A4606E" w:rsidRPr="00923237">
        <w:rPr>
          <w:rFonts w:cstheme="minorHAnsi"/>
        </w:rPr>
        <w:t> find that post-crisis, leverage is positively associated with firm performance. The positive association between leverage and returns is consistent with theoretical predictions (e.g. </w:t>
      </w:r>
      <w:hyperlink r:id="rId72" w:anchor="bb0215" w:history="1">
        <w:r w:rsidR="00A4606E" w:rsidRPr="00923237">
          <w:rPr>
            <w:rStyle w:val="Hyperlink"/>
            <w:rFonts w:eastAsiaTheme="majorEastAsia" w:cstheme="minorHAnsi"/>
            <w:color w:val="0C7DBB"/>
          </w:rPr>
          <w:t>Modigliani and Miller (1958)</w:t>
        </w:r>
      </w:hyperlink>
      <w:bookmarkEnd w:id="3"/>
      <w:r w:rsidR="00A4606E" w:rsidRPr="00923237">
        <w:rPr>
          <w:rFonts w:cstheme="minorHAnsi"/>
        </w:rPr>
        <w:t>, </w:t>
      </w:r>
      <w:hyperlink r:id="rId73" w:anchor="bb0260" w:history="1">
        <w:r w:rsidR="00A4606E" w:rsidRPr="00923237">
          <w:rPr>
            <w:rStyle w:val="Hyperlink"/>
            <w:rFonts w:eastAsiaTheme="majorEastAsia" w:cstheme="minorHAnsi"/>
            <w:color w:val="0C7DBB"/>
          </w:rPr>
          <w:t>Ross (1977)</w:t>
        </w:r>
      </w:hyperlink>
      <w:bookmarkEnd w:id="4"/>
      <w:r w:rsidR="00A4606E" w:rsidRPr="00923237">
        <w:rPr>
          <w:rFonts w:cstheme="minorHAnsi"/>
        </w:rPr>
        <w:t>, </w:t>
      </w:r>
      <w:proofErr w:type="spellStart"/>
      <w:r w:rsidR="00EB1576" w:rsidRPr="00923237">
        <w:fldChar w:fldCharType="begin"/>
      </w:r>
      <w:r w:rsidR="00EB1576" w:rsidRPr="00923237">
        <w:rPr>
          <w:rFonts w:cstheme="minorHAnsi"/>
        </w:rPr>
        <w:instrText xml:space="preserve"> HYPERLINK "https://0-www-sciencedirect-com.libus.csd.mu.edu/science/article/pii/S0929119917307344" \l "bb0170" </w:instrText>
      </w:r>
      <w:r w:rsidR="00EB1576" w:rsidRPr="00923237">
        <w:fldChar w:fldCharType="separate"/>
      </w:r>
      <w:r w:rsidR="00A4606E" w:rsidRPr="00923237">
        <w:rPr>
          <w:rStyle w:val="Hyperlink"/>
          <w:rFonts w:eastAsiaTheme="majorEastAsia" w:cstheme="minorHAnsi"/>
          <w:color w:val="0C7DBB"/>
        </w:rPr>
        <w:t>Hirshleifer</w:t>
      </w:r>
      <w:proofErr w:type="spellEnd"/>
      <w:r w:rsidR="00A4606E" w:rsidRPr="00923237">
        <w:rPr>
          <w:rStyle w:val="Hyperlink"/>
          <w:rFonts w:eastAsiaTheme="majorEastAsia" w:cstheme="minorHAnsi"/>
          <w:color w:val="0C7DBB"/>
        </w:rPr>
        <w:t xml:space="preserve"> and </w:t>
      </w:r>
      <w:proofErr w:type="spellStart"/>
      <w:r w:rsidR="00A4606E" w:rsidRPr="00923237">
        <w:rPr>
          <w:rStyle w:val="Hyperlink"/>
          <w:rFonts w:eastAsiaTheme="majorEastAsia" w:cstheme="minorHAnsi"/>
          <w:color w:val="0C7DBB"/>
        </w:rPr>
        <w:t>Thakor</w:t>
      </w:r>
      <w:proofErr w:type="spellEnd"/>
      <w:r w:rsidR="00A4606E" w:rsidRPr="00923237">
        <w:rPr>
          <w:rStyle w:val="Hyperlink"/>
          <w:rFonts w:eastAsiaTheme="majorEastAsia" w:cstheme="minorHAnsi"/>
          <w:color w:val="0C7DBB"/>
        </w:rPr>
        <w:t xml:space="preserve"> (1992)</w:t>
      </w:r>
      <w:r w:rsidR="00EB1576" w:rsidRPr="00923237">
        <w:rPr>
          <w:rStyle w:val="Hyperlink"/>
          <w:rFonts w:eastAsiaTheme="majorEastAsia" w:cstheme="minorHAnsi"/>
          <w:color w:val="0C7DBB"/>
        </w:rPr>
        <w:fldChar w:fldCharType="end"/>
      </w:r>
      <w:bookmarkEnd w:id="5"/>
      <w:r w:rsidR="00A4606E" w:rsidRPr="00923237">
        <w:rPr>
          <w:rFonts w:cstheme="minorHAnsi"/>
        </w:rPr>
        <w:t>, </w:t>
      </w:r>
      <w:hyperlink r:id="rId74" w:anchor="bb0130" w:history="1">
        <w:r w:rsidR="00A4606E" w:rsidRPr="00923237">
          <w:rPr>
            <w:rStyle w:val="Hyperlink"/>
            <w:rFonts w:eastAsiaTheme="majorEastAsia" w:cstheme="minorHAnsi"/>
            <w:color w:val="0C7DBB"/>
          </w:rPr>
          <w:t xml:space="preserve">Harris and </w:t>
        </w:r>
        <w:proofErr w:type="spellStart"/>
        <w:r w:rsidR="00A4606E" w:rsidRPr="00923237">
          <w:rPr>
            <w:rStyle w:val="Hyperlink"/>
            <w:rFonts w:eastAsiaTheme="majorEastAsia" w:cstheme="minorHAnsi"/>
            <w:color w:val="0C7DBB"/>
          </w:rPr>
          <w:t>Raviv</w:t>
        </w:r>
        <w:proofErr w:type="spellEnd"/>
        <w:r w:rsidR="00A4606E" w:rsidRPr="00923237">
          <w:rPr>
            <w:rStyle w:val="Hyperlink"/>
            <w:rFonts w:eastAsiaTheme="majorEastAsia" w:cstheme="minorHAnsi"/>
            <w:color w:val="0C7DBB"/>
          </w:rPr>
          <w:t xml:space="preserve"> (1990)</w:t>
        </w:r>
      </w:hyperlink>
      <w:bookmarkEnd w:id="6"/>
      <w:r w:rsidR="00A4606E" w:rsidRPr="00923237">
        <w:rPr>
          <w:rFonts w:cstheme="minorHAnsi"/>
        </w:rPr>
        <w:t>, </w:t>
      </w:r>
      <w:proofErr w:type="spellStart"/>
      <w:r w:rsidR="00EB1576" w:rsidRPr="00923237">
        <w:fldChar w:fldCharType="begin"/>
      </w:r>
      <w:r w:rsidR="00EB1576" w:rsidRPr="00923237">
        <w:rPr>
          <w:rFonts w:cstheme="minorHAnsi"/>
        </w:rPr>
        <w:instrText xml:space="preserve"> HYPERLINK "https://0-www-sciencedirect-com.libus.csd.mu.edu/science/article/pii/S0929119917307344" \l "bb0265" </w:instrText>
      </w:r>
      <w:r w:rsidR="00EB1576" w:rsidRPr="00923237">
        <w:fldChar w:fldCharType="separate"/>
      </w:r>
      <w:r w:rsidR="00A4606E" w:rsidRPr="00923237">
        <w:rPr>
          <w:rStyle w:val="Hyperlink"/>
          <w:rFonts w:eastAsiaTheme="majorEastAsia" w:cstheme="minorHAnsi"/>
          <w:color w:val="0C7DBB"/>
        </w:rPr>
        <w:t>Stulz</w:t>
      </w:r>
      <w:proofErr w:type="spellEnd"/>
      <w:r w:rsidR="00A4606E" w:rsidRPr="00923237">
        <w:rPr>
          <w:rStyle w:val="Hyperlink"/>
          <w:rFonts w:eastAsiaTheme="majorEastAsia" w:cstheme="minorHAnsi"/>
          <w:color w:val="0C7DBB"/>
        </w:rPr>
        <w:t xml:space="preserve"> (1990)</w:t>
      </w:r>
      <w:r w:rsidR="00EB1576" w:rsidRPr="00923237">
        <w:rPr>
          <w:rStyle w:val="Hyperlink"/>
          <w:rFonts w:eastAsiaTheme="majorEastAsia" w:cstheme="minorHAnsi"/>
          <w:color w:val="0C7DBB"/>
        </w:rPr>
        <w:fldChar w:fldCharType="end"/>
      </w:r>
      <w:bookmarkEnd w:id="7"/>
      <w:r w:rsidR="00A4606E" w:rsidRPr="00923237">
        <w:rPr>
          <w:rFonts w:cstheme="minorHAnsi"/>
        </w:rPr>
        <w:t> and </w:t>
      </w:r>
      <w:hyperlink r:id="rId75" w:anchor="bb0115" w:history="1">
        <w:r w:rsidR="00A4606E" w:rsidRPr="00923237">
          <w:rPr>
            <w:rStyle w:val="Hyperlink"/>
            <w:rFonts w:eastAsiaTheme="majorEastAsia" w:cstheme="minorHAnsi"/>
            <w:color w:val="0C7DBB"/>
          </w:rPr>
          <w:t>Gomes and Schmid (2010)</w:t>
        </w:r>
      </w:hyperlink>
      <w:bookmarkEnd w:id="8"/>
      <w:r w:rsidR="00A4606E" w:rsidRPr="00923237">
        <w:rPr>
          <w:rFonts w:cstheme="minorHAnsi"/>
        </w:rPr>
        <w:t>) and prior empirical evidence (e.g. </w:t>
      </w:r>
      <w:hyperlink r:id="rId76" w:anchor="bb0045" w:history="1">
        <w:r w:rsidR="00A4606E" w:rsidRPr="00923237">
          <w:rPr>
            <w:rStyle w:val="Hyperlink"/>
            <w:rFonts w:eastAsiaTheme="majorEastAsia" w:cstheme="minorHAnsi"/>
            <w:color w:val="0C7DBB"/>
          </w:rPr>
          <w:t>Bhandari (1988)</w:t>
        </w:r>
      </w:hyperlink>
      <w:bookmarkEnd w:id="9"/>
      <w:r w:rsidR="00A4606E" w:rsidRPr="00923237">
        <w:rPr>
          <w:rFonts w:cstheme="minorHAnsi"/>
        </w:rPr>
        <w:t>, </w:t>
      </w:r>
      <w:proofErr w:type="spellStart"/>
      <w:r w:rsidR="00EB1576" w:rsidRPr="00923237">
        <w:fldChar w:fldCharType="begin"/>
      </w:r>
      <w:r w:rsidR="00EB1576" w:rsidRPr="00923237">
        <w:rPr>
          <w:rFonts w:cstheme="minorHAnsi"/>
        </w:rPr>
        <w:instrText xml:space="preserve"> HYPERLINK "https://0-www-sciencedirect-com.libus.csd.mu.edu/science/article/pii/S0929119917307344" \l "bb0075" </w:instrText>
      </w:r>
      <w:r w:rsidR="00EB1576" w:rsidRPr="00923237">
        <w:fldChar w:fldCharType="separate"/>
      </w:r>
      <w:r w:rsidR="00A4606E" w:rsidRPr="00923237">
        <w:rPr>
          <w:rStyle w:val="Hyperlink"/>
          <w:rFonts w:eastAsiaTheme="majorEastAsia" w:cstheme="minorHAnsi"/>
          <w:color w:val="0C7DBB"/>
        </w:rPr>
        <w:t>Fama</w:t>
      </w:r>
      <w:proofErr w:type="spellEnd"/>
      <w:r w:rsidR="00A4606E" w:rsidRPr="00923237">
        <w:rPr>
          <w:rStyle w:val="Hyperlink"/>
          <w:rFonts w:eastAsiaTheme="majorEastAsia" w:cstheme="minorHAnsi"/>
          <w:color w:val="0C7DBB"/>
        </w:rPr>
        <w:t xml:space="preserve"> and French (1992)</w:t>
      </w:r>
      <w:r w:rsidR="00EB1576" w:rsidRPr="00923237">
        <w:rPr>
          <w:rStyle w:val="Hyperlink"/>
          <w:rFonts w:eastAsiaTheme="majorEastAsia" w:cstheme="minorHAnsi"/>
          <w:color w:val="0C7DBB"/>
        </w:rPr>
        <w:fldChar w:fldCharType="end"/>
      </w:r>
      <w:bookmarkEnd w:id="10"/>
      <w:r w:rsidR="00A4606E" w:rsidRPr="00923237">
        <w:rPr>
          <w:rFonts w:cstheme="minorHAnsi"/>
        </w:rPr>
        <w:t>, and </w:t>
      </w:r>
      <w:hyperlink r:id="rId77" w:anchor="bb0110" w:history="1">
        <w:r w:rsidR="00A4606E" w:rsidRPr="00923237">
          <w:rPr>
            <w:rStyle w:val="Hyperlink"/>
            <w:rFonts w:eastAsiaTheme="majorEastAsia" w:cstheme="minorHAnsi"/>
            <w:color w:val="0C7DBB"/>
          </w:rPr>
          <w:t>Giacomini et al. (2015)</w:t>
        </w:r>
      </w:hyperlink>
      <w:r w:rsidR="00A4606E" w:rsidRPr="00923237">
        <w:rPr>
          <w:rFonts w:cstheme="minorHAnsi"/>
        </w:rPr>
        <w:t>). We argue that boards add value not only during the crisis period, but also more generally at other times. Thus, focusing on the post-crisis period, we hypothesize that the positive link between leverage and returns is partly driven by board monitoring and advising (and thus board activity).</w:t>
      </w:r>
    </w:p>
    <w:p w14:paraId="5CE60773" w14:textId="77777777" w:rsidR="00A4606E" w:rsidRPr="00923237" w:rsidRDefault="00A4606E" w:rsidP="00A4606E">
      <w:pPr>
        <w:pStyle w:val="NormalWeb"/>
        <w:spacing w:before="0" w:beforeAutospacing="0" w:after="0" w:afterAutospacing="0" w:line="390" w:lineRule="atLeast"/>
        <w:rPr>
          <w:rFonts w:asciiTheme="minorHAnsi" w:hAnsiTheme="minorHAnsi" w:cstheme="minorHAnsi"/>
          <w:color w:val="2E2E2E"/>
          <w:sz w:val="27"/>
          <w:szCs w:val="27"/>
        </w:rPr>
      </w:pPr>
      <w:r w:rsidRPr="00923237">
        <w:rPr>
          <w:rStyle w:val="Strong"/>
          <w:rFonts w:asciiTheme="minorHAnsi" w:eastAsiaTheme="majorEastAsia" w:hAnsiTheme="minorHAnsi" w:cstheme="minorHAnsi"/>
          <w:color w:val="2E2E2E"/>
          <w:sz w:val="27"/>
          <w:szCs w:val="27"/>
        </w:rPr>
        <w:t>H3</w:t>
      </w:r>
    </w:p>
    <w:p w14:paraId="7FB8B598" w14:textId="77777777" w:rsidR="00A4606E" w:rsidRPr="00923237" w:rsidRDefault="00A4606E" w:rsidP="005F7244">
      <w:pPr>
        <w:rPr>
          <w:rFonts w:cstheme="minorHAnsi"/>
        </w:rPr>
      </w:pPr>
      <w:r w:rsidRPr="00923237">
        <w:rPr>
          <w:rFonts w:cstheme="minorHAnsi"/>
        </w:rPr>
        <w:t>Firms with higher leverage and more active boards have higher returns post-crisis.</w:t>
      </w:r>
    </w:p>
    <w:p w14:paraId="6C1B7ADB" w14:textId="77777777" w:rsidR="00A4606E" w:rsidRPr="00923237" w:rsidRDefault="00A4606E" w:rsidP="005F7244">
      <w:pPr>
        <w:rPr>
          <w:rFonts w:cstheme="minorHAnsi"/>
          <w:color w:val="2E2E2E"/>
        </w:rPr>
      </w:pPr>
      <w:r w:rsidRPr="00923237">
        <w:rPr>
          <w:rFonts w:cstheme="minorHAnsi"/>
          <w:color w:val="2E2E2E"/>
        </w:rPr>
        <w:t>A potential concern when examining the effect of governance on firm value is endogeneity (e.g. </w:t>
      </w:r>
      <w:proofErr w:type="spellStart"/>
      <w:r w:rsidR="00EB1576" w:rsidRPr="00923237">
        <w:fldChar w:fldCharType="begin"/>
      </w:r>
      <w:r w:rsidR="00EB1576" w:rsidRPr="00923237">
        <w:rPr>
          <w:rFonts w:cstheme="minorHAnsi"/>
        </w:rPr>
        <w:instrText xml:space="preserve"> HYPERLINK "https://0-www-sciencedirect-com.libus.csd.mu.edu/science/article/pii/S0929119917307344" \l "bb0165" </w:instrText>
      </w:r>
      <w:r w:rsidR="00EB1576" w:rsidRPr="00923237">
        <w:fldChar w:fldCharType="separate"/>
      </w:r>
      <w:r w:rsidRPr="00923237">
        <w:rPr>
          <w:rStyle w:val="Hyperlink"/>
          <w:rFonts w:eastAsiaTheme="majorEastAsia" w:cstheme="minorHAnsi"/>
          <w:color w:val="0C7DBB"/>
        </w:rPr>
        <w:t>Hermalin</w:t>
      </w:r>
      <w:proofErr w:type="spellEnd"/>
      <w:r w:rsidRPr="00923237">
        <w:rPr>
          <w:rStyle w:val="Hyperlink"/>
          <w:rFonts w:eastAsiaTheme="majorEastAsia" w:cstheme="minorHAnsi"/>
          <w:color w:val="0C7DBB"/>
        </w:rPr>
        <w:t xml:space="preserve"> and </w:t>
      </w:r>
      <w:proofErr w:type="spellStart"/>
      <w:r w:rsidRPr="00923237">
        <w:rPr>
          <w:rStyle w:val="Hyperlink"/>
          <w:rFonts w:eastAsiaTheme="majorEastAsia" w:cstheme="minorHAnsi"/>
          <w:color w:val="0C7DBB"/>
        </w:rPr>
        <w:t>Weisbach</w:t>
      </w:r>
      <w:proofErr w:type="spellEnd"/>
      <w:r w:rsidRPr="00923237">
        <w:rPr>
          <w:rStyle w:val="Hyperlink"/>
          <w:rFonts w:eastAsiaTheme="majorEastAsia" w:cstheme="minorHAnsi"/>
          <w:color w:val="0C7DBB"/>
        </w:rPr>
        <w:t xml:space="preserve"> (2003)</w:t>
      </w:r>
      <w:r w:rsidR="00EB1576" w:rsidRPr="00923237">
        <w:rPr>
          <w:rStyle w:val="Hyperlink"/>
          <w:rFonts w:eastAsiaTheme="majorEastAsia" w:cstheme="minorHAnsi"/>
          <w:color w:val="0C7DBB"/>
        </w:rPr>
        <w:fldChar w:fldCharType="end"/>
      </w:r>
      <w:r w:rsidRPr="00923237">
        <w:rPr>
          <w:rFonts w:cstheme="minorHAnsi"/>
          <w:color w:val="2E2E2E"/>
        </w:rPr>
        <w:t> and </w:t>
      </w:r>
      <w:hyperlink r:id="rId78" w:anchor="bb0010" w:history="1">
        <w:r w:rsidRPr="00923237">
          <w:rPr>
            <w:rStyle w:val="Hyperlink"/>
            <w:rFonts w:eastAsiaTheme="majorEastAsia" w:cstheme="minorHAnsi"/>
            <w:color w:val="0C7DBB"/>
          </w:rPr>
          <w:t>Adams et al. (2010)</w:t>
        </w:r>
      </w:hyperlink>
      <w:r w:rsidRPr="00923237">
        <w:rPr>
          <w:rFonts w:cstheme="minorHAnsi"/>
          <w:color w:val="2E2E2E"/>
        </w:rPr>
        <w:t>). To address the issue of endogeneity between director activity and firm value, following </w:t>
      </w:r>
      <w:hyperlink r:id="rId79" w:anchor="bb0225" w:history="1">
        <w:r w:rsidRPr="00923237">
          <w:rPr>
            <w:rStyle w:val="Hyperlink"/>
            <w:rFonts w:eastAsiaTheme="majorEastAsia" w:cstheme="minorHAnsi"/>
            <w:color w:val="0C7DBB"/>
          </w:rPr>
          <w:t>Nguyen, 2014</w:t>
        </w:r>
      </w:hyperlink>
      <w:r w:rsidRPr="00923237">
        <w:rPr>
          <w:rFonts w:cstheme="minorHAnsi"/>
          <w:color w:val="2E2E2E"/>
        </w:rPr>
        <w:t>, we use two-stage OLS regression models. In the first stage, we use the lagged median number of board (or committee) meetings of REITs that invest in the same property type as </w:t>
      </w:r>
      <w:hyperlink r:id="rId80" w:tooltip="Learn more about Instrumental Variables from ScienceDirect's AI-generated Topic Pages" w:history="1">
        <w:r w:rsidRPr="00923237">
          <w:rPr>
            <w:rStyle w:val="Hyperlink"/>
            <w:rFonts w:eastAsiaTheme="majorEastAsia" w:cstheme="minorHAnsi"/>
            <w:color w:val="0C7DBB"/>
          </w:rPr>
          <w:t>instrumental variables</w:t>
        </w:r>
      </w:hyperlink>
      <w:r w:rsidRPr="00923237">
        <w:rPr>
          <w:rFonts w:cstheme="minorHAnsi"/>
          <w:color w:val="2E2E2E"/>
        </w:rPr>
        <w:t xml:space="preserve">. The rationale is that directors would not want to appear less diligent than directors of peer firms by having fewer meetings, but they do not want to meet too often because meetings are costly for them. Thus, industry norms should dictate how many meetings a firm would have. However, how often the boards and committees of similar firms meet should not affect the performance of a </w:t>
      </w:r>
      <w:proofErr w:type="gramStart"/>
      <w:r w:rsidRPr="00923237">
        <w:rPr>
          <w:rFonts w:cstheme="minorHAnsi"/>
          <w:color w:val="2E2E2E"/>
        </w:rPr>
        <w:t>particular firm</w:t>
      </w:r>
      <w:proofErr w:type="gramEnd"/>
      <w:r w:rsidRPr="00923237">
        <w:rPr>
          <w:rFonts w:cstheme="minorHAnsi"/>
          <w:color w:val="2E2E2E"/>
        </w:rPr>
        <w:t>.</w:t>
      </w:r>
    </w:p>
    <w:p w14:paraId="75452076" w14:textId="77777777" w:rsidR="00A4606E" w:rsidRPr="00923237" w:rsidRDefault="00A4606E" w:rsidP="005F7244">
      <w:pPr>
        <w:pStyle w:val="Heading1"/>
        <w:rPr>
          <w:rFonts w:asciiTheme="minorHAnsi" w:hAnsiTheme="minorHAnsi" w:cstheme="minorHAnsi"/>
          <w:sz w:val="36"/>
          <w:szCs w:val="36"/>
        </w:rPr>
      </w:pPr>
      <w:r w:rsidRPr="00923237">
        <w:rPr>
          <w:rFonts w:asciiTheme="minorHAnsi" w:hAnsiTheme="minorHAnsi" w:cstheme="minorHAnsi"/>
        </w:rPr>
        <w:t>3. Data</w:t>
      </w:r>
    </w:p>
    <w:p w14:paraId="77FB4746" w14:textId="77777777" w:rsidR="00A4606E" w:rsidRPr="00923237" w:rsidRDefault="00A4606E" w:rsidP="005F7244">
      <w:pPr>
        <w:rPr>
          <w:rFonts w:cstheme="minorHAnsi"/>
        </w:rPr>
      </w:pPr>
      <w:r w:rsidRPr="00923237">
        <w:rPr>
          <w:rFonts w:cstheme="minorHAnsi"/>
        </w:rPr>
        <w:t xml:space="preserve">We start with a sample of 275 unique REITs operating between 2003 and 2016 from the </w:t>
      </w:r>
      <w:proofErr w:type="spellStart"/>
      <w:r w:rsidRPr="00923237">
        <w:rPr>
          <w:rFonts w:cstheme="minorHAnsi"/>
        </w:rPr>
        <w:t>Ziman</w:t>
      </w:r>
      <w:proofErr w:type="spellEnd"/>
      <w:r w:rsidRPr="00923237">
        <w:rPr>
          <w:rFonts w:cstheme="minorHAnsi"/>
        </w:rPr>
        <w:t xml:space="preserve"> REIT database on the Center for Research on Security Prices (CRSP). We merge the REIT sample with CRSP and </w:t>
      </w:r>
      <w:proofErr w:type="spellStart"/>
      <w:r w:rsidRPr="00923237">
        <w:rPr>
          <w:rFonts w:cstheme="minorHAnsi"/>
        </w:rPr>
        <w:t>Compustat</w:t>
      </w:r>
      <w:proofErr w:type="spellEnd"/>
      <w:r w:rsidRPr="00923237">
        <w:rPr>
          <w:rFonts w:cstheme="minorHAnsi"/>
        </w:rPr>
        <w:t xml:space="preserve"> databases to obtain </w:t>
      </w:r>
      <w:hyperlink r:id="rId81" w:tooltip="Learn more about Capital Market Returns from ScienceDirect's AI-generated Topic Pages" w:history="1">
        <w:r w:rsidRPr="00923237">
          <w:rPr>
            <w:rStyle w:val="Hyperlink"/>
            <w:rFonts w:eastAsiaTheme="majorEastAsia" w:cstheme="minorHAnsi"/>
            <w:color w:val="0C7DBB"/>
          </w:rPr>
          <w:t>stock returns</w:t>
        </w:r>
      </w:hyperlink>
      <w:r w:rsidRPr="00923237">
        <w:rPr>
          <w:rFonts w:cstheme="minorHAnsi"/>
        </w:rPr>
        <w:t xml:space="preserve"> and financial information. The number of board and committee meetings and board characteristics are obtained from </w:t>
      </w:r>
      <w:proofErr w:type="spellStart"/>
      <w:r w:rsidRPr="00923237">
        <w:rPr>
          <w:rFonts w:cstheme="minorHAnsi"/>
        </w:rPr>
        <w:t>MyLogIQ</w:t>
      </w:r>
      <w:proofErr w:type="spellEnd"/>
      <w:r w:rsidRPr="00923237">
        <w:rPr>
          <w:rFonts w:cstheme="minorHAnsi"/>
        </w:rPr>
        <w:t xml:space="preserve"> and Morningstar. We hand-collect any missing board data from proxy statements. The final sample includes 1701 observations (222 unique REITs) from 2003 to 2016. Moreover, to make our findings more comparable to those from </w:t>
      </w:r>
      <w:hyperlink r:id="rId82" w:tooltip="Learn more about Bayesian Inference from ScienceDirect's AI-generated Topic Pages" w:history="1">
        <w:r w:rsidRPr="00923237">
          <w:rPr>
            <w:rStyle w:val="Hyperlink"/>
            <w:rFonts w:eastAsiaTheme="majorEastAsia" w:cstheme="minorHAnsi"/>
            <w:color w:val="0C7DBB"/>
          </w:rPr>
          <w:t>prior</w:t>
        </w:r>
      </w:hyperlink>
      <w:r w:rsidRPr="00923237">
        <w:rPr>
          <w:rFonts w:cstheme="minorHAnsi"/>
        </w:rPr>
        <w:t> work, we use a sub-sample similar to that of </w:t>
      </w:r>
      <w:hyperlink r:id="rId83" w:anchor="bb0275" w:history="1">
        <w:r w:rsidRPr="00923237">
          <w:rPr>
            <w:rStyle w:val="Hyperlink"/>
            <w:rFonts w:eastAsiaTheme="majorEastAsia" w:cstheme="minorHAnsi"/>
            <w:color w:val="0C7DBB"/>
          </w:rPr>
          <w:t>Sun et al. (2015)</w:t>
        </w:r>
      </w:hyperlink>
      <w:r w:rsidRPr="00923237">
        <w:rPr>
          <w:rFonts w:cstheme="minorHAnsi"/>
        </w:rPr>
        <w:t>. This sub-sample includes 137 REITs that operate between 2006 and 2011. See </w:t>
      </w:r>
      <w:bookmarkStart w:id="64" w:name="bs0050"/>
      <w:r w:rsidRPr="00923237">
        <w:rPr>
          <w:rFonts w:cstheme="minorHAnsi"/>
        </w:rPr>
        <w:fldChar w:fldCharType="begin"/>
      </w:r>
      <w:r w:rsidRPr="00923237">
        <w:rPr>
          <w:rFonts w:cstheme="minorHAnsi"/>
        </w:rPr>
        <w:instrText xml:space="preserve"> HYPERLINK "https://0-www-sciencedirect-com.libus.csd.mu.edu/science/article/pii/S0929119917307344" \l "s0050" </w:instrText>
      </w:r>
      <w:r w:rsidRPr="00923237">
        <w:rPr>
          <w:rFonts w:cstheme="minorHAnsi"/>
        </w:rPr>
        <w:fldChar w:fldCharType="separate"/>
      </w:r>
      <w:r w:rsidRPr="00923237">
        <w:rPr>
          <w:rStyle w:val="Hyperlink"/>
          <w:rFonts w:eastAsiaTheme="majorEastAsia" w:cstheme="minorHAnsi"/>
          <w:color w:val="0C7DBB"/>
        </w:rPr>
        <w:t>Appendix 1</w:t>
      </w:r>
      <w:r w:rsidRPr="00923237">
        <w:rPr>
          <w:rFonts w:cstheme="minorHAnsi"/>
        </w:rPr>
        <w:fldChar w:fldCharType="end"/>
      </w:r>
      <w:bookmarkEnd w:id="64"/>
      <w:r w:rsidRPr="00923237">
        <w:rPr>
          <w:rFonts w:cstheme="minorHAnsi"/>
        </w:rPr>
        <w:t> for more details about sample construction.</w:t>
      </w:r>
    </w:p>
    <w:p w14:paraId="7DEA44BB" w14:textId="77777777" w:rsidR="00A4606E" w:rsidRPr="00923237" w:rsidRDefault="00A4606E" w:rsidP="005F7244">
      <w:pPr>
        <w:rPr>
          <w:rFonts w:cstheme="minorHAnsi"/>
        </w:rPr>
      </w:pPr>
      <w:r w:rsidRPr="00923237">
        <w:rPr>
          <w:rFonts w:cstheme="minorHAnsi"/>
        </w:rPr>
        <w:t>Following the prior literature (e.g. </w:t>
      </w:r>
      <w:hyperlink r:id="rId84" w:anchor="bb0210" w:history="1">
        <w:r w:rsidRPr="00923237">
          <w:rPr>
            <w:rStyle w:val="Hyperlink"/>
            <w:rFonts w:eastAsiaTheme="majorEastAsia" w:cstheme="minorHAnsi"/>
            <w:color w:val="0C7DBB"/>
          </w:rPr>
          <w:t>Menon and Williams (1994)</w:t>
        </w:r>
      </w:hyperlink>
      <w:bookmarkEnd w:id="29"/>
      <w:r w:rsidRPr="00923237">
        <w:rPr>
          <w:rFonts w:cstheme="minorHAnsi"/>
        </w:rPr>
        <w:t> and </w:t>
      </w:r>
      <w:proofErr w:type="spellStart"/>
      <w:r w:rsidR="00EB1576" w:rsidRPr="00923237">
        <w:fldChar w:fldCharType="begin"/>
      </w:r>
      <w:r w:rsidR="00EB1576" w:rsidRPr="00923237">
        <w:rPr>
          <w:rFonts w:cstheme="minorHAnsi"/>
        </w:rPr>
        <w:instrText xml:space="preserve"> HYPERLINK "https://0-www-sciencedirect-com.libus.csd.mu.edu/science/article/pii/S0929119917307344" \l "bb0280" </w:instrText>
      </w:r>
      <w:r w:rsidR="00EB1576" w:rsidRPr="00923237">
        <w:fldChar w:fldCharType="separate"/>
      </w:r>
      <w:r w:rsidRPr="00923237">
        <w:rPr>
          <w:rStyle w:val="Hyperlink"/>
          <w:rFonts w:eastAsiaTheme="majorEastAsia" w:cstheme="minorHAnsi"/>
          <w:color w:val="0C7DBB"/>
        </w:rPr>
        <w:t>Vafaes</w:t>
      </w:r>
      <w:proofErr w:type="spellEnd"/>
      <w:r w:rsidRPr="00923237">
        <w:rPr>
          <w:rStyle w:val="Hyperlink"/>
          <w:rFonts w:eastAsiaTheme="majorEastAsia" w:cstheme="minorHAnsi"/>
          <w:color w:val="0C7DBB"/>
        </w:rPr>
        <w:t xml:space="preserve"> (1999)</w:t>
      </w:r>
      <w:r w:rsidR="00EB1576" w:rsidRPr="00923237">
        <w:rPr>
          <w:rStyle w:val="Hyperlink"/>
          <w:rFonts w:eastAsiaTheme="majorEastAsia" w:cstheme="minorHAnsi"/>
          <w:color w:val="0C7DBB"/>
        </w:rPr>
        <w:fldChar w:fldCharType="end"/>
      </w:r>
      <w:r w:rsidRPr="00923237">
        <w:rPr>
          <w:rFonts w:cstheme="minorHAnsi"/>
        </w:rPr>
        <w:t xml:space="preserve">), we use meeting frequency as a proxy for director activity. It is argued that board and committees that meet more often are better monitors (and advisors) as they put more effort into performing their duties. We focus on the board as a whole and the three committees whose main function is to monitor management: </w:t>
      </w:r>
      <w:proofErr w:type="gramStart"/>
      <w:r w:rsidRPr="00923237">
        <w:rPr>
          <w:rFonts w:cstheme="minorHAnsi"/>
        </w:rPr>
        <w:t>the</w:t>
      </w:r>
      <w:proofErr w:type="gramEnd"/>
      <w:r w:rsidRPr="00923237">
        <w:rPr>
          <w:rFonts w:cstheme="minorHAnsi"/>
        </w:rPr>
        <w:t xml:space="preserve"> Audit, the Compensation and the Nominating/Governance committees. Specifically, </w:t>
      </w:r>
      <w:r w:rsidRPr="00923237">
        <w:rPr>
          <w:rStyle w:val="Emphasis"/>
          <w:rFonts w:eastAsiaTheme="majorEastAsia" w:cstheme="minorHAnsi"/>
          <w:color w:val="2E2E2E"/>
        </w:rPr>
        <w:t>Board Meetings</w:t>
      </w:r>
      <w:r w:rsidRPr="00923237">
        <w:rPr>
          <w:rFonts w:cstheme="minorHAnsi"/>
        </w:rPr>
        <w:t> is the number of board meetings during a fiscal year while </w:t>
      </w:r>
      <w:r w:rsidRPr="00923237">
        <w:rPr>
          <w:rStyle w:val="Emphasis"/>
          <w:rFonts w:eastAsiaTheme="majorEastAsia" w:cstheme="minorHAnsi"/>
          <w:color w:val="2E2E2E"/>
        </w:rPr>
        <w:t>Committee Meetings</w:t>
      </w:r>
      <w:r w:rsidRPr="00923237">
        <w:rPr>
          <w:rFonts w:cstheme="minorHAnsi"/>
        </w:rPr>
        <w:t> is the number of meeting held by all three monitoring committees during a fiscal year (</w:t>
      </w:r>
      <w:hyperlink r:id="rId85" w:anchor="bb0225" w:history="1">
        <w:r w:rsidRPr="00923237">
          <w:rPr>
            <w:rStyle w:val="Hyperlink"/>
            <w:rFonts w:eastAsiaTheme="majorEastAsia" w:cstheme="minorHAnsi"/>
            <w:color w:val="0C7DBB"/>
          </w:rPr>
          <w:t>Nguyen, 2014</w:t>
        </w:r>
      </w:hyperlink>
      <w:r w:rsidRPr="00923237">
        <w:rPr>
          <w:rFonts w:cstheme="minorHAnsi"/>
        </w:rPr>
        <w:t>). In addition, we measure </w:t>
      </w:r>
      <w:r w:rsidRPr="00923237">
        <w:rPr>
          <w:rStyle w:val="Emphasis"/>
          <w:rFonts w:eastAsiaTheme="majorEastAsia" w:cstheme="minorHAnsi"/>
          <w:color w:val="2E2E2E"/>
        </w:rPr>
        <w:t>Abnormal Board</w:t>
      </w:r>
      <w:r w:rsidRPr="00923237">
        <w:rPr>
          <w:rFonts w:cstheme="minorHAnsi"/>
        </w:rPr>
        <w:t> (</w:t>
      </w:r>
      <w:r w:rsidRPr="00923237">
        <w:rPr>
          <w:rStyle w:val="Emphasis"/>
          <w:rFonts w:eastAsiaTheme="majorEastAsia" w:cstheme="minorHAnsi"/>
          <w:color w:val="2E2E2E"/>
        </w:rPr>
        <w:t>Committee</w:t>
      </w:r>
      <w:r w:rsidRPr="00923237">
        <w:rPr>
          <w:rFonts w:cstheme="minorHAnsi"/>
        </w:rPr>
        <w:t>) </w:t>
      </w:r>
      <w:r w:rsidRPr="00923237">
        <w:rPr>
          <w:rStyle w:val="Emphasis"/>
          <w:rFonts w:eastAsiaTheme="majorEastAsia" w:cstheme="minorHAnsi"/>
          <w:color w:val="2E2E2E"/>
        </w:rPr>
        <w:t>Meetings</w:t>
      </w:r>
      <w:r w:rsidRPr="00923237">
        <w:rPr>
          <w:rFonts w:cstheme="minorHAnsi"/>
        </w:rPr>
        <w:t> as the difference between the number of board (committee) meetings and the average board (committee) meetings during the pre-crisis period (i.e. from 2003 to 2006), similar in spirit to the approach of </w:t>
      </w:r>
      <w:proofErr w:type="spellStart"/>
      <w:r w:rsidR="00EB1576" w:rsidRPr="00923237">
        <w:fldChar w:fldCharType="begin"/>
      </w:r>
      <w:r w:rsidR="00EB1576" w:rsidRPr="00923237">
        <w:rPr>
          <w:rFonts w:cstheme="minorHAnsi"/>
        </w:rPr>
        <w:instrText xml:space="preserve"> HYPERLINK "https://0-www-sciencedirect-com.libus.csd.mu.edu/science/article/pii/S0929119917307344" \l "bb0280" </w:instrText>
      </w:r>
      <w:r w:rsidR="00EB1576" w:rsidRPr="00923237">
        <w:fldChar w:fldCharType="separate"/>
      </w:r>
      <w:r w:rsidRPr="00923237">
        <w:rPr>
          <w:rStyle w:val="Hyperlink"/>
          <w:rFonts w:eastAsiaTheme="majorEastAsia" w:cstheme="minorHAnsi"/>
          <w:color w:val="0C7DBB"/>
        </w:rPr>
        <w:t>Vafaes</w:t>
      </w:r>
      <w:proofErr w:type="spellEnd"/>
      <w:r w:rsidRPr="00923237">
        <w:rPr>
          <w:rStyle w:val="Hyperlink"/>
          <w:rFonts w:eastAsiaTheme="majorEastAsia" w:cstheme="minorHAnsi"/>
          <w:color w:val="0C7DBB"/>
        </w:rPr>
        <w:t xml:space="preserve"> (1999)</w:t>
      </w:r>
      <w:r w:rsidR="00EB1576" w:rsidRPr="00923237">
        <w:rPr>
          <w:rStyle w:val="Hyperlink"/>
          <w:rFonts w:eastAsiaTheme="majorEastAsia" w:cstheme="minorHAnsi"/>
          <w:color w:val="0C7DBB"/>
        </w:rPr>
        <w:fldChar w:fldCharType="end"/>
      </w:r>
      <w:r w:rsidRPr="00923237">
        <w:rPr>
          <w:rFonts w:cstheme="minorHAnsi"/>
        </w:rPr>
        <w:t>. Meeting frequency per se does not necessarily reflect the quality of director monitoring and/or advising and therefore, may not help the REIT's performance. Thus, we control for director experience in real estate and finance as this type of experience could be valuable for the firms, especially during the </w:t>
      </w:r>
      <w:hyperlink r:id="rId86" w:tooltip="Learn more about Financial Crisis from ScienceDirect's AI-generated Topic Pages" w:history="1">
        <w:r w:rsidRPr="00923237">
          <w:rPr>
            <w:rStyle w:val="Hyperlink"/>
            <w:rFonts w:eastAsiaTheme="majorEastAsia" w:cstheme="minorHAnsi"/>
            <w:color w:val="0C7DBB"/>
          </w:rPr>
          <w:t>financial crisis</w:t>
        </w:r>
      </w:hyperlink>
      <w:r w:rsidRPr="00923237">
        <w:rPr>
          <w:rFonts w:cstheme="minorHAnsi"/>
        </w:rPr>
        <w:t xml:space="preserve">. Specifically, we hand-collect director biographic information from the company proxy statements, Bloomberg and </w:t>
      </w:r>
      <w:proofErr w:type="spellStart"/>
      <w:r w:rsidRPr="00923237">
        <w:rPr>
          <w:rFonts w:cstheme="minorHAnsi"/>
        </w:rPr>
        <w:t>Linkedin</w:t>
      </w:r>
      <w:proofErr w:type="spellEnd"/>
      <w:r w:rsidRPr="00923237">
        <w:rPr>
          <w:rFonts w:cstheme="minorHAnsi"/>
        </w:rPr>
        <w:t xml:space="preserve"> to estimate the number of years a </w:t>
      </w:r>
      <w:proofErr w:type="gramStart"/>
      <w:r w:rsidRPr="00923237">
        <w:rPr>
          <w:rFonts w:cstheme="minorHAnsi"/>
        </w:rPr>
        <w:t>particular director</w:t>
      </w:r>
      <w:proofErr w:type="gramEnd"/>
      <w:r w:rsidRPr="00923237">
        <w:rPr>
          <w:rFonts w:cstheme="minorHAnsi"/>
        </w:rPr>
        <w:t xml:space="preserve"> has managerial experience in finance and/or real estate as a proxy for his and/or her finance or real estate experience, respectively. We then average the finance or real estate experience across the whole board to construct three variables </w:t>
      </w:r>
      <w:r w:rsidRPr="00923237">
        <w:rPr>
          <w:rStyle w:val="Emphasis"/>
          <w:rFonts w:eastAsiaTheme="majorEastAsia" w:cstheme="minorHAnsi"/>
          <w:color w:val="2E2E2E"/>
        </w:rPr>
        <w:t>FIN Experience</w:t>
      </w:r>
      <w:r w:rsidRPr="00923237">
        <w:rPr>
          <w:rFonts w:cstheme="minorHAnsi"/>
        </w:rPr>
        <w:t>, </w:t>
      </w:r>
      <w:r w:rsidRPr="00923237">
        <w:rPr>
          <w:rStyle w:val="Emphasis"/>
          <w:rFonts w:eastAsiaTheme="majorEastAsia" w:cstheme="minorHAnsi"/>
          <w:color w:val="2E2E2E"/>
        </w:rPr>
        <w:t>RE Experience</w:t>
      </w:r>
      <w:r w:rsidRPr="00923237">
        <w:rPr>
          <w:rFonts w:cstheme="minorHAnsi"/>
        </w:rPr>
        <w:t>, and </w:t>
      </w:r>
      <w:r w:rsidRPr="00923237">
        <w:rPr>
          <w:rStyle w:val="Emphasis"/>
          <w:rFonts w:eastAsiaTheme="majorEastAsia" w:cstheme="minorHAnsi"/>
          <w:color w:val="2E2E2E"/>
        </w:rPr>
        <w:t>FIN</w:t>
      </w:r>
      <w:r w:rsidRPr="00923237">
        <w:rPr>
          <w:rFonts w:cstheme="minorHAnsi"/>
        </w:rPr>
        <w:t> &amp; </w:t>
      </w:r>
      <w:r w:rsidRPr="00923237">
        <w:rPr>
          <w:rStyle w:val="Emphasis"/>
          <w:rFonts w:eastAsiaTheme="majorEastAsia" w:cstheme="minorHAnsi"/>
          <w:color w:val="2E2E2E"/>
        </w:rPr>
        <w:t>RE Experience</w:t>
      </w:r>
      <w:r w:rsidRPr="00923237">
        <w:rPr>
          <w:rFonts w:cstheme="minorHAnsi"/>
        </w:rPr>
        <w:t> respectively. Finally, we create “experience weighted” measures of director activity as the product of the number of meetings and director experience as it is plausible that both the experience of the directors and the time they spend on monitoring and advising are important.</w:t>
      </w:r>
      <w:bookmarkStart w:id="65" w:name="bfn0010"/>
      <w:r w:rsidRPr="00923237">
        <w:rPr>
          <w:rFonts w:cstheme="minorHAnsi"/>
        </w:rPr>
        <w:fldChar w:fldCharType="begin"/>
      </w:r>
      <w:r w:rsidRPr="00923237">
        <w:rPr>
          <w:rFonts w:cstheme="minorHAnsi"/>
        </w:rPr>
        <w:instrText xml:space="preserve"> HYPERLINK "https://0-www-sciencedirect-com.libus.csd.mu.edu/science/article/pii/S0929119917307344" \l "fn0010" </w:instrText>
      </w:r>
      <w:r w:rsidRPr="00923237">
        <w:rPr>
          <w:rFonts w:cstheme="minorHAnsi"/>
        </w:rPr>
        <w:fldChar w:fldCharType="separate"/>
      </w:r>
      <w:r w:rsidRPr="00923237">
        <w:rPr>
          <w:rStyle w:val="Hyperlink"/>
          <w:rFonts w:eastAsiaTheme="majorEastAsia" w:cstheme="minorHAnsi"/>
          <w:color w:val="0C7DBB"/>
          <w:vertAlign w:val="superscript"/>
        </w:rPr>
        <w:t>2</w:t>
      </w:r>
      <w:r w:rsidRPr="00923237">
        <w:rPr>
          <w:rFonts w:cstheme="minorHAnsi"/>
        </w:rPr>
        <w:fldChar w:fldCharType="end"/>
      </w:r>
      <w:bookmarkEnd w:id="65"/>
      <w:r w:rsidRPr="00923237">
        <w:rPr>
          <w:rFonts w:cstheme="minorHAnsi"/>
        </w:rPr>
        <w:t> We also include other more commonly-used proxies for the quality of board monitoring: </w:t>
      </w:r>
      <w:r w:rsidRPr="00923237">
        <w:rPr>
          <w:rStyle w:val="Emphasis"/>
          <w:rFonts w:eastAsiaTheme="majorEastAsia" w:cstheme="minorHAnsi"/>
          <w:color w:val="2E2E2E"/>
        </w:rPr>
        <w:t>Board Size</w:t>
      </w:r>
      <w:r w:rsidRPr="00923237">
        <w:rPr>
          <w:rFonts w:cstheme="minorHAnsi"/>
        </w:rPr>
        <w:t> (the total number of directors on the board) and </w:t>
      </w:r>
      <w:r w:rsidRPr="00923237">
        <w:rPr>
          <w:rStyle w:val="Emphasis"/>
          <w:rFonts w:eastAsiaTheme="majorEastAsia" w:cstheme="minorHAnsi"/>
          <w:color w:val="2E2E2E"/>
        </w:rPr>
        <w:t>Board Independence</w:t>
      </w:r>
      <w:r w:rsidRPr="00923237">
        <w:rPr>
          <w:rFonts w:cstheme="minorHAnsi"/>
        </w:rPr>
        <w:t> (the proportion of independent directors on the board).</w:t>
      </w:r>
    </w:p>
    <w:p w14:paraId="1F5BC753" w14:textId="77777777" w:rsidR="00A4606E" w:rsidRPr="00923237" w:rsidRDefault="00A4606E" w:rsidP="005F7244">
      <w:pPr>
        <w:rPr>
          <w:rFonts w:cstheme="minorHAnsi"/>
        </w:rPr>
      </w:pPr>
      <w:r w:rsidRPr="00923237">
        <w:rPr>
          <w:rFonts w:cstheme="minorHAnsi"/>
        </w:rPr>
        <w:t>We measure returns during financial crisis as the cumulative monthly return for each REIT from January 2007 to February 2009 (</w:t>
      </w:r>
      <w:r w:rsidRPr="00923237">
        <w:rPr>
          <w:rStyle w:val="Emphasis"/>
          <w:rFonts w:eastAsiaTheme="majorEastAsia" w:cstheme="minorHAnsi"/>
          <w:color w:val="2E2E2E"/>
        </w:rPr>
        <w:t>Cumulative Return 2007</w:t>
      </w:r>
      <w:r w:rsidRPr="00923237">
        <w:rPr>
          <w:rFonts w:cstheme="minorHAnsi"/>
        </w:rPr>
        <w:t>–</w:t>
      </w:r>
      <w:r w:rsidRPr="00923237">
        <w:rPr>
          <w:rStyle w:val="Emphasis"/>
          <w:rFonts w:eastAsiaTheme="majorEastAsia" w:cstheme="minorHAnsi"/>
          <w:color w:val="2E2E2E"/>
        </w:rPr>
        <w:t>2009</w:t>
      </w:r>
      <w:r w:rsidRPr="00923237">
        <w:rPr>
          <w:rFonts w:cstheme="minorHAnsi"/>
        </w:rPr>
        <w:t>). Post-crisis return is measured as the cumulative monthly return from March 2009 to December 2016 (</w:t>
      </w:r>
      <w:r w:rsidRPr="00923237">
        <w:rPr>
          <w:rStyle w:val="Emphasis"/>
          <w:rFonts w:eastAsiaTheme="majorEastAsia" w:cstheme="minorHAnsi"/>
          <w:color w:val="2E2E2E"/>
        </w:rPr>
        <w:t>Cumulative Return 2009</w:t>
      </w:r>
      <w:r w:rsidRPr="00923237">
        <w:rPr>
          <w:rFonts w:cstheme="minorHAnsi"/>
        </w:rPr>
        <w:t>–</w:t>
      </w:r>
      <w:r w:rsidRPr="00923237">
        <w:rPr>
          <w:rStyle w:val="Emphasis"/>
          <w:rFonts w:eastAsiaTheme="majorEastAsia" w:cstheme="minorHAnsi"/>
          <w:color w:val="2E2E2E"/>
        </w:rPr>
        <w:t>2016</w:t>
      </w:r>
      <w:r w:rsidRPr="00923237">
        <w:rPr>
          <w:rFonts w:cstheme="minorHAnsi"/>
        </w:rPr>
        <w:t>). As proxies for </w:t>
      </w:r>
      <w:hyperlink r:id="rId87" w:tooltip="Learn more about Leverage from ScienceDirect's AI-generated Topic Pages" w:history="1">
        <w:r w:rsidRPr="00923237">
          <w:rPr>
            <w:rStyle w:val="Hyperlink"/>
            <w:rFonts w:eastAsiaTheme="majorEastAsia" w:cstheme="minorHAnsi"/>
            <w:color w:val="0C7DBB"/>
          </w:rPr>
          <w:t>leverage</w:t>
        </w:r>
      </w:hyperlink>
      <w:r w:rsidRPr="00923237">
        <w:rPr>
          <w:rFonts w:cstheme="minorHAnsi"/>
        </w:rPr>
        <w:t>, we use </w:t>
      </w:r>
      <w:r w:rsidRPr="00923237">
        <w:rPr>
          <w:rStyle w:val="Emphasis"/>
          <w:rFonts w:eastAsiaTheme="majorEastAsia" w:cstheme="minorHAnsi"/>
          <w:color w:val="2E2E2E"/>
        </w:rPr>
        <w:t>Market Leverage</w:t>
      </w:r>
      <w:r w:rsidRPr="00923237">
        <w:rPr>
          <w:rFonts w:cstheme="minorHAnsi"/>
        </w:rPr>
        <w:t>, the ratio of total debt to market value of the firm. Total debt is calculated as the book value of debt due in one year and long-term debt while market value of the firm is calculated as total debt plus book value of preferred stock plus equity market capitalization. We also use an indicator, </w:t>
      </w:r>
      <w:r w:rsidRPr="00923237">
        <w:rPr>
          <w:rStyle w:val="Emphasis"/>
          <w:rFonts w:eastAsiaTheme="majorEastAsia" w:cstheme="minorHAnsi"/>
          <w:color w:val="2E2E2E"/>
        </w:rPr>
        <w:t>High Leverage</w:t>
      </w:r>
      <w:r w:rsidRPr="00923237">
        <w:rPr>
          <w:rFonts w:cstheme="minorHAnsi"/>
        </w:rPr>
        <w:t>, that equals one if the firm's leverage is on the top quartile of the sample and zero otherwise.</w:t>
      </w:r>
    </w:p>
    <w:p w14:paraId="1EFA8BB4" w14:textId="77777777" w:rsidR="00A4606E" w:rsidRPr="00923237" w:rsidRDefault="00A4606E" w:rsidP="005F7244">
      <w:pPr>
        <w:rPr>
          <w:rFonts w:cstheme="minorHAnsi"/>
        </w:rPr>
      </w:pPr>
      <w:r w:rsidRPr="00923237">
        <w:rPr>
          <w:rFonts w:cstheme="minorHAnsi"/>
        </w:rPr>
        <w:t>We control for other firm characteristics that have been shown by prior literature to affect firm's governance, leverage, and returns. For example, we include </w:t>
      </w:r>
      <w:r w:rsidRPr="00923237">
        <w:rPr>
          <w:rStyle w:val="Emphasis"/>
          <w:rFonts w:eastAsiaTheme="majorEastAsia" w:cstheme="minorHAnsi"/>
          <w:color w:val="2E2E2E"/>
        </w:rPr>
        <w:t>Firm Size</w:t>
      </w:r>
      <w:r w:rsidRPr="00923237">
        <w:rPr>
          <w:rFonts w:cstheme="minorHAnsi"/>
        </w:rPr>
        <w:t>, Tobin's </w:t>
      </w:r>
      <w:r w:rsidRPr="00923237">
        <w:rPr>
          <w:rStyle w:val="Emphasis"/>
          <w:rFonts w:eastAsiaTheme="majorEastAsia" w:cstheme="minorHAnsi"/>
          <w:color w:val="2E2E2E"/>
        </w:rPr>
        <w:t>Q</w:t>
      </w:r>
      <w:r w:rsidRPr="00923237">
        <w:rPr>
          <w:rFonts w:cstheme="minorHAnsi"/>
        </w:rPr>
        <w:t>, </w:t>
      </w:r>
      <w:r w:rsidRPr="00923237">
        <w:rPr>
          <w:rStyle w:val="Emphasis"/>
          <w:rFonts w:eastAsiaTheme="majorEastAsia" w:cstheme="minorHAnsi"/>
          <w:color w:val="2E2E2E"/>
        </w:rPr>
        <w:t>FFO per Share</w:t>
      </w:r>
      <w:r w:rsidRPr="00923237">
        <w:rPr>
          <w:rFonts w:cstheme="minorHAnsi"/>
        </w:rPr>
        <w:t>, </w:t>
      </w:r>
      <w:r w:rsidRPr="00923237">
        <w:rPr>
          <w:rStyle w:val="Emphasis"/>
          <w:rFonts w:eastAsiaTheme="majorEastAsia" w:cstheme="minorHAnsi"/>
          <w:color w:val="2E2E2E"/>
        </w:rPr>
        <w:t>Variable Rate Debt</w:t>
      </w:r>
      <w:r w:rsidRPr="00923237">
        <w:rPr>
          <w:rFonts w:cstheme="minorHAnsi"/>
        </w:rPr>
        <w:t>/</w:t>
      </w:r>
      <w:r w:rsidRPr="00923237">
        <w:rPr>
          <w:rStyle w:val="Emphasis"/>
          <w:rFonts w:eastAsiaTheme="majorEastAsia" w:cstheme="minorHAnsi"/>
          <w:color w:val="2E2E2E"/>
        </w:rPr>
        <w:t>Total Debt</w:t>
      </w:r>
      <w:r w:rsidRPr="00923237">
        <w:rPr>
          <w:rFonts w:cstheme="minorHAnsi"/>
        </w:rPr>
        <w:t>, </w:t>
      </w:r>
      <w:r w:rsidRPr="00923237">
        <w:rPr>
          <w:rStyle w:val="Emphasis"/>
          <w:rFonts w:eastAsiaTheme="majorEastAsia" w:cstheme="minorHAnsi"/>
          <w:color w:val="2E2E2E"/>
        </w:rPr>
        <w:t>Debt Due in 1 year</w:t>
      </w:r>
      <w:r w:rsidRPr="00923237">
        <w:rPr>
          <w:rFonts w:cstheme="minorHAnsi"/>
        </w:rPr>
        <w:t>/</w:t>
      </w:r>
      <w:r w:rsidRPr="00923237">
        <w:rPr>
          <w:rStyle w:val="Emphasis"/>
          <w:rFonts w:eastAsiaTheme="majorEastAsia" w:cstheme="minorHAnsi"/>
          <w:color w:val="2E2E2E"/>
        </w:rPr>
        <w:t>Total Debt</w:t>
      </w:r>
      <w:r w:rsidRPr="00923237">
        <w:rPr>
          <w:rFonts w:cstheme="minorHAnsi"/>
        </w:rPr>
        <w:t> and </w:t>
      </w:r>
      <w:r w:rsidRPr="00923237">
        <w:rPr>
          <w:rStyle w:val="Emphasis"/>
          <w:rFonts w:eastAsiaTheme="majorEastAsia" w:cstheme="minorHAnsi"/>
          <w:color w:val="2E2E2E"/>
        </w:rPr>
        <w:t>Debt Due in 2 or 3 years</w:t>
      </w:r>
      <w:r w:rsidRPr="00923237">
        <w:rPr>
          <w:rFonts w:cstheme="minorHAnsi"/>
        </w:rPr>
        <w:t>/</w:t>
      </w:r>
      <w:r w:rsidRPr="00923237">
        <w:rPr>
          <w:rStyle w:val="Emphasis"/>
          <w:rFonts w:eastAsiaTheme="majorEastAsia" w:cstheme="minorHAnsi"/>
          <w:color w:val="2E2E2E"/>
        </w:rPr>
        <w:t>Total Debt</w:t>
      </w:r>
      <w:r w:rsidRPr="00923237">
        <w:rPr>
          <w:rFonts w:cstheme="minorHAnsi"/>
        </w:rPr>
        <w:t> (</w:t>
      </w:r>
      <w:hyperlink r:id="rId88" w:anchor="bb0275" w:history="1">
        <w:r w:rsidRPr="00923237">
          <w:rPr>
            <w:rStyle w:val="Hyperlink"/>
            <w:rFonts w:eastAsiaTheme="majorEastAsia" w:cstheme="minorHAnsi"/>
            <w:color w:val="0C7DBB"/>
          </w:rPr>
          <w:t>Sun et al., 2015</w:t>
        </w:r>
      </w:hyperlink>
      <w:r w:rsidRPr="00923237">
        <w:rPr>
          <w:rFonts w:cstheme="minorHAnsi"/>
        </w:rPr>
        <w:t>). In addition, we control for different property types.</w:t>
      </w:r>
      <w:bookmarkStart w:id="66" w:name="bfn0015"/>
      <w:r w:rsidRPr="00923237">
        <w:rPr>
          <w:rFonts w:cstheme="minorHAnsi"/>
        </w:rPr>
        <w:fldChar w:fldCharType="begin"/>
      </w:r>
      <w:r w:rsidRPr="00923237">
        <w:rPr>
          <w:rFonts w:cstheme="minorHAnsi"/>
        </w:rPr>
        <w:instrText xml:space="preserve"> HYPERLINK "https://0-www-sciencedirect-com.libus.csd.mu.edu/science/article/pii/S0929119917307344" \l "fn0015" </w:instrText>
      </w:r>
      <w:r w:rsidRPr="00923237">
        <w:rPr>
          <w:rFonts w:cstheme="minorHAnsi"/>
        </w:rPr>
        <w:fldChar w:fldCharType="separate"/>
      </w:r>
      <w:r w:rsidRPr="00923237">
        <w:rPr>
          <w:rStyle w:val="Hyperlink"/>
          <w:rFonts w:eastAsiaTheme="majorEastAsia" w:cstheme="minorHAnsi"/>
          <w:color w:val="0C7DBB"/>
          <w:vertAlign w:val="superscript"/>
        </w:rPr>
        <w:t>3</w:t>
      </w:r>
      <w:r w:rsidRPr="00923237">
        <w:rPr>
          <w:rFonts w:cstheme="minorHAnsi"/>
        </w:rPr>
        <w:fldChar w:fldCharType="end"/>
      </w:r>
      <w:bookmarkEnd w:id="66"/>
      <w:r w:rsidRPr="00923237">
        <w:rPr>
          <w:rFonts w:cstheme="minorHAnsi"/>
        </w:rPr>
        <w:t> See </w:t>
      </w:r>
      <w:bookmarkStart w:id="67" w:name="bs0055"/>
      <w:r w:rsidRPr="00923237">
        <w:rPr>
          <w:rFonts w:cstheme="minorHAnsi"/>
        </w:rPr>
        <w:fldChar w:fldCharType="begin"/>
      </w:r>
      <w:r w:rsidRPr="00923237">
        <w:rPr>
          <w:rFonts w:cstheme="minorHAnsi"/>
        </w:rPr>
        <w:instrText xml:space="preserve"> HYPERLINK "https://0-www-sciencedirect-com.libus.csd.mu.edu/science/article/pii/S0929119917307344" \l "s0055" </w:instrText>
      </w:r>
      <w:r w:rsidRPr="00923237">
        <w:rPr>
          <w:rFonts w:cstheme="minorHAnsi"/>
        </w:rPr>
        <w:fldChar w:fldCharType="separate"/>
      </w:r>
      <w:r w:rsidRPr="00923237">
        <w:rPr>
          <w:rStyle w:val="Hyperlink"/>
          <w:rFonts w:eastAsiaTheme="majorEastAsia" w:cstheme="minorHAnsi"/>
          <w:color w:val="0C7DBB"/>
        </w:rPr>
        <w:t>Appendix 2</w:t>
      </w:r>
      <w:r w:rsidRPr="00923237">
        <w:rPr>
          <w:rFonts w:cstheme="minorHAnsi"/>
        </w:rPr>
        <w:fldChar w:fldCharType="end"/>
      </w:r>
      <w:r w:rsidRPr="00923237">
        <w:rPr>
          <w:rFonts w:cstheme="minorHAnsi"/>
        </w:rPr>
        <w:t> for a more detailed description of the variables included in the study.</w:t>
      </w:r>
    </w:p>
    <w:bookmarkStart w:id="68" w:name="bt0005"/>
    <w:p w14:paraId="0CCE35FC" w14:textId="77777777" w:rsidR="00A4606E" w:rsidRPr="00923237" w:rsidRDefault="00A4606E" w:rsidP="005F7244">
      <w:pPr>
        <w:rPr>
          <w:rFonts w:cstheme="minorHAnsi"/>
        </w:rPr>
      </w:pPr>
      <w:r w:rsidRPr="00923237">
        <w:rPr>
          <w:rFonts w:cstheme="minorHAnsi"/>
        </w:rPr>
        <w:fldChar w:fldCharType="begin"/>
      </w:r>
      <w:r w:rsidRPr="00923237">
        <w:rPr>
          <w:rFonts w:cstheme="minorHAnsi"/>
        </w:rPr>
        <w:instrText xml:space="preserve"> HYPERLINK "https://0-www-sciencedirect-com.libus.csd.mu.edu/science/article/pii/S0929119917307344" \l "t0005" </w:instrText>
      </w:r>
      <w:r w:rsidRPr="00923237">
        <w:rPr>
          <w:rFonts w:cstheme="minorHAnsi"/>
        </w:rPr>
        <w:fldChar w:fldCharType="separate"/>
      </w:r>
      <w:r w:rsidRPr="00923237">
        <w:rPr>
          <w:rStyle w:val="Hyperlink"/>
          <w:rFonts w:eastAsiaTheme="majorEastAsia" w:cstheme="minorHAnsi"/>
          <w:color w:val="0C7DBB"/>
        </w:rPr>
        <w:t>Table 1</w:t>
      </w:r>
      <w:r w:rsidRPr="00923237">
        <w:rPr>
          <w:rFonts w:cstheme="minorHAnsi"/>
        </w:rPr>
        <w:fldChar w:fldCharType="end"/>
      </w:r>
      <w:r w:rsidRPr="00923237">
        <w:rPr>
          <w:rFonts w:cstheme="minorHAnsi"/>
        </w:rPr>
        <w:t>, Panel A, provides summary statistics for the full sample. The average board has eight members with approximately 73% classified as independent directors. These numbers are similar to those reported in other studies (e.g. </w:t>
      </w:r>
      <w:hyperlink r:id="rId89" w:anchor="bb0100" w:history="1">
        <w:r w:rsidRPr="00923237">
          <w:rPr>
            <w:rStyle w:val="Hyperlink"/>
            <w:rFonts w:eastAsiaTheme="majorEastAsia" w:cstheme="minorHAnsi"/>
            <w:color w:val="0C7DBB"/>
          </w:rPr>
          <w:t xml:space="preserve">Ghosh and </w:t>
        </w:r>
        <w:proofErr w:type="spellStart"/>
        <w:r w:rsidRPr="00923237">
          <w:rPr>
            <w:rStyle w:val="Hyperlink"/>
            <w:rFonts w:eastAsiaTheme="majorEastAsia" w:cstheme="minorHAnsi"/>
            <w:color w:val="0C7DBB"/>
          </w:rPr>
          <w:t>Sirmans</w:t>
        </w:r>
        <w:proofErr w:type="spellEnd"/>
        <w:r w:rsidRPr="00923237">
          <w:rPr>
            <w:rStyle w:val="Hyperlink"/>
            <w:rFonts w:eastAsiaTheme="majorEastAsia" w:cstheme="minorHAnsi"/>
            <w:color w:val="0C7DBB"/>
          </w:rPr>
          <w:t xml:space="preserve"> (2005)</w:t>
        </w:r>
      </w:hyperlink>
      <w:bookmarkEnd w:id="60"/>
      <w:r w:rsidRPr="00923237">
        <w:rPr>
          <w:rFonts w:cstheme="minorHAnsi"/>
        </w:rPr>
        <w:t>, </w:t>
      </w:r>
      <w:hyperlink r:id="rId90" w:anchor="bb0020" w:history="1">
        <w:r w:rsidRPr="00923237">
          <w:rPr>
            <w:rStyle w:val="Hyperlink"/>
            <w:rFonts w:eastAsiaTheme="majorEastAsia" w:cstheme="minorHAnsi"/>
            <w:color w:val="0C7DBB"/>
          </w:rPr>
          <w:t>Anglin et al. (2012)</w:t>
        </w:r>
      </w:hyperlink>
      <w:r w:rsidRPr="00923237">
        <w:rPr>
          <w:rFonts w:cstheme="minorHAnsi"/>
        </w:rPr>
        <w:t>, and </w:t>
      </w:r>
      <w:bookmarkStart w:id="69" w:name="bbb0155"/>
      <w:r w:rsidRPr="00923237">
        <w:rPr>
          <w:rFonts w:cstheme="minorHAnsi"/>
        </w:rPr>
        <w:fldChar w:fldCharType="begin"/>
      </w:r>
      <w:r w:rsidRPr="00923237">
        <w:rPr>
          <w:rFonts w:cstheme="minorHAnsi"/>
        </w:rPr>
        <w:instrText xml:space="preserve"> HYPERLINK "https://0-www-sciencedirect-com.libus.csd.mu.edu/science/article/pii/S0929119917307344" \l "bb0155" </w:instrText>
      </w:r>
      <w:r w:rsidRPr="00923237">
        <w:rPr>
          <w:rFonts w:cstheme="minorHAnsi"/>
        </w:rPr>
        <w:fldChar w:fldCharType="separate"/>
      </w:r>
      <w:r w:rsidRPr="00923237">
        <w:rPr>
          <w:rStyle w:val="Hyperlink"/>
          <w:rFonts w:eastAsiaTheme="majorEastAsia" w:cstheme="minorHAnsi"/>
          <w:color w:val="0C7DBB"/>
        </w:rPr>
        <w:t>Hartzell et al. (2014)</w:t>
      </w:r>
      <w:r w:rsidRPr="00923237">
        <w:rPr>
          <w:rFonts w:cstheme="minorHAnsi"/>
        </w:rPr>
        <w:fldChar w:fldCharType="end"/>
      </w:r>
      <w:bookmarkEnd w:id="69"/>
      <w:r w:rsidRPr="00923237">
        <w:rPr>
          <w:rFonts w:cstheme="minorHAnsi"/>
        </w:rPr>
        <w:t>). On average, boards meet eight times per year and the Audit, Compensation, and Nomination/Governance committees meet 14 times. The number of board meetings is similar to that of other studies for both REIT and non-REIT firms (e.g. </w:t>
      </w:r>
      <w:hyperlink r:id="rId91" w:anchor="bb0020" w:history="1">
        <w:r w:rsidRPr="00923237">
          <w:rPr>
            <w:rStyle w:val="Hyperlink"/>
            <w:rFonts w:eastAsiaTheme="majorEastAsia" w:cstheme="minorHAnsi"/>
            <w:color w:val="0C7DBB"/>
          </w:rPr>
          <w:t>Anglin et al. (2012)</w:t>
        </w:r>
      </w:hyperlink>
      <w:bookmarkEnd w:id="62"/>
      <w:r w:rsidRPr="00923237">
        <w:rPr>
          <w:rFonts w:cstheme="minorHAnsi"/>
        </w:rPr>
        <w:t> and </w:t>
      </w:r>
      <w:hyperlink r:id="rId92" w:anchor="bb0225" w:history="1">
        <w:r w:rsidRPr="00923237">
          <w:rPr>
            <w:rStyle w:val="Hyperlink"/>
            <w:rFonts w:eastAsiaTheme="majorEastAsia" w:cstheme="minorHAnsi"/>
            <w:color w:val="0C7DBB"/>
          </w:rPr>
          <w:t>Nguyen (2014)</w:t>
        </w:r>
      </w:hyperlink>
      <w:r w:rsidRPr="00923237">
        <w:rPr>
          <w:rFonts w:cstheme="minorHAnsi"/>
        </w:rPr>
        <w:t>).</w:t>
      </w:r>
      <w:bookmarkStart w:id="70" w:name="bfn0020"/>
      <w:r w:rsidRPr="00923237">
        <w:rPr>
          <w:rFonts w:cstheme="minorHAnsi"/>
        </w:rPr>
        <w:fldChar w:fldCharType="begin"/>
      </w:r>
      <w:r w:rsidRPr="00923237">
        <w:rPr>
          <w:rFonts w:cstheme="minorHAnsi"/>
        </w:rPr>
        <w:instrText xml:space="preserve"> HYPERLINK "https://0-www-sciencedirect-com.libus.csd.mu.edu/science/article/pii/S0929119917307344" \l "fn0020" </w:instrText>
      </w:r>
      <w:r w:rsidRPr="00923237">
        <w:rPr>
          <w:rFonts w:cstheme="minorHAnsi"/>
        </w:rPr>
        <w:fldChar w:fldCharType="separate"/>
      </w:r>
      <w:r w:rsidRPr="00923237">
        <w:rPr>
          <w:rStyle w:val="Hyperlink"/>
          <w:rFonts w:eastAsiaTheme="majorEastAsia" w:cstheme="minorHAnsi"/>
          <w:color w:val="0C7DBB"/>
          <w:vertAlign w:val="superscript"/>
        </w:rPr>
        <w:t>4</w:t>
      </w:r>
      <w:r w:rsidRPr="00923237">
        <w:rPr>
          <w:rFonts w:cstheme="minorHAnsi"/>
        </w:rPr>
        <w:fldChar w:fldCharType="end"/>
      </w:r>
      <w:bookmarkEnd w:id="70"/>
      <w:r w:rsidRPr="00923237">
        <w:rPr>
          <w:rFonts w:cstheme="minorHAnsi"/>
        </w:rPr>
        <w:t> On average, directors have nine (ten) years of managerial experience in finance (real estate). With respect to firm characteristics, the average firm has total assets of $5.4B, a Tobin's Q of 1.31, and a leverage of 43%.</w:t>
      </w:r>
    </w:p>
    <w:p w14:paraId="5DF9C3DC" w14:textId="77777777" w:rsidR="00A4606E" w:rsidRPr="00923237" w:rsidRDefault="00A4606E" w:rsidP="005F7244">
      <w:pPr>
        <w:pStyle w:val="NoSpacing"/>
        <w:rPr>
          <w:rFonts w:cstheme="minorHAnsi"/>
          <w:color w:val="323232"/>
        </w:rPr>
      </w:pPr>
      <w:r w:rsidRPr="00923237">
        <w:rPr>
          <w:rStyle w:val="label"/>
          <w:rFonts w:cstheme="minorHAnsi"/>
          <w:color w:val="323232"/>
        </w:rPr>
        <w:t>Table 1</w:t>
      </w:r>
      <w:r w:rsidRPr="00923237">
        <w:rPr>
          <w:rFonts w:cstheme="minorHAnsi"/>
          <w:color w:val="323232"/>
        </w:rPr>
        <w:t>. </w:t>
      </w:r>
      <w:hyperlink r:id="rId93" w:tooltip="Learn more about Descriptive Statistics from ScienceDirect's AI-generated Topic Pages" w:history="1">
        <w:r w:rsidRPr="00923237">
          <w:rPr>
            <w:rStyle w:val="Hyperlink"/>
            <w:rFonts w:eastAsiaTheme="majorEastAsia" w:cstheme="minorHAnsi"/>
            <w:color w:val="0C7DBB"/>
          </w:rPr>
          <w:t>Descriptive statistics</w:t>
        </w:r>
      </w:hyperlink>
      <w:r w:rsidRPr="00923237">
        <w:rPr>
          <w:rFonts w:cstheme="minorHAnsi"/>
          <w:color w:val="323232"/>
        </w:rPr>
        <w:t>.</w:t>
      </w:r>
    </w:p>
    <w:tbl>
      <w:tblPr>
        <w:tblStyle w:val="TableGrid"/>
        <w:tblW w:w="5000" w:type="pct"/>
        <w:tblLook w:val="04A0" w:firstRow="1" w:lastRow="0" w:firstColumn="1" w:lastColumn="0" w:noHBand="0" w:noVBand="1"/>
      </w:tblPr>
      <w:tblGrid>
        <w:gridCol w:w="6295"/>
        <w:gridCol w:w="810"/>
        <w:gridCol w:w="810"/>
        <w:gridCol w:w="1341"/>
        <w:gridCol w:w="814"/>
      </w:tblGrid>
      <w:tr w:rsidR="007274DC" w:rsidRPr="00923237" w14:paraId="75B1D24E" w14:textId="77777777" w:rsidTr="00923237">
        <w:tc>
          <w:tcPr>
            <w:tcW w:w="3126" w:type="pct"/>
            <w:hideMark/>
          </w:tcPr>
          <w:p w14:paraId="5B20F54C" w14:textId="77777777" w:rsidR="007274DC" w:rsidRPr="00923237" w:rsidRDefault="007274DC" w:rsidP="005F7244">
            <w:pPr>
              <w:pStyle w:val="NoSpacing"/>
              <w:rPr>
                <w:rFonts w:cstheme="minorHAnsi"/>
              </w:rPr>
            </w:pPr>
            <w:r w:rsidRPr="00923237">
              <w:rPr>
                <w:rFonts w:cstheme="minorHAnsi"/>
              </w:rPr>
              <w:t>Panel A: full sample</w:t>
            </w:r>
          </w:p>
        </w:tc>
        <w:tc>
          <w:tcPr>
            <w:tcW w:w="402" w:type="pct"/>
          </w:tcPr>
          <w:p w14:paraId="05BB59A3" w14:textId="7E995363" w:rsidR="007274DC" w:rsidRPr="00923237" w:rsidRDefault="007274DC" w:rsidP="005F7244">
            <w:pPr>
              <w:pStyle w:val="NoSpacing"/>
              <w:rPr>
                <w:rFonts w:cstheme="minorHAnsi"/>
              </w:rPr>
            </w:pPr>
          </w:p>
        </w:tc>
        <w:tc>
          <w:tcPr>
            <w:tcW w:w="402" w:type="pct"/>
          </w:tcPr>
          <w:p w14:paraId="3134E45B" w14:textId="77777777" w:rsidR="007274DC" w:rsidRPr="00923237" w:rsidRDefault="007274DC" w:rsidP="005F7244">
            <w:pPr>
              <w:pStyle w:val="NoSpacing"/>
              <w:rPr>
                <w:rFonts w:cstheme="minorHAnsi"/>
              </w:rPr>
            </w:pPr>
          </w:p>
        </w:tc>
        <w:tc>
          <w:tcPr>
            <w:tcW w:w="666" w:type="pct"/>
          </w:tcPr>
          <w:p w14:paraId="55293B9E" w14:textId="77777777" w:rsidR="007274DC" w:rsidRPr="00923237" w:rsidRDefault="007274DC" w:rsidP="005F7244">
            <w:pPr>
              <w:pStyle w:val="NoSpacing"/>
              <w:rPr>
                <w:rFonts w:cstheme="minorHAnsi"/>
              </w:rPr>
            </w:pPr>
          </w:p>
        </w:tc>
        <w:tc>
          <w:tcPr>
            <w:tcW w:w="404" w:type="pct"/>
          </w:tcPr>
          <w:p w14:paraId="51DBBB6B" w14:textId="422E4FE2" w:rsidR="007274DC" w:rsidRPr="00923237" w:rsidRDefault="007274DC" w:rsidP="005F7244">
            <w:pPr>
              <w:pStyle w:val="NoSpacing"/>
              <w:rPr>
                <w:rFonts w:cstheme="minorHAnsi"/>
              </w:rPr>
            </w:pPr>
          </w:p>
        </w:tc>
      </w:tr>
      <w:tr w:rsidR="005F7244" w:rsidRPr="00923237" w14:paraId="7D42E20B" w14:textId="77777777" w:rsidTr="00923237">
        <w:tc>
          <w:tcPr>
            <w:tcW w:w="3126" w:type="pct"/>
            <w:hideMark/>
          </w:tcPr>
          <w:p w14:paraId="4C2FC67D" w14:textId="77777777" w:rsidR="005F7244" w:rsidRPr="00923237" w:rsidRDefault="005F7244" w:rsidP="005F7244">
            <w:pPr>
              <w:pStyle w:val="NoSpacing"/>
              <w:rPr>
                <w:rFonts w:cstheme="minorHAnsi"/>
              </w:rPr>
            </w:pPr>
            <w:r w:rsidRPr="00923237">
              <w:rPr>
                <w:rFonts w:cstheme="minorHAnsi"/>
              </w:rPr>
              <w:t>This table reports summary statistics for our sample of 222 unique REITs from 2003 to 2016. See </w:t>
            </w:r>
            <w:hyperlink r:id="rId94" w:anchor="s0055" w:history="1">
              <w:r w:rsidRPr="00923237">
                <w:rPr>
                  <w:rStyle w:val="Hyperlink"/>
                  <w:rFonts w:cstheme="minorHAnsi"/>
                  <w:b/>
                  <w:bCs/>
                  <w:color w:val="0C7DBB"/>
                  <w:sz w:val="21"/>
                  <w:szCs w:val="21"/>
                </w:rPr>
                <w:t>Appendix 2</w:t>
              </w:r>
            </w:hyperlink>
            <w:r w:rsidRPr="00923237">
              <w:rPr>
                <w:rFonts w:cstheme="minorHAnsi"/>
              </w:rPr>
              <w:t> for variable definitions.</w:t>
            </w:r>
          </w:p>
        </w:tc>
        <w:tc>
          <w:tcPr>
            <w:tcW w:w="402" w:type="pct"/>
          </w:tcPr>
          <w:p w14:paraId="5FDE8DF6" w14:textId="77777777" w:rsidR="005F7244" w:rsidRPr="00923237" w:rsidRDefault="005F7244" w:rsidP="005F7244">
            <w:pPr>
              <w:pStyle w:val="NoSpacing"/>
              <w:rPr>
                <w:rFonts w:cstheme="minorHAnsi"/>
              </w:rPr>
            </w:pPr>
          </w:p>
        </w:tc>
        <w:tc>
          <w:tcPr>
            <w:tcW w:w="402" w:type="pct"/>
          </w:tcPr>
          <w:p w14:paraId="77F90D6D" w14:textId="77777777" w:rsidR="005F7244" w:rsidRPr="00923237" w:rsidRDefault="005F7244" w:rsidP="005F7244">
            <w:pPr>
              <w:pStyle w:val="NoSpacing"/>
              <w:rPr>
                <w:rFonts w:cstheme="minorHAnsi"/>
              </w:rPr>
            </w:pPr>
          </w:p>
        </w:tc>
        <w:tc>
          <w:tcPr>
            <w:tcW w:w="666" w:type="pct"/>
          </w:tcPr>
          <w:p w14:paraId="2885007E" w14:textId="77777777" w:rsidR="005F7244" w:rsidRPr="00923237" w:rsidRDefault="005F7244" w:rsidP="005F7244">
            <w:pPr>
              <w:pStyle w:val="NoSpacing"/>
              <w:rPr>
                <w:rFonts w:cstheme="minorHAnsi"/>
              </w:rPr>
            </w:pPr>
          </w:p>
        </w:tc>
        <w:tc>
          <w:tcPr>
            <w:tcW w:w="404" w:type="pct"/>
          </w:tcPr>
          <w:p w14:paraId="41DE03C1" w14:textId="19E6F41D" w:rsidR="005F7244" w:rsidRPr="00923237" w:rsidRDefault="005F7244" w:rsidP="005F7244">
            <w:pPr>
              <w:pStyle w:val="NoSpacing"/>
              <w:rPr>
                <w:rFonts w:cstheme="minorHAnsi"/>
              </w:rPr>
            </w:pPr>
          </w:p>
        </w:tc>
      </w:tr>
      <w:tr w:rsidR="00A4606E" w:rsidRPr="00923237" w14:paraId="10F948F8" w14:textId="77777777" w:rsidTr="00923237">
        <w:tc>
          <w:tcPr>
            <w:tcW w:w="3126" w:type="pct"/>
            <w:hideMark/>
          </w:tcPr>
          <w:p w14:paraId="09E6C586" w14:textId="77777777" w:rsidR="00A4606E" w:rsidRPr="00923237" w:rsidRDefault="00A4606E" w:rsidP="005F7244">
            <w:pPr>
              <w:pStyle w:val="NoSpacing"/>
              <w:rPr>
                <w:rFonts w:cstheme="minorHAnsi"/>
              </w:rPr>
            </w:pPr>
            <w:r w:rsidRPr="00923237">
              <w:rPr>
                <w:rFonts w:cstheme="minorHAnsi"/>
              </w:rPr>
              <w:t>Variable</w:t>
            </w:r>
          </w:p>
        </w:tc>
        <w:tc>
          <w:tcPr>
            <w:tcW w:w="402" w:type="pct"/>
            <w:hideMark/>
          </w:tcPr>
          <w:p w14:paraId="75344D2A" w14:textId="77777777" w:rsidR="00A4606E" w:rsidRPr="00923237" w:rsidRDefault="00A4606E" w:rsidP="005F7244">
            <w:pPr>
              <w:pStyle w:val="NoSpacing"/>
              <w:rPr>
                <w:rFonts w:cstheme="minorHAnsi"/>
              </w:rPr>
            </w:pPr>
            <w:r w:rsidRPr="00923237">
              <w:rPr>
                <w:rFonts w:cstheme="minorHAnsi"/>
              </w:rPr>
              <w:t>N</w:t>
            </w:r>
          </w:p>
        </w:tc>
        <w:tc>
          <w:tcPr>
            <w:tcW w:w="402" w:type="pct"/>
            <w:hideMark/>
          </w:tcPr>
          <w:p w14:paraId="728139E4" w14:textId="77777777" w:rsidR="00A4606E" w:rsidRPr="00923237" w:rsidRDefault="00A4606E" w:rsidP="005F7244">
            <w:pPr>
              <w:pStyle w:val="NoSpacing"/>
              <w:rPr>
                <w:rFonts w:cstheme="minorHAnsi"/>
              </w:rPr>
            </w:pPr>
            <w:r w:rsidRPr="00923237">
              <w:rPr>
                <w:rFonts w:cstheme="minorHAnsi"/>
              </w:rPr>
              <w:t>Mean</w:t>
            </w:r>
          </w:p>
        </w:tc>
        <w:tc>
          <w:tcPr>
            <w:tcW w:w="666" w:type="pct"/>
            <w:hideMark/>
          </w:tcPr>
          <w:p w14:paraId="6296E6EC" w14:textId="77777777" w:rsidR="00A4606E" w:rsidRPr="00923237" w:rsidRDefault="00A4606E" w:rsidP="005F7244">
            <w:pPr>
              <w:pStyle w:val="NoSpacing"/>
              <w:rPr>
                <w:rFonts w:cstheme="minorHAnsi"/>
              </w:rPr>
            </w:pPr>
            <w:r w:rsidRPr="00923237">
              <w:rPr>
                <w:rFonts w:cstheme="minorHAnsi"/>
              </w:rPr>
              <w:t>Median</w:t>
            </w:r>
          </w:p>
        </w:tc>
        <w:tc>
          <w:tcPr>
            <w:tcW w:w="404" w:type="pct"/>
            <w:hideMark/>
          </w:tcPr>
          <w:p w14:paraId="5225D8C1" w14:textId="77777777" w:rsidR="00A4606E" w:rsidRPr="00923237" w:rsidRDefault="00A4606E" w:rsidP="005F7244">
            <w:pPr>
              <w:pStyle w:val="NoSpacing"/>
              <w:rPr>
                <w:rFonts w:cstheme="minorHAnsi"/>
              </w:rPr>
            </w:pPr>
            <w:r w:rsidRPr="00923237">
              <w:rPr>
                <w:rFonts w:cstheme="minorHAnsi"/>
              </w:rPr>
              <w:t>Std Dev</w:t>
            </w:r>
          </w:p>
        </w:tc>
      </w:tr>
      <w:tr w:rsidR="00A4606E" w:rsidRPr="00923237" w14:paraId="117515AC" w14:textId="77777777" w:rsidTr="00923237">
        <w:tc>
          <w:tcPr>
            <w:tcW w:w="3126" w:type="pct"/>
            <w:hideMark/>
          </w:tcPr>
          <w:p w14:paraId="4671184D" w14:textId="77777777" w:rsidR="00A4606E" w:rsidRPr="00923237" w:rsidRDefault="00A4606E" w:rsidP="005F7244">
            <w:pPr>
              <w:pStyle w:val="NoSpacing"/>
              <w:rPr>
                <w:rFonts w:cstheme="minorHAnsi"/>
              </w:rPr>
            </w:pPr>
            <w:r w:rsidRPr="00923237">
              <w:rPr>
                <w:rFonts w:cstheme="minorHAnsi"/>
              </w:rPr>
              <w:t>Board size</w:t>
            </w:r>
          </w:p>
        </w:tc>
        <w:tc>
          <w:tcPr>
            <w:tcW w:w="402" w:type="pct"/>
            <w:hideMark/>
          </w:tcPr>
          <w:p w14:paraId="7BBE2360" w14:textId="77777777" w:rsidR="00A4606E" w:rsidRPr="00923237" w:rsidRDefault="00A4606E" w:rsidP="005F7244">
            <w:pPr>
              <w:pStyle w:val="NoSpacing"/>
              <w:rPr>
                <w:rFonts w:cstheme="minorHAnsi"/>
              </w:rPr>
            </w:pPr>
            <w:r w:rsidRPr="00923237">
              <w:rPr>
                <w:rFonts w:cstheme="minorHAnsi"/>
              </w:rPr>
              <w:t>1701</w:t>
            </w:r>
          </w:p>
        </w:tc>
        <w:tc>
          <w:tcPr>
            <w:tcW w:w="402" w:type="pct"/>
            <w:hideMark/>
          </w:tcPr>
          <w:p w14:paraId="48601F2C" w14:textId="77777777" w:rsidR="00A4606E" w:rsidRPr="00923237" w:rsidRDefault="00A4606E" w:rsidP="005F7244">
            <w:pPr>
              <w:pStyle w:val="NoSpacing"/>
              <w:rPr>
                <w:rFonts w:cstheme="minorHAnsi"/>
              </w:rPr>
            </w:pPr>
            <w:r w:rsidRPr="00923237">
              <w:rPr>
                <w:rFonts w:cstheme="minorHAnsi"/>
              </w:rPr>
              <w:t>8.09</w:t>
            </w:r>
          </w:p>
        </w:tc>
        <w:tc>
          <w:tcPr>
            <w:tcW w:w="666" w:type="pct"/>
            <w:hideMark/>
          </w:tcPr>
          <w:p w14:paraId="2A98BA38" w14:textId="77777777" w:rsidR="00A4606E" w:rsidRPr="00923237" w:rsidRDefault="00A4606E" w:rsidP="005F7244">
            <w:pPr>
              <w:pStyle w:val="NoSpacing"/>
              <w:rPr>
                <w:rFonts w:cstheme="minorHAnsi"/>
              </w:rPr>
            </w:pPr>
            <w:r w:rsidRPr="00923237">
              <w:rPr>
                <w:rFonts w:cstheme="minorHAnsi"/>
              </w:rPr>
              <w:t>8.00</w:t>
            </w:r>
          </w:p>
        </w:tc>
        <w:tc>
          <w:tcPr>
            <w:tcW w:w="404" w:type="pct"/>
            <w:hideMark/>
          </w:tcPr>
          <w:p w14:paraId="402CCB03" w14:textId="77777777" w:rsidR="00A4606E" w:rsidRPr="00923237" w:rsidRDefault="00A4606E" w:rsidP="005F7244">
            <w:pPr>
              <w:pStyle w:val="NoSpacing"/>
              <w:rPr>
                <w:rFonts w:cstheme="minorHAnsi"/>
              </w:rPr>
            </w:pPr>
            <w:r w:rsidRPr="00923237">
              <w:rPr>
                <w:rFonts w:cstheme="minorHAnsi"/>
              </w:rPr>
              <w:t>2.21</w:t>
            </w:r>
          </w:p>
        </w:tc>
      </w:tr>
      <w:tr w:rsidR="00A4606E" w:rsidRPr="00923237" w14:paraId="56D9F2C7" w14:textId="77777777" w:rsidTr="00923237">
        <w:tc>
          <w:tcPr>
            <w:tcW w:w="3126" w:type="pct"/>
            <w:hideMark/>
          </w:tcPr>
          <w:p w14:paraId="53CD2A52" w14:textId="77777777" w:rsidR="00A4606E" w:rsidRPr="00923237" w:rsidRDefault="00A4606E" w:rsidP="005F7244">
            <w:pPr>
              <w:pStyle w:val="NoSpacing"/>
              <w:rPr>
                <w:rFonts w:cstheme="minorHAnsi"/>
              </w:rPr>
            </w:pPr>
            <w:r w:rsidRPr="00923237">
              <w:rPr>
                <w:rFonts w:cstheme="minorHAnsi"/>
              </w:rPr>
              <w:t>Board independence</w:t>
            </w:r>
          </w:p>
        </w:tc>
        <w:tc>
          <w:tcPr>
            <w:tcW w:w="402" w:type="pct"/>
            <w:hideMark/>
          </w:tcPr>
          <w:p w14:paraId="00DD6688" w14:textId="77777777" w:rsidR="00A4606E" w:rsidRPr="00923237" w:rsidRDefault="00A4606E" w:rsidP="005F7244">
            <w:pPr>
              <w:pStyle w:val="NoSpacing"/>
              <w:rPr>
                <w:rFonts w:cstheme="minorHAnsi"/>
              </w:rPr>
            </w:pPr>
            <w:r w:rsidRPr="00923237">
              <w:rPr>
                <w:rFonts w:cstheme="minorHAnsi"/>
              </w:rPr>
              <w:t>1701</w:t>
            </w:r>
          </w:p>
        </w:tc>
        <w:tc>
          <w:tcPr>
            <w:tcW w:w="402" w:type="pct"/>
            <w:hideMark/>
          </w:tcPr>
          <w:p w14:paraId="48B3219C" w14:textId="77777777" w:rsidR="00A4606E" w:rsidRPr="00923237" w:rsidRDefault="00A4606E" w:rsidP="005F7244">
            <w:pPr>
              <w:pStyle w:val="NoSpacing"/>
              <w:rPr>
                <w:rFonts w:cstheme="minorHAnsi"/>
              </w:rPr>
            </w:pPr>
            <w:r w:rsidRPr="00923237">
              <w:rPr>
                <w:rFonts w:cstheme="minorHAnsi"/>
              </w:rPr>
              <w:t>72.70</w:t>
            </w:r>
          </w:p>
        </w:tc>
        <w:tc>
          <w:tcPr>
            <w:tcW w:w="666" w:type="pct"/>
            <w:hideMark/>
          </w:tcPr>
          <w:p w14:paraId="1B1D2BFA" w14:textId="77777777" w:rsidR="00A4606E" w:rsidRPr="00923237" w:rsidRDefault="00A4606E" w:rsidP="005F7244">
            <w:pPr>
              <w:pStyle w:val="NoSpacing"/>
              <w:rPr>
                <w:rFonts w:cstheme="minorHAnsi"/>
              </w:rPr>
            </w:pPr>
            <w:r w:rsidRPr="00923237">
              <w:rPr>
                <w:rFonts w:cstheme="minorHAnsi"/>
              </w:rPr>
              <w:t>71.43</w:t>
            </w:r>
          </w:p>
        </w:tc>
        <w:tc>
          <w:tcPr>
            <w:tcW w:w="404" w:type="pct"/>
            <w:hideMark/>
          </w:tcPr>
          <w:p w14:paraId="492CCDA4" w14:textId="77777777" w:rsidR="00A4606E" w:rsidRPr="00923237" w:rsidRDefault="00A4606E" w:rsidP="005F7244">
            <w:pPr>
              <w:pStyle w:val="NoSpacing"/>
              <w:rPr>
                <w:rFonts w:cstheme="minorHAnsi"/>
              </w:rPr>
            </w:pPr>
            <w:r w:rsidRPr="00923237">
              <w:rPr>
                <w:rFonts w:cstheme="minorHAnsi"/>
              </w:rPr>
              <w:t>11.75</w:t>
            </w:r>
          </w:p>
        </w:tc>
      </w:tr>
      <w:tr w:rsidR="00A4606E" w:rsidRPr="00923237" w14:paraId="3EB94E9D" w14:textId="77777777" w:rsidTr="00923237">
        <w:tc>
          <w:tcPr>
            <w:tcW w:w="3126" w:type="pct"/>
            <w:hideMark/>
          </w:tcPr>
          <w:p w14:paraId="0243B335" w14:textId="77777777" w:rsidR="00A4606E" w:rsidRPr="00923237" w:rsidRDefault="00A4606E" w:rsidP="005F7244">
            <w:pPr>
              <w:pStyle w:val="NoSpacing"/>
              <w:rPr>
                <w:rFonts w:cstheme="minorHAnsi"/>
              </w:rPr>
            </w:pPr>
            <w:r w:rsidRPr="00923237">
              <w:rPr>
                <w:rFonts w:cstheme="minorHAnsi"/>
              </w:rPr>
              <w:t>Board meetings</w:t>
            </w:r>
          </w:p>
        </w:tc>
        <w:tc>
          <w:tcPr>
            <w:tcW w:w="402" w:type="pct"/>
            <w:hideMark/>
          </w:tcPr>
          <w:p w14:paraId="7A3EB5D7" w14:textId="77777777" w:rsidR="00A4606E" w:rsidRPr="00923237" w:rsidRDefault="00A4606E" w:rsidP="005F7244">
            <w:pPr>
              <w:pStyle w:val="NoSpacing"/>
              <w:rPr>
                <w:rFonts w:cstheme="minorHAnsi"/>
              </w:rPr>
            </w:pPr>
            <w:r w:rsidRPr="00923237">
              <w:rPr>
                <w:rFonts w:cstheme="minorHAnsi"/>
              </w:rPr>
              <w:t>1701</w:t>
            </w:r>
          </w:p>
        </w:tc>
        <w:tc>
          <w:tcPr>
            <w:tcW w:w="402" w:type="pct"/>
            <w:hideMark/>
          </w:tcPr>
          <w:p w14:paraId="52D30526" w14:textId="77777777" w:rsidR="00A4606E" w:rsidRPr="00923237" w:rsidRDefault="00A4606E" w:rsidP="005F7244">
            <w:pPr>
              <w:pStyle w:val="NoSpacing"/>
              <w:rPr>
                <w:rFonts w:cstheme="minorHAnsi"/>
              </w:rPr>
            </w:pPr>
            <w:r w:rsidRPr="00923237">
              <w:rPr>
                <w:rFonts w:cstheme="minorHAnsi"/>
              </w:rPr>
              <w:t>8.30</w:t>
            </w:r>
          </w:p>
        </w:tc>
        <w:tc>
          <w:tcPr>
            <w:tcW w:w="666" w:type="pct"/>
            <w:hideMark/>
          </w:tcPr>
          <w:p w14:paraId="04795FF2" w14:textId="77777777" w:rsidR="00A4606E" w:rsidRPr="00923237" w:rsidRDefault="00A4606E" w:rsidP="005F7244">
            <w:pPr>
              <w:pStyle w:val="NoSpacing"/>
              <w:rPr>
                <w:rFonts w:cstheme="minorHAnsi"/>
              </w:rPr>
            </w:pPr>
            <w:r w:rsidRPr="00923237">
              <w:rPr>
                <w:rFonts w:cstheme="minorHAnsi"/>
              </w:rPr>
              <w:t>7.00</w:t>
            </w:r>
          </w:p>
        </w:tc>
        <w:tc>
          <w:tcPr>
            <w:tcW w:w="404" w:type="pct"/>
            <w:hideMark/>
          </w:tcPr>
          <w:p w14:paraId="3F6271EC" w14:textId="77777777" w:rsidR="00A4606E" w:rsidRPr="00923237" w:rsidRDefault="00A4606E" w:rsidP="005F7244">
            <w:pPr>
              <w:pStyle w:val="NoSpacing"/>
              <w:rPr>
                <w:rFonts w:cstheme="minorHAnsi"/>
              </w:rPr>
            </w:pPr>
            <w:r w:rsidRPr="00923237">
              <w:rPr>
                <w:rFonts w:cstheme="minorHAnsi"/>
              </w:rPr>
              <w:t>4.56</w:t>
            </w:r>
          </w:p>
        </w:tc>
      </w:tr>
      <w:tr w:rsidR="00A4606E" w:rsidRPr="00923237" w14:paraId="04E09F3F" w14:textId="77777777" w:rsidTr="00923237">
        <w:tc>
          <w:tcPr>
            <w:tcW w:w="3126" w:type="pct"/>
            <w:hideMark/>
          </w:tcPr>
          <w:p w14:paraId="6609BBBE" w14:textId="77777777" w:rsidR="00A4606E" w:rsidRPr="00923237" w:rsidRDefault="00A4606E" w:rsidP="005F7244">
            <w:pPr>
              <w:pStyle w:val="NoSpacing"/>
              <w:rPr>
                <w:rFonts w:cstheme="minorHAnsi"/>
              </w:rPr>
            </w:pPr>
            <w:r w:rsidRPr="00923237">
              <w:rPr>
                <w:rFonts w:cstheme="minorHAnsi"/>
              </w:rPr>
              <w:t>Committee meetings</w:t>
            </w:r>
          </w:p>
        </w:tc>
        <w:tc>
          <w:tcPr>
            <w:tcW w:w="402" w:type="pct"/>
            <w:hideMark/>
          </w:tcPr>
          <w:p w14:paraId="1E7458A5" w14:textId="77777777" w:rsidR="00A4606E" w:rsidRPr="00923237" w:rsidRDefault="00A4606E" w:rsidP="005F7244">
            <w:pPr>
              <w:pStyle w:val="NoSpacing"/>
              <w:rPr>
                <w:rFonts w:cstheme="minorHAnsi"/>
              </w:rPr>
            </w:pPr>
            <w:r w:rsidRPr="00923237">
              <w:rPr>
                <w:rFonts w:cstheme="minorHAnsi"/>
              </w:rPr>
              <w:t>1701</w:t>
            </w:r>
          </w:p>
        </w:tc>
        <w:tc>
          <w:tcPr>
            <w:tcW w:w="402" w:type="pct"/>
            <w:hideMark/>
          </w:tcPr>
          <w:p w14:paraId="707965A4" w14:textId="77777777" w:rsidR="00A4606E" w:rsidRPr="00923237" w:rsidRDefault="00A4606E" w:rsidP="005F7244">
            <w:pPr>
              <w:pStyle w:val="NoSpacing"/>
              <w:rPr>
                <w:rFonts w:cstheme="minorHAnsi"/>
              </w:rPr>
            </w:pPr>
            <w:r w:rsidRPr="00923237">
              <w:rPr>
                <w:rFonts w:cstheme="minorHAnsi"/>
              </w:rPr>
              <w:t>14.34</w:t>
            </w:r>
          </w:p>
        </w:tc>
        <w:tc>
          <w:tcPr>
            <w:tcW w:w="666" w:type="pct"/>
            <w:hideMark/>
          </w:tcPr>
          <w:p w14:paraId="7C3D2B27" w14:textId="77777777" w:rsidR="00A4606E" w:rsidRPr="00923237" w:rsidRDefault="00A4606E" w:rsidP="005F7244">
            <w:pPr>
              <w:pStyle w:val="NoSpacing"/>
              <w:rPr>
                <w:rFonts w:cstheme="minorHAnsi"/>
              </w:rPr>
            </w:pPr>
            <w:r w:rsidRPr="00923237">
              <w:rPr>
                <w:rFonts w:cstheme="minorHAnsi"/>
              </w:rPr>
              <w:t>14.00</w:t>
            </w:r>
          </w:p>
        </w:tc>
        <w:tc>
          <w:tcPr>
            <w:tcW w:w="404" w:type="pct"/>
            <w:hideMark/>
          </w:tcPr>
          <w:p w14:paraId="51AD6AA2" w14:textId="77777777" w:rsidR="00A4606E" w:rsidRPr="00923237" w:rsidRDefault="00A4606E" w:rsidP="005F7244">
            <w:pPr>
              <w:pStyle w:val="NoSpacing"/>
              <w:rPr>
                <w:rFonts w:cstheme="minorHAnsi"/>
              </w:rPr>
            </w:pPr>
            <w:r w:rsidRPr="00923237">
              <w:rPr>
                <w:rFonts w:cstheme="minorHAnsi"/>
              </w:rPr>
              <w:t>5.60</w:t>
            </w:r>
          </w:p>
        </w:tc>
      </w:tr>
      <w:tr w:rsidR="00A4606E" w:rsidRPr="00923237" w14:paraId="1E2D346E" w14:textId="77777777" w:rsidTr="00923237">
        <w:tc>
          <w:tcPr>
            <w:tcW w:w="3126" w:type="pct"/>
            <w:hideMark/>
          </w:tcPr>
          <w:p w14:paraId="3849F7EC" w14:textId="77777777" w:rsidR="00A4606E" w:rsidRPr="00923237" w:rsidRDefault="00A4606E" w:rsidP="005F7244">
            <w:pPr>
              <w:pStyle w:val="NoSpacing"/>
              <w:rPr>
                <w:rFonts w:cstheme="minorHAnsi"/>
              </w:rPr>
            </w:pPr>
            <w:r w:rsidRPr="00923237">
              <w:rPr>
                <w:rFonts w:cstheme="minorHAnsi"/>
              </w:rPr>
              <w:t>FIN experience</w:t>
            </w:r>
          </w:p>
        </w:tc>
        <w:tc>
          <w:tcPr>
            <w:tcW w:w="402" w:type="pct"/>
            <w:hideMark/>
          </w:tcPr>
          <w:p w14:paraId="08B8EFE1" w14:textId="77777777" w:rsidR="00A4606E" w:rsidRPr="00923237" w:rsidRDefault="00A4606E" w:rsidP="005F7244">
            <w:pPr>
              <w:pStyle w:val="NoSpacing"/>
              <w:rPr>
                <w:rFonts w:cstheme="minorHAnsi"/>
              </w:rPr>
            </w:pPr>
            <w:r w:rsidRPr="00923237">
              <w:rPr>
                <w:rFonts w:cstheme="minorHAnsi"/>
              </w:rPr>
              <w:t>1698</w:t>
            </w:r>
          </w:p>
        </w:tc>
        <w:tc>
          <w:tcPr>
            <w:tcW w:w="402" w:type="pct"/>
            <w:hideMark/>
          </w:tcPr>
          <w:p w14:paraId="39D747BB" w14:textId="77777777" w:rsidR="00A4606E" w:rsidRPr="00923237" w:rsidRDefault="00A4606E" w:rsidP="005F7244">
            <w:pPr>
              <w:pStyle w:val="NoSpacing"/>
              <w:rPr>
                <w:rFonts w:cstheme="minorHAnsi"/>
              </w:rPr>
            </w:pPr>
            <w:r w:rsidRPr="00923237">
              <w:rPr>
                <w:rFonts w:cstheme="minorHAnsi"/>
              </w:rPr>
              <w:t>9.11</w:t>
            </w:r>
          </w:p>
        </w:tc>
        <w:tc>
          <w:tcPr>
            <w:tcW w:w="666" w:type="pct"/>
            <w:hideMark/>
          </w:tcPr>
          <w:p w14:paraId="12E7A53B" w14:textId="77777777" w:rsidR="00A4606E" w:rsidRPr="00923237" w:rsidRDefault="00A4606E" w:rsidP="005F7244">
            <w:pPr>
              <w:pStyle w:val="NoSpacing"/>
              <w:rPr>
                <w:rFonts w:cstheme="minorHAnsi"/>
              </w:rPr>
            </w:pPr>
            <w:r w:rsidRPr="00923237">
              <w:rPr>
                <w:rFonts w:cstheme="minorHAnsi"/>
              </w:rPr>
              <w:t>8.14</w:t>
            </w:r>
          </w:p>
        </w:tc>
        <w:tc>
          <w:tcPr>
            <w:tcW w:w="404" w:type="pct"/>
            <w:hideMark/>
          </w:tcPr>
          <w:p w14:paraId="5BBA892C" w14:textId="77777777" w:rsidR="00A4606E" w:rsidRPr="00923237" w:rsidRDefault="00A4606E" w:rsidP="005F7244">
            <w:pPr>
              <w:pStyle w:val="NoSpacing"/>
              <w:rPr>
                <w:rFonts w:cstheme="minorHAnsi"/>
              </w:rPr>
            </w:pPr>
            <w:r w:rsidRPr="00923237">
              <w:rPr>
                <w:rFonts w:cstheme="minorHAnsi"/>
              </w:rPr>
              <w:t>6.24</w:t>
            </w:r>
          </w:p>
        </w:tc>
      </w:tr>
      <w:tr w:rsidR="00A4606E" w:rsidRPr="00923237" w14:paraId="17CFCDE9" w14:textId="77777777" w:rsidTr="00923237">
        <w:tc>
          <w:tcPr>
            <w:tcW w:w="3126" w:type="pct"/>
            <w:hideMark/>
          </w:tcPr>
          <w:p w14:paraId="47411276" w14:textId="77777777" w:rsidR="00A4606E" w:rsidRPr="00923237" w:rsidRDefault="00A4606E" w:rsidP="005F7244">
            <w:pPr>
              <w:pStyle w:val="NoSpacing"/>
              <w:rPr>
                <w:rFonts w:cstheme="minorHAnsi"/>
              </w:rPr>
            </w:pPr>
            <w:r w:rsidRPr="00923237">
              <w:rPr>
                <w:rFonts w:cstheme="minorHAnsi"/>
              </w:rPr>
              <w:t>RE experience</w:t>
            </w:r>
          </w:p>
        </w:tc>
        <w:tc>
          <w:tcPr>
            <w:tcW w:w="402" w:type="pct"/>
            <w:hideMark/>
          </w:tcPr>
          <w:p w14:paraId="266E230B" w14:textId="77777777" w:rsidR="00A4606E" w:rsidRPr="00923237" w:rsidRDefault="00A4606E" w:rsidP="005F7244">
            <w:pPr>
              <w:pStyle w:val="NoSpacing"/>
              <w:rPr>
                <w:rFonts w:cstheme="minorHAnsi"/>
              </w:rPr>
            </w:pPr>
            <w:r w:rsidRPr="00923237">
              <w:rPr>
                <w:rFonts w:cstheme="minorHAnsi"/>
              </w:rPr>
              <w:t>1698</w:t>
            </w:r>
          </w:p>
        </w:tc>
        <w:tc>
          <w:tcPr>
            <w:tcW w:w="402" w:type="pct"/>
            <w:hideMark/>
          </w:tcPr>
          <w:p w14:paraId="6A431F3B" w14:textId="77777777" w:rsidR="00A4606E" w:rsidRPr="00923237" w:rsidRDefault="00A4606E" w:rsidP="005F7244">
            <w:pPr>
              <w:pStyle w:val="NoSpacing"/>
              <w:rPr>
                <w:rFonts w:cstheme="minorHAnsi"/>
              </w:rPr>
            </w:pPr>
            <w:r w:rsidRPr="00923237">
              <w:rPr>
                <w:rFonts w:cstheme="minorHAnsi"/>
              </w:rPr>
              <w:t>10.07</w:t>
            </w:r>
          </w:p>
        </w:tc>
        <w:tc>
          <w:tcPr>
            <w:tcW w:w="666" w:type="pct"/>
            <w:hideMark/>
          </w:tcPr>
          <w:p w14:paraId="2C120A27" w14:textId="77777777" w:rsidR="00A4606E" w:rsidRPr="00923237" w:rsidRDefault="00A4606E" w:rsidP="005F7244">
            <w:pPr>
              <w:pStyle w:val="NoSpacing"/>
              <w:rPr>
                <w:rFonts w:cstheme="minorHAnsi"/>
              </w:rPr>
            </w:pPr>
            <w:r w:rsidRPr="00923237">
              <w:rPr>
                <w:rFonts w:cstheme="minorHAnsi"/>
              </w:rPr>
              <w:t>9.55</w:t>
            </w:r>
          </w:p>
        </w:tc>
        <w:tc>
          <w:tcPr>
            <w:tcW w:w="404" w:type="pct"/>
            <w:hideMark/>
          </w:tcPr>
          <w:p w14:paraId="4B1C4D57" w14:textId="77777777" w:rsidR="00A4606E" w:rsidRPr="00923237" w:rsidRDefault="00A4606E" w:rsidP="005F7244">
            <w:pPr>
              <w:pStyle w:val="NoSpacing"/>
              <w:rPr>
                <w:rFonts w:cstheme="minorHAnsi"/>
              </w:rPr>
            </w:pPr>
            <w:r w:rsidRPr="00923237">
              <w:rPr>
                <w:rFonts w:cstheme="minorHAnsi"/>
              </w:rPr>
              <w:t>6.79</w:t>
            </w:r>
          </w:p>
        </w:tc>
      </w:tr>
      <w:tr w:rsidR="00A4606E" w:rsidRPr="00923237" w14:paraId="7BBC9169" w14:textId="77777777" w:rsidTr="00923237">
        <w:tc>
          <w:tcPr>
            <w:tcW w:w="3126" w:type="pct"/>
            <w:hideMark/>
          </w:tcPr>
          <w:p w14:paraId="1A1B2C2E" w14:textId="77777777" w:rsidR="00A4606E" w:rsidRPr="00923237" w:rsidRDefault="00A4606E" w:rsidP="005F7244">
            <w:pPr>
              <w:pStyle w:val="NoSpacing"/>
              <w:rPr>
                <w:rFonts w:cstheme="minorHAnsi"/>
              </w:rPr>
            </w:pPr>
            <w:r w:rsidRPr="00923237">
              <w:rPr>
                <w:rFonts w:cstheme="minorHAnsi"/>
              </w:rPr>
              <w:t>Total assets (B$)</w:t>
            </w:r>
          </w:p>
        </w:tc>
        <w:tc>
          <w:tcPr>
            <w:tcW w:w="402" w:type="pct"/>
            <w:hideMark/>
          </w:tcPr>
          <w:p w14:paraId="1F7A8D98" w14:textId="77777777" w:rsidR="00A4606E" w:rsidRPr="00923237" w:rsidRDefault="00A4606E" w:rsidP="005F7244">
            <w:pPr>
              <w:pStyle w:val="NoSpacing"/>
              <w:rPr>
                <w:rFonts w:cstheme="minorHAnsi"/>
              </w:rPr>
            </w:pPr>
            <w:r w:rsidRPr="00923237">
              <w:rPr>
                <w:rFonts w:cstheme="minorHAnsi"/>
              </w:rPr>
              <w:t>1701</w:t>
            </w:r>
          </w:p>
        </w:tc>
        <w:tc>
          <w:tcPr>
            <w:tcW w:w="402" w:type="pct"/>
            <w:hideMark/>
          </w:tcPr>
          <w:p w14:paraId="3B96D27E" w14:textId="77777777" w:rsidR="00A4606E" w:rsidRPr="00923237" w:rsidRDefault="00A4606E" w:rsidP="005F7244">
            <w:pPr>
              <w:pStyle w:val="NoSpacing"/>
              <w:rPr>
                <w:rFonts w:cstheme="minorHAnsi"/>
              </w:rPr>
            </w:pPr>
            <w:r w:rsidRPr="00923237">
              <w:rPr>
                <w:rFonts w:cstheme="minorHAnsi"/>
              </w:rPr>
              <w:t>5.43</w:t>
            </w:r>
          </w:p>
        </w:tc>
        <w:tc>
          <w:tcPr>
            <w:tcW w:w="666" w:type="pct"/>
            <w:hideMark/>
          </w:tcPr>
          <w:p w14:paraId="2415F02F" w14:textId="77777777" w:rsidR="00A4606E" w:rsidRPr="00923237" w:rsidRDefault="00A4606E" w:rsidP="005F7244">
            <w:pPr>
              <w:pStyle w:val="NoSpacing"/>
              <w:rPr>
                <w:rFonts w:cstheme="minorHAnsi"/>
              </w:rPr>
            </w:pPr>
            <w:r w:rsidRPr="00923237">
              <w:rPr>
                <w:rFonts w:cstheme="minorHAnsi"/>
              </w:rPr>
              <w:t>2.55</w:t>
            </w:r>
          </w:p>
        </w:tc>
        <w:tc>
          <w:tcPr>
            <w:tcW w:w="404" w:type="pct"/>
            <w:hideMark/>
          </w:tcPr>
          <w:p w14:paraId="78AC0EB1" w14:textId="77777777" w:rsidR="00A4606E" w:rsidRPr="00923237" w:rsidRDefault="00A4606E" w:rsidP="005F7244">
            <w:pPr>
              <w:pStyle w:val="NoSpacing"/>
              <w:rPr>
                <w:rFonts w:cstheme="minorHAnsi"/>
              </w:rPr>
            </w:pPr>
            <w:r w:rsidRPr="00923237">
              <w:rPr>
                <w:rFonts w:cstheme="minorHAnsi"/>
              </w:rPr>
              <w:t>10.32</w:t>
            </w:r>
          </w:p>
        </w:tc>
      </w:tr>
      <w:tr w:rsidR="00A4606E" w:rsidRPr="00923237" w14:paraId="42742442" w14:textId="77777777" w:rsidTr="00923237">
        <w:tc>
          <w:tcPr>
            <w:tcW w:w="3126" w:type="pct"/>
            <w:hideMark/>
          </w:tcPr>
          <w:p w14:paraId="0C2365C1" w14:textId="77777777" w:rsidR="00A4606E" w:rsidRPr="00923237" w:rsidRDefault="00A4606E" w:rsidP="005F7244">
            <w:pPr>
              <w:pStyle w:val="NoSpacing"/>
              <w:rPr>
                <w:rFonts w:cstheme="minorHAnsi"/>
              </w:rPr>
            </w:pPr>
            <w:r w:rsidRPr="00923237">
              <w:rPr>
                <w:rFonts w:cstheme="minorHAnsi"/>
              </w:rPr>
              <w:t>Firm Q</w:t>
            </w:r>
          </w:p>
        </w:tc>
        <w:tc>
          <w:tcPr>
            <w:tcW w:w="402" w:type="pct"/>
            <w:hideMark/>
          </w:tcPr>
          <w:p w14:paraId="45035349" w14:textId="77777777" w:rsidR="00A4606E" w:rsidRPr="00923237" w:rsidRDefault="00A4606E" w:rsidP="005F7244">
            <w:pPr>
              <w:pStyle w:val="NoSpacing"/>
              <w:rPr>
                <w:rFonts w:cstheme="minorHAnsi"/>
              </w:rPr>
            </w:pPr>
            <w:r w:rsidRPr="00923237">
              <w:rPr>
                <w:rFonts w:cstheme="minorHAnsi"/>
              </w:rPr>
              <w:t>1665</w:t>
            </w:r>
          </w:p>
        </w:tc>
        <w:tc>
          <w:tcPr>
            <w:tcW w:w="402" w:type="pct"/>
            <w:hideMark/>
          </w:tcPr>
          <w:p w14:paraId="2B9EFDE0" w14:textId="77777777" w:rsidR="00A4606E" w:rsidRPr="00923237" w:rsidRDefault="00A4606E" w:rsidP="005F7244">
            <w:pPr>
              <w:pStyle w:val="NoSpacing"/>
              <w:rPr>
                <w:rFonts w:cstheme="minorHAnsi"/>
              </w:rPr>
            </w:pPr>
            <w:r w:rsidRPr="00923237">
              <w:rPr>
                <w:rFonts w:cstheme="minorHAnsi"/>
              </w:rPr>
              <w:t>1.31</w:t>
            </w:r>
          </w:p>
        </w:tc>
        <w:tc>
          <w:tcPr>
            <w:tcW w:w="666" w:type="pct"/>
            <w:hideMark/>
          </w:tcPr>
          <w:p w14:paraId="0D7E3280" w14:textId="77777777" w:rsidR="00A4606E" w:rsidRPr="00923237" w:rsidRDefault="00A4606E" w:rsidP="005F7244">
            <w:pPr>
              <w:pStyle w:val="NoSpacing"/>
              <w:rPr>
                <w:rFonts w:cstheme="minorHAnsi"/>
              </w:rPr>
            </w:pPr>
            <w:r w:rsidRPr="00923237">
              <w:rPr>
                <w:rFonts w:cstheme="minorHAnsi"/>
              </w:rPr>
              <w:t>1.22</w:t>
            </w:r>
          </w:p>
        </w:tc>
        <w:tc>
          <w:tcPr>
            <w:tcW w:w="404" w:type="pct"/>
            <w:hideMark/>
          </w:tcPr>
          <w:p w14:paraId="3D640DD9" w14:textId="77777777" w:rsidR="00A4606E" w:rsidRPr="00923237" w:rsidRDefault="00A4606E" w:rsidP="005F7244">
            <w:pPr>
              <w:pStyle w:val="NoSpacing"/>
              <w:rPr>
                <w:rFonts w:cstheme="minorHAnsi"/>
              </w:rPr>
            </w:pPr>
            <w:r w:rsidRPr="00923237">
              <w:rPr>
                <w:rFonts w:cstheme="minorHAnsi"/>
              </w:rPr>
              <w:t>0.43</w:t>
            </w:r>
          </w:p>
        </w:tc>
      </w:tr>
      <w:tr w:rsidR="00A4606E" w:rsidRPr="00923237" w14:paraId="21AB8232" w14:textId="77777777" w:rsidTr="00923237">
        <w:tc>
          <w:tcPr>
            <w:tcW w:w="3126" w:type="pct"/>
            <w:hideMark/>
          </w:tcPr>
          <w:p w14:paraId="7C9FDD6D" w14:textId="77777777" w:rsidR="00A4606E" w:rsidRPr="00923237" w:rsidRDefault="00A4606E" w:rsidP="005F7244">
            <w:pPr>
              <w:pStyle w:val="NoSpacing"/>
              <w:rPr>
                <w:rFonts w:cstheme="minorHAnsi"/>
              </w:rPr>
            </w:pPr>
            <w:r w:rsidRPr="00923237">
              <w:rPr>
                <w:rFonts w:cstheme="minorHAnsi"/>
              </w:rPr>
              <w:t>Firm age</w:t>
            </w:r>
          </w:p>
        </w:tc>
        <w:tc>
          <w:tcPr>
            <w:tcW w:w="402" w:type="pct"/>
            <w:hideMark/>
          </w:tcPr>
          <w:p w14:paraId="1BFE9C8E" w14:textId="77777777" w:rsidR="00A4606E" w:rsidRPr="00923237" w:rsidRDefault="00A4606E" w:rsidP="005F7244">
            <w:pPr>
              <w:pStyle w:val="NoSpacing"/>
              <w:rPr>
                <w:rFonts w:cstheme="minorHAnsi"/>
              </w:rPr>
            </w:pPr>
            <w:r w:rsidRPr="00923237">
              <w:rPr>
                <w:rFonts w:cstheme="minorHAnsi"/>
              </w:rPr>
              <w:t>1701</w:t>
            </w:r>
          </w:p>
        </w:tc>
        <w:tc>
          <w:tcPr>
            <w:tcW w:w="402" w:type="pct"/>
            <w:hideMark/>
          </w:tcPr>
          <w:p w14:paraId="11C8B41A" w14:textId="77777777" w:rsidR="00A4606E" w:rsidRPr="00923237" w:rsidRDefault="00A4606E" w:rsidP="005F7244">
            <w:pPr>
              <w:pStyle w:val="NoSpacing"/>
              <w:rPr>
                <w:rFonts w:cstheme="minorHAnsi"/>
              </w:rPr>
            </w:pPr>
            <w:r w:rsidRPr="00923237">
              <w:rPr>
                <w:rFonts w:cstheme="minorHAnsi"/>
              </w:rPr>
              <w:t>26.00</w:t>
            </w:r>
          </w:p>
        </w:tc>
        <w:tc>
          <w:tcPr>
            <w:tcW w:w="666" w:type="pct"/>
            <w:hideMark/>
          </w:tcPr>
          <w:p w14:paraId="5BB20BFB" w14:textId="77777777" w:rsidR="00A4606E" w:rsidRPr="00923237" w:rsidRDefault="00A4606E" w:rsidP="005F7244">
            <w:pPr>
              <w:pStyle w:val="NoSpacing"/>
              <w:rPr>
                <w:rFonts w:cstheme="minorHAnsi"/>
              </w:rPr>
            </w:pPr>
            <w:r w:rsidRPr="00923237">
              <w:rPr>
                <w:rFonts w:cstheme="minorHAnsi"/>
              </w:rPr>
              <w:t>20.00</w:t>
            </w:r>
          </w:p>
        </w:tc>
        <w:tc>
          <w:tcPr>
            <w:tcW w:w="404" w:type="pct"/>
            <w:hideMark/>
          </w:tcPr>
          <w:p w14:paraId="58828169" w14:textId="77777777" w:rsidR="00A4606E" w:rsidRPr="00923237" w:rsidRDefault="00A4606E" w:rsidP="005F7244">
            <w:pPr>
              <w:pStyle w:val="NoSpacing"/>
              <w:rPr>
                <w:rFonts w:cstheme="minorHAnsi"/>
              </w:rPr>
            </w:pPr>
            <w:r w:rsidRPr="00923237">
              <w:rPr>
                <w:rFonts w:cstheme="minorHAnsi"/>
              </w:rPr>
              <w:t>19.66</w:t>
            </w:r>
          </w:p>
        </w:tc>
      </w:tr>
      <w:tr w:rsidR="00A4606E" w:rsidRPr="00923237" w14:paraId="6B179E65" w14:textId="77777777" w:rsidTr="00923237">
        <w:tc>
          <w:tcPr>
            <w:tcW w:w="3126" w:type="pct"/>
            <w:hideMark/>
          </w:tcPr>
          <w:p w14:paraId="4BAE84F7" w14:textId="77777777" w:rsidR="00A4606E" w:rsidRPr="00923237" w:rsidRDefault="00A4606E" w:rsidP="005F7244">
            <w:pPr>
              <w:pStyle w:val="NoSpacing"/>
              <w:rPr>
                <w:rFonts w:cstheme="minorHAnsi"/>
              </w:rPr>
            </w:pPr>
            <w:r w:rsidRPr="00923237">
              <w:rPr>
                <w:rFonts w:cstheme="minorHAnsi"/>
              </w:rPr>
              <w:t>Leverage</w:t>
            </w:r>
          </w:p>
        </w:tc>
        <w:tc>
          <w:tcPr>
            <w:tcW w:w="402" w:type="pct"/>
            <w:hideMark/>
          </w:tcPr>
          <w:p w14:paraId="012FD88B" w14:textId="77777777" w:rsidR="00A4606E" w:rsidRPr="00923237" w:rsidRDefault="00A4606E" w:rsidP="005F7244">
            <w:pPr>
              <w:pStyle w:val="NoSpacing"/>
              <w:rPr>
                <w:rFonts w:cstheme="minorHAnsi"/>
              </w:rPr>
            </w:pPr>
            <w:r w:rsidRPr="00923237">
              <w:rPr>
                <w:rFonts w:cstheme="minorHAnsi"/>
              </w:rPr>
              <w:t>1697</w:t>
            </w:r>
          </w:p>
        </w:tc>
        <w:tc>
          <w:tcPr>
            <w:tcW w:w="402" w:type="pct"/>
            <w:hideMark/>
          </w:tcPr>
          <w:p w14:paraId="2392F3B0" w14:textId="77777777" w:rsidR="00A4606E" w:rsidRPr="00923237" w:rsidRDefault="00A4606E" w:rsidP="005F7244">
            <w:pPr>
              <w:pStyle w:val="NoSpacing"/>
              <w:rPr>
                <w:rFonts w:cstheme="minorHAnsi"/>
              </w:rPr>
            </w:pPr>
            <w:r w:rsidRPr="00923237">
              <w:rPr>
                <w:rFonts w:cstheme="minorHAnsi"/>
              </w:rPr>
              <w:t>43.48</w:t>
            </w:r>
          </w:p>
        </w:tc>
        <w:tc>
          <w:tcPr>
            <w:tcW w:w="666" w:type="pct"/>
            <w:hideMark/>
          </w:tcPr>
          <w:p w14:paraId="579B5A57" w14:textId="77777777" w:rsidR="00A4606E" w:rsidRPr="00923237" w:rsidRDefault="00A4606E" w:rsidP="005F7244">
            <w:pPr>
              <w:pStyle w:val="NoSpacing"/>
              <w:rPr>
                <w:rFonts w:cstheme="minorHAnsi"/>
              </w:rPr>
            </w:pPr>
            <w:r w:rsidRPr="00923237">
              <w:rPr>
                <w:rFonts w:cstheme="minorHAnsi"/>
              </w:rPr>
              <w:t>45.97</w:t>
            </w:r>
          </w:p>
        </w:tc>
        <w:tc>
          <w:tcPr>
            <w:tcW w:w="404" w:type="pct"/>
            <w:hideMark/>
          </w:tcPr>
          <w:p w14:paraId="7DE591CF" w14:textId="77777777" w:rsidR="00A4606E" w:rsidRPr="00923237" w:rsidRDefault="00A4606E" w:rsidP="005F7244">
            <w:pPr>
              <w:pStyle w:val="NoSpacing"/>
              <w:rPr>
                <w:rFonts w:cstheme="minorHAnsi"/>
              </w:rPr>
            </w:pPr>
            <w:r w:rsidRPr="00923237">
              <w:rPr>
                <w:rFonts w:cstheme="minorHAnsi"/>
              </w:rPr>
              <w:t>21.35</w:t>
            </w:r>
          </w:p>
        </w:tc>
      </w:tr>
      <w:tr w:rsidR="00A4606E" w:rsidRPr="00923237" w14:paraId="4D96926F" w14:textId="77777777" w:rsidTr="00923237">
        <w:tc>
          <w:tcPr>
            <w:tcW w:w="3126" w:type="pct"/>
            <w:hideMark/>
          </w:tcPr>
          <w:p w14:paraId="04246DA0" w14:textId="77777777" w:rsidR="00A4606E" w:rsidRPr="00923237" w:rsidRDefault="00A4606E" w:rsidP="005F7244">
            <w:pPr>
              <w:pStyle w:val="NoSpacing"/>
              <w:rPr>
                <w:rFonts w:cstheme="minorHAnsi"/>
              </w:rPr>
            </w:pPr>
            <w:r w:rsidRPr="00923237">
              <w:rPr>
                <w:rFonts w:cstheme="minorHAnsi"/>
              </w:rPr>
              <w:t>UPREIT</w:t>
            </w:r>
          </w:p>
        </w:tc>
        <w:tc>
          <w:tcPr>
            <w:tcW w:w="402" w:type="pct"/>
            <w:hideMark/>
          </w:tcPr>
          <w:p w14:paraId="048E3A04" w14:textId="77777777" w:rsidR="00A4606E" w:rsidRPr="00923237" w:rsidRDefault="00A4606E" w:rsidP="005F7244">
            <w:pPr>
              <w:pStyle w:val="NoSpacing"/>
              <w:rPr>
                <w:rFonts w:cstheme="minorHAnsi"/>
              </w:rPr>
            </w:pPr>
            <w:r w:rsidRPr="00923237">
              <w:rPr>
                <w:rFonts w:cstheme="minorHAnsi"/>
              </w:rPr>
              <w:t>1694</w:t>
            </w:r>
          </w:p>
        </w:tc>
        <w:tc>
          <w:tcPr>
            <w:tcW w:w="402" w:type="pct"/>
            <w:hideMark/>
          </w:tcPr>
          <w:p w14:paraId="5F546958" w14:textId="77777777" w:rsidR="00A4606E" w:rsidRPr="00923237" w:rsidRDefault="00A4606E" w:rsidP="005F7244">
            <w:pPr>
              <w:pStyle w:val="NoSpacing"/>
              <w:rPr>
                <w:rFonts w:cstheme="minorHAnsi"/>
              </w:rPr>
            </w:pPr>
            <w:r w:rsidRPr="00923237">
              <w:rPr>
                <w:rFonts w:cstheme="minorHAnsi"/>
              </w:rPr>
              <w:t>0.65</w:t>
            </w:r>
          </w:p>
        </w:tc>
        <w:tc>
          <w:tcPr>
            <w:tcW w:w="666" w:type="pct"/>
            <w:hideMark/>
          </w:tcPr>
          <w:p w14:paraId="445A3028" w14:textId="77777777" w:rsidR="00A4606E" w:rsidRPr="00923237" w:rsidRDefault="00A4606E" w:rsidP="005F7244">
            <w:pPr>
              <w:pStyle w:val="NoSpacing"/>
              <w:rPr>
                <w:rFonts w:cstheme="minorHAnsi"/>
              </w:rPr>
            </w:pPr>
            <w:r w:rsidRPr="00923237">
              <w:rPr>
                <w:rFonts w:cstheme="minorHAnsi"/>
              </w:rPr>
              <w:t>1.00</w:t>
            </w:r>
          </w:p>
        </w:tc>
        <w:tc>
          <w:tcPr>
            <w:tcW w:w="404" w:type="pct"/>
            <w:hideMark/>
          </w:tcPr>
          <w:p w14:paraId="52F64A8B" w14:textId="77777777" w:rsidR="00A4606E" w:rsidRPr="00923237" w:rsidRDefault="00A4606E" w:rsidP="005F7244">
            <w:pPr>
              <w:pStyle w:val="NoSpacing"/>
              <w:rPr>
                <w:rFonts w:cstheme="minorHAnsi"/>
              </w:rPr>
            </w:pPr>
            <w:r w:rsidRPr="00923237">
              <w:rPr>
                <w:rFonts w:cstheme="minorHAnsi"/>
              </w:rPr>
              <w:t>0.48</w:t>
            </w:r>
          </w:p>
        </w:tc>
      </w:tr>
      <w:tr w:rsidR="00A4606E" w:rsidRPr="00923237" w14:paraId="0FC004F9" w14:textId="77777777" w:rsidTr="00923237">
        <w:tc>
          <w:tcPr>
            <w:tcW w:w="3126" w:type="pct"/>
            <w:hideMark/>
          </w:tcPr>
          <w:p w14:paraId="247C814B" w14:textId="77777777" w:rsidR="00A4606E" w:rsidRPr="00923237" w:rsidRDefault="00A4606E" w:rsidP="005F7244">
            <w:pPr>
              <w:pStyle w:val="NoSpacing"/>
              <w:rPr>
                <w:rFonts w:cstheme="minorHAnsi"/>
              </w:rPr>
            </w:pPr>
            <w:r w:rsidRPr="00923237">
              <w:rPr>
                <w:rFonts w:cstheme="minorHAnsi"/>
              </w:rPr>
              <w:t>Maryland</w:t>
            </w:r>
          </w:p>
        </w:tc>
        <w:tc>
          <w:tcPr>
            <w:tcW w:w="402" w:type="pct"/>
            <w:hideMark/>
          </w:tcPr>
          <w:p w14:paraId="5778F356" w14:textId="77777777" w:rsidR="00A4606E" w:rsidRPr="00923237" w:rsidRDefault="00A4606E" w:rsidP="005F7244">
            <w:pPr>
              <w:pStyle w:val="NoSpacing"/>
              <w:rPr>
                <w:rFonts w:cstheme="minorHAnsi"/>
              </w:rPr>
            </w:pPr>
            <w:r w:rsidRPr="00923237">
              <w:rPr>
                <w:rFonts w:cstheme="minorHAnsi"/>
              </w:rPr>
              <w:t>1701</w:t>
            </w:r>
          </w:p>
        </w:tc>
        <w:tc>
          <w:tcPr>
            <w:tcW w:w="402" w:type="pct"/>
            <w:hideMark/>
          </w:tcPr>
          <w:p w14:paraId="561C02F5" w14:textId="77777777" w:rsidR="00A4606E" w:rsidRPr="00923237" w:rsidRDefault="00A4606E" w:rsidP="005F7244">
            <w:pPr>
              <w:pStyle w:val="NoSpacing"/>
              <w:rPr>
                <w:rFonts w:cstheme="minorHAnsi"/>
              </w:rPr>
            </w:pPr>
            <w:r w:rsidRPr="00923237">
              <w:rPr>
                <w:rFonts w:cstheme="minorHAnsi"/>
              </w:rPr>
              <w:t>0.76</w:t>
            </w:r>
          </w:p>
        </w:tc>
        <w:tc>
          <w:tcPr>
            <w:tcW w:w="666" w:type="pct"/>
            <w:hideMark/>
          </w:tcPr>
          <w:p w14:paraId="0BAA4D3F" w14:textId="77777777" w:rsidR="00A4606E" w:rsidRPr="00923237" w:rsidRDefault="00A4606E" w:rsidP="005F7244">
            <w:pPr>
              <w:pStyle w:val="NoSpacing"/>
              <w:rPr>
                <w:rFonts w:cstheme="minorHAnsi"/>
              </w:rPr>
            </w:pPr>
            <w:r w:rsidRPr="00923237">
              <w:rPr>
                <w:rFonts w:cstheme="minorHAnsi"/>
              </w:rPr>
              <w:t>1.00</w:t>
            </w:r>
          </w:p>
        </w:tc>
        <w:tc>
          <w:tcPr>
            <w:tcW w:w="404" w:type="pct"/>
            <w:hideMark/>
          </w:tcPr>
          <w:p w14:paraId="1F620E01" w14:textId="77777777" w:rsidR="00A4606E" w:rsidRPr="00923237" w:rsidRDefault="00A4606E" w:rsidP="005F7244">
            <w:pPr>
              <w:pStyle w:val="NoSpacing"/>
              <w:rPr>
                <w:rFonts w:cstheme="minorHAnsi"/>
              </w:rPr>
            </w:pPr>
            <w:r w:rsidRPr="00923237">
              <w:rPr>
                <w:rFonts w:cstheme="minorHAnsi"/>
              </w:rPr>
              <w:t>0.43</w:t>
            </w:r>
          </w:p>
        </w:tc>
      </w:tr>
    </w:tbl>
    <w:p w14:paraId="7C923BFA" w14:textId="77777777" w:rsidR="00A4606E" w:rsidRPr="00923237" w:rsidRDefault="00A4606E" w:rsidP="00A4606E">
      <w:pPr>
        <w:spacing w:line="390" w:lineRule="atLeast"/>
        <w:rPr>
          <w:rFonts w:cstheme="minorHAnsi"/>
          <w:vanish/>
          <w:color w:val="2E2E2E"/>
          <w:sz w:val="21"/>
          <w:szCs w:val="21"/>
        </w:rPr>
      </w:pPr>
    </w:p>
    <w:tbl>
      <w:tblPr>
        <w:tblStyle w:val="TableGrid"/>
        <w:tblW w:w="5000" w:type="pct"/>
        <w:tblLook w:val="04A0" w:firstRow="1" w:lastRow="0" w:firstColumn="1" w:lastColumn="0" w:noHBand="0" w:noVBand="1"/>
      </w:tblPr>
      <w:tblGrid>
        <w:gridCol w:w="2200"/>
        <w:gridCol w:w="551"/>
        <w:gridCol w:w="1053"/>
        <w:gridCol w:w="1053"/>
        <w:gridCol w:w="941"/>
        <w:gridCol w:w="947"/>
        <w:gridCol w:w="1053"/>
        <w:gridCol w:w="1053"/>
        <w:gridCol w:w="1219"/>
      </w:tblGrid>
      <w:tr w:rsidR="00FF113C" w:rsidRPr="00923237" w14:paraId="41F696BD" w14:textId="77777777" w:rsidTr="00923237">
        <w:tc>
          <w:tcPr>
            <w:tcW w:w="1093" w:type="pct"/>
            <w:hideMark/>
          </w:tcPr>
          <w:p w14:paraId="5E59B234" w14:textId="77777777" w:rsidR="00FF113C" w:rsidRPr="00923237" w:rsidRDefault="00FF113C" w:rsidP="00FF113C">
            <w:pPr>
              <w:pStyle w:val="NoSpacing"/>
              <w:rPr>
                <w:rFonts w:cstheme="minorHAnsi"/>
              </w:rPr>
            </w:pPr>
            <w:r w:rsidRPr="00923237">
              <w:rPr>
                <w:rFonts w:cstheme="minorHAnsi"/>
              </w:rPr>
              <w:t>Panel B: 2006 sub-sample.</w:t>
            </w:r>
          </w:p>
        </w:tc>
        <w:tc>
          <w:tcPr>
            <w:tcW w:w="274" w:type="pct"/>
          </w:tcPr>
          <w:p w14:paraId="32164D62" w14:textId="77777777" w:rsidR="00FF113C" w:rsidRPr="00923237" w:rsidRDefault="00FF113C" w:rsidP="00FF113C">
            <w:pPr>
              <w:pStyle w:val="NoSpacing"/>
              <w:rPr>
                <w:rFonts w:cstheme="minorHAnsi"/>
              </w:rPr>
            </w:pPr>
          </w:p>
        </w:tc>
        <w:tc>
          <w:tcPr>
            <w:tcW w:w="523" w:type="pct"/>
          </w:tcPr>
          <w:p w14:paraId="1CA36FF0" w14:textId="77777777" w:rsidR="00FF113C" w:rsidRPr="00923237" w:rsidRDefault="00FF113C" w:rsidP="00FF113C">
            <w:pPr>
              <w:pStyle w:val="NoSpacing"/>
              <w:rPr>
                <w:rFonts w:cstheme="minorHAnsi"/>
              </w:rPr>
            </w:pPr>
          </w:p>
        </w:tc>
        <w:tc>
          <w:tcPr>
            <w:tcW w:w="523" w:type="pct"/>
          </w:tcPr>
          <w:p w14:paraId="4509FAAB" w14:textId="77777777" w:rsidR="00FF113C" w:rsidRPr="00923237" w:rsidRDefault="00FF113C" w:rsidP="00FF113C">
            <w:pPr>
              <w:pStyle w:val="NoSpacing"/>
              <w:rPr>
                <w:rFonts w:cstheme="minorHAnsi"/>
              </w:rPr>
            </w:pPr>
          </w:p>
        </w:tc>
        <w:tc>
          <w:tcPr>
            <w:tcW w:w="467" w:type="pct"/>
          </w:tcPr>
          <w:p w14:paraId="2AE2399B" w14:textId="77777777" w:rsidR="00FF113C" w:rsidRPr="00923237" w:rsidRDefault="00FF113C" w:rsidP="00FF113C">
            <w:pPr>
              <w:pStyle w:val="NoSpacing"/>
              <w:rPr>
                <w:rFonts w:cstheme="minorHAnsi"/>
              </w:rPr>
            </w:pPr>
          </w:p>
        </w:tc>
        <w:tc>
          <w:tcPr>
            <w:tcW w:w="470" w:type="pct"/>
          </w:tcPr>
          <w:p w14:paraId="43C8ADB9" w14:textId="77777777" w:rsidR="00FF113C" w:rsidRPr="00923237" w:rsidRDefault="00FF113C" w:rsidP="00FF113C">
            <w:pPr>
              <w:pStyle w:val="NoSpacing"/>
              <w:rPr>
                <w:rFonts w:cstheme="minorHAnsi"/>
              </w:rPr>
            </w:pPr>
          </w:p>
        </w:tc>
        <w:tc>
          <w:tcPr>
            <w:tcW w:w="523" w:type="pct"/>
          </w:tcPr>
          <w:p w14:paraId="04BD77D0" w14:textId="77777777" w:rsidR="00FF113C" w:rsidRPr="00923237" w:rsidRDefault="00FF113C" w:rsidP="00FF113C">
            <w:pPr>
              <w:pStyle w:val="NoSpacing"/>
              <w:rPr>
                <w:rFonts w:cstheme="minorHAnsi"/>
              </w:rPr>
            </w:pPr>
          </w:p>
        </w:tc>
        <w:tc>
          <w:tcPr>
            <w:tcW w:w="523" w:type="pct"/>
          </w:tcPr>
          <w:p w14:paraId="73AA25B9" w14:textId="77777777" w:rsidR="00FF113C" w:rsidRPr="00923237" w:rsidRDefault="00FF113C" w:rsidP="00FF113C">
            <w:pPr>
              <w:pStyle w:val="NoSpacing"/>
              <w:rPr>
                <w:rFonts w:cstheme="minorHAnsi"/>
              </w:rPr>
            </w:pPr>
          </w:p>
        </w:tc>
        <w:tc>
          <w:tcPr>
            <w:tcW w:w="605" w:type="pct"/>
          </w:tcPr>
          <w:p w14:paraId="1113DC49" w14:textId="0FF8FEF5" w:rsidR="00FF113C" w:rsidRPr="00923237" w:rsidRDefault="00FF113C" w:rsidP="00FF113C">
            <w:pPr>
              <w:pStyle w:val="NoSpacing"/>
              <w:rPr>
                <w:rFonts w:cstheme="minorHAnsi"/>
              </w:rPr>
            </w:pPr>
          </w:p>
        </w:tc>
      </w:tr>
      <w:tr w:rsidR="00FF113C" w:rsidRPr="00923237" w14:paraId="57BD193F" w14:textId="77777777" w:rsidTr="00923237">
        <w:tc>
          <w:tcPr>
            <w:tcW w:w="1093" w:type="pct"/>
            <w:hideMark/>
          </w:tcPr>
          <w:p w14:paraId="197A0069" w14:textId="77777777" w:rsidR="00FF113C" w:rsidRPr="00923237" w:rsidRDefault="00FF113C" w:rsidP="00FF113C">
            <w:pPr>
              <w:pStyle w:val="NoSpacing"/>
              <w:rPr>
                <w:rFonts w:cstheme="minorHAnsi"/>
              </w:rPr>
            </w:pPr>
            <w:r w:rsidRPr="00923237">
              <w:rPr>
                <w:rFonts w:cstheme="minorHAnsi"/>
              </w:rPr>
              <w:t>This table reports the summary statistics for the sub-sample of 137 REITs that were traded in 2006. See </w:t>
            </w:r>
            <w:hyperlink r:id="rId95" w:anchor="s0055" w:history="1">
              <w:r w:rsidRPr="00923237">
                <w:rPr>
                  <w:rStyle w:val="Hyperlink"/>
                  <w:rFonts w:cstheme="minorHAnsi"/>
                  <w:b/>
                  <w:bCs/>
                  <w:color w:val="0C7DBB"/>
                  <w:sz w:val="21"/>
                  <w:szCs w:val="21"/>
                </w:rPr>
                <w:t>Appendix 2</w:t>
              </w:r>
            </w:hyperlink>
            <w:r w:rsidRPr="00923237">
              <w:rPr>
                <w:rFonts w:cstheme="minorHAnsi"/>
              </w:rPr>
              <w:t> for variable definitions.</w:t>
            </w:r>
          </w:p>
        </w:tc>
        <w:tc>
          <w:tcPr>
            <w:tcW w:w="274" w:type="pct"/>
          </w:tcPr>
          <w:p w14:paraId="786E6AF9" w14:textId="77777777" w:rsidR="00FF113C" w:rsidRPr="00923237" w:rsidRDefault="00FF113C" w:rsidP="00FF113C">
            <w:pPr>
              <w:pStyle w:val="NoSpacing"/>
              <w:rPr>
                <w:rFonts w:cstheme="minorHAnsi"/>
              </w:rPr>
            </w:pPr>
          </w:p>
        </w:tc>
        <w:tc>
          <w:tcPr>
            <w:tcW w:w="523" w:type="pct"/>
          </w:tcPr>
          <w:p w14:paraId="3F0AC074" w14:textId="77777777" w:rsidR="00FF113C" w:rsidRPr="00923237" w:rsidRDefault="00FF113C" w:rsidP="00FF113C">
            <w:pPr>
              <w:pStyle w:val="NoSpacing"/>
              <w:rPr>
                <w:rFonts w:cstheme="minorHAnsi"/>
              </w:rPr>
            </w:pPr>
          </w:p>
        </w:tc>
        <w:tc>
          <w:tcPr>
            <w:tcW w:w="523" w:type="pct"/>
          </w:tcPr>
          <w:p w14:paraId="1A85EE7F" w14:textId="77777777" w:rsidR="00FF113C" w:rsidRPr="00923237" w:rsidRDefault="00FF113C" w:rsidP="00FF113C">
            <w:pPr>
              <w:pStyle w:val="NoSpacing"/>
              <w:rPr>
                <w:rFonts w:cstheme="minorHAnsi"/>
              </w:rPr>
            </w:pPr>
          </w:p>
        </w:tc>
        <w:tc>
          <w:tcPr>
            <w:tcW w:w="467" w:type="pct"/>
          </w:tcPr>
          <w:p w14:paraId="1F1B3523" w14:textId="77777777" w:rsidR="00FF113C" w:rsidRPr="00923237" w:rsidRDefault="00FF113C" w:rsidP="00FF113C">
            <w:pPr>
              <w:pStyle w:val="NoSpacing"/>
              <w:rPr>
                <w:rFonts w:cstheme="minorHAnsi"/>
              </w:rPr>
            </w:pPr>
          </w:p>
        </w:tc>
        <w:tc>
          <w:tcPr>
            <w:tcW w:w="470" w:type="pct"/>
          </w:tcPr>
          <w:p w14:paraId="71D23FA0" w14:textId="77777777" w:rsidR="00FF113C" w:rsidRPr="00923237" w:rsidRDefault="00FF113C" w:rsidP="00FF113C">
            <w:pPr>
              <w:pStyle w:val="NoSpacing"/>
              <w:rPr>
                <w:rFonts w:cstheme="minorHAnsi"/>
              </w:rPr>
            </w:pPr>
          </w:p>
        </w:tc>
        <w:tc>
          <w:tcPr>
            <w:tcW w:w="523" w:type="pct"/>
          </w:tcPr>
          <w:p w14:paraId="29DFDB02" w14:textId="77777777" w:rsidR="00FF113C" w:rsidRPr="00923237" w:rsidRDefault="00FF113C" w:rsidP="00FF113C">
            <w:pPr>
              <w:pStyle w:val="NoSpacing"/>
              <w:rPr>
                <w:rFonts w:cstheme="minorHAnsi"/>
              </w:rPr>
            </w:pPr>
          </w:p>
        </w:tc>
        <w:tc>
          <w:tcPr>
            <w:tcW w:w="523" w:type="pct"/>
          </w:tcPr>
          <w:p w14:paraId="0BE19533" w14:textId="77777777" w:rsidR="00FF113C" w:rsidRPr="00923237" w:rsidRDefault="00FF113C" w:rsidP="00FF113C">
            <w:pPr>
              <w:pStyle w:val="NoSpacing"/>
              <w:rPr>
                <w:rFonts w:cstheme="minorHAnsi"/>
              </w:rPr>
            </w:pPr>
          </w:p>
        </w:tc>
        <w:tc>
          <w:tcPr>
            <w:tcW w:w="605" w:type="pct"/>
          </w:tcPr>
          <w:p w14:paraId="2C01AFAC" w14:textId="15E551A6" w:rsidR="00FF113C" w:rsidRPr="00923237" w:rsidRDefault="00FF113C" w:rsidP="00FF113C">
            <w:pPr>
              <w:pStyle w:val="NoSpacing"/>
              <w:rPr>
                <w:rFonts w:cstheme="minorHAnsi"/>
              </w:rPr>
            </w:pPr>
          </w:p>
        </w:tc>
      </w:tr>
      <w:tr w:rsidR="00A4606E" w:rsidRPr="00923237" w14:paraId="757022BD" w14:textId="77777777" w:rsidTr="00923237">
        <w:tc>
          <w:tcPr>
            <w:tcW w:w="1093" w:type="pct"/>
            <w:hideMark/>
          </w:tcPr>
          <w:p w14:paraId="0C7E75D5" w14:textId="77777777" w:rsidR="00A4606E" w:rsidRPr="00923237" w:rsidRDefault="00A4606E" w:rsidP="00FF113C">
            <w:pPr>
              <w:pStyle w:val="NoSpacing"/>
              <w:rPr>
                <w:rFonts w:cstheme="minorHAnsi"/>
              </w:rPr>
            </w:pPr>
            <w:r w:rsidRPr="00923237">
              <w:rPr>
                <w:rFonts w:cstheme="minorHAnsi"/>
              </w:rPr>
              <w:t>Variable</w:t>
            </w:r>
          </w:p>
        </w:tc>
        <w:tc>
          <w:tcPr>
            <w:tcW w:w="274" w:type="pct"/>
            <w:hideMark/>
          </w:tcPr>
          <w:p w14:paraId="6A7B2E17" w14:textId="77777777" w:rsidR="00A4606E" w:rsidRPr="00923237" w:rsidRDefault="00A4606E" w:rsidP="00FF113C">
            <w:pPr>
              <w:pStyle w:val="NoSpacing"/>
              <w:rPr>
                <w:rFonts w:cstheme="minorHAnsi"/>
              </w:rPr>
            </w:pPr>
            <w:r w:rsidRPr="00923237">
              <w:rPr>
                <w:rFonts w:cstheme="minorHAnsi"/>
              </w:rPr>
              <w:t>N</w:t>
            </w:r>
          </w:p>
        </w:tc>
        <w:tc>
          <w:tcPr>
            <w:tcW w:w="523" w:type="pct"/>
            <w:hideMark/>
          </w:tcPr>
          <w:p w14:paraId="12A40DA9" w14:textId="77777777" w:rsidR="00A4606E" w:rsidRPr="00923237" w:rsidRDefault="00A4606E" w:rsidP="00FF113C">
            <w:pPr>
              <w:pStyle w:val="NoSpacing"/>
              <w:rPr>
                <w:rFonts w:cstheme="minorHAnsi"/>
              </w:rPr>
            </w:pPr>
            <w:r w:rsidRPr="00923237">
              <w:rPr>
                <w:rFonts w:cstheme="minorHAnsi"/>
              </w:rPr>
              <w:t>Mean</w:t>
            </w:r>
          </w:p>
        </w:tc>
        <w:tc>
          <w:tcPr>
            <w:tcW w:w="523" w:type="pct"/>
            <w:hideMark/>
          </w:tcPr>
          <w:p w14:paraId="3AACD60D" w14:textId="77777777" w:rsidR="00A4606E" w:rsidRPr="00923237" w:rsidRDefault="00A4606E" w:rsidP="00FF113C">
            <w:pPr>
              <w:pStyle w:val="NoSpacing"/>
              <w:rPr>
                <w:rFonts w:cstheme="minorHAnsi"/>
              </w:rPr>
            </w:pPr>
            <w:r w:rsidRPr="00923237">
              <w:rPr>
                <w:rFonts w:cstheme="minorHAnsi"/>
              </w:rPr>
              <w:t>Std Dev</w:t>
            </w:r>
          </w:p>
        </w:tc>
        <w:tc>
          <w:tcPr>
            <w:tcW w:w="467" w:type="pct"/>
            <w:hideMark/>
          </w:tcPr>
          <w:p w14:paraId="139C7968" w14:textId="77777777" w:rsidR="00A4606E" w:rsidRPr="00923237" w:rsidRDefault="00A4606E" w:rsidP="00FF113C">
            <w:pPr>
              <w:pStyle w:val="NoSpacing"/>
              <w:rPr>
                <w:rFonts w:cstheme="minorHAnsi"/>
              </w:rPr>
            </w:pPr>
            <w:r w:rsidRPr="00923237">
              <w:rPr>
                <w:rFonts w:cstheme="minorHAnsi"/>
              </w:rPr>
              <w:t xml:space="preserve">5th </w:t>
            </w:r>
            <w:proofErr w:type="spellStart"/>
            <w:r w:rsidRPr="00923237">
              <w:rPr>
                <w:rFonts w:cstheme="minorHAnsi"/>
              </w:rPr>
              <w:t>Pctl</w:t>
            </w:r>
            <w:proofErr w:type="spellEnd"/>
          </w:p>
        </w:tc>
        <w:tc>
          <w:tcPr>
            <w:tcW w:w="470" w:type="pct"/>
            <w:hideMark/>
          </w:tcPr>
          <w:p w14:paraId="74EA4599" w14:textId="77777777" w:rsidR="00A4606E" w:rsidRPr="00923237" w:rsidRDefault="00A4606E" w:rsidP="00FF113C">
            <w:pPr>
              <w:pStyle w:val="NoSpacing"/>
              <w:rPr>
                <w:rFonts w:cstheme="minorHAnsi"/>
              </w:rPr>
            </w:pPr>
            <w:r w:rsidRPr="00923237">
              <w:rPr>
                <w:rFonts w:cstheme="minorHAnsi"/>
              </w:rPr>
              <w:t xml:space="preserve">25th </w:t>
            </w:r>
            <w:proofErr w:type="spellStart"/>
            <w:r w:rsidRPr="00923237">
              <w:rPr>
                <w:rFonts w:cstheme="minorHAnsi"/>
              </w:rPr>
              <w:t>Pctl</w:t>
            </w:r>
            <w:proofErr w:type="spellEnd"/>
          </w:p>
        </w:tc>
        <w:tc>
          <w:tcPr>
            <w:tcW w:w="523" w:type="pct"/>
            <w:hideMark/>
          </w:tcPr>
          <w:p w14:paraId="5A7CEEF9" w14:textId="77777777" w:rsidR="00A4606E" w:rsidRPr="00923237" w:rsidRDefault="00A4606E" w:rsidP="00FF113C">
            <w:pPr>
              <w:pStyle w:val="NoSpacing"/>
              <w:rPr>
                <w:rFonts w:cstheme="minorHAnsi"/>
              </w:rPr>
            </w:pPr>
            <w:r w:rsidRPr="00923237">
              <w:rPr>
                <w:rFonts w:cstheme="minorHAnsi"/>
              </w:rPr>
              <w:t xml:space="preserve">50th </w:t>
            </w:r>
            <w:proofErr w:type="spellStart"/>
            <w:r w:rsidRPr="00923237">
              <w:rPr>
                <w:rFonts w:cstheme="minorHAnsi"/>
              </w:rPr>
              <w:t>Pctl</w:t>
            </w:r>
            <w:proofErr w:type="spellEnd"/>
          </w:p>
        </w:tc>
        <w:tc>
          <w:tcPr>
            <w:tcW w:w="523" w:type="pct"/>
            <w:hideMark/>
          </w:tcPr>
          <w:p w14:paraId="05E8B1FC" w14:textId="77777777" w:rsidR="00A4606E" w:rsidRPr="00923237" w:rsidRDefault="00A4606E" w:rsidP="00FF113C">
            <w:pPr>
              <w:pStyle w:val="NoSpacing"/>
              <w:rPr>
                <w:rFonts w:cstheme="minorHAnsi"/>
              </w:rPr>
            </w:pPr>
            <w:r w:rsidRPr="00923237">
              <w:rPr>
                <w:rFonts w:cstheme="minorHAnsi"/>
              </w:rPr>
              <w:t xml:space="preserve">75th </w:t>
            </w:r>
            <w:proofErr w:type="spellStart"/>
            <w:r w:rsidRPr="00923237">
              <w:rPr>
                <w:rFonts w:cstheme="minorHAnsi"/>
              </w:rPr>
              <w:t>Pctl</w:t>
            </w:r>
            <w:proofErr w:type="spellEnd"/>
          </w:p>
        </w:tc>
        <w:tc>
          <w:tcPr>
            <w:tcW w:w="605" w:type="pct"/>
            <w:hideMark/>
          </w:tcPr>
          <w:p w14:paraId="4B00B6C3" w14:textId="77777777" w:rsidR="00A4606E" w:rsidRPr="00923237" w:rsidRDefault="00A4606E" w:rsidP="00FF113C">
            <w:pPr>
              <w:pStyle w:val="NoSpacing"/>
              <w:rPr>
                <w:rFonts w:cstheme="minorHAnsi"/>
              </w:rPr>
            </w:pPr>
            <w:r w:rsidRPr="00923237">
              <w:rPr>
                <w:rFonts w:cstheme="minorHAnsi"/>
              </w:rPr>
              <w:t xml:space="preserve">95th </w:t>
            </w:r>
            <w:proofErr w:type="spellStart"/>
            <w:r w:rsidRPr="00923237">
              <w:rPr>
                <w:rFonts w:cstheme="minorHAnsi"/>
              </w:rPr>
              <w:t>Pctl</w:t>
            </w:r>
            <w:proofErr w:type="spellEnd"/>
          </w:p>
        </w:tc>
      </w:tr>
      <w:tr w:rsidR="00A4606E" w:rsidRPr="00923237" w14:paraId="4A07415F" w14:textId="77777777" w:rsidTr="00923237">
        <w:tc>
          <w:tcPr>
            <w:tcW w:w="1093" w:type="pct"/>
            <w:hideMark/>
          </w:tcPr>
          <w:p w14:paraId="69F1ACEF" w14:textId="77777777" w:rsidR="00A4606E" w:rsidRPr="00923237" w:rsidRDefault="00A4606E" w:rsidP="00FF113C">
            <w:pPr>
              <w:pStyle w:val="NoSpacing"/>
              <w:rPr>
                <w:rFonts w:cstheme="minorHAnsi"/>
              </w:rPr>
            </w:pPr>
            <w:r w:rsidRPr="00923237">
              <w:rPr>
                <w:rFonts w:cstheme="minorHAnsi"/>
              </w:rPr>
              <w:t>Cumulative return 1/2007–12/2011</w:t>
            </w:r>
          </w:p>
        </w:tc>
        <w:tc>
          <w:tcPr>
            <w:tcW w:w="274" w:type="pct"/>
            <w:hideMark/>
          </w:tcPr>
          <w:p w14:paraId="77844BD3" w14:textId="77777777" w:rsidR="00A4606E" w:rsidRPr="00923237" w:rsidRDefault="00A4606E" w:rsidP="00FF113C">
            <w:pPr>
              <w:pStyle w:val="NoSpacing"/>
              <w:rPr>
                <w:rFonts w:cstheme="minorHAnsi"/>
              </w:rPr>
            </w:pPr>
            <w:r w:rsidRPr="00923237">
              <w:rPr>
                <w:rFonts w:cstheme="minorHAnsi"/>
              </w:rPr>
              <w:t>137</w:t>
            </w:r>
          </w:p>
        </w:tc>
        <w:tc>
          <w:tcPr>
            <w:tcW w:w="523" w:type="pct"/>
            <w:hideMark/>
          </w:tcPr>
          <w:p w14:paraId="295DD949" w14:textId="77777777" w:rsidR="00A4606E" w:rsidRPr="00923237" w:rsidRDefault="00A4606E" w:rsidP="00FF113C">
            <w:pPr>
              <w:pStyle w:val="NoSpacing"/>
              <w:rPr>
                <w:rFonts w:cstheme="minorHAnsi"/>
              </w:rPr>
            </w:pPr>
            <w:r w:rsidRPr="00923237">
              <w:rPr>
                <w:rFonts w:cstheme="minorHAnsi"/>
              </w:rPr>
              <w:t>−0.119</w:t>
            </w:r>
          </w:p>
        </w:tc>
        <w:tc>
          <w:tcPr>
            <w:tcW w:w="523" w:type="pct"/>
            <w:hideMark/>
          </w:tcPr>
          <w:p w14:paraId="10659446" w14:textId="77777777" w:rsidR="00A4606E" w:rsidRPr="00923237" w:rsidRDefault="00A4606E" w:rsidP="00FF113C">
            <w:pPr>
              <w:pStyle w:val="NoSpacing"/>
              <w:rPr>
                <w:rFonts w:cstheme="minorHAnsi"/>
              </w:rPr>
            </w:pPr>
            <w:r w:rsidRPr="00923237">
              <w:rPr>
                <w:rFonts w:cstheme="minorHAnsi"/>
              </w:rPr>
              <w:t>0.551</w:t>
            </w:r>
          </w:p>
        </w:tc>
        <w:tc>
          <w:tcPr>
            <w:tcW w:w="467" w:type="pct"/>
            <w:hideMark/>
          </w:tcPr>
          <w:p w14:paraId="23F5F13C" w14:textId="77777777" w:rsidR="00A4606E" w:rsidRPr="00923237" w:rsidRDefault="00A4606E" w:rsidP="00FF113C">
            <w:pPr>
              <w:pStyle w:val="NoSpacing"/>
              <w:rPr>
                <w:rFonts w:cstheme="minorHAnsi"/>
              </w:rPr>
            </w:pPr>
            <w:r w:rsidRPr="00923237">
              <w:rPr>
                <w:rFonts w:cstheme="minorHAnsi"/>
              </w:rPr>
              <w:t>−0.892</w:t>
            </w:r>
          </w:p>
        </w:tc>
        <w:tc>
          <w:tcPr>
            <w:tcW w:w="470" w:type="pct"/>
            <w:hideMark/>
          </w:tcPr>
          <w:p w14:paraId="2D34604B" w14:textId="77777777" w:rsidR="00A4606E" w:rsidRPr="00923237" w:rsidRDefault="00A4606E" w:rsidP="00FF113C">
            <w:pPr>
              <w:pStyle w:val="NoSpacing"/>
              <w:rPr>
                <w:rFonts w:cstheme="minorHAnsi"/>
              </w:rPr>
            </w:pPr>
            <w:r w:rsidRPr="00923237">
              <w:rPr>
                <w:rFonts w:cstheme="minorHAnsi"/>
              </w:rPr>
              <w:t>−0.559</w:t>
            </w:r>
          </w:p>
        </w:tc>
        <w:tc>
          <w:tcPr>
            <w:tcW w:w="523" w:type="pct"/>
            <w:hideMark/>
          </w:tcPr>
          <w:p w14:paraId="4D5EDA63" w14:textId="77777777" w:rsidR="00A4606E" w:rsidRPr="00923237" w:rsidRDefault="00A4606E" w:rsidP="00FF113C">
            <w:pPr>
              <w:pStyle w:val="NoSpacing"/>
              <w:rPr>
                <w:rFonts w:cstheme="minorHAnsi"/>
              </w:rPr>
            </w:pPr>
            <w:r w:rsidRPr="00923237">
              <w:rPr>
                <w:rFonts w:cstheme="minorHAnsi"/>
              </w:rPr>
              <w:t>−0.207</w:t>
            </w:r>
          </w:p>
        </w:tc>
        <w:tc>
          <w:tcPr>
            <w:tcW w:w="523" w:type="pct"/>
            <w:hideMark/>
          </w:tcPr>
          <w:p w14:paraId="4AECEA32" w14:textId="77777777" w:rsidR="00A4606E" w:rsidRPr="00923237" w:rsidRDefault="00A4606E" w:rsidP="00FF113C">
            <w:pPr>
              <w:pStyle w:val="NoSpacing"/>
              <w:rPr>
                <w:rFonts w:cstheme="minorHAnsi"/>
              </w:rPr>
            </w:pPr>
            <w:r w:rsidRPr="00923237">
              <w:rPr>
                <w:rFonts w:cstheme="minorHAnsi"/>
              </w:rPr>
              <w:t>0.273</w:t>
            </w:r>
          </w:p>
        </w:tc>
        <w:tc>
          <w:tcPr>
            <w:tcW w:w="605" w:type="pct"/>
            <w:hideMark/>
          </w:tcPr>
          <w:p w14:paraId="7DE15F05" w14:textId="77777777" w:rsidR="00A4606E" w:rsidRPr="00923237" w:rsidRDefault="00A4606E" w:rsidP="00FF113C">
            <w:pPr>
              <w:pStyle w:val="NoSpacing"/>
              <w:rPr>
                <w:rFonts w:cstheme="minorHAnsi"/>
              </w:rPr>
            </w:pPr>
            <w:r w:rsidRPr="00923237">
              <w:rPr>
                <w:rFonts w:cstheme="minorHAnsi"/>
              </w:rPr>
              <w:t>0.924</w:t>
            </w:r>
          </w:p>
        </w:tc>
      </w:tr>
      <w:tr w:rsidR="00A4606E" w:rsidRPr="00923237" w14:paraId="3CBA6D62" w14:textId="77777777" w:rsidTr="00923237">
        <w:tc>
          <w:tcPr>
            <w:tcW w:w="1093" w:type="pct"/>
            <w:hideMark/>
          </w:tcPr>
          <w:p w14:paraId="1363AB69" w14:textId="77777777" w:rsidR="00A4606E" w:rsidRPr="00923237" w:rsidRDefault="00A4606E" w:rsidP="00FF113C">
            <w:pPr>
              <w:pStyle w:val="NoSpacing"/>
              <w:rPr>
                <w:rFonts w:cstheme="minorHAnsi"/>
              </w:rPr>
            </w:pPr>
            <w:r w:rsidRPr="00923237">
              <w:rPr>
                <w:rFonts w:cstheme="minorHAnsi"/>
              </w:rPr>
              <w:t>Cumulative return 1/2007–2/2009</w:t>
            </w:r>
          </w:p>
        </w:tc>
        <w:tc>
          <w:tcPr>
            <w:tcW w:w="274" w:type="pct"/>
            <w:hideMark/>
          </w:tcPr>
          <w:p w14:paraId="71B3A313" w14:textId="77777777" w:rsidR="00A4606E" w:rsidRPr="00923237" w:rsidRDefault="00A4606E" w:rsidP="00FF113C">
            <w:pPr>
              <w:pStyle w:val="NoSpacing"/>
              <w:rPr>
                <w:rFonts w:cstheme="minorHAnsi"/>
              </w:rPr>
            </w:pPr>
            <w:r w:rsidRPr="00923237">
              <w:rPr>
                <w:rFonts w:cstheme="minorHAnsi"/>
              </w:rPr>
              <w:t>137</w:t>
            </w:r>
          </w:p>
        </w:tc>
        <w:tc>
          <w:tcPr>
            <w:tcW w:w="523" w:type="pct"/>
            <w:hideMark/>
          </w:tcPr>
          <w:p w14:paraId="1383F821" w14:textId="77777777" w:rsidR="00A4606E" w:rsidRPr="00923237" w:rsidRDefault="00A4606E" w:rsidP="00FF113C">
            <w:pPr>
              <w:pStyle w:val="NoSpacing"/>
              <w:rPr>
                <w:rFonts w:cstheme="minorHAnsi"/>
              </w:rPr>
            </w:pPr>
            <w:r w:rsidRPr="00923237">
              <w:rPr>
                <w:rFonts w:cstheme="minorHAnsi"/>
              </w:rPr>
              <w:t>−0.602</w:t>
            </w:r>
          </w:p>
        </w:tc>
        <w:tc>
          <w:tcPr>
            <w:tcW w:w="523" w:type="pct"/>
            <w:hideMark/>
          </w:tcPr>
          <w:p w14:paraId="48D2D6F0" w14:textId="77777777" w:rsidR="00A4606E" w:rsidRPr="00923237" w:rsidRDefault="00A4606E" w:rsidP="00FF113C">
            <w:pPr>
              <w:pStyle w:val="NoSpacing"/>
              <w:rPr>
                <w:rFonts w:cstheme="minorHAnsi"/>
              </w:rPr>
            </w:pPr>
            <w:r w:rsidRPr="00923237">
              <w:rPr>
                <w:rFonts w:cstheme="minorHAnsi"/>
              </w:rPr>
              <w:t>0.288</w:t>
            </w:r>
          </w:p>
        </w:tc>
        <w:tc>
          <w:tcPr>
            <w:tcW w:w="467" w:type="pct"/>
            <w:hideMark/>
          </w:tcPr>
          <w:p w14:paraId="5B8CA3EE" w14:textId="77777777" w:rsidR="00A4606E" w:rsidRPr="00923237" w:rsidRDefault="00A4606E" w:rsidP="00FF113C">
            <w:pPr>
              <w:pStyle w:val="NoSpacing"/>
              <w:rPr>
                <w:rFonts w:cstheme="minorHAnsi"/>
              </w:rPr>
            </w:pPr>
            <w:r w:rsidRPr="00923237">
              <w:rPr>
                <w:rFonts w:cstheme="minorHAnsi"/>
              </w:rPr>
              <w:t>−0.964</w:t>
            </w:r>
          </w:p>
        </w:tc>
        <w:tc>
          <w:tcPr>
            <w:tcW w:w="470" w:type="pct"/>
            <w:hideMark/>
          </w:tcPr>
          <w:p w14:paraId="3D79CD22" w14:textId="77777777" w:rsidR="00A4606E" w:rsidRPr="00923237" w:rsidRDefault="00A4606E" w:rsidP="00FF113C">
            <w:pPr>
              <w:pStyle w:val="NoSpacing"/>
              <w:rPr>
                <w:rFonts w:cstheme="minorHAnsi"/>
              </w:rPr>
            </w:pPr>
            <w:r w:rsidRPr="00923237">
              <w:rPr>
                <w:rFonts w:cstheme="minorHAnsi"/>
              </w:rPr>
              <w:t>−0.822</w:t>
            </w:r>
          </w:p>
        </w:tc>
        <w:tc>
          <w:tcPr>
            <w:tcW w:w="523" w:type="pct"/>
            <w:hideMark/>
          </w:tcPr>
          <w:p w14:paraId="04BF6BDE" w14:textId="77777777" w:rsidR="00A4606E" w:rsidRPr="00923237" w:rsidRDefault="00A4606E" w:rsidP="00FF113C">
            <w:pPr>
              <w:pStyle w:val="NoSpacing"/>
              <w:rPr>
                <w:rFonts w:cstheme="minorHAnsi"/>
              </w:rPr>
            </w:pPr>
            <w:r w:rsidRPr="00923237">
              <w:rPr>
                <w:rFonts w:cstheme="minorHAnsi"/>
              </w:rPr>
              <w:t>−0.659</w:t>
            </w:r>
          </w:p>
        </w:tc>
        <w:tc>
          <w:tcPr>
            <w:tcW w:w="523" w:type="pct"/>
            <w:hideMark/>
          </w:tcPr>
          <w:p w14:paraId="3E99E74F" w14:textId="77777777" w:rsidR="00A4606E" w:rsidRPr="00923237" w:rsidRDefault="00A4606E" w:rsidP="00FF113C">
            <w:pPr>
              <w:pStyle w:val="NoSpacing"/>
              <w:rPr>
                <w:rFonts w:cstheme="minorHAnsi"/>
              </w:rPr>
            </w:pPr>
            <w:r w:rsidRPr="00923237">
              <w:rPr>
                <w:rFonts w:cstheme="minorHAnsi"/>
              </w:rPr>
              <w:t>−0.466</w:t>
            </w:r>
          </w:p>
        </w:tc>
        <w:tc>
          <w:tcPr>
            <w:tcW w:w="605" w:type="pct"/>
            <w:hideMark/>
          </w:tcPr>
          <w:p w14:paraId="314B9C5D" w14:textId="77777777" w:rsidR="00A4606E" w:rsidRPr="00923237" w:rsidRDefault="00A4606E" w:rsidP="00FF113C">
            <w:pPr>
              <w:pStyle w:val="NoSpacing"/>
              <w:rPr>
                <w:rFonts w:cstheme="minorHAnsi"/>
              </w:rPr>
            </w:pPr>
            <w:r w:rsidRPr="00923237">
              <w:rPr>
                <w:rFonts w:cstheme="minorHAnsi"/>
              </w:rPr>
              <w:t>−0.070</w:t>
            </w:r>
          </w:p>
        </w:tc>
      </w:tr>
      <w:tr w:rsidR="00A4606E" w:rsidRPr="00923237" w14:paraId="25007AFE" w14:textId="77777777" w:rsidTr="00923237">
        <w:tc>
          <w:tcPr>
            <w:tcW w:w="1093" w:type="pct"/>
            <w:hideMark/>
          </w:tcPr>
          <w:p w14:paraId="57031B06" w14:textId="77777777" w:rsidR="00A4606E" w:rsidRPr="00923237" w:rsidRDefault="00A4606E" w:rsidP="00FF113C">
            <w:pPr>
              <w:pStyle w:val="NoSpacing"/>
              <w:rPr>
                <w:rFonts w:cstheme="minorHAnsi"/>
              </w:rPr>
            </w:pPr>
            <w:r w:rsidRPr="00923237">
              <w:rPr>
                <w:rFonts w:cstheme="minorHAnsi"/>
              </w:rPr>
              <w:t>Cumulative return 3/2009–12/2011</w:t>
            </w:r>
          </w:p>
        </w:tc>
        <w:tc>
          <w:tcPr>
            <w:tcW w:w="274" w:type="pct"/>
            <w:hideMark/>
          </w:tcPr>
          <w:p w14:paraId="2D308787" w14:textId="77777777" w:rsidR="00A4606E" w:rsidRPr="00923237" w:rsidRDefault="00A4606E" w:rsidP="00FF113C">
            <w:pPr>
              <w:pStyle w:val="NoSpacing"/>
              <w:rPr>
                <w:rFonts w:cstheme="minorHAnsi"/>
              </w:rPr>
            </w:pPr>
            <w:r w:rsidRPr="00923237">
              <w:rPr>
                <w:rFonts w:cstheme="minorHAnsi"/>
              </w:rPr>
              <w:t>137</w:t>
            </w:r>
          </w:p>
        </w:tc>
        <w:tc>
          <w:tcPr>
            <w:tcW w:w="523" w:type="pct"/>
            <w:hideMark/>
          </w:tcPr>
          <w:p w14:paraId="39CC116C" w14:textId="77777777" w:rsidR="00A4606E" w:rsidRPr="00923237" w:rsidRDefault="00A4606E" w:rsidP="00FF113C">
            <w:pPr>
              <w:pStyle w:val="NoSpacing"/>
              <w:rPr>
                <w:rFonts w:cstheme="minorHAnsi"/>
              </w:rPr>
            </w:pPr>
            <w:r w:rsidRPr="00923237">
              <w:rPr>
                <w:rFonts w:cstheme="minorHAnsi"/>
              </w:rPr>
              <w:t>1.894</w:t>
            </w:r>
          </w:p>
        </w:tc>
        <w:tc>
          <w:tcPr>
            <w:tcW w:w="523" w:type="pct"/>
            <w:hideMark/>
          </w:tcPr>
          <w:p w14:paraId="64C52BBB" w14:textId="77777777" w:rsidR="00A4606E" w:rsidRPr="00923237" w:rsidRDefault="00A4606E" w:rsidP="00FF113C">
            <w:pPr>
              <w:pStyle w:val="NoSpacing"/>
              <w:rPr>
                <w:rFonts w:cstheme="minorHAnsi"/>
              </w:rPr>
            </w:pPr>
            <w:r w:rsidRPr="00923237">
              <w:rPr>
                <w:rFonts w:cstheme="minorHAnsi"/>
              </w:rPr>
              <w:t>1.837</w:t>
            </w:r>
          </w:p>
        </w:tc>
        <w:tc>
          <w:tcPr>
            <w:tcW w:w="467" w:type="pct"/>
            <w:hideMark/>
          </w:tcPr>
          <w:p w14:paraId="7B2B9A6B" w14:textId="77777777" w:rsidR="00A4606E" w:rsidRPr="00923237" w:rsidRDefault="00A4606E" w:rsidP="00FF113C">
            <w:pPr>
              <w:pStyle w:val="NoSpacing"/>
              <w:rPr>
                <w:rFonts w:cstheme="minorHAnsi"/>
              </w:rPr>
            </w:pPr>
            <w:r w:rsidRPr="00923237">
              <w:rPr>
                <w:rFonts w:cstheme="minorHAnsi"/>
              </w:rPr>
              <w:t>−0.148</w:t>
            </w:r>
          </w:p>
        </w:tc>
        <w:tc>
          <w:tcPr>
            <w:tcW w:w="470" w:type="pct"/>
            <w:hideMark/>
          </w:tcPr>
          <w:p w14:paraId="52CFF3E1" w14:textId="77777777" w:rsidR="00A4606E" w:rsidRPr="00923237" w:rsidRDefault="00A4606E" w:rsidP="00FF113C">
            <w:pPr>
              <w:pStyle w:val="NoSpacing"/>
              <w:rPr>
                <w:rFonts w:cstheme="minorHAnsi"/>
              </w:rPr>
            </w:pPr>
            <w:r w:rsidRPr="00923237">
              <w:rPr>
                <w:rFonts w:cstheme="minorHAnsi"/>
              </w:rPr>
              <w:t>0.732</w:t>
            </w:r>
          </w:p>
        </w:tc>
        <w:tc>
          <w:tcPr>
            <w:tcW w:w="523" w:type="pct"/>
            <w:hideMark/>
          </w:tcPr>
          <w:p w14:paraId="0ECBE611" w14:textId="77777777" w:rsidR="00A4606E" w:rsidRPr="00923237" w:rsidRDefault="00A4606E" w:rsidP="00FF113C">
            <w:pPr>
              <w:pStyle w:val="NoSpacing"/>
              <w:rPr>
                <w:rFonts w:cstheme="minorHAnsi"/>
              </w:rPr>
            </w:pPr>
            <w:r w:rsidRPr="00923237">
              <w:rPr>
                <w:rFonts w:cstheme="minorHAnsi"/>
              </w:rPr>
              <w:t>1.356</w:t>
            </w:r>
          </w:p>
        </w:tc>
        <w:tc>
          <w:tcPr>
            <w:tcW w:w="523" w:type="pct"/>
            <w:hideMark/>
          </w:tcPr>
          <w:p w14:paraId="3F45E029" w14:textId="77777777" w:rsidR="00A4606E" w:rsidRPr="00923237" w:rsidRDefault="00A4606E" w:rsidP="00FF113C">
            <w:pPr>
              <w:pStyle w:val="NoSpacing"/>
              <w:rPr>
                <w:rFonts w:cstheme="minorHAnsi"/>
              </w:rPr>
            </w:pPr>
            <w:r w:rsidRPr="00923237">
              <w:rPr>
                <w:rFonts w:cstheme="minorHAnsi"/>
              </w:rPr>
              <w:t>2.603</w:t>
            </w:r>
          </w:p>
        </w:tc>
        <w:tc>
          <w:tcPr>
            <w:tcW w:w="605" w:type="pct"/>
            <w:hideMark/>
          </w:tcPr>
          <w:p w14:paraId="76B55165" w14:textId="77777777" w:rsidR="00A4606E" w:rsidRPr="00923237" w:rsidRDefault="00A4606E" w:rsidP="00FF113C">
            <w:pPr>
              <w:pStyle w:val="NoSpacing"/>
              <w:rPr>
                <w:rFonts w:cstheme="minorHAnsi"/>
              </w:rPr>
            </w:pPr>
            <w:r w:rsidRPr="00923237">
              <w:rPr>
                <w:rFonts w:cstheme="minorHAnsi"/>
              </w:rPr>
              <w:t>5.757</w:t>
            </w:r>
          </w:p>
        </w:tc>
      </w:tr>
      <w:tr w:rsidR="00A4606E" w:rsidRPr="00923237" w14:paraId="778B6E33" w14:textId="77777777" w:rsidTr="00923237">
        <w:tc>
          <w:tcPr>
            <w:tcW w:w="1093" w:type="pct"/>
            <w:hideMark/>
          </w:tcPr>
          <w:p w14:paraId="1E7B19F3" w14:textId="77777777" w:rsidR="00A4606E" w:rsidRPr="00923237" w:rsidRDefault="00A4606E" w:rsidP="00FF113C">
            <w:pPr>
              <w:pStyle w:val="NoSpacing"/>
              <w:rPr>
                <w:rFonts w:cstheme="minorHAnsi"/>
              </w:rPr>
            </w:pPr>
            <w:r w:rsidRPr="00923237">
              <w:rPr>
                <w:rFonts w:cstheme="minorHAnsi"/>
              </w:rPr>
              <w:t>Cumulative return 3/2009–12/2016</w:t>
            </w:r>
          </w:p>
        </w:tc>
        <w:tc>
          <w:tcPr>
            <w:tcW w:w="274" w:type="pct"/>
            <w:hideMark/>
          </w:tcPr>
          <w:p w14:paraId="739F312D" w14:textId="77777777" w:rsidR="00A4606E" w:rsidRPr="00923237" w:rsidRDefault="00A4606E" w:rsidP="00FF113C">
            <w:pPr>
              <w:pStyle w:val="NoSpacing"/>
              <w:rPr>
                <w:rFonts w:cstheme="minorHAnsi"/>
              </w:rPr>
            </w:pPr>
            <w:r w:rsidRPr="00923237">
              <w:rPr>
                <w:rFonts w:cstheme="minorHAnsi"/>
              </w:rPr>
              <w:t>137</w:t>
            </w:r>
          </w:p>
        </w:tc>
        <w:tc>
          <w:tcPr>
            <w:tcW w:w="523" w:type="pct"/>
            <w:hideMark/>
          </w:tcPr>
          <w:p w14:paraId="3D2E8A80" w14:textId="77777777" w:rsidR="00A4606E" w:rsidRPr="00923237" w:rsidRDefault="00A4606E" w:rsidP="00FF113C">
            <w:pPr>
              <w:pStyle w:val="NoSpacing"/>
              <w:rPr>
                <w:rFonts w:cstheme="minorHAnsi"/>
              </w:rPr>
            </w:pPr>
            <w:r w:rsidRPr="00923237">
              <w:rPr>
                <w:rFonts w:cstheme="minorHAnsi"/>
              </w:rPr>
              <w:t>4.486</w:t>
            </w:r>
          </w:p>
        </w:tc>
        <w:tc>
          <w:tcPr>
            <w:tcW w:w="523" w:type="pct"/>
            <w:hideMark/>
          </w:tcPr>
          <w:p w14:paraId="3D8433C8" w14:textId="77777777" w:rsidR="00A4606E" w:rsidRPr="00923237" w:rsidRDefault="00A4606E" w:rsidP="00FF113C">
            <w:pPr>
              <w:pStyle w:val="NoSpacing"/>
              <w:rPr>
                <w:rFonts w:cstheme="minorHAnsi"/>
              </w:rPr>
            </w:pPr>
            <w:r w:rsidRPr="00923237">
              <w:rPr>
                <w:rFonts w:cstheme="minorHAnsi"/>
              </w:rPr>
              <w:t>4.014</w:t>
            </w:r>
          </w:p>
        </w:tc>
        <w:tc>
          <w:tcPr>
            <w:tcW w:w="467" w:type="pct"/>
            <w:hideMark/>
          </w:tcPr>
          <w:p w14:paraId="13C34CFC" w14:textId="77777777" w:rsidR="00A4606E" w:rsidRPr="00923237" w:rsidRDefault="00A4606E" w:rsidP="00FF113C">
            <w:pPr>
              <w:pStyle w:val="NoSpacing"/>
              <w:rPr>
                <w:rFonts w:cstheme="minorHAnsi"/>
              </w:rPr>
            </w:pPr>
            <w:r w:rsidRPr="00923237">
              <w:rPr>
                <w:rFonts w:cstheme="minorHAnsi"/>
              </w:rPr>
              <w:t>−0.216</w:t>
            </w:r>
          </w:p>
        </w:tc>
        <w:tc>
          <w:tcPr>
            <w:tcW w:w="470" w:type="pct"/>
            <w:hideMark/>
          </w:tcPr>
          <w:p w14:paraId="466D2468" w14:textId="77777777" w:rsidR="00A4606E" w:rsidRPr="00923237" w:rsidRDefault="00A4606E" w:rsidP="00FF113C">
            <w:pPr>
              <w:pStyle w:val="NoSpacing"/>
              <w:rPr>
                <w:rFonts w:cstheme="minorHAnsi"/>
              </w:rPr>
            </w:pPr>
            <w:r w:rsidRPr="00923237">
              <w:rPr>
                <w:rFonts w:cstheme="minorHAnsi"/>
              </w:rPr>
              <w:t>1.734</w:t>
            </w:r>
          </w:p>
        </w:tc>
        <w:tc>
          <w:tcPr>
            <w:tcW w:w="523" w:type="pct"/>
            <w:hideMark/>
          </w:tcPr>
          <w:p w14:paraId="641A80D9" w14:textId="77777777" w:rsidR="00A4606E" w:rsidRPr="00923237" w:rsidRDefault="00A4606E" w:rsidP="00FF113C">
            <w:pPr>
              <w:pStyle w:val="NoSpacing"/>
              <w:rPr>
                <w:rFonts w:cstheme="minorHAnsi"/>
              </w:rPr>
            </w:pPr>
            <w:r w:rsidRPr="00923237">
              <w:rPr>
                <w:rFonts w:cstheme="minorHAnsi"/>
              </w:rPr>
              <w:t>3.635</w:t>
            </w:r>
          </w:p>
        </w:tc>
        <w:tc>
          <w:tcPr>
            <w:tcW w:w="523" w:type="pct"/>
            <w:hideMark/>
          </w:tcPr>
          <w:p w14:paraId="67CDE137" w14:textId="77777777" w:rsidR="00A4606E" w:rsidRPr="00923237" w:rsidRDefault="00A4606E" w:rsidP="00FF113C">
            <w:pPr>
              <w:pStyle w:val="NoSpacing"/>
              <w:rPr>
                <w:rFonts w:cstheme="minorHAnsi"/>
              </w:rPr>
            </w:pPr>
            <w:r w:rsidRPr="00923237">
              <w:rPr>
                <w:rFonts w:cstheme="minorHAnsi"/>
              </w:rPr>
              <w:t>5.560</w:t>
            </w:r>
          </w:p>
        </w:tc>
        <w:tc>
          <w:tcPr>
            <w:tcW w:w="605" w:type="pct"/>
            <w:hideMark/>
          </w:tcPr>
          <w:p w14:paraId="6045F9C2" w14:textId="77777777" w:rsidR="00A4606E" w:rsidRPr="00923237" w:rsidRDefault="00A4606E" w:rsidP="00FF113C">
            <w:pPr>
              <w:pStyle w:val="NoSpacing"/>
              <w:rPr>
                <w:rFonts w:cstheme="minorHAnsi"/>
              </w:rPr>
            </w:pPr>
            <w:r w:rsidRPr="00923237">
              <w:rPr>
                <w:rFonts w:cstheme="minorHAnsi"/>
              </w:rPr>
              <w:t>13.998</w:t>
            </w:r>
          </w:p>
        </w:tc>
      </w:tr>
      <w:tr w:rsidR="00A4606E" w:rsidRPr="00923237" w14:paraId="450C847E" w14:textId="77777777" w:rsidTr="00923237">
        <w:tc>
          <w:tcPr>
            <w:tcW w:w="1093" w:type="pct"/>
            <w:hideMark/>
          </w:tcPr>
          <w:p w14:paraId="3B0F9BDB" w14:textId="77777777" w:rsidR="00A4606E" w:rsidRPr="00923237" w:rsidRDefault="00A4606E" w:rsidP="00FF113C">
            <w:pPr>
              <w:pStyle w:val="NoSpacing"/>
              <w:rPr>
                <w:rFonts w:cstheme="minorHAnsi"/>
              </w:rPr>
            </w:pPr>
            <w:r w:rsidRPr="00923237">
              <w:rPr>
                <w:rFonts w:cstheme="minorHAnsi"/>
              </w:rPr>
              <w:t>Total assets</w:t>
            </w:r>
          </w:p>
        </w:tc>
        <w:tc>
          <w:tcPr>
            <w:tcW w:w="274" w:type="pct"/>
            <w:hideMark/>
          </w:tcPr>
          <w:p w14:paraId="60DAE7D0" w14:textId="77777777" w:rsidR="00A4606E" w:rsidRPr="00923237" w:rsidRDefault="00A4606E" w:rsidP="00FF113C">
            <w:pPr>
              <w:pStyle w:val="NoSpacing"/>
              <w:rPr>
                <w:rFonts w:cstheme="minorHAnsi"/>
              </w:rPr>
            </w:pPr>
            <w:r w:rsidRPr="00923237">
              <w:rPr>
                <w:rFonts w:cstheme="minorHAnsi"/>
              </w:rPr>
              <w:t>137</w:t>
            </w:r>
          </w:p>
        </w:tc>
        <w:tc>
          <w:tcPr>
            <w:tcW w:w="523" w:type="pct"/>
            <w:hideMark/>
          </w:tcPr>
          <w:p w14:paraId="48FC0CCD" w14:textId="77777777" w:rsidR="00A4606E" w:rsidRPr="00923237" w:rsidRDefault="00A4606E" w:rsidP="00FF113C">
            <w:pPr>
              <w:pStyle w:val="NoSpacing"/>
              <w:rPr>
                <w:rFonts w:cstheme="minorHAnsi"/>
              </w:rPr>
            </w:pPr>
            <w:r w:rsidRPr="00923237">
              <w:rPr>
                <w:rFonts w:cstheme="minorHAnsi"/>
              </w:rPr>
              <w:t>3916.920</w:t>
            </w:r>
          </w:p>
        </w:tc>
        <w:tc>
          <w:tcPr>
            <w:tcW w:w="523" w:type="pct"/>
            <w:hideMark/>
          </w:tcPr>
          <w:p w14:paraId="0883E014" w14:textId="77777777" w:rsidR="00A4606E" w:rsidRPr="00923237" w:rsidRDefault="00A4606E" w:rsidP="00FF113C">
            <w:pPr>
              <w:pStyle w:val="NoSpacing"/>
              <w:rPr>
                <w:rFonts w:cstheme="minorHAnsi"/>
              </w:rPr>
            </w:pPr>
            <w:r w:rsidRPr="00923237">
              <w:rPr>
                <w:rFonts w:cstheme="minorHAnsi"/>
              </w:rPr>
              <w:t>5113.330</w:t>
            </w:r>
          </w:p>
        </w:tc>
        <w:tc>
          <w:tcPr>
            <w:tcW w:w="467" w:type="pct"/>
            <w:hideMark/>
          </w:tcPr>
          <w:p w14:paraId="46381D4E" w14:textId="77777777" w:rsidR="00A4606E" w:rsidRPr="00923237" w:rsidRDefault="00A4606E" w:rsidP="00FF113C">
            <w:pPr>
              <w:pStyle w:val="NoSpacing"/>
              <w:rPr>
                <w:rFonts w:cstheme="minorHAnsi"/>
              </w:rPr>
            </w:pPr>
            <w:r w:rsidRPr="00923237">
              <w:rPr>
                <w:rFonts w:cstheme="minorHAnsi"/>
              </w:rPr>
              <w:t>115.740</w:t>
            </w:r>
          </w:p>
        </w:tc>
        <w:tc>
          <w:tcPr>
            <w:tcW w:w="470" w:type="pct"/>
            <w:hideMark/>
          </w:tcPr>
          <w:p w14:paraId="71C92275" w14:textId="77777777" w:rsidR="00A4606E" w:rsidRPr="00923237" w:rsidRDefault="00A4606E" w:rsidP="00FF113C">
            <w:pPr>
              <w:pStyle w:val="NoSpacing"/>
              <w:rPr>
                <w:rFonts w:cstheme="minorHAnsi"/>
              </w:rPr>
            </w:pPr>
            <w:r w:rsidRPr="00923237">
              <w:rPr>
                <w:rFonts w:cstheme="minorHAnsi"/>
              </w:rPr>
              <w:t>955.317</w:t>
            </w:r>
          </w:p>
        </w:tc>
        <w:tc>
          <w:tcPr>
            <w:tcW w:w="523" w:type="pct"/>
            <w:hideMark/>
          </w:tcPr>
          <w:p w14:paraId="4C3BDCA3" w14:textId="77777777" w:rsidR="00A4606E" w:rsidRPr="00923237" w:rsidRDefault="00A4606E" w:rsidP="00FF113C">
            <w:pPr>
              <w:pStyle w:val="NoSpacing"/>
              <w:rPr>
                <w:rFonts w:cstheme="minorHAnsi"/>
              </w:rPr>
            </w:pPr>
            <w:r w:rsidRPr="00923237">
              <w:rPr>
                <w:rFonts w:cstheme="minorHAnsi"/>
              </w:rPr>
              <w:t>2016.130</w:t>
            </w:r>
          </w:p>
        </w:tc>
        <w:tc>
          <w:tcPr>
            <w:tcW w:w="523" w:type="pct"/>
            <w:hideMark/>
          </w:tcPr>
          <w:p w14:paraId="2F8C360D" w14:textId="77777777" w:rsidR="00A4606E" w:rsidRPr="00923237" w:rsidRDefault="00A4606E" w:rsidP="00FF113C">
            <w:pPr>
              <w:pStyle w:val="NoSpacing"/>
              <w:rPr>
                <w:rFonts w:cstheme="minorHAnsi"/>
              </w:rPr>
            </w:pPr>
            <w:r w:rsidRPr="00923237">
              <w:rPr>
                <w:rFonts w:cstheme="minorHAnsi"/>
              </w:rPr>
              <w:t>4632.230</w:t>
            </w:r>
          </w:p>
        </w:tc>
        <w:tc>
          <w:tcPr>
            <w:tcW w:w="605" w:type="pct"/>
            <w:hideMark/>
          </w:tcPr>
          <w:p w14:paraId="31026C96" w14:textId="77777777" w:rsidR="00A4606E" w:rsidRPr="00923237" w:rsidRDefault="00A4606E" w:rsidP="00FF113C">
            <w:pPr>
              <w:pStyle w:val="NoSpacing"/>
              <w:rPr>
                <w:rFonts w:cstheme="minorHAnsi"/>
              </w:rPr>
            </w:pPr>
            <w:r w:rsidRPr="00923237">
              <w:rPr>
                <w:rFonts w:cstheme="minorHAnsi"/>
              </w:rPr>
              <w:t>15,062.220</w:t>
            </w:r>
          </w:p>
        </w:tc>
      </w:tr>
      <w:tr w:rsidR="00A4606E" w:rsidRPr="00923237" w14:paraId="5F923DBA" w14:textId="77777777" w:rsidTr="00923237">
        <w:tc>
          <w:tcPr>
            <w:tcW w:w="1093" w:type="pct"/>
            <w:hideMark/>
          </w:tcPr>
          <w:p w14:paraId="0C43B2FD" w14:textId="77777777" w:rsidR="00A4606E" w:rsidRPr="00923237" w:rsidRDefault="00A4606E" w:rsidP="00FF113C">
            <w:pPr>
              <w:pStyle w:val="NoSpacing"/>
              <w:rPr>
                <w:rFonts w:cstheme="minorHAnsi"/>
              </w:rPr>
            </w:pPr>
            <w:r w:rsidRPr="00923237">
              <w:rPr>
                <w:rFonts w:cstheme="minorHAnsi"/>
              </w:rPr>
              <w:t>Firm size</w:t>
            </w:r>
          </w:p>
        </w:tc>
        <w:tc>
          <w:tcPr>
            <w:tcW w:w="274" w:type="pct"/>
            <w:hideMark/>
          </w:tcPr>
          <w:p w14:paraId="1C3645E4" w14:textId="77777777" w:rsidR="00A4606E" w:rsidRPr="00923237" w:rsidRDefault="00A4606E" w:rsidP="00FF113C">
            <w:pPr>
              <w:pStyle w:val="NoSpacing"/>
              <w:rPr>
                <w:rFonts w:cstheme="minorHAnsi"/>
              </w:rPr>
            </w:pPr>
            <w:r w:rsidRPr="00923237">
              <w:rPr>
                <w:rFonts w:cstheme="minorHAnsi"/>
              </w:rPr>
              <w:t>137</w:t>
            </w:r>
          </w:p>
        </w:tc>
        <w:tc>
          <w:tcPr>
            <w:tcW w:w="523" w:type="pct"/>
            <w:hideMark/>
          </w:tcPr>
          <w:p w14:paraId="6923F539" w14:textId="77777777" w:rsidR="00A4606E" w:rsidRPr="00923237" w:rsidRDefault="00A4606E" w:rsidP="00FF113C">
            <w:pPr>
              <w:pStyle w:val="NoSpacing"/>
              <w:rPr>
                <w:rFonts w:cstheme="minorHAnsi"/>
              </w:rPr>
            </w:pPr>
            <w:r w:rsidRPr="00923237">
              <w:rPr>
                <w:rFonts w:cstheme="minorHAnsi"/>
              </w:rPr>
              <w:t>14.380</w:t>
            </w:r>
          </w:p>
        </w:tc>
        <w:tc>
          <w:tcPr>
            <w:tcW w:w="523" w:type="pct"/>
            <w:hideMark/>
          </w:tcPr>
          <w:p w14:paraId="23836ACB" w14:textId="77777777" w:rsidR="00A4606E" w:rsidRPr="00923237" w:rsidRDefault="00A4606E" w:rsidP="00FF113C">
            <w:pPr>
              <w:pStyle w:val="NoSpacing"/>
              <w:rPr>
                <w:rFonts w:cstheme="minorHAnsi"/>
              </w:rPr>
            </w:pPr>
            <w:r w:rsidRPr="00923237">
              <w:rPr>
                <w:rFonts w:cstheme="minorHAnsi"/>
              </w:rPr>
              <w:t>1.522</w:t>
            </w:r>
          </w:p>
        </w:tc>
        <w:tc>
          <w:tcPr>
            <w:tcW w:w="467" w:type="pct"/>
            <w:hideMark/>
          </w:tcPr>
          <w:p w14:paraId="03A4B47B" w14:textId="77777777" w:rsidR="00A4606E" w:rsidRPr="00923237" w:rsidRDefault="00A4606E" w:rsidP="00FF113C">
            <w:pPr>
              <w:pStyle w:val="NoSpacing"/>
              <w:rPr>
                <w:rFonts w:cstheme="minorHAnsi"/>
              </w:rPr>
            </w:pPr>
            <w:r w:rsidRPr="00923237">
              <w:rPr>
                <w:rFonts w:cstheme="minorHAnsi"/>
              </w:rPr>
              <w:t>11.659</w:t>
            </w:r>
          </w:p>
        </w:tc>
        <w:tc>
          <w:tcPr>
            <w:tcW w:w="470" w:type="pct"/>
            <w:hideMark/>
          </w:tcPr>
          <w:p w14:paraId="60AC9824" w14:textId="77777777" w:rsidR="00A4606E" w:rsidRPr="00923237" w:rsidRDefault="00A4606E" w:rsidP="00FF113C">
            <w:pPr>
              <w:pStyle w:val="NoSpacing"/>
              <w:rPr>
                <w:rFonts w:cstheme="minorHAnsi"/>
              </w:rPr>
            </w:pPr>
            <w:r w:rsidRPr="00923237">
              <w:rPr>
                <w:rFonts w:cstheme="minorHAnsi"/>
              </w:rPr>
              <w:t>13.770</w:t>
            </w:r>
          </w:p>
        </w:tc>
        <w:tc>
          <w:tcPr>
            <w:tcW w:w="523" w:type="pct"/>
            <w:hideMark/>
          </w:tcPr>
          <w:p w14:paraId="58558587" w14:textId="77777777" w:rsidR="00A4606E" w:rsidRPr="00923237" w:rsidRDefault="00A4606E" w:rsidP="00FF113C">
            <w:pPr>
              <w:pStyle w:val="NoSpacing"/>
              <w:rPr>
                <w:rFonts w:cstheme="minorHAnsi"/>
              </w:rPr>
            </w:pPr>
            <w:r w:rsidRPr="00923237">
              <w:rPr>
                <w:rFonts w:cstheme="minorHAnsi"/>
              </w:rPr>
              <w:t>14.517</w:t>
            </w:r>
          </w:p>
        </w:tc>
        <w:tc>
          <w:tcPr>
            <w:tcW w:w="523" w:type="pct"/>
            <w:hideMark/>
          </w:tcPr>
          <w:p w14:paraId="63F06DD3" w14:textId="77777777" w:rsidR="00A4606E" w:rsidRPr="00923237" w:rsidRDefault="00A4606E" w:rsidP="00FF113C">
            <w:pPr>
              <w:pStyle w:val="NoSpacing"/>
              <w:rPr>
                <w:rFonts w:cstheme="minorHAnsi"/>
              </w:rPr>
            </w:pPr>
            <w:r w:rsidRPr="00923237">
              <w:rPr>
                <w:rFonts w:cstheme="minorHAnsi"/>
              </w:rPr>
              <w:t>15.349</w:t>
            </w:r>
          </w:p>
        </w:tc>
        <w:tc>
          <w:tcPr>
            <w:tcW w:w="605" w:type="pct"/>
            <w:hideMark/>
          </w:tcPr>
          <w:p w14:paraId="19B21311" w14:textId="77777777" w:rsidR="00A4606E" w:rsidRPr="00923237" w:rsidRDefault="00A4606E" w:rsidP="00FF113C">
            <w:pPr>
              <w:pStyle w:val="NoSpacing"/>
              <w:rPr>
                <w:rFonts w:cstheme="minorHAnsi"/>
              </w:rPr>
            </w:pPr>
            <w:r w:rsidRPr="00923237">
              <w:rPr>
                <w:rFonts w:cstheme="minorHAnsi"/>
              </w:rPr>
              <w:t>16.528</w:t>
            </w:r>
          </w:p>
        </w:tc>
      </w:tr>
      <w:tr w:rsidR="00A4606E" w:rsidRPr="00923237" w14:paraId="39C77A52" w14:textId="77777777" w:rsidTr="00923237">
        <w:tc>
          <w:tcPr>
            <w:tcW w:w="1093" w:type="pct"/>
            <w:hideMark/>
          </w:tcPr>
          <w:p w14:paraId="0856FE83" w14:textId="77777777" w:rsidR="00A4606E" w:rsidRPr="00923237" w:rsidRDefault="00A4606E" w:rsidP="00FF113C">
            <w:pPr>
              <w:pStyle w:val="NoSpacing"/>
              <w:rPr>
                <w:rFonts w:cstheme="minorHAnsi"/>
              </w:rPr>
            </w:pPr>
            <w:r w:rsidRPr="00923237">
              <w:rPr>
                <w:rFonts w:cstheme="minorHAnsi"/>
              </w:rPr>
              <w:t>Firm Q</w:t>
            </w:r>
          </w:p>
        </w:tc>
        <w:tc>
          <w:tcPr>
            <w:tcW w:w="274" w:type="pct"/>
            <w:hideMark/>
          </w:tcPr>
          <w:p w14:paraId="0C6E9753" w14:textId="77777777" w:rsidR="00A4606E" w:rsidRPr="00923237" w:rsidRDefault="00A4606E" w:rsidP="00FF113C">
            <w:pPr>
              <w:pStyle w:val="NoSpacing"/>
              <w:rPr>
                <w:rFonts w:cstheme="minorHAnsi"/>
              </w:rPr>
            </w:pPr>
            <w:r w:rsidRPr="00923237">
              <w:rPr>
                <w:rFonts w:cstheme="minorHAnsi"/>
              </w:rPr>
              <w:t>137</w:t>
            </w:r>
          </w:p>
        </w:tc>
        <w:tc>
          <w:tcPr>
            <w:tcW w:w="523" w:type="pct"/>
            <w:hideMark/>
          </w:tcPr>
          <w:p w14:paraId="09AFF351" w14:textId="77777777" w:rsidR="00A4606E" w:rsidRPr="00923237" w:rsidRDefault="00A4606E" w:rsidP="00FF113C">
            <w:pPr>
              <w:pStyle w:val="NoSpacing"/>
              <w:rPr>
                <w:rFonts w:cstheme="minorHAnsi"/>
              </w:rPr>
            </w:pPr>
            <w:r w:rsidRPr="00923237">
              <w:rPr>
                <w:rFonts w:cstheme="minorHAnsi"/>
              </w:rPr>
              <w:t>1.466</w:t>
            </w:r>
          </w:p>
        </w:tc>
        <w:tc>
          <w:tcPr>
            <w:tcW w:w="523" w:type="pct"/>
            <w:hideMark/>
          </w:tcPr>
          <w:p w14:paraId="3E162BB0" w14:textId="77777777" w:rsidR="00A4606E" w:rsidRPr="00923237" w:rsidRDefault="00A4606E" w:rsidP="00FF113C">
            <w:pPr>
              <w:pStyle w:val="NoSpacing"/>
              <w:rPr>
                <w:rFonts w:cstheme="minorHAnsi"/>
              </w:rPr>
            </w:pPr>
            <w:r w:rsidRPr="00923237">
              <w:rPr>
                <w:rFonts w:cstheme="minorHAnsi"/>
              </w:rPr>
              <w:t>0.476</w:t>
            </w:r>
          </w:p>
        </w:tc>
        <w:tc>
          <w:tcPr>
            <w:tcW w:w="467" w:type="pct"/>
            <w:hideMark/>
          </w:tcPr>
          <w:p w14:paraId="7396E0CB" w14:textId="77777777" w:rsidR="00A4606E" w:rsidRPr="00923237" w:rsidRDefault="00A4606E" w:rsidP="00FF113C">
            <w:pPr>
              <w:pStyle w:val="NoSpacing"/>
              <w:rPr>
                <w:rFonts w:cstheme="minorHAnsi"/>
              </w:rPr>
            </w:pPr>
            <w:r w:rsidRPr="00923237">
              <w:rPr>
                <w:rFonts w:cstheme="minorHAnsi"/>
              </w:rPr>
              <w:t>0.991</w:t>
            </w:r>
          </w:p>
        </w:tc>
        <w:tc>
          <w:tcPr>
            <w:tcW w:w="470" w:type="pct"/>
            <w:hideMark/>
          </w:tcPr>
          <w:p w14:paraId="7E3AAE20" w14:textId="77777777" w:rsidR="00A4606E" w:rsidRPr="00923237" w:rsidRDefault="00A4606E" w:rsidP="00FF113C">
            <w:pPr>
              <w:pStyle w:val="NoSpacing"/>
              <w:rPr>
                <w:rFonts w:cstheme="minorHAnsi"/>
              </w:rPr>
            </w:pPr>
            <w:r w:rsidRPr="00923237">
              <w:rPr>
                <w:rFonts w:cstheme="minorHAnsi"/>
              </w:rPr>
              <w:t>1.153</w:t>
            </w:r>
          </w:p>
        </w:tc>
        <w:tc>
          <w:tcPr>
            <w:tcW w:w="523" w:type="pct"/>
            <w:hideMark/>
          </w:tcPr>
          <w:p w14:paraId="2C36EE7F" w14:textId="77777777" w:rsidR="00A4606E" w:rsidRPr="00923237" w:rsidRDefault="00A4606E" w:rsidP="00FF113C">
            <w:pPr>
              <w:pStyle w:val="NoSpacing"/>
              <w:rPr>
                <w:rFonts w:cstheme="minorHAnsi"/>
              </w:rPr>
            </w:pPr>
            <w:r w:rsidRPr="00923237">
              <w:rPr>
                <w:rFonts w:cstheme="minorHAnsi"/>
              </w:rPr>
              <w:t>1.379</w:t>
            </w:r>
          </w:p>
        </w:tc>
        <w:tc>
          <w:tcPr>
            <w:tcW w:w="523" w:type="pct"/>
            <w:hideMark/>
          </w:tcPr>
          <w:p w14:paraId="52685521" w14:textId="77777777" w:rsidR="00A4606E" w:rsidRPr="00923237" w:rsidRDefault="00A4606E" w:rsidP="00FF113C">
            <w:pPr>
              <w:pStyle w:val="NoSpacing"/>
              <w:rPr>
                <w:rFonts w:cstheme="minorHAnsi"/>
              </w:rPr>
            </w:pPr>
            <w:r w:rsidRPr="00923237">
              <w:rPr>
                <w:rFonts w:cstheme="minorHAnsi"/>
              </w:rPr>
              <w:t>1.647</w:t>
            </w:r>
          </w:p>
        </w:tc>
        <w:tc>
          <w:tcPr>
            <w:tcW w:w="605" w:type="pct"/>
            <w:hideMark/>
          </w:tcPr>
          <w:p w14:paraId="0796A869" w14:textId="77777777" w:rsidR="00A4606E" w:rsidRPr="00923237" w:rsidRDefault="00A4606E" w:rsidP="00FF113C">
            <w:pPr>
              <w:pStyle w:val="NoSpacing"/>
              <w:rPr>
                <w:rFonts w:cstheme="minorHAnsi"/>
              </w:rPr>
            </w:pPr>
            <w:r w:rsidRPr="00923237">
              <w:rPr>
                <w:rFonts w:cstheme="minorHAnsi"/>
              </w:rPr>
              <w:t>2.221</w:t>
            </w:r>
          </w:p>
        </w:tc>
      </w:tr>
      <w:tr w:rsidR="00A4606E" w:rsidRPr="00923237" w14:paraId="18A2AC25" w14:textId="77777777" w:rsidTr="00923237">
        <w:tc>
          <w:tcPr>
            <w:tcW w:w="1093" w:type="pct"/>
            <w:hideMark/>
          </w:tcPr>
          <w:p w14:paraId="34AC5BC7" w14:textId="77777777" w:rsidR="00A4606E" w:rsidRPr="00923237" w:rsidRDefault="00A4606E" w:rsidP="00FF113C">
            <w:pPr>
              <w:pStyle w:val="NoSpacing"/>
              <w:rPr>
                <w:rFonts w:cstheme="minorHAnsi"/>
              </w:rPr>
            </w:pPr>
            <w:r w:rsidRPr="00923237">
              <w:rPr>
                <w:rFonts w:cstheme="minorHAnsi"/>
              </w:rPr>
              <w:t>Cash/total assets</w:t>
            </w:r>
          </w:p>
        </w:tc>
        <w:tc>
          <w:tcPr>
            <w:tcW w:w="274" w:type="pct"/>
            <w:hideMark/>
          </w:tcPr>
          <w:p w14:paraId="5349BFC7" w14:textId="77777777" w:rsidR="00A4606E" w:rsidRPr="00923237" w:rsidRDefault="00A4606E" w:rsidP="00FF113C">
            <w:pPr>
              <w:pStyle w:val="NoSpacing"/>
              <w:rPr>
                <w:rFonts w:cstheme="minorHAnsi"/>
              </w:rPr>
            </w:pPr>
            <w:r w:rsidRPr="00923237">
              <w:rPr>
                <w:rFonts w:cstheme="minorHAnsi"/>
              </w:rPr>
              <w:t>137</w:t>
            </w:r>
          </w:p>
        </w:tc>
        <w:tc>
          <w:tcPr>
            <w:tcW w:w="523" w:type="pct"/>
            <w:hideMark/>
          </w:tcPr>
          <w:p w14:paraId="4F4F1101" w14:textId="77777777" w:rsidR="00A4606E" w:rsidRPr="00923237" w:rsidRDefault="00A4606E" w:rsidP="00FF113C">
            <w:pPr>
              <w:pStyle w:val="NoSpacing"/>
              <w:rPr>
                <w:rFonts w:cstheme="minorHAnsi"/>
              </w:rPr>
            </w:pPr>
            <w:r w:rsidRPr="00923237">
              <w:rPr>
                <w:rFonts w:cstheme="minorHAnsi"/>
              </w:rPr>
              <w:t>0.044</w:t>
            </w:r>
          </w:p>
        </w:tc>
        <w:tc>
          <w:tcPr>
            <w:tcW w:w="523" w:type="pct"/>
            <w:hideMark/>
          </w:tcPr>
          <w:p w14:paraId="274C39CB" w14:textId="77777777" w:rsidR="00A4606E" w:rsidRPr="00923237" w:rsidRDefault="00A4606E" w:rsidP="00FF113C">
            <w:pPr>
              <w:pStyle w:val="NoSpacing"/>
              <w:rPr>
                <w:rFonts w:cstheme="minorHAnsi"/>
              </w:rPr>
            </w:pPr>
            <w:r w:rsidRPr="00923237">
              <w:rPr>
                <w:rFonts w:cstheme="minorHAnsi"/>
              </w:rPr>
              <w:t>0.074</w:t>
            </w:r>
          </w:p>
        </w:tc>
        <w:tc>
          <w:tcPr>
            <w:tcW w:w="467" w:type="pct"/>
            <w:hideMark/>
          </w:tcPr>
          <w:p w14:paraId="3251DFD6" w14:textId="77777777" w:rsidR="00A4606E" w:rsidRPr="00923237" w:rsidRDefault="00A4606E" w:rsidP="00FF113C">
            <w:pPr>
              <w:pStyle w:val="NoSpacing"/>
              <w:rPr>
                <w:rFonts w:cstheme="minorHAnsi"/>
              </w:rPr>
            </w:pPr>
            <w:r w:rsidRPr="00923237">
              <w:rPr>
                <w:rFonts w:cstheme="minorHAnsi"/>
              </w:rPr>
              <w:t>0.001</w:t>
            </w:r>
          </w:p>
        </w:tc>
        <w:tc>
          <w:tcPr>
            <w:tcW w:w="470" w:type="pct"/>
            <w:hideMark/>
          </w:tcPr>
          <w:p w14:paraId="0A04EC56" w14:textId="77777777" w:rsidR="00A4606E" w:rsidRPr="00923237" w:rsidRDefault="00A4606E" w:rsidP="00FF113C">
            <w:pPr>
              <w:pStyle w:val="NoSpacing"/>
              <w:rPr>
                <w:rFonts w:cstheme="minorHAnsi"/>
              </w:rPr>
            </w:pPr>
            <w:r w:rsidRPr="00923237">
              <w:rPr>
                <w:rFonts w:cstheme="minorHAnsi"/>
              </w:rPr>
              <w:t>0.008</w:t>
            </w:r>
          </w:p>
        </w:tc>
        <w:tc>
          <w:tcPr>
            <w:tcW w:w="523" w:type="pct"/>
            <w:hideMark/>
          </w:tcPr>
          <w:p w14:paraId="79EB5FAD" w14:textId="77777777" w:rsidR="00A4606E" w:rsidRPr="00923237" w:rsidRDefault="00A4606E" w:rsidP="00FF113C">
            <w:pPr>
              <w:pStyle w:val="NoSpacing"/>
              <w:rPr>
                <w:rFonts w:cstheme="minorHAnsi"/>
              </w:rPr>
            </w:pPr>
            <w:r w:rsidRPr="00923237">
              <w:rPr>
                <w:rFonts w:cstheme="minorHAnsi"/>
              </w:rPr>
              <w:t>0.022</w:t>
            </w:r>
          </w:p>
        </w:tc>
        <w:tc>
          <w:tcPr>
            <w:tcW w:w="523" w:type="pct"/>
            <w:hideMark/>
          </w:tcPr>
          <w:p w14:paraId="55C27824" w14:textId="77777777" w:rsidR="00A4606E" w:rsidRPr="00923237" w:rsidRDefault="00A4606E" w:rsidP="00FF113C">
            <w:pPr>
              <w:pStyle w:val="NoSpacing"/>
              <w:rPr>
                <w:rFonts w:cstheme="minorHAnsi"/>
              </w:rPr>
            </w:pPr>
            <w:r w:rsidRPr="00923237">
              <w:rPr>
                <w:rFonts w:cstheme="minorHAnsi"/>
              </w:rPr>
              <w:t>0.045</w:t>
            </w:r>
          </w:p>
        </w:tc>
        <w:tc>
          <w:tcPr>
            <w:tcW w:w="605" w:type="pct"/>
            <w:hideMark/>
          </w:tcPr>
          <w:p w14:paraId="2087E681" w14:textId="77777777" w:rsidR="00A4606E" w:rsidRPr="00923237" w:rsidRDefault="00A4606E" w:rsidP="00FF113C">
            <w:pPr>
              <w:pStyle w:val="NoSpacing"/>
              <w:rPr>
                <w:rFonts w:cstheme="minorHAnsi"/>
              </w:rPr>
            </w:pPr>
            <w:r w:rsidRPr="00923237">
              <w:rPr>
                <w:rFonts w:cstheme="minorHAnsi"/>
              </w:rPr>
              <w:t>0.173</w:t>
            </w:r>
          </w:p>
        </w:tc>
      </w:tr>
      <w:tr w:rsidR="00A4606E" w:rsidRPr="00923237" w14:paraId="4B255655" w14:textId="77777777" w:rsidTr="00923237">
        <w:tc>
          <w:tcPr>
            <w:tcW w:w="1093" w:type="pct"/>
            <w:hideMark/>
          </w:tcPr>
          <w:p w14:paraId="33B2D3A5" w14:textId="77777777" w:rsidR="00A4606E" w:rsidRPr="00923237" w:rsidRDefault="00A4606E" w:rsidP="00FF113C">
            <w:pPr>
              <w:pStyle w:val="NoSpacing"/>
              <w:rPr>
                <w:rFonts w:cstheme="minorHAnsi"/>
              </w:rPr>
            </w:pPr>
            <w:r w:rsidRPr="00923237">
              <w:rPr>
                <w:rFonts w:cstheme="minorHAnsi"/>
              </w:rPr>
              <w:t>FFO per share</w:t>
            </w:r>
          </w:p>
        </w:tc>
        <w:tc>
          <w:tcPr>
            <w:tcW w:w="274" w:type="pct"/>
            <w:hideMark/>
          </w:tcPr>
          <w:p w14:paraId="6E6E305D" w14:textId="77777777" w:rsidR="00A4606E" w:rsidRPr="00923237" w:rsidRDefault="00A4606E" w:rsidP="00FF113C">
            <w:pPr>
              <w:pStyle w:val="NoSpacing"/>
              <w:rPr>
                <w:rFonts w:cstheme="minorHAnsi"/>
              </w:rPr>
            </w:pPr>
            <w:r w:rsidRPr="00923237">
              <w:rPr>
                <w:rFonts w:cstheme="minorHAnsi"/>
              </w:rPr>
              <w:t>98</w:t>
            </w:r>
          </w:p>
        </w:tc>
        <w:tc>
          <w:tcPr>
            <w:tcW w:w="523" w:type="pct"/>
            <w:hideMark/>
          </w:tcPr>
          <w:p w14:paraId="14424E4F" w14:textId="77777777" w:rsidR="00A4606E" w:rsidRPr="00923237" w:rsidRDefault="00A4606E" w:rsidP="00FF113C">
            <w:pPr>
              <w:pStyle w:val="NoSpacing"/>
              <w:rPr>
                <w:rFonts w:cstheme="minorHAnsi"/>
              </w:rPr>
            </w:pPr>
            <w:r w:rsidRPr="00923237">
              <w:rPr>
                <w:rFonts w:cstheme="minorHAnsi"/>
              </w:rPr>
              <w:t>2.924</w:t>
            </w:r>
          </w:p>
        </w:tc>
        <w:tc>
          <w:tcPr>
            <w:tcW w:w="523" w:type="pct"/>
            <w:hideMark/>
          </w:tcPr>
          <w:p w14:paraId="4EC2DD2D" w14:textId="77777777" w:rsidR="00A4606E" w:rsidRPr="00923237" w:rsidRDefault="00A4606E" w:rsidP="00FF113C">
            <w:pPr>
              <w:pStyle w:val="NoSpacing"/>
              <w:rPr>
                <w:rFonts w:cstheme="minorHAnsi"/>
              </w:rPr>
            </w:pPr>
            <w:r w:rsidRPr="00923237">
              <w:rPr>
                <w:rFonts w:cstheme="minorHAnsi"/>
              </w:rPr>
              <w:t>4.220</w:t>
            </w:r>
          </w:p>
        </w:tc>
        <w:tc>
          <w:tcPr>
            <w:tcW w:w="467" w:type="pct"/>
            <w:hideMark/>
          </w:tcPr>
          <w:p w14:paraId="24ABF532" w14:textId="77777777" w:rsidR="00A4606E" w:rsidRPr="00923237" w:rsidRDefault="00A4606E" w:rsidP="00FF113C">
            <w:pPr>
              <w:pStyle w:val="NoSpacing"/>
              <w:rPr>
                <w:rFonts w:cstheme="minorHAnsi"/>
              </w:rPr>
            </w:pPr>
            <w:r w:rsidRPr="00923237">
              <w:rPr>
                <w:rFonts w:cstheme="minorHAnsi"/>
              </w:rPr>
              <w:t>0.887</w:t>
            </w:r>
          </w:p>
        </w:tc>
        <w:tc>
          <w:tcPr>
            <w:tcW w:w="470" w:type="pct"/>
            <w:hideMark/>
          </w:tcPr>
          <w:p w14:paraId="73EA3D94" w14:textId="77777777" w:rsidR="00A4606E" w:rsidRPr="00923237" w:rsidRDefault="00A4606E" w:rsidP="00FF113C">
            <w:pPr>
              <w:pStyle w:val="NoSpacing"/>
              <w:rPr>
                <w:rFonts w:cstheme="minorHAnsi"/>
              </w:rPr>
            </w:pPr>
            <w:r w:rsidRPr="00923237">
              <w:rPr>
                <w:rFonts w:cstheme="minorHAnsi"/>
              </w:rPr>
              <w:t>1.540</w:t>
            </w:r>
          </w:p>
        </w:tc>
        <w:tc>
          <w:tcPr>
            <w:tcW w:w="523" w:type="pct"/>
            <w:hideMark/>
          </w:tcPr>
          <w:p w14:paraId="7C493C5D" w14:textId="77777777" w:rsidR="00A4606E" w:rsidRPr="00923237" w:rsidRDefault="00A4606E" w:rsidP="00FF113C">
            <w:pPr>
              <w:pStyle w:val="NoSpacing"/>
              <w:rPr>
                <w:rFonts w:cstheme="minorHAnsi"/>
              </w:rPr>
            </w:pPr>
            <w:r w:rsidRPr="00923237">
              <w:rPr>
                <w:rFonts w:cstheme="minorHAnsi"/>
              </w:rPr>
              <w:t>2.375</w:t>
            </w:r>
          </w:p>
        </w:tc>
        <w:tc>
          <w:tcPr>
            <w:tcW w:w="523" w:type="pct"/>
            <w:hideMark/>
          </w:tcPr>
          <w:p w14:paraId="209DC7AE" w14:textId="77777777" w:rsidR="00A4606E" w:rsidRPr="00923237" w:rsidRDefault="00A4606E" w:rsidP="00FF113C">
            <w:pPr>
              <w:pStyle w:val="NoSpacing"/>
              <w:rPr>
                <w:rFonts w:cstheme="minorHAnsi"/>
              </w:rPr>
            </w:pPr>
            <w:r w:rsidRPr="00923237">
              <w:rPr>
                <w:rFonts w:cstheme="minorHAnsi"/>
              </w:rPr>
              <w:t>3.580</w:t>
            </w:r>
          </w:p>
        </w:tc>
        <w:tc>
          <w:tcPr>
            <w:tcW w:w="605" w:type="pct"/>
            <w:hideMark/>
          </w:tcPr>
          <w:p w14:paraId="6002167B" w14:textId="77777777" w:rsidR="00A4606E" w:rsidRPr="00923237" w:rsidRDefault="00A4606E" w:rsidP="00FF113C">
            <w:pPr>
              <w:pStyle w:val="NoSpacing"/>
              <w:rPr>
                <w:rFonts w:cstheme="minorHAnsi"/>
              </w:rPr>
            </w:pPr>
            <w:r w:rsidRPr="00923237">
              <w:rPr>
                <w:rFonts w:cstheme="minorHAnsi"/>
              </w:rPr>
              <w:t>5.130</w:t>
            </w:r>
          </w:p>
        </w:tc>
      </w:tr>
      <w:tr w:rsidR="00A4606E" w:rsidRPr="00923237" w14:paraId="0821D687" w14:textId="77777777" w:rsidTr="00923237">
        <w:tc>
          <w:tcPr>
            <w:tcW w:w="1093" w:type="pct"/>
            <w:hideMark/>
          </w:tcPr>
          <w:p w14:paraId="726DD910" w14:textId="77777777" w:rsidR="00A4606E" w:rsidRPr="00923237" w:rsidRDefault="00A4606E" w:rsidP="00FF113C">
            <w:pPr>
              <w:pStyle w:val="NoSpacing"/>
              <w:rPr>
                <w:rFonts w:cstheme="minorHAnsi"/>
              </w:rPr>
            </w:pPr>
            <w:r w:rsidRPr="00923237">
              <w:rPr>
                <w:rFonts w:cstheme="minorHAnsi"/>
              </w:rPr>
              <w:t>Market leverage</w:t>
            </w:r>
          </w:p>
        </w:tc>
        <w:tc>
          <w:tcPr>
            <w:tcW w:w="274" w:type="pct"/>
            <w:hideMark/>
          </w:tcPr>
          <w:p w14:paraId="7B2D2103" w14:textId="77777777" w:rsidR="00A4606E" w:rsidRPr="00923237" w:rsidRDefault="00A4606E" w:rsidP="00FF113C">
            <w:pPr>
              <w:pStyle w:val="NoSpacing"/>
              <w:rPr>
                <w:rFonts w:cstheme="minorHAnsi"/>
              </w:rPr>
            </w:pPr>
            <w:r w:rsidRPr="00923237">
              <w:rPr>
                <w:rFonts w:cstheme="minorHAnsi"/>
              </w:rPr>
              <w:t>137</w:t>
            </w:r>
          </w:p>
        </w:tc>
        <w:tc>
          <w:tcPr>
            <w:tcW w:w="523" w:type="pct"/>
            <w:hideMark/>
          </w:tcPr>
          <w:p w14:paraId="0D586701" w14:textId="77777777" w:rsidR="00A4606E" w:rsidRPr="00923237" w:rsidRDefault="00A4606E" w:rsidP="00FF113C">
            <w:pPr>
              <w:pStyle w:val="NoSpacing"/>
              <w:rPr>
                <w:rFonts w:cstheme="minorHAnsi"/>
              </w:rPr>
            </w:pPr>
            <w:r w:rsidRPr="00923237">
              <w:rPr>
                <w:rFonts w:cstheme="minorHAnsi"/>
              </w:rPr>
              <w:t>0.406</w:t>
            </w:r>
          </w:p>
        </w:tc>
        <w:tc>
          <w:tcPr>
            <w:tcW w:w="523" w:type="pct"/>
            <w:hideMark/>
          </w:tcPr>
          <w:p w14:paraId="13744F08" w14:textId="77777777" w:rsidR="00A4606E" w:rsidRPr="00923237" w:rsidRDefault="00A4606E" w:rsidP="00FF113C">
            <w:pPr>
              <w:pStyle w:val="NoSpacing"/>
              <w:rPr>
                <w:rFonts w:cstheme="minorHAnsi"/>
              </w:rPr>
            </w:pPr>
            <w:r w:rsidRPr="00923237">
              <w:rPr>
                <w:rFonts w:cstheme="minorHAnsi"/>
              </w:rPr>
              <w:t>0.194</w:t>
            </w:r>
          </w:p>
        </w:tc>
        <w:tc>
          <w:tcPr>
            <w:tcW w:w="467" w:type="pct"/>
            <w:hideMark/>
          </w:tcPr>
          <w:p w14:paraId="7008AC30" w14:textId="77777777" w:rsidR="00A4606E" w:rsidRPr="00923237" w:rsidRDefault="00A4606E" w:rsidP="00FF113C">
            <w:pPr>
              <w:pStyle w:val="NoSpacing"/>
              <w:rPr>
                <w:rFonts w:cstheme="minorHAnsi"/>
              </w:rPr>
            </w:pPr>
            <w:r w:rsidRPr="00923237">
              <w:rPr>
                <w:rFonts w:cstheme="minorHAnsi"/>
              </w:rPr>
              <w:t>0.054</w:t>
            </w:r>
          </w:p>
        </w:tc>
        <w:tc>
          <w:tcPr>
            <w:tcW w:w="470" w:type="pct"/>
            <w:hideMark/>
          </w:tcPr>
          <w:p w14:paraId="17C295D1" w14:textId="77777777" w:rsidR="00A4606E" w:rsidRPr="00923237" w:rsidRDefault="00A4606E" w:rsidP="00FF113C">
            <w:pPr>
              <w:pStyle w:val="NoSpacing"/>
              <w:rPr>
                <w:rFonts w:cstheme="minorHAnsi"/>
              </w:rPr>
            </w:pPr>
            <w:r w:rsidRPr="00923237">
              <w:rPr>
                <w:rFonts w:cstheme="minorHAnsi"/>
              </w:rPr>
              <w:t>0.298</w:t>
            </w:r>
          </w:p>
        </w:tc>
        <w:tc>
          <w:tcPr>
            <w:tcW w:w="523" w:type="pct"/>
            <w:hideMark/>
          </w:tcPr>
          <w:p w14:paraId="1EFA2774" w14:textId="77777777" w:rsidR="00A4606E" w:rsidRPr="00923237" w:rsidRDefault="00A4606E" w:rsidP="00FF113C">
            <w:pPr>
              <w:pStyle w:val="NoSpacing"/>
              <w:rPr>
                <w:rFonts w:cstheme="minorHAnsi"/>
              </w:rPr>
            </w:pPr>
            <w:r w:rsidRPr="00923237">
              <w:rPr>
                <w:rFonts w:cstheme="minorHAnsi"/>
              </w:rPr>
              <w:t>0.405</w:t>
            </w:r>
          </w:p>
        </w:tc>
        <w:tc>
          <w:tcPr>
            <w:tcW w:w="523" w:type="pct"/>
            <w:hideMark/>
          </w:tcPr>
          <w:p w14:paraId="7DC84D47" w14:textId="77777777" w:rsidR="00A4606E" w:rsidRPr="00923237" w:rsidRDefault="00A4606E" w:rsidP="00FF113C">
            <w:pPr>
              <w:pStyle w:val="NoSpacing"/>
              <w:rPr>
                <w:rFonts w:cstheme="minorHAnsi"/>
              </w:rPr>
            </w:pPr>
            <w:r w:rsidRPr="00923237">
              <w:rPr>
                <w:rFonts w:cstheme="minorHAnsi"/>
              </w:rPr>
              <w:t>0.526</w:t>
            </w:r>
          </w:p>
        </w:tc>
        <w:tc>
          <w:tcPr>
            <w:tcW w:w="605" w:type="pct"/>
            <w:hideMark/>
          </w:tcPr>
          <w:p w14:paraId="08498938" w14:textId="77777777" w:rsidR="00A4606E" w:rsidRPr="00923237" w:rsidRDefault="00A4606E" w:rsidP="00FF113C">
            <w:pPr>
              <w:pStyle w:val="NoSpacing"/>
              <w:rPr>
                <w:rFonts w:cstheme="minorHAnsi"/>
              </w:rPr>
            </w:pPr>
            <w:r w:rsidRPr="00923237">
              <w:rPr>
                <w:rFonts w:cstheme="minorHAnsi"/>
              </w:rPr>
              <w:t>0.746</w:t>
            </w:r>
          </w:p>
        </w:tc>
      </w:tr>
      <w:tr w:rsidR="00A4606E" w:rsidRPr="00923237" w14:paraId="34F8FE74" w14:textId="77777777" w:rsidTr="00923237">
        <w:tc>
          <w:tcPr>
            <w:tcW w:w="1093" w:type="pct"/>
            <w:hideMark/>
          </w:tcPr>
          <w:p w14:paraId="152FC0D4" w14:textId="77777777" w:rsidR="00A4606E" w:rsidRPr="00923237" w:rsidRDefault="00A4606E" w:rsidP="00FF113C">
            <w:pPr>
              <w:pStyle w:val="NoSpacing"/>
              <w:rPr>
                <w:rFonts w:cstheme="minorHAnsi"/>
              </w:rPr>
            </w:pPr>
            <w:r w:rsidRPr="00923237">
              <w:rPr>
                <w:rFonts w:cstheme="minorHAnsi"/>
              </w:rPr>
              <w:t>Preferred stock</w:t>
            </w:r>
          </w:p>
        </w:tc>
        <w:tc>
          <w:tcPr>
            <w:tcW w:w="274" w:type="pct"/>
            <w:hideMark/>
          </w:tcPr>
          <w:p w14:paraId="640538F0" w14:textId="77777777" w:rsidR="00A4606E" w:rsidRPr="00923237" w:rsidRDefault="00A4606E" w:rsidP="00FF113C">
            <w:pPr>
              <w:pStyle w:val="NoSpacing"/>
              <w:rPr>
                <w:rFonts w:cstheme="minorHAnsi"/>
              </w:rPr>
            </w:pPr>
            <w:r w:rsidRPr="00923237">
              <w:rPr>
                <w:rFonts w:cstheme="minorHAnsi"/>
              </w:rPr>
              <w:t>137</w:t>
            </w:r>
          </w:p>
        </w:tc>
        <w:tc>
          <w:tcPr>
            <w:tcW w:w="523" w:type="pct"/>
            <w:hideMark/>
          </w:tcPr>
          <w:p w14:paraId="37664AAC" w14:textId="77777777" w:rsidR="00A4606E" w:rsidRPr="00923237" w:rsidRDefault="00A4606E" w:rsidP="00FF113C">
            <w:pPr>
              <w:pStyle w:val="NoSpacing"/>
              <w:rPr>
                <w:rFonts w:cstheme="minorHAnsi"/>
              </w:rPr>
            </w:pPr>
            <w:r w:rsidRPr="00923237">
              <w:rPr>
                <w:rFonts w:cstheme="minorHAnsi"/>
              </w:rPr>
              <w:t>0.031</w:t>
            </w:r>
          </w:p>
        </w:tc>
        <w:tc>
          <w:tcPr>
            <w:tcW w:w="523" w:type="pct"/>
            <w:hideMark/>
          </w:tcPr>
          <w:p w14:paraId="6A4B6925" w14:textId="77777777" w:rsidR="00A4606E" w:rsidRPr="00923237" w:rsidRDefault="00A4606E" w:rsidP="00FF113C">
            <w:pPr>
              <w:pStyle w:val="NoSpacing"/>
              <w:rPr>
                <w:rFonts w:cstheme="minorHAnsi"/>
              </w:rPr>
            </w:pPr>
            <w:r w:rsidRPr="00923237">
              <w:rPr>
                <w:rFonts w:cstheme="minorHAnsi"/>
              </w:rPr>
              <w:t>0.066</w:t>
            </w:r>
          </w:p>
        </w:tc>
        <w:tc>
          <w:tcPr>
            <w:tcW w:w="467" w:type="pct"/>
            <w:hideMark/>
          </w:tcPr>
          <w:p w14:paraId="6A0DA747" w14:textId="77777777" w:rsidR="00A4606E" w:rsidRPr="00923237" w:rsidRDefault="00A4606E" w:rsidP="00FF113C">
            <w:pPr>
              <w:pStyle w:val="NoSpacing"/>
              <w:rPr>
                <w:rFonts w:cstheme="minorHAnsi"/>
              </w:rPr>
            </w:pPr>
            <w:r w:rsidRPr="00923237">
              <w:rPr>
                <w:rFonts w:cstheme="minorHAnsi"/>
              </w:rPr>
              <w:t>0.000</w:t>
            </w:r>
          </w:p>
        </w:tc>
        <w:tc>
          <w:tcPr>
            <w:tcW w:w="470" w:type="pct"/>
            <w:hideMark/>
          </w:tcPr>
          <w:p w14:paraId="28D72BC8" w14:textId="77777777" w:rsidR="00A4606E" w:rsidRPr="00923237" w:rsidRDefault="00A4606E" w:rsidP="00FF113C">
            <w:pPr>
              <w:pStyle w:val="NoSpacing"/>
              <w:rPr>
                <w:rFonts w:cstheme="minorHAnsi"/>
              </w:rPr>
            </w:pPr>
            <w:r w:rsidRPr="00923237">
              <w:rPr>
                <w:rFonts w:cstheme="minorHAnsi"/>
              </w:rPr>
              <w:t>0.000</w:t>
            </w:r>
          </w:p>
        </w:tc>
        <w:tc>
          <w:tcPr>
            <w:tcW w:w="523" w:type="pct"/>
            <w:hideMark/>
          </w:tcPr>
          <w:p w14:paraId="61B75B17" w14:textId="77777777" w:rsidR="00A4606E" w:rsidRPr="00923237" w:rsidRDefault="00A4606E" w:rsidP="00FF113C">
            <w:pPr>
              <w:pStyle w:val="NoSpacing"/>
              <w:rPr>
                <w:rFonts w:cstheme="minorHAnsi"/>
              </w:rPr>
            </w:pPr>
            <w:r w:rsidRPr="00923237">
              <w:rPr>
                <w:rFonts w:cstheme="minorHAnsi"/>
              </w:rPr>
              <w:t>0.000</w:t>
            </w:r>
          </w:p>
        </w:tc>
        <w:tc>
          <w:tcPr>
            <w:tcW w:w="523" w:type="pct"/>
            <w:hideMark/>
          </w:tcPr>
          <w:p w14:paraId="522E6D7A" w14:textId="77777777" w:rsidR="00A4606E" w:rsidRPr="00923237" w:rsidRDefault="00A4606E" w:rsidP="00FF113C">
            <w:pPr>
              <w:pStyle w:val="NoSpacing"/>
              <w:rPr>
                <w:rFonts w:cstheme="minorHAnsi"/>
              </w:rPr>
            </w:pPr>
            <w:r w:rsidRPr="00923237">
              <w:rPr>
                <w:rFonts w:cstheme="minorHAnsi"/>
              </w:rPr>
              <w:t>0.039</w:t>
            </w:r>
          </w:p>
        </w:tc>
        <w:tc>
          <w:tcPr>
            <w:tcW w:w="605" w:type="pct"/>
            <w:hideMark/>
          </w:tcPr>
          <w:p w14:paraId="5A2ABF47" w14:textId="77777777" w:rsidR="00A4606E" w:rsidRPr="00923237" w:rsidRDefault="00A4606E" w:rsidP="00FF113C">
            <w:pPr>
              <w:pStyle w:val="NoSpacing"/>
              <w:rPr>
                <w:rFonts w:cstheme="minorHAnsi"/>
              </w:rPr>
            </w:pPr>
            <w:r w:rsidRPr="00923237">
              <w:rPr>
                <w:rFonts w:cstheme="minorHAnsi"/>
              </w:rPr>
              <w:t>0.144</w:t>
            </w:r>
          </w:p>
        </w:tc>
      </w:tr>
      <w:tr w:rsidR="00A4606E" w:rsidRPr="00923237" w14:paraId="73F87398" w14:textId="77777777" w:rsidTr="00923237">
        <w:tc>
          <w:tcPr>
            <w:tcW w:w="1093" w:type="pct"/>
            <w:hideMark/>
          </w:tcPr>
          <w:p w14:paraId="4F46850D" w14:textId="77777777" w:rsidR="00A4606E" w:rsidRPr="00923237" w:rsidRDefault="00A4606E" w:rsidP="00FF113C">
            <w:pPr>
              <w:pStyle w:val="NoSpacing"/>
              <w:rPr>
                <w:rFonts w:cstheme="minorHAnsi"/>
              </w:rPr>
            </w:pPr>
            <w:r w:rsidRPr="00923237">
              <w:rPr>
                <w:rFonts w:cstheme="minorHAnsi"/>
              </w:rPr>
              <w:t>Variable rate debt/total debt</w:t>
            </w:r>
          </w:p>
        </w:tc>
        <w:tc>
          <w:tcPr>
            <w:tcW w:w="274" w:type="pct"/>
            <w:hideMark/>
          </w:tcPr>
          <w:p w14:paraId="5F6B268D" w14:textId="77777777" w:rsidR="00A4606E" w:rsidRPr="00923237" w:rsidRDefault="00A4606E" w:rsidP="00FF113C">
            <w:pPr>
              <w:pStyle w:val="NoSpacing"/>
              <w:rPr>
                <w:rFonts w:cstheme="minorHAnsi"/>
              </w:rPr>
            </w:pPr>
            <w:r w:rsidRPr="00923237">
              <w:rPr>
                <w:rFonts w:cstheme="minorHAnsi"/>
              </w:rPr>
              <w:t>137</w:t>
            </w:r>
          </w:p>
        </w:tc>
        <w:tc>
          <w:tcPr>
            <w:tcW w:w="523" w:type="pct"/>
            <w:hideMark/>
          </w:tcPr>
          <w:p w14:paraId="2CB2DF77" w14:textId="77777777" w:rsidR="00A4606E" w:rsidRPr="00923237" w:rsidRDefault="00A4606E" w:rsidP="00FF113C">
            <w:pPr>
              <w:pStyle w:val="NoSpacing"/>
              <w:rPr>
                <w:rFonts w:cstheme="minorHAnsi"/>
              </w:rPr>
            </w:pPr>
            <w:r w:rsidRPr="00923237">
              <w:rPr>
                <w:rFonts w:cstheme="minorHAnsi"/>
              </w:rPr>
              <w:t>0.121</w:t>
            </w:r>
          </w:p>
        </w:tc>
        <w:tc>
          <w:tcPr>
            <w:tcW w:w="523" w:type="pct"/>
            <w:hideMark/>
          </w:tcPr>
          <w:p w14:paraId="6533B5D0" w14:textId="77777777" w:rsidR="00A4606E" w:rsidRPr="00923237" w:rsidRDefault="00A4606E" w:rsidP="00FF113C">
            <w:pPr>
              <w:pStyle w:val="NoSpacing"/>
              <w:rPr>
                <w:rFonts w:cstheme="minorHAnsi"/>
              </w:rPr>
            </w:pPr>
            <w:r w:rsidRPr="00923237">
              <w:rPr>
                <w:rFonts w:cstheme="minorHAnsi"/>
              </w:rPr>
              <w:t>0.195</w:t>
            </w:r>
          </w:p>
        </w:tc>
        <w:tc>
          <w:tcPr>
            <w:tcW w:w="467" w:type="pct"/>
            <w:hideMark/>
          </w:tcPr>
          <w:p w14:paraId="0BD2E7C0" w14:textId="77777777" w:rsidR="00A4606E" w:rsidRPr="00923237" w:rsidRDefault="00A4606E" w:rsidP="00FF113C">
            <w:pPr>
              <w:pStyle w:val="NoSpacing"/>
              <w:rPr>
                <w:rFonts w:cstheme="minorHAnsi"/>
              </w:rPr>
            </w:pPr>
            <w:r w:rsidRPr="00923237">
              <w:rPr>
                <w:rFonts w:cstheme="minorHAnsi"/>
              </w:rPr>
              <w:t>0.000</w:t>
            </w:r>
          </w:p>
        </w:tc>
        <w:tc>
          <w:tcPr>
            <w:tcW w:w="470" w:type="pct"/>
            <w:hideMark/>
          </w:tcPr>
          <w:p w14:paraId="3511558A" w14:textId="77777777" w:rsidR="00A4606E" w:rsidRPr="00923237" w:rsidRDefault="00A4606E" w:rsidP="00FF113C">
            <w:pPr>
              <w:pStyle w:val="NoSpacing"/>
              <w:rPr>
                <w:rFonts w:cstheme="minorHAnsi"/>
              </w:rPr>
            </w:pPr>
            <w:r w:rsidRPr="00923237">
              <w:rPr>
                <w:rFonts w:cstheme="minorHAnsi"/>
              </w:rPr>
              <w:t>0.000</w:t>
            </w:r>
          </w:p>
        </w:tc>
        <w:tc>
          <w:tcPr>
            <w:tcW w:w="523" w:type="pct"/>
            <w:hideMark/>
          </w:tcPr>
          <w:p w14:paraId="750B7016" w14:textId="77777777" w:rsidR="00A4606E" w:rsidRPr="00923237" w:rsidRDefault="00A4606E" w:rsidP="00FF113C">
            <w:pPr>
              <w:pStyle w:val="NoSpacing"/>
              <w:rPr>
                <w:rFonts w:cstheme="minorHAnsi"/>
              </w:rPr>
            </w:pPr>
            <w:r w:rsidRPr="00923237">
              <w:rPr>
                <w:rFonts w:cstheme="minorHAnsi"/>
              </w:rPr>
              <w:t>0.019</w:t>
            </w:r>
          </w:p>
        </w:tc>
        <w:tc>
          <w:tcPr>
            <w:tcW w:w="523" w:type="pct"/>
            <w:hideMark/>
          </w:tcPr>
          <w:p w14:paraId="52D7FDD8" w14:textId="77777777" w:rsidR="00A4606E" w:rsidRPr="00923237" w:rsidRDefault="00A4606E" w:rsidP="00FF113C">
            <w:pPr>
              <w:pStyle w:val="NoSpacing"/>
              <w:rPr>
                <w:rFonts w:cstheme="minorHAnsi"/>
              </w:rPr>
            </w:pPr>
            <w:r w:rsidRPr="00923237">
              <w:rPr>
                <w:rFonts w:cstheme="minorHAnsi"/>
              </w:rPr>
              <w:t>0.184</w:t>
            </w:r>
          </w:p>
        </w:tc>
        <w:tc>
          <w:tcPr>
            <w:tcW w:w="605" w:type="pct"/>
            <w:hideMark/>
          </w:tcPr>
          <w:p w14:paraId="43321911" w14:textId="77777777" w:rsidR="00A4606E" w:rsidRPr="00923237" w:rsidRDefault="00A4606E" w:rsidP="00FF113C">
            <w:pPr>
              <w:pStyle w:val="NoSpacing"/>
              <w:rPr>
                <w:rFonts w:cstheme="minorHAnsi"/>
              </w:rPr>
            </w:pPr>
            <w:r w:rsidRPr="00923237">
              <w:rPr>
                <w:rFonts w:cstheme="minorHAnsi"/>
              </w:rPr>
              <w:t>0.515</w:t>
            </w:r>
          </w:p>
        </w:tc>
      </w:tr>
      <w:tr w:rsidR="00A4606E" w:rsidRPr="00923237" w14:paraId="2036E58A" w14:textId="77777777" w:rsidTr="00923237">
        <w:tc>
          <w:tcPr>
            <w:tcW w:w="1093" w:type="pct"/>
            <w:hideMark/>
          </w:tcPr>
          <w:p w14:paraId="1D7786EE" w14:textId="77777777" w:rsidR="00A4606E" w:rsidRPr="00923237" w:rsidRDefault="00A4606E" w:rsidP="00FF113C">
            <w:pPr>
              <w:pStyle w:val="NoSpacing"/>
              <w:rPr>
                <w:rFonts w:cstheme="minorHAnsi"/>
              </w:rPr>
            </w:pPr>
            <w:r w:rsidRPr="00923237">
              <w:rPr>
                <w:rFonts w:cstheme="minorHAnsi"/>
              </w:rPr>
              <w:t>Debt due in 1 year/total debt</w:t>
            </w:r>
          </w:p>
        </w:tc>
        <w:tc>
          <w:tcPr>
            <w:tcW w:w="274" w:type="pct"/>
            <w:hideMark/>
          </w:tcPr>
          <w:p w14:paraId="0D8023EB" w14:textId="77777777" w:rsidR="00A4606E" w:rsidRPr="00923237" w:rsidRDefault="00A4606E" w:rsidP="00FF113C">
            <w:pPr>
              <w:pStyle w:val="NoSpacing"/>
              <w:rPr>
                <w:rFonts w:cstheme="minorHAnsi"/>
              </w:rPr>
            </w:pPr>
            <w:r w:rsidRPr="00923237">
              <w:rPr>
                <w:rFonts w:cstheme="minorHAnsi"/>
              </w:rPr>
              <w:t>134</w:t>
            </w:r>
          </w:p>
        </w:tc>
        <w:tc>
          <w:tcPr>
            <w:tcW w:w="523" w:type="pct"/>
            <w:hideMark/>
          </w:tcPr>
          <w:p w14:paraId="07EE9E7B" w14:textId="77777777" w:rsidR="00A4606E" w:rsidRPr="00923237" w:rsidRDefault="00A4606E" w:rsidP="00FF113C">
            <w:pPr>
              <w:pStyle w:val="NoSpacing"/>
              <w:rPr>
                <w:rFonts w:cstheme="minorHAnsi"/>
              </w:rPr>
            </w:pPr>
            <w:r w:rsidRPr="00923237">
              <w:rPr>
                <w:rFonts w:cstheme="minorHAnsi"/>
              </w:rPr>
              <w:t>0.125</w:t>
            </w:r>
          </w:p>
        </w:tc>
        <w:tc>
          <w:tcPr>
            <w:tcW w:w="523" w:type="pct"/>
            <w:hideMark/>
          </w:tcPr>
          <w:p w14:paraId="68427952" w14:textId="77777777" w:rsidR="00A4606E" w:rsidRPr="00923237" w:rsidRDefault="00A4606E" w:rsidP="00FF113C">
            <w:pPr>
              <w:pStyle w:val="NoSpacing"/>
              <w:rPr>
                <w:rFonts w:cstheme="minorHAnsi"/>
              </w:rPr>
            </w:pPr>
            <w:r w:rsidRPr="00923237">
              <w:rPr>
                <w:rFonts w:cstheme="minorHAnsi"/>
              </w:rPr>
              <w:t>0.237</w:t>
            </w:r>
          </w:p>
        </w:tc>
        <w:tc>
          <w:tcPr>
            <w:tcW w:w="467" w:type="pct"/>
            <w:hideMark/>
          </w:tcPr>
          <w:p w14:paraId="5935382C" w14:textId="77777777" w:rsidR="00A4606E" w:rsidRPr="00923237" w:rsidRDefault="00A4606E" w:rsidP="00FF113C">
            <w:pPr>
              <w:pStyle w:val="NoSpacing"/>
              <w:rPr>
                <w:rFonts w:cstheme="minorHAnsi"/>
              </w:rPr>
            </w:pPr>
            <w:r w:rsidRPr="00923237">
              <w:rPr>
                <w:rFonts w:cstheme="minorHAnsi"/>
              </w:rPr>
              <w:t>0.000</w:t>
            </w:r>
          </w:p>
        </w:tc>
        <w:tc>
          <w:tcPr>
            <w:tcW w:w="470" w:type="pct"/>
            <w:hideMark/>
          </w:tcPr>
          <w:p w14:paraId="69B8D3B6" w14:textId="77777777" w:rsidR="00A4606E" w:rsidRPr="00923237" w:rsidRDefault="00A4606E" w:rsidP="00FF113C">
            <w:pPr>
              <w:pStyle w:val="NoSpacing"/>
              <w:rPr>
                <w:rFonts w:cstheme="minorHAnsi"/>
              </w:rPr>
            </w:pPr>
            <w:r w:rsidRPr="00923237">
              <w:rPr>
                <w:rFonts w:cstheme="minorHAnsi"/>
              </w:rPr>
              <w:t>0.005</w:t>
            </w:r>
          </w:p>
        </w:tc>
        <w:tc>
          <w:tcPr>
            <w:tcW w:w="523" w:type="pct"/>
            <w:hideMark/>
          </w:tcPr>
          <w:p w14:paraId="729EE440" w14:textId="77777777" w:rsidR="00A4606E" w:rsidRPr="00923237" w:rsidRDefault="00A4606E" w:rsidP="00FF113C">
            <w:pPr>
              <w:pStyle w:val="NoSpacing"/>
              <w:rPr>
                <w:rFonts w:cstheme="minorHAnsi"/>
              </w:rPr>
            </w:pPr>
            <w:r w:rsidRPr="00923237">
              <w:rPr>
                <w:rFonts w:cstheme="minorHAnsi"/>
              </w:rPr>
              <w:t>0.036</w:t>
            </w:r>
          </w:p>
        </w:tc>
        <w:tc>
          <w:tcPr>
            <w:tcW w:w="523" w:type="pct"/>
            <w:hideMark/>
          </w:tcPr>
          <w:p w14:paraId="54A7641C" w14:textId="77777777" w:rsidR="00A4606E" w:rsidRPr="00923237" w:rsidRDefault="00A4606E" w:rsidP="00FF113C">
            <w:pPr>
              <w:pStyle w:val="NoSpacing"/>
              <w:rPr>
                <w:rFonts w:cstheme="minorHAnsi"/>
              </w:rPr>
            </w:pPr>
            <w:r w:rsidRPr="00923237">
              <w:rPr>
                <w:rFonts w:cstheme="minorHAnsi"/>
              </w:rPr>
              <w:t>0.101</w:t>
            </w:r>
          </w:p>
        </w:tc>
        <w:tc>
          <w:tcPr>
            <w:tcW w:w="605" w:type="pct"/>
            <w:hideMark/>
          </w:tcPr>
          <w:p w14:paraId="34B85F90" w14:textId="77777777" w:rsidR="00A4606E" w:rsidRPr="00923237" w:rsidRDefault="00A4606E" w:rsidP="00FF113C">
            <w:pPr>
              <w:pStyle w:val="NoSpacing"/>
              <w:rPr>
                <w:rFonts w:cstheme="minorHAnsi"/>
              </w:rPr>
            </w:pPr>
            <w:r w:rsidRPr="00923237">
              <w:rPr>
                <w:rFonts w:cstheme="minorHAnsi"/>
              </w:rPr>
              <w:t>0.841</w:t>
            </w:r>
          </w:p>
        </w:tc>
      </w:tr>
      <w:tr w:rsidR="00A4606E" w:rsidRPr="00923237" w14:paraId="3511349E" w14:textId="77777777" w:rsidTr="00923237">
        <w:tc>
          <w:tcPr>
            <w:tcW w:w="1093" w:type="pct"/>
            <w:hideMark/>
          </w:tcPr>
          <w:p w14:paraId="7510AAE2" w14:textId="77777777" w:rsidR="00A4606E" w:rsidRPr="00923237" w:rsidRDefault="00A4606E" w:rsidP="00FF113C">
            <w:pPr>
              <w:pStyle w:val="NoSpacing"/>
              <w:rPr>
                <w:rFonts w:cstheme="minorHAnsi"/>
              </w:rPr>
            </w:pPr>
            <w:r w:rsidRPr="00923237">
              <w:rPr>
                <w:rFonts w:cstheme="minorHAnsi"/>
              </w:rPr>
              <w:t>Debt due in 2–3 year/total debt</w:t>
            </w:r>
          </w:p>
        </w:tc>
        <w:tc>
          <w:tcPr>
            <w:tcW w:w="274" w:type="pct"/>
            <w:hideMark/>
          </w:tcPr>
          <w:p w14:paraId="1B789272" w14:textId="77777777" w:rsidR="00A4606E" w:rsidRPr="00923237" w:rsidRDefault="00A4606E" w:rsidP="00FF113C">
            <w:pPr>
              <w:pStyle w:val="NoSpacing"/>
              <w:rPr>
                <w:rFonts w:cstheme="minorHAnsi"/>
              </w:rPr>
            </w:pPr>
            <w:r w:rsidRPr="00923237">
              <w:rPr>
                <w:rFonts w:cstheme="minorHAnsi"/>
              </w:rPr>
              <w:t>134</w:t>
            </w:r>
          </w:p>
        </w:tc>
        <w:tc>
          <w:tcPr>
            <w:tcW w:w="523" w:type="pct"/>
            <w:hideMark/>
          </w:tcPr>
          <w:p w14:paraId="7B96DA14" w14:textId="77777777" w:rsidR="00A4606E" w:rsidRPr="00923237" w:rsidRDefault="00A4606E" w:rsidP="00FF113C">
            <w:pPr>
              <w:pStyle w:val="NoSpacing"/>
              <w:rPr>
                <w:rFonts w:cstheme="minorHAnsi"/>
              </w:rPr>
            </w:pPr>
            <w:r w:rsidRPr="00923237">
              <w:rPr>
                <w:rFonts w:cstheme="minorHAnsi"/>
              </w:rPr>
              <w:t>0.204</w:t>
            </w:r>
          </w:p>
        </w:tc>
        <w:tc>
          <w:tcPr>
            <w:tcW w:w="523" w:type="pct"/>
            <w:hideMark/>
          </w:tcPr>
          <w:p w14:paraId="65393A15" w14:textId="77777777" w:rsidR="00A4606E" w:rsidRPr="00923237" w:rsidRDefault="00A4606E" w:rsidP="00FF113C">
            <w:pPr>
              <w:pStyle w:val="NoSpacing"/>
              <w:rPr>
                <w:rFonts w:cstheme="minorHAnsi"/>
              </w:rPr>
            </w:pPr>
            <w:r w:rsidRPr="00923237">
              <w:rPr>
                <w:rFonts w:cstheme="minorHAnsi"/>
              </w:rPr>
              <w:t>0.242</w:t>
            </w:r>
          </w:p>
        </w:tc>
        <w:tc>
          <w:tcPr>
            <w:tcW w:w="467" w:type="pct"/>
            <w:hideMark/>
          </w:tcPr>
          <w:p w14:paraId="5F762B8B" w14:textId="77777777" w:rsidR="00A4606E" w:rsidRPr="00923237" w:rsidRDefault="00A4606E" w:rsidP="00FF113C">
            <w:pPr>
              <w:pStyle w:val="NoSpacing"/>
              <w:rPr>
                <w:rFonts w:cstheme="minorHAnsi"/>
              </w:rPr>
            </w:pPr>
            <w:r w:rsidRPr="00923237">
              <w:rPr>
                <w:rFonts w:cstheme="minorHAnsi"/>
              </w:rPr>
              <w:t>0.000</w:t>
            </w:r>
          </w:p>
        </w:tc>
        <w:tc>
          <w:tcPr>
            <w:tcW w:w="470" w:type="pct"/>
            <w:hideMark/>
          </w:tcPr>
          <w:p w14:paraId="53714D42" w14:textId="77777777" w:rsidR="00A4606E" w:rsidRPr="00923237" w:rsidRDefault="00A4606E" w:rsidP="00FF113C">
            <w:pPr>
              <w:pStyle w:val="NoSpacing"/>
              <w:rPr>
                <w:rFonts w:cstheme="minorHAnsi"/>
              </w:rPr>
            </w:pPr>
            <w:r w:rsidRPr="00923237">
              <w:rPr>
                <w:rFonts w:cstheme="minorHAnsi"/>
              </w:rPr>
              <w:t>0.042</w:t>
            </w:r>
          </w:p>
        </w:tc>
        <w:tc>
          <w:tcPr>
            <w:tcW w:w="523" w:type="pct"/>
            <w:hideMark/>
          </w:tcPr>
          <w:p w14:paraId="3CADCE0B" w14:textId="77777777" w:rsidR="00A4606E" w:rsidRPr="00923237" w:rsidRDefault="00A4606E" w:rsidP="00FF113C">
            <w:pPr>
              <w:pStyle w:val="NoSpacing"/>
              <w:rPr>
                <w:rFonts w:cstheme="minorHAnsi"/>
              </w:rPr>
            </w:pPr>
            <w:r w:rsidRPr="00923237">
              <w:rPr>
                <w:rFonts w:cstheme="minorHAnsi"/>
              </w:rPr>
              <w:t>0.131</w:t>
            </w:r>
          </w:p>
        </w:tc>
        <w:tc>
          <w:tcPr>
            <w:tcW w:w="523" w:type="pct"/>
            <w:hideMark/>
          </w:tcPr>
          <w:p w14:paraId="72C65981" w14:textId="77777777" w:rsidR="00A4606E" w:rsidRPr="00923237" w:rsidRDefault="00A4606E" w:rsidP="00FF113C">
            <w:pPr>
              <w:pStyle w:val="NoSpacing"/>
              <w:rPr>
                <w:rFonts w:cstheme="minorHAnsi"/>
              </w:rPr>
            </w:pPr>
            <w:r w:rsidRPr="00923237">
              <w:rPr>
                <w:rFonts w:cstheme="minorHAnsi"/>
              </w:rPr>
              <w:t>0.239</w:t>
            </w:r>
          </w:p>
        </w:tc>
        <w:tc>
          <w:tcPr>
            <w:tcW w:w="605" w:type="pct"/>
            <w:hideMark/>
          </w:tcPr>
          <w:p w14:paraId="3E649E14" w14:textId="77777777" w:rsidR="00A4606E" w:rsidRPr="00923237" w:rsidRDefault="00A4606E" w:rsidP="00FF113C">
            <w:pPr>
              <w:pStyle w:val="NoSpacing"/>
              <w:rPr>
                <w:rFonts w:cstheme="minorHAnsi"/>
              </w:rPr>
            </w:pPr>
            <w:r w:rsidRPr="00923237">
              <w:rPr>
                <w:rFonts w:cstheme="minorHAnsi"/>
              </w:rPr>
              <w:t>0.859</w:t>
            </w:r>
          </w:p>
        </w:tc>
      </w:tr>
      <w:tr w:rsidR="00A4606E" w:rsidRPr="00923237" w14:paraId="1F9FCDFA" w14:textId="77777777" w:rsidTr="00923237">
        <w:tc>
          <w:tcPr>
            <w:tcW w:w="1093" w:type="pct"/>
            <w:hideMark/>
          </w:tcPr>
          <w:p w14:paraId="701C5295" w14:textId="77777777" w:rsidR="00A4606E" w:rsidRPr="00923237" w:rsidRDefault="00A4606E" w:rsidP="00FF113C">
            <w:pPr>
              <w:pStyle w:val="NoSpacing"/>
              <w:rPr>
                <w:rFonts w:cstheme="minorHAnsi"/>
              </w:rPr>
            </w:pPr>
            <w:r w:rsidRPr="00923237">
              <w:rPr>
                <w:rFonts w:cstheme="minorHAnsi"/>
              </w:rPr>
              <w:t>Board meetings</w:t>
            </w:r>
          </w:p>
        </w:tc>
        <w:tc>
          <w:tcPr>
            <w:tcW w:w="274" w:type="pct"/>
            <w:hideMark/>
          </w:tcPr>
          <w:p w14:paraId="09991F62" w14:textId="77777777" w:rsidR="00A4606E" w:rsidRPr="00923237" w:rsidRDefault="00A4606E" w:rsidP="00FF113C">
            <w:pPr>
              <w:pStyle w:val="NoSpacing"/>
              <w:rPr>
                <w:rFonts w:cstheme="minorHAnsi"/>
              </w:rPr>
            </w:pPr>
            <w:r w:rsidRPr="00923237">
              <w:rPr>
                <w:rFonts w:cstheme="minorHAnsi"/>
              </w:rPr>
              <w:t>132</w:t>
            </w:r>
          </w:p>
        </w:tc>
        <w:tc>
          <w:tcPr>
            <w:tcW w:w="523" w:type="pct"/>
            <w:hideMark/>
          </w:tcPr>
          <w:p w14:paraId="5255B2D0" w14:textId="77777777" w:rsidR="00A4606E" w:rsidRPr="00923237" w:rsidRDefault="00A4606E" w:rsidP="00FF113C">
            <w:pPr>
              <w:pStyle w:val="NoSpacing"/>
              <w:rPr>
                <w:rFonts w:cstheme="minorHAnsi"/>
              </w:rPr>
            </w:pPr>
            <w:r w:rsidRPr="00923237">
              <w:rPr>
                <w:rFonts w:cstheme="minorHAnsi"/>
              </w:rPr>
              <w:t>8.076</w:t>
            </w:r>
          </w:p>
        </w:tc>
        <w:tc>
          <w:tcPr>
            <w:tcW w:w="523" w:type="pct"/>
            <w:hideMark/>
          </w:tcPr>
          <w:p w14:paraId="3CB9C8F4" w14:textId="77777777" w:rsidR="00A4606E" w:rsidRPr="00923237" w:rsidRDefault="00A4606E" w:rsidP="00FF113C">
            <w:pPr>
              <w:pStyle w:val="NoSpacing"/>
              <w:rPr>
                <w:rFonts w:cstheme="minorHAnsi"/>
              </w:rPr>
            </w:pPr>
            <w:r w:rsidRPr="00923237">
              <w:rPr>
                <w:rFonts w:cstheme="minorHAnsi"/>
              </w:rPr>
              <w:t>3.775</w:t>
            </w:r>
          </w:p>
        </w:tc>
        <w:tc>
          <w:tcPr>
            <w:tcW w:w="467" w:type="pct"/>
            <w:hideMark/>
          </w:tcPr>
          <w:p w14:paraId="3E5F07FD" w14:textId="77777777" w:rsidR="00A4606E" w:rsidRPr="00923237" w:rsidRDefault="00A4606E" w:rsidP="00FF113C">
            <w:pPr>
              <w:pStyle w:val="NoSpacing"/>
              <w:rPr>
                <w:rFonts w:cstheme="minorHAnsi"/>
              </w:rPr>
            </w:pPr>
            <w:r w:rsidRPr="00923237">
              <w:rPr>
                <w:rFonts w:cstheme="minorHAnsi"/>
              </w:rPr>
              <w:t>4.000</w:t>
            </w:r>
          </w:p>
        </w:tc>
        <w:tc>
          <w:tcPr>
            <w:tcW w:w="470" w:type="pct"/>
            <w:hideMark/>
          </w:tcPr>
          <w:p w14:paraId="5EC25C76" w14:textId="77777777" w:rsidR="00A4606E" w:rsidRPr="00923237" w:rsidRDefault="00A4606E" w:rsidP="00FF113C">
            <w:pPr>
              <w:pStyle w:val="NoSpacing"/>
              <w:rPr>
                <w:rFonts w:cstheme="minorHAnsi"/>
              </w:rPr>
            </w:pPr>
            <w:r w:rsidRPr="00923237">
              <w:rPr>
                <w:rFonts w:cstheme="minorHAnsi"/>
              </w:rPr>
              <w:t>5.000</w:t>
            </w:r>
          </w:p>
        </w:tc>
        <w:tc>
          <w:tcPr>
            <w:tcW w:w="523" w:type="pct"/>
            <w:hideMark/>
          </w:tcPr>
          <w:p w14:paraId="6161F5C1" w14:textId="77777777" w:rsidR="00A4606E" w:rsidRPr="00923237" w:rsidRDefault="00A4606E" w:rsidP="00FF113C">
            <w:pPr>
              <w:pStyle w:val="NoSpacing"/>
              <w:rPr>
                <w:rFonts w:cstheme="minorHAnsi"/>
              </w:rPr>
            </w:pPr>
            <w:r w:rsidRPr="00923237">
              <w:rPr>
                <w:rFonts w:cstheme="minorHAnsi"/>
              </w:rPr>
              <w:t>7.000</w:t>
            </w:r>
          </w:p>
        </w:tc>
        <w:tc>
          <w:tcPr>
            <w:tcW w:w="523" w:type="pct"/>
            <w:hideMark/>
          </w:tcPr>
          <w:p w14:paraId="061DD39E" w14:textId="77777777" w:rsidR="00A4606E" w:rsidRPr="00923237" w:rsidRDefault="00A4606E" w:rsidP="00FF113C">
            <w:pPr>
              <w:pStyle w:val="NoSpacing"/>
              <w:rPr>
                <w:rFonts w:cstheme="minorHAnsi"/>
              </w:rPr>
            </w:pPr>
            <w:r w:rsidRPr="00923237">
              <w:rPr>
                <w:rFonts w:cstheme="minorHAnsi"/>
              </w:rPr>
              <w:t>10.000</w:t>
            </w:r>
          </w:p>
        </w:tc>
        <w:tc>
          <w:tcPr>
            <w:tcW w:w="605" w:type="pct"/>
            <w:hideMark/>
          </w:tcPr>
          <w:p w14:paraId="414C1A75" w14:textId="77777777" w:rsidR="00A4606E" w:rsidRPr="00923237" w:rsidRDefault="00A4606E" w:rsidP="00FF113C">
            <w:pPr>
              <w:pStyle w:val="NoSpacing"/>
              <w:rPr>
                <w:rFonts w:cstheme="minorHAnsi"/>
              </w:rPr>
            </w:pPr>
            <w:r w:rsidRPr="00923237">
              <w:rPr>
                <w:rFonts w:cstheme="minorHAnsi"/>
              </w:rPr>
              <w:t>16.000</w:t>
            </w:r>
          </w:p>
        </w:tc>
      </w:tr>
      <w:tr w:rsidR="00A4606E" w:rsidRPr="00923237" w14:paraId="03F45D6A" w14:textId="77777777" w:rsidTr="00923237">
        <w:tc>
          <w:tcPr>
            <w:tcW w:w="1093" w:type="pct"/>
            <w:hideMark/>
          </w:tcPr>
          <w:p w14:paraId="50ADB0A2" w14:textId="77777777" w:rsidR="00A4606E" w:rsidRPr="00923237" w:rsidRDefault="00A4606E" w:rsidP="00FF113C">
            <w:pPr>
              <w:pStyle w:val="NoSpacing"/>
              <w:rPr>
                <w:rFonts w:cstheme="minorHAnsi"/>
              </w:rPr>
            </w:pPr>
            <w:r w:rsidRPr="00923237">
              <w:rPr>
                <w:rFonts w:cstheme="minorHAnsi"/>
              </w:rPr>
              <w:t>Audit meetings</w:t>
            </w:r>
          </w:p>
        </w:tc>
        <w:tc>
          <w:tcPr>
            <w:tcW w:w="274" w:type="pct"/>
            <w:hideMark/>
          </w:tcPr>
          <w:p w14:paraId="325E1543" w14:textId="77777777" w:rsidR="00A4606E" w:rsidRPr="00923237" w:rsidRDefault="00A4606E" w:rsidP="00FF113C">
            <w:pPr>
              <w:pStyle w:val="NoSpacing"/>
              <w:rPr>
                <w:rFonts w:cstheme="minorHAnsi"/>
              </w:rPr>
            </w:pPr>
            <w:r w:rsidRPr="00923237">
              <w:rPr>
                <w:rFonts w:cstheme="minorHAnsi"/>
              </w:rPr>
              <w:t>132</w:t>
            </w:r>
          </w:p>
        </w:tc>
        <w:tc>
          <w:tcPr>
            <w:tcW w:w="523" w:type="pct"/>
            <w:hideMark/>
          </w:tcPr>
          <w:p w14:paraId="5E628015" w14:textId="77777777" w:rsidR="00A4606E" w:rsidRPr="00923237" w:rsidRDefault="00A4606E" w:rsidP="00FF113C">
            <w:pPr>
              <w:pStyle w:val="NoSpacing"/>
              <w:rPr>
                <w:rFonts w:cstheme="minorHAnsi"/>
              </w:rPr>
            </w:pPr>
            <w:r w:rsidRPr="00923237">
              <w:rPr>
                <w:rFonts w:cstheme="minorHAnsi"/>
              </w:rPr>
              <w:t>7.227</w:t>
            </w:r>
          </w:p>
        </w:tc>
        <w:tc>
          <w:tcPr>
            <w:tcW w:w="523" w:type="pct"/>
            <w:hideMark/>
          </w:tcPr>
          <w:p w14:paraId="03D8902E" w14:textId="77777777" w:rsidR="00A4606E" w:rsidRPr="00923237" w:rsidRDefault="00A4606E" w:rsidP="00FF113C">
            <w:pPr>
              <w:pStyle w:val="NoSpacing"/>
              <w:rPr>
                <w:rFonts w:cstheme="minorHAnsi"/>
              </w:rPr>
            </w:pPr>
            <w:r w:rsidRPr="00923237">
              <w:rPr>
                <w:rFonts w:cstheme="minorHAnsi"/>
              </w:rPr>
              <w:t>3.005</w:t>
            </w:r>
          </w:p>
        </w:tc>
        <w:tc>
          <w:tcPr>
            <w:tcW w:w="467" w:type="pct"/>
            <w:hideMark/>
          </w:tcPr>
          <w:p w14:paraId="261FF36E" w14:textId="77777777" w:rsidR="00A4606E" w:rsidRPr="00923237" w:rsidRDefault="00A4606E" w:rsidP="00FF113C">
            <w:pPr>
              <w:pStyle w:val="NoSpacing"/>
              <w:rPr>
                <w:rFonts w:cstheme="minorHAnsi"/>
              </w:rPr>
            </w:pPr>
            <w:r w:rsidRPr="00923237">
              <w:rPr>
                <w:rFonts w:cstheme="minorHAnsi"/>
              </w:rPr>
              <w:t>4.000</w:t>
            </w:r>
          </w:p>
        </w:tc>
        <w:tc>
          <w:tcPr>
            <w:tcW w:w="470" w:type="pct"/>
            <w:hideMark/>
          </w:tcPr>
          <w:p w14:paraId="32CA77B6" w14:textId="77777777" w:rsidR="00A4606E" w:rsidRPr="00923237" w:rsidRDefault="00A4606E" w:rsidP="00FF113C">
            <w:pPr>
              <w:pStyle w:val="NoSpacing"/>
              <w:rPr>
                <w:rFonts w:cstheme="minorHAnsi"/>
              </w:rPr>
            </w:pPr>
            <w:r w:rsidRPr="00923237">
              <w:rPr>
                <w:rFonts w:cstheme="minorHAnsi"/>
              </w:rPr>
              <w:t>5.000</w:t>
            </w:r>
          </w:p>
        </w:tc>
        <w:tc>
          <w:tcPr>
            <w:tcW w:w="523" w:type="pct"/>
            <w:hideMark/>
          </w:tcPr>
          <w:p w14:paraId="1C5F562A" w14:textId="77777777" w:rsidR="00A4606E" w:rsidRPr="00923237" w:rsidRDefault="00A4606E" w:rsidP="00FF113C">
            <w:pPr>
              <w:pStyle w:val="NoSpacing"/>
              <w:rPr>
                <w:rFonts w:cstheme="minorHAnsi"/>
              </w:rPr>
            </w:pPr>
            <w:r w:rsidRPr="00923237">
              <w:rPr>
                <w:rFonts w:cstheme="minorHAnsi"/>
              </w:rPr>
              <w:t>7.000</w:t>
            </w:r>
          </w:p>
        </w:tc>
        <w:tc>
          <w:tcPr>
            <w:tcW w:w="523" w:type="pct"/>
            <w:hideMark/>
          </w:tcPr>
          <w:p w14:paraId="107942F5" w14:textId="77777777" w:rsidR="00A4606E" w:rsidRPr="00923237" w:rsidRDefault="00A4606E" w:rsidP="00FF113C">
            <w:pPr>
              <w:pStyle w:val="NoSpacing"/>
              <w:rPr>
                <w:rFonts w:cstheme="minorHAnsi"/>
              </w:rPr>
            </w:pPr>
            <w:r w:rsidRPr="00923237">
              <w:rPr>
                <w:rFonts w:cstheme="minorHAnsi"/>
              </w:rPr>
              <w:t>9.000</w:t>
            </w:r>
          </w:p>
        </w:tc>
        <w:tc>
          <w:tcPr>
            <w:tcW w:w="605" w:type="pct"/>
            <w:hideMark/>
          </w:tcPr>
          <w:p w14:paraId="170A5F3D" w14:textId="77777777" w:rsidR="00A4606E" w:rsidRPr="00923237" w:rsidRDefault="00A4606E" w:rsidP="00FF113C">
            <w:pPr>
              <w:pStyle w:val="NoSpacing"/>
              <w:rPr>
                <w:rFonts w:cstheme="minorHAnsi"/>
              </w:rPr>
            </w:pPr>
            <w:r w:rsidRPr="00923237">
              <w:rPr>
                <w:rFonts w:cstheme="minorHAnsi"/>
              </w:rPr>
              <w:t>12.000</w:t>
            </w:r>
          </w:p>
        </w:tc>
      </w:tr>
      <w:tr w:rsidR="00A4606E" w:rsidRPr="00923237" w14:paraId="74B1AE52" w14:textId="77777777" w:rsidTr="00923237">
        <w:tc>
          <w:tcPr>
            <w:tcW w:w="1093" w:type="pct"/>
            <w:hideMark/>
          </w:tcPr>
          <w:p w14:paraId="50B04C1A" w14:textId="77777777" w:rsidR="00A4606E" w:rsidRPr="00923237" w:rsidRDefault="00A4606E" w:rsidP="00FF113C">
            <w:pPr>
              <w:pStyle w:val="NoSpacing"/>
              <w:rPr>
                <w:rFonts w:cstheme="minorHAnsi"/>
              </w:rPr>
            </w:pPr>
            <w:r w:rsidRPr="00923237">
              <w:rPr>
                <w:rFonts w:cstheme="minorHAnsi"/>
              </w:rPr>
              <w:t>Comp. meeting</w:t>
            </w:r>
          </w:p>
        </w:tc>
        <w:tc>
          <w:tcPr>
            <w:tcW w:w="274" w:type="pct"/>
            <w:hideMark/>
          </w:tcPr>
          <w:p w14:paraId="16645BD0" w14:textId="77777777" w:rsidR="00A4606E" w:rsidRPr="00923237" w:rsidRDefault="00A4606E" w:rsidP="00FF113C">
            <w:pPr>
              <w:pStyle w:val="NoSpacing"/>
              <w:rPr>
                <w:rFonts w:cstheme="minorHAnsi"/>
              </w:rPr>
            </w:pPr>
            <w:r w:rsidRPr="00923237">
              <w:rPr>
                <w:rFonts w:cstheme="minorHAnsi"/>
              </w:rPr>
              <w:t>132</w:t>
            </w:r>
          </w:p>
        </w:tc>
        <w:tc>
          <w:tcPr>
            <w:tcW w:w="523" w:type="pct"/>
            <w:hideMark/>
          </w:tcPr>
          <w:p w14:paraId="2322F04A" w14:textId="77777777" w:rsidR="00A4606E" w:rsidRPr="00923237" w:rsidRDefault="00A4606E" w:rsidP="00FF113C">
            <w:pPr>
              <w:pStyle w:val="NoSpacing"/>
              <w:rPr>
                <w:rFonts w:cstheme="minorHAnsi"/>
              </w:rPr>
            </w:pPr>
            <w:r w:rsidRPr="00923237">
              <w:rPr>
                <w:rFonts w:cstheme="minorHAnsi"/>
              </w:rPr>
              <w:t>4.417</w:t>
            </w:r>
          </w:p>
        </w:tc>
        <w:tc>
          <w:tcPr>
            <w:tcW w:w="523" w:type="pct"/>
            <w:hideMark/>
          </w:tcPr>
          <w:p w14:paraId="0E69036E" w14:textId="77777777" w:rsidR="00A4606E" w:rsidRPr="00923237" w:rsidRDefault="00A4606E" w:rsidP="00FF113C">
            <w:pPr>
              <w:pStyle w:val="NoSpacing"/>
              <w:rPr>
                <w:rFonts w:cstheme="minorHAnsi"/>
              </w:rPr>
            </w:pPr>
            <w:r w:rsidRPr="00923237">
              <w:rPr>
                <w:rFonts w:cstheme="minorHAnsi"/>
              </w:rPr>
              <w:t>2.815</w:t>
            </w:r>
          </w:p>
        </w:tc>
        <w:tc>
          <w:tcPr>
            <w:tcW w:w="467" w:type="pct"/>
            <w:hideMark/>
          </w:tcPr>
          <w:p w14:paraId="6DB53D71" w14:textId="77777777" w:rsidR="00A4606E" w:rsidRPr="00923237" w:rsidRDefault="00A4606E" w:rsidP="00FF113C">
            <w:pPr>
              <w:pStyle w:val="NoSpacing"/>
              <w:rPr>
                <w:rFonts w:cstheme="minorHAnsi"/>
              </w:rPr>
            </w:pPr>
            <w:r w:rsidRPr="00923237">
              <w:rPr>
                <w:rFonts w:cstheme="minorHAnsi"/>
              </w:rPr>
              <w:t>1.000</w:t>
            </w:r>
          </w:p>
        </w:tc>
        <w:tc>
          <w:tcPr>
            <w:tcW w:w="470" w:type="pct"/>
            <w:hideMark/>
          </w:tcPr>
          <w:p w14:paraId="5D0317E1" w14:textId="77777777" w:rsidR="00A4606E" w:rsidRPr="00923237" w:rsidRDefault="00A4606E" w:rsidP="00FF113C">
            <w:pPr>
              <w:pStyle w:val="NoSpacing"/>
              <w:rPr>
                <w:rFonts w:cstheme="minorHAnsi"/>
              </w:rPr>
            </w:pPr>
            <w:r w:rsidRPr="00923237">
              <w:rPr>
                <w:rFonts w:cstheme="minorHAnsi"/>
              </w:rPr>
              <w:t>3.000</w:t>
            </w:r>
          </w:p>
        </w:tc>
        <w:tc>
          <w:tcPr>
            <w:tcW w:w="523" w:type="pct"/>
            <w:hideMark/>
          </w:tcPr>
          <w:p w14:paraId="5AB7E815" w14:textId="77777777" w:rsidR="00A4606E" w:rsidRPr="00923237" w:rsidRDefault="00A4606E" w:rsidP="00FF113C">
            <w:pPr>
              <w:pStyle w:val="NoSpacing"/>
              <w:rPr>
                <w:rFonts w:cstheme="minorHAnsi"/>
              </w:rPr>
            </w:pPr>
            <w:r w:rsidRPr="00923237">
              <w:rPr>
                <w:rFonts w:cstheme="minorHAnsi"/>
              </w:rPr>
              <w:t>4.000</w:t>
            </w:r>
          </w:p>
        </w:tc>
        <w:tc>
          <w:tcPr>
            <w:tcW w:w="523" w:type="pct"/>
            <w:hideMark/>
          </w:tcPr>
          <w:p w14:paraId="5C4F4332" w14:textId="77777777" w:rsidR="00A4606E" w:rsidRPr="00923237" w:rsidRDefault="00A4606E" w:rsidP="00FF113C">
            <w:pPr>
              <w:pStyle w:val="NoSpacing"/>
              <w:rPr>
                <w:rFonts w:cstheme="minorHAnsi"/>
              </w:rPr>
            </w:pPr>
            <w:r w:rsidRPr="00923237">
              <w:rPr>
                <w:rFonts w:cstheme="minorHAnsi"/>
              </w:rPr>
              <w:t>6.000</w:t>
            </w:r>
          </w:p>
        </w:tc>
        <w:tc>
          <w:tcPr>
            <w:tcW w:w="605" w:type="pct"/>
            <w:hideMark/>
          </w:tcPr>
          <w:p w14:paraId="67D1BFA3" w14:textId="77777777" w:rsidR="00A4606E" w:rsidRPr="00923237" w:rsidRDefault="00A4606E" w:rsidP="00FF113C">
            <w:pPr>
              <w:pStyle w:val="NoSpacing"/>
              <w:rPr>
                <w:rFonts w:cstheme="minorHAnsi"/>
              </w:rPr>
            </w:pPr>
            <w:r w:rsidRPr="00923237">
              <w:rPr>
                <w:rFonts w:cstheme="minorHAnsi"/>
              </w:rPr>
              <w:t>10.000</w:t>
            </w:r>
          </w:p>
        </w:tc>
      </w:tr>
      <w:tr w:rsidR="00A4606E" w:rsidRPr="00923237" w14:paraId="73750E72" w14:textId="77777777" w:rsidTr="00923237">
        <w:tc>
          <w:tcPr>
            <w:tcW w:w="1093" w:type="pct"/>
            <w:hideMark/>
          </w:tcPr>
          <w:p w14:paraId="5F798562" w14:textId="77777777" w:rsidR="00A4606E" w:rsidRPr="00923237" w:rsidRDefault="00A4606E" w:rsidP="00FF113C">
            <w:pPr>
              <w:pStyle w:val="NoSpacing"/>
              <w:rPr>
                <w:rFonts w:cstheme="minorHAnsi"/>
              </w:rPr>
            </w:pPr>
            <w:r w:rsidRPr="00923237">
              <w:rPr>
                <w:rFonts w:cstheme="minorHAnsi"/>
              </w:rPr>
              <w:t>Gov. &amp; nom meetings</w:t>
            </w:r>
          </w:p>
        </w:tc>
        <w:tc>
          <w:tcPr>
            <w:tcW w:w="274" w:type="pct"/>
            <w:hideMark/>
          </w:tcPr>
          <w:p w14:paraId="53FEFBB5" w14:textId="77777777" w:rsidR="00A4606E" w:rsidRPr="00923237" w:rsidRDefault="00A4606E" w:rsidP="00FF113C">
            <w:pPr>
              <w:pStyle w:val="NoSpacing"/>
              <w:rPr>
                <w:rFonts w:cstheme="minorHAnsi"/>
              </w:rPr>
            </w:pPr>
            <w:r w:rsidRPr="00923237">
              <w:rPr>
                <w:rFonts w:cstheme="minorHAnsi"/>
              </w:rPr>
              <w:t>132</w:t>
            </w:r>
          </w:p>
        </w:tc>
        <w:tc>
          <w:tcPr>
            <w:tcW w:w="523" w:type="pct"/>
            <w:hideMark/>
          </w:tcPr>
          <w:p w14:paraId="780B394D" w14:textId="77777777" w:rsidR="00A4606E" w:rsidRPr="00923237" w:rsidRDefault="00A4606E" w:rsidP="00FF113C">
            <w:pPr>
              <w:pStyle w:val="NoSpacing"/>
              <w:rPr>
                <w:rFonts w:cstheme="minorHAnsi"/>
              </w:rPr>
            </w:pPr>
            <w:r w:rsidRPr="00923237">
              <w:rPr>
                <w:rFonts w:cstheme="minorHAnsi"/>
              </w:rPr>
              <w:t>2.492</w:t>
            </w:r>
          </w:p>
        </w:tc>
        <w:tc>
          <w:tcPr>
            <w:tcW w:w="523" w:type="pct"/>
            <w:hideMark/>
          </w:tcPr>
          <w:p w14:paraId="61A2240D" w14:textId="77777777" w:rsidR="00A4606E" w:rsidRPr="00923237" w:rsidRDefault="00A4606E" w:rsidP="00FF113C">
            <w:pPr>
              <w:pStyle w:val="NoSpacing"/>
              <w:rPr>
                <w:rFonts w:cstheme="minorHAnsi"/>
              </w:rPr>
            </w:pPr>
            <w:r w:rsidRPr="00923237">
              <w:rPr>
                <w:rFonts w:cstheme="minorHAnsi"/>
              </w:rPr>
              <w:t>1.763</w:t>
            </w:r>
          </w:p>
        </w:tc>
        <w:tc>
          <w:tcPr>
            <w:tcW w:w="467" w:type="pct"/>
            <w:hideMark/>
          </w:tcPr>
          <w:p w14:paraId="244DE1EA" w14:textId="77777777" w:rsidR="00A4606E" w:rsidRPr="00923237" w:rsidRDefault="00A4606E" w:rsidP="00FF113C">
            <w:pPr>
              <w:pStyle w:val="NoSpacing"/>
              <w:rPr>
                <w:rFonts w:cstheme="minorHAnsi"/>
              </w:rPr>
            </w:pPr>
            <w:r w:rsidRPr="00923237">
              <w:rPr>
                <w:rFonts w:cstheme="minorHAnsi"/>
              </w:rPr>
              <w:t>0.000</w:t>
            </w:r>
          </w:p>
        </w:tc>
        <w:tc>
          <w:tcPr>
            <w:tcW w:w="470" w:type="pct"/>
            <w:hideMark/>
          </w:tcPr>
          <w:p w14:paraId="5AE083A8" w14:textId="77777777" w:rsidR="00A4606E" w:rsidRPr="00923237" w:rsidRDefault="00A4606E" w:rsidP="00FF113C">
            <w:pPr>
              <w:pStyle w:val="NoSpacing"/>
              <w:rPr>
                <w:rFonts w:cstheme="minorHAnsi"/>
              </w:rPr>
            </w:pPr>
            <w:r w:rsidRPr="00923237">
              <w:rPr>
                <w:rFonts w:cstheme="minorHAnsi"/>
              </w:rPr>
              <w:t>1.000</w:t>
            </w:r>
          </w:p>
        </w:tc>
        <w:tc>
          <w:tcPr>
            <w:tcW w:w="523" w:type="pct"/>
            <w:hideMark/>
          </w:tcPr>
          <w:p w14:paraId="72279FF7" w14:textId="77777777" w:rsidR="00A4606E" w:rsidRPr="00923237" w:rsidRDefault="00A4606E" w:rsidP="00FF113C">
            <w:pPr>
              <w:pStyle w:val="NoSpacing"/>
              <w:rPr>
                <w:rFonts w:cstheme="minorHAnsi"/>
              </w:rPr>
            </w:pPr>
            <w:r w:rsidRPr="00923237">
              <w:rPr>
                <w:rFonts w:cstheme="minorHAnsi"/>
              </w:rPr>
              <w:t>2.000</w:t>
            </w:r>
          </w:p>
        </w:tc>
        <w:tc>
          <w:tcPr>
            <w:tcW w:w="523" w:type="pct"/>
            <w:hideMark/>
          </w:tcPr>
          <w:p w14:paraId="7530C20F" w14:textId="77777777" w:rsidR="00A4606E" w:rsidRPr="00923237" w:rsidRDefault="00A4606E" w:rsidP="00FF113C">
            <w:pPr>
              <w:pStyle w:val="NoSpacing"/>
              <w:rPr>
                <w:rFonts w:cstheme="minorHAnsi"/>
              </w:rPr>
            </w:pPr>
            <w:r w:rsidRPr="00923237">
              <w:rPr>
                <w:rFonts w:cstheme="minorHAnsi"/>
              </w:rPr>
              <w:t>4.000</w:t>
            </w:r>
          </w:p>
        </w:tc>
        <w:tc>
          <w:tcPr>
            <w:tcW w:w="605" w:type="pct"/>
            <w:hideMark/>
          </w:tcPr>
          <w:p w14:paraId="6A91B90D" w14:textId="77777777" w:rsidR="00A4606E" w:rsidRPr="00923237" w:rsidRDefault="00A4606E" w:rsidP="00FF113C">
            <w:pPr>
              <w:pStyle w:val="NoSpacing"/>
              <w:rPr>
                <w:rFonts w:cstheme="minorHAnsi"/>
              </w:rPr>
            </w:pPr>
            <w:r w:rsidRPr="00923237">
              <w:rPr>
                <w:rFonts w:cstheme="minorHAnsi"/>
              </w:rPr>
              <w:t>6.000</w:t>
            </w:r>
          </w:p>
        </w:tc>
      </w:tr>
      <w:tr w:rsidR="00A4606E" w:rsidRPr="00923237" w14:paraId="72FAA4A0" w14:textId="77777777" w:rsidTr="00923237">
        <w:tc>
          <w:tcPr>
            <w:tcW w:w="1093" w:type="pct"/>
            <w:hideMark/>
          </w:tcPr>
          <w:p w14:paraId="6CB82CBD" w14:textId="77777777" w:rsidR="00A4606E" w:rsidRPr="00923237" w:rsidRDefault="00A4606E" w:rsidP="00FF113C">
            <w:pPr>
              <w:pStyle w:val="NoSpacing"/>
              <w:rPr>
                <w:rFonts w:cstheme="minorHAnsi"/>
              </w:rPr>
            </w:pPr>
            <w:r w:rsidRPr="00923237">
              <w:rPr>
                <w:rFonts w:cstheme="minorHAnsi"/>
              </w:rPr>
              <w:t>FIN experience</w:t>
            </w:r>
          </w:p>
        </w:tc>
        <w:tc>
          <w:tcPr>
            <w:tcW w:w="274" w:type="pct"/>
            <w:hideMark/>
          </w:tcPr>
          <w:p w14:paraId="70993C47" w14:textId="77777777" w:rsidR="00A4606E" w:rsidRPr="00923237" w:rsidRDefault="00A4606E" w:rsidP="00FF113C">
            <w:pPr>
              <w:pStyle w:val="NoSpacing"/>
              <w:rPr>
                <w:rFonts w:cstheme="minorHAnsi"/>
              </w:rPr>
            </w:pPr>
            <w:r w:rsidRPr="00923237">
              <w:rPr>
                <w:rFonts w:cstheme="minorHAnsi"/>
              </w:rPr>
              <w:t>134</w:t>
            </w:r>
          </w:p>
        </w:tc>
        <w:tc>
          <w:tcPr>
            <w:tcW w:w="523" w:type="pct"/>
            <w:hideMark/>
          </w:tcPr>
          <w:p w14:paraId="41AA661B" w14:textId="77777777" w:rsidR="00A4606E" w:rsidRPr="00923237" w:rsidRDefault="00A4606E" w:rsidP="00FF113C">
            <w:pPr>
              <w:pStyle w:val="NoSpacing"/>
              <w:rPr>
                <w:rFonts w:cstheme="minorHAnsi"/>
              </w:rPr>
            </w:pPr>
            <w:r w:rsidRPr="00923237">
              <w:rPr>
                <w:rFonts w:cstheme="minorHAnsi"/>
              </w:rPr>
              <w:t>7.454</w:t>
            </w:r>
          </w:p>
        </w:tc>
        <w:tc>
          <w:tcPr>
            <w:tcW w:w="523" w:type="pct"/>
            <w:hideMark/>
          </w:tcPr>
          <w:p w14:paraId="411BEC74" w14:textId="77777777" w:rsidR="00A4606E" w:rsidRPr="00923237" w:rsidRDefault="00A4606E" w:rsidP="00FF113C">
            <w:pPr>
              <w:pStyle w:val="NoSpacing"/>
              <w:rPr>
                <w:rFonts w:cstheme="minorHAnsi"/>
              </w:rPr>
            </w:pPr>
            <w:r w:rsidRPr="00923237">
              <w:rPr>
                <w:rFonts w:cstheme="minorHAnsi"/>
              </w:rPr>
              <w:t>5.459</w:t>
            </w:r>
          </w:p>
        </w:tc>
        <w:tc>
          <w:tcPr>
            <w:tcW w:w="467" w:type="pct"/>
            <w:hideMark/>
          </w:tcPr>
          <w:p w14:paraId="674B0564" w14:textId="77777777" w:rsidR="00A4606E" w:rsidRPr="00923237" w:rsidRDefault="00A4606E" w:rsidP="00FF113C">
            <w:pPr>
              <w:pStyle w:val="NoSpacing"/>
              <w:rPr>
                <w:rFonts w:cstheme="minorHAnsi"/>
              </w:rPr>
            </w:pPr>
            <w:r w:rsidRPr="00923237">
              <w:rPr>
                <w:rFonts w:cstheme="minorHAnsi"/>
              </w:rPr>
              <w:t>0.000</w:t>
            </w:r>
          </w:p>
        </w:tc>
        <w:tc>
          <w:tcPr>
            <w:tcW w:w="470" w:type="pct"/>
            <w:hideMark/>
          </w:tcPr>
          <w:p w14:paraId="441AB2B5" w14:textId="77777777" w:rsidR="00A4606E" w:rsidRPr="00923237" w:rsidRDefault="00A4606E" w:rsidP="00FF113C">
            <w:pPr>
              <w:pStyle w:val="NoSpacing"/>
              <w:rPr>
                <w:rFonts w:cstheme="minorHAnsi"/>
              </w:rPr>
            </w:pPr>
            <w:r w:rsidRPr="00923237">
              <w:rPr>
                <w:rFonts w:cstheme="minorHAnsi"/>
              </w:rPr>
              <w:t>3.900</w:t>
            </w:r>
          </w:p>
        </w:tc>
        <w:tc>
          <w:tcPr>
            <w:tcW w:w="523" w:type="pct"/>
            <w:hideMark/>
          </w:tcPr>
          <w:p w14:paraId="4F469A60" w14:textId="77777777" w:rsidR="00A4606E" w:rsidRPr="00923237" w:rsidRDefault="00A4606E" w:rsidP="00FF113C">
            <w:pPr>
              <w:pStyle w:val="NoSpacing"/>
              <w:rPr>
                <w:rFonts w:cstheme="minorHAnsi"/>
              </w:rPr>
            </w:pPr>
            <w:r w:rsidRPr="00923237">
              <w:rPr>
                <w:rFonts w:cstheme="minorHAnsi"/>
              </w:rPr>
              <w:t>6.690</w:t>
            </w:r>
          </w:p>
        </w:tc>
        <w:tc>
          <w:tcPr>
            <w:tcW w:w="523" w:type="pct"/>
            <w:hideMark/>
          </w:tcPr>
          <w:p w14:paraId="629D3FCC" w14:textId="77777777" w:rsidR="00A4606E" w:rsidRPr="00923237" w:rsidRDefault="00A4606E" w:rsidP="00FF113C">
            <w:pPr>
              <w:pStyle w:val="NoSpacing"/>
              <w:rPr>
                <w:rFonts w:cstheme="minorHAnsi"/>
              </w:rPr>
            </w:pPr>
            <w:r w:rsidRPr="00923237">
              <w:rPr>
                <w:rFonts w:cstheme="minorHAnsi"/>
              </w:rPr>
              <w:t>9.889</w:t>
            </w:r>
          </w:p>
        </w:tc>
        <w:tc>
          <w:tcPr>
            <w:tcW w:w="605" w:type="pct"/>
            <w:hideMark/>
          </w:tcPr>
          <w:p w14:paraId="45A556AA" w14:textId="77777777" w:rsidR="00A4606E" w:rsidRPr="00923237" w:rsidRDefault="00A4606E" w:rsidP="00FF113C">
            <w:pPr>
              <w:pStyle w:val="NoSpacing"/>
              <w:rPr>
                <w:rFonts w:cstheme="minorHAnsi"/>
              </w:rPr>
            </w:pPr>
            <w:r w:rsidRPr="00923237">
              <w:rPr>
                <w:rFonts w:cstheme="minorHAnsi"/>
              </w:rPr>
              <w:t>18.333</w:t>
            </w:r>
          </w:p>
        </w:tc>
      </w:tr>
      <w:tr w:rsidR="00A4606E" w:rsidRPr="00923237" w14:paraId="17B3DD6E" w14:textId="77777777" w:rsidTr="00923237">
        <w:tc>
          <w:tcPr>
            <w:tcW w:w="1093" w:type="pct"/>
            <w:hideMark/>
          </w:tcPr>
          <w:p w14:paraId="148A8B68" w14:textId="77777777" w:rsidR="00A4606E" w:rsidRPr="00923237" w:rsidRDefault="00A4606E" w:rsidP="00FF113C">
            <w:pPr>
              <w:pStyle w:val="NoSpacing"/>
              <w:rPr>
                <w:rFonts w:cstheme="minorHAnsi"/>
              </w:rPr>
            </w:pPr>
            <w:r w:rsidRPr="00923237">
              <w:rPr>
                <w:rFonts w:cstheme="minorHAnsi"/>
              </w:rPr>
              <w:t>RE experience</w:t>
            </w:r>
          </w:p>
        </w:tc>
        <w:tc>
          <w:tcPr>
            <w:tcW w:w="274" w:type="pct"/>
            <w:hideMark/>
          </w:tcPr>
          <w:p w14:paraId="2212E33C" w14:textId="77777777" w:rsidR="00A4606E" w:rsidRPr="00923237" w:rsidRDefault="00A4606E" w:rsidP="00FF113C">
            <w:pPr>
              <w:pStyle w:val="NoSpacing"/>
              <w:rPr>
                <w:rFonts w:cstheme="minorHAnsi"/>
              </w:rPr>
            </w:pPr>
            <w:r w:rsidRPr="00923237">
              <w:rPr>
                <w:rFonts w:cstheme="minorHAnsi"/>
              </w:rPr>
              <w:t>134</w:t>
            </w:r>
          </w:p>
        </w:tc>
        <w:tc>
          <w:tcPr>
            <w:tcW w:w="523" w:type="pct"/>
            <w:hideMark/>
          </w:tcPr>
          <w:p w14:paraId="49A42F17" w14:textId="77777777" w:rsidR="00A4606E" w:rsidRPr="00923237" w:rsidRDefault="00A4606E" w:rsidP="00FF113C">
            <w:pPr>
              <w:pStyle w:val="NoSpacing"/>
              <w:rPr>
                <w:rFonts w:cstheme="minorHAnsi"/>
              </w:rPr>
            </w:pPr>
            <w:r w:rsidRPr="00923237">
              <w:rPr>
                <w:rFonts w:cstheme="minorHAnsi"/>
              </w:rPr>
              <w:t>9.418</w:t>
            </w:r>
          </w:p>
        </w:tc>
        <w:tc>
          <w:tcPr>
            <w:tcW w:w="523" w:type="pct"/>
            <w:hideMark/>
          </w:tcPr>
          <w:p w14:paraId="3AAF6B55" w14:textId="77777777" w:rsidR="00A4606E" w:rsidRPr="00923237" w:rsidRDefault="00A4606E" w:rsidP="00FF113C">
            <w:pPr>
              <w:pStyle w:val="NoSpacing"/>
              <w:rPr>
                <w:rFonts w:cstheme="minorHAnsi"/>
              </w:rPr>
            </w:pPr>
            <w:r w:rsidRPr="00923237">
              <w:rPr>
                <w:rFonts w:cstheme="minorHAnsi"/>
              </w:rPr>
              <w:t>6.113</w:t>
            </w:r>
          </w:p>
        </w:tc>
        <w:tc>
          <w:tcPr>
            <w:tcW w:w="467" w:type="pct"/>
            <w:hideMark/>
          </w:tcPr>
          <w:p w14:paraId="76B57DE2" w14:textId="77777777" w:rsidR="00A4606E" w:rsidRPr="00923237" w:rsidRDefault="00A4606E" w:rsidP="00FF113C">
            <w:pPr>
              <w:pStyle w:val="NoSpacing"/>
              <w:rPr>
                <w:rFonts w:cstheme="minorHAnsi"/>
              </w:rPr>
            </w:pPr>
            <w:r w:rsidRPr="00923237">
              <w:rPr>
                <w:rFonts w:cstheme="minorHAnsi"/>
              </w:rPr>
              <w:t>0.000</w:t>
            </w:r>
          </w:p>
        </w:tc>
        <w:tc>
          <w:tcPr>
            <w:tcW w:w="470" w:type="pct"/>
            <w:hideMark/>
          </w:tcPr>
          <w:p w14:paraId="2BAB376C" w14:textId="77777777" w:rsidR="00A4606E" w:rsidRPr="00923237" w:rsidRDefault="00A4606E" w:rsidP="00FF113C">
            <w:pPr>
              <w:pStyle w:val="NoSpacing"/>
              <w:rPr>
                <w:rFonts w:cstheme="minorHAnsi"/>
              </w:rPr>
            </w:pPr>
            <w:r w:rsidRPr="00923237">
              <w:rPr>
                <w:rFonts w:cstheme="minorHAnsi"/>
              </w:rPr>
              <w:t>4.778</w:t>
            </w:r>
          </w:p>
        </w:tc>
        <w:tc>
          <w:tcPr>
            <w:tcW w:w="523" w:type="pct"/>
            <w:hideMark/>
          </w:tcPr>
          <w:p w14:paraId="6279E87F" w14:textId="77777777" w:rsidR="00A4606E" w:rsidRPr="00923237" w:rsidRDefault="00A4606E" w:rsidP="00FF113C">
            <w:pPr>
              <w:pStyle w:val="NoSpacing"/>
              <w:rPr>
                <w:rFonts w:cstheme="minorHAnsi"/>
              </w:rPr>
            </w:pPr>
            <w:r w:rsidRPr="00923237">
              <w:rPr>
                <w:rFonts w:cstheme="minorHAnsi"/>
              </w:rPr>
              <w:t>9.091</w:t>
            </w:r>
          </w:p>
        </w:tc>
        <w:tc>
          <w:tcPr>
            <w:tcW w:w="523" w:type="pct"/>
            <w:hideMark/>
          </w:tcPr>
          <w:p w14:paraId="79D94E2A" w14:textId="77777777" w:rsidR="00A4606E" w:rsidRPr="00923237" w:rsidRDefault="00A4606E" w:rsidP="00FF113C">
            <w:pPr>
              <w:pStyle w:val="NoSpacing"/>
              <w:rPr>
                <w:rFonts w:cstheme="minorHAnsi"/>
              </w:rPr>
            </w:pPr>
            <w:r w:rsidRPr="00923237">
              <w:rPr>
                <w:rFonts w:cstheme="minorHAnsi"/>
              </w:rPr>
              <w:t>12.333</w:t>
            </w:r>
          </w:p>
        </w:tc>
        <w:tc>
          <w:tcPr>
            <w:tcW w:w="605" w:type="pct"/>
            <w:hideMark/>
          </w:tcPr>
          <w:p w14:paraId="20988F08" w14:textId="77777777" w:rsidR="00A4606E" w:rsidRPr="00923237" w:rsidRDefault="00A4606E" w:rsidP="00FF113C">
            <w:pPr>
              <w:pStyle w:val="NoSpacing"/>
              <w:rPr>
                <w:rFonts w:cstheme="minorHAnsi"/>
              </w:rPr>
            </w:pPr>
            <w:r w:rsidRPr="00923237">
              <w:rPr>
                <w:rFonts w:cstheme="minorHAnsi"/>
              </w:rPr>
              <w:t>21.857</w:t>
            </w:r>
          </w:p>
        </w:tc>
      </w:tr>
    </w:tbl>
    <w:p w14:paraId="30FF6501" w14:textId="77777777" w:rsidR="00523790" w:rsidRPr="00923237" w:rsidRDefault="00523790" w:rsidP="00A4606E">
      <w:pPr>
        <w:pStyle w:val="NormalWeb"/>
        <w:spacing w:before="0" w:beforeAutospacing="0" w:after="0" w:afterAutospacing="0" w:line="390" w:lineRule="atLeast"/>
        <w:rPr>
          <w:rFonts w:asciiTheme="minorHAnsi" w:hAnsiTheme="minorHAnsi" w:cstheme="minorHAnsi"/>
          <w:color w:val="2E2E2E"/>
          <w:sz w:val="27"/>
          <w:szCs w:val="27"/>
        </w:rPr>
      </w:pPr>
    </w:p>
    <w:p w14:paraId="6A428F4A" w14:textId="59948000" w:rsidR="00A4606E" w:rsidRPr="00923237" w:rsidRDefault="00A4606E" w:rsidP="00523790">
      <w:pPr>
        <w:rPr>
          <w:rFonts w:cstheme="minorHAnsi"/>
          <w:color w:val="2E2E2E"/>
        </w:rPr>
      </w:pPr>
      <w:r w:rsidRPr="00923237">
        <w:rPr>
          <w:rFonts w:cstheme="minorHAnsi"/>
          <w:color w:val="2E2E2E"/>
        </w:rPr>
        <w:t>For comparison purposes, Panel B, </w:t>
      </w:r>
      <w:hyperlink r:id="rId96" w:anchor="t0005" w:history="1">
        <w:r w:rsidRPr="00923237">
          <w:rPr>
            <w:rStyle w:val="Hyperlink"/>
            <w:rFonts w:eastAsiaTheme="majorEastAsia" w:cstheme="minorHAnsi"/>
            <w:color w:val="0C7DBB"/>
          </w:rPr>
          <w:t>Table 1</w:t>
        </w:r>
      </w:hyperlink>
      <w:bookmarkEnd w:id="68"/>
      <w:r w:rsidRPr="00923237">
        <w:rPr>
          <w:rFonts w:cstheme="minorHAnsi"/>
          <w:color w:val="2E2E2E"/>
        </w:rPr>
        <w:t>, provides summary statistics for the sub-sample similar to the one in </w:t>
      </w:r>
      <w:hyperlink r:id="rId97" w:anchor="bb0275" w:history="1">
        <w:r w:rsidRPr="00923237">
          <w:rPr>
            <w:rStyle w:val="Hyperlink"/>
            <w:rFonts w:eastAsiaTheme="majorEastAsia" w:cstheme="minorHAnsi"/>
            <w:color w:val="0C7DBB"/>
          </w:rPr>
          <w:t>Sun et al. (2015)</w:t>
        </w:r>
      </w:hyperlink>
      <w:r w:rsidRPr="00923237">
        <w:rPr>
          <w:rFonts w:cstheme="minorHAnsi"/>
          <w:color w:val="2E2E2E"/>
        </w:rPr>
        <w:t>. The average return during the financial crisis is −60% and post-crisis is 189%. On average, the market leverage is 40%, 12% of the total debt is due in one year, and another 20% of total debt is due in the next two years. Except for the number of meetings and director experience, which are not included in </w:t>
      </w:r>
      <w:hyperlink r:id="rId98" w:anchor="bb0275" w:history="1">
        <w:r w:rsidRPr="00923237">
          <w:rPr>
            <w:rStyle w:val="Hyperlink"/>
            <w:rFonts w:eastAsiaTheme="majorEastAsia" w:cstheme="minorHAnsi"/>
            <w:color w:val="0C7DBB"/>
          </w:rPr>
          <w:t>Sun et al. (2015)</w:t>
        </w:r>
      </w:hyperlink>
      <w:r w:rsidRPr="00923237">
        <w:rPr>
          <w:rFonts w:cstheme="minorHAnsi"/>
          <w:color w:val="2E2E2E"/>
        </w:rPr>
        <w:t>, the other variables are comparable.</w:t>
      </w:r>
    </w:p>
    <w:bookmarkStart w:id="71" w:name="bt0010"/>
    <w:p w14:paraId="167FEAEB" w14:textId="77777777" w:rsidR="00A4606E" w:rsidRPr="00923237" w:rsidRDefault="00A4606E" w:rsidP="00523790">
      <w:pPr>
        <w:rPr>
          <w:rFonts w:cstheme="minorHAnsi"/>
          <w:color w:val="2E2E2E"/>
        </w:rPr>
      </w:pPr>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"t0010" </w:instrText>
      </w:r>
      <w:r w:rsidRPr="00923237">
        <w:rPr>
          <w:rFonts w:cstheme="minorHAnsi"/>
          <w:color w:val="2E2E2E"/>
        </w:rPr>
        <w:fldChar w:fldCharType="separate"/>
      </w:r>
      <w:r w:rsidRPr="00923237">
        <w:rPr>
          <w:rStyle w:val="Hyperlink"/>
          <w:rFonts w:eastAsiaTheme="majorEastAsia" w:cstheme="minorHAnsi"/>
          <w:color w:val="0C7DBB"/>
        </w:rPr>
        <w:t>Table 2</w:t>
      </w:r>
      <w:r w:rsidRPr="00923237">
        <w:rPr>
          <w:rFonts w:cstheme="minorHAnsi"/>
          <w:color w:val="2E2E2E"/>
        </w:rPr>
        <w:fldChar w:fldCharType="end"/>
      </w:r>
      <w:bookmarkEnd w:id="71"/>
      <w:r w:rsidRPr="00923237">
        <w:rPr>
          <w:rFonts w:cstheme="minorHAnsi"/>
          <w:color w:val="2E2E2E"/>
        </w:rPr>
        <w:t> reports the correlations between our main variables of the subsample. Firm size is negatively associated with returns during the crisis but positively associated with post-crisis returns. In contrast, Tobin's Q is positively associated with returns during the crisis, but post-crisis that relationship is reversed. In addition, during the crisis, market leverage is negatively associated with returns; post-crisis, market leverage is positively associated with returns. This finding is consistent with leverage amplifying REIT returns in both a positive and negative direction (</w:t>
      </w:r>
      <w:hyperlink r:id="rId99" w:anchor="bb0110" w:history="1">
        <w:r w:rsidRPr="00923237">
          <w:rPr>
            <w:rStyle w:val="Hyperlink"/>
            <w:rFonts w:eastAsiaTheme="majorEastAsia" w:cstheme="minorHAnsi"/>
            <w:color w:val="0C7DBB"/>
          </w:rPr>
          <w:t>Giacomini et al. (2015)</w:t>
        </w:r>
      </w:hyperlink>
      <w:bookmarkEnd w:id="42"/>
      <w:r w:rsidRPr="00923237">
        <w:rPr>
          <w:rFonts w:cstheme="minorHAnsi"/>
          <w:color w:val="2E2E2E"/>
        </w:rPr>
        <w:t> and </w:t>
      </w:r>
      <w:hyperlink r:id="rId100" w:anchor="bb0275" w:history="1">
        <w:r w:rsidRPr="00923237">
          <w:rPr>
            <w:rStyle w:val="Hyperlink"/>
            <w:rFonts w:eastAsiaTheme="majorEastAsia" w:cstheme="minorHAnsi"/>
            <w:color w:val="0C7DBB"/>
          </w:rPr>
          <w:t>Sun et al. (2015)</w:t>
        </w:r>
      </w:hyperlink>
      <w:r w:rsidRPr="00923237">
        <w:rPr>
          <w:rFonts w:cstheme="minorHAnsi"/>
          <w:color w:val="2E2E2E"/>
        </w:rPr>
        <w:t>).</w:t>
      </w:r>
    </w:p>
    <w:p w14:paraId="37353D78" w14:textId="77777777" w:rsidR="00036BFC" w:rsidRPr="00923237" w:rsidRDefault="00036BFC">
      <w:pPr>
        <w:rPr>
          <w:rStyle w:val="label"/>
          <w:rFonts w:cstheme="minorHAnsi"/>
          <w:color w:val="323232"/>
        </w:rPr>
      </w:pPr>
      <w:r w:rsidRPr="00923237">
        <w:rPr>
          <w:rStyle w:val="label"/>
          <w:rFonts w:cstheme="minorHAnsi"/>
          <w:color w:val="323232"/>
        </w:rPr>
        <w:br w:type="page"/>
      </w:r>
    </w:p>
    <w:p w14:paraId="305AB5CD" w14:textId="77777777" w:rsidR="00036BFC" w:rsidRPr="00923237" w:rsidRDefault="00036BFC" w:rsidP="00523790">
      <w:pPr>
        <w:pStyle w:val="NoSpacing"/>
        <w:rPr>
          <w:rStyle w:val="label"/>
          <w:rFonts w:cstheme="minorHAnsi"/>
          <w:color w:val="323232"/>
        </w:rPr>
        <w:sectPr w:rsidR="00036BFC" w:rsidRPr="00923237" w:rsidSect="00EB1576">
          <w:pgSz w:w="12240" w:h="15840"/>
          <w:pgMar w:top="1080" w:right="1080" w:bottom="1080" w:left="1080" w:header="720" w:footer="720" w:gutter="0"/>
          <w:cols w:space="720"/>
          <w:docGrid w:linePitch="360"/>
        </w:sectPr>
      </w:pPr>
    </w:p>
    <w:p w14:paraId="4463F577" w14:textId="1083EE54" w:rsidR="00A4606E" w:rsidRPr="00923237" w:rsidRDefault="00A4606E" w:rsidP="00523790">
      <w:pPr>
        <w:pStyle w:val="NoSpacing"/>
        <w:rPr>
          <w:rFonts w:cstheme="minorHAnsi"/>
        </w:rPr>
      </w:pPr>
      <w:r w:rsidRPr="00923237">
        <w:rPr>
          <w:rStyle w:val="label"/>
          <w:rFonts w:cstheme="minorHAnsi"/>
          <w:color w:val="323232"/>
        </w:rPr>
        <w:t>Table 2</w:t>
      </w:r>
      <w:r w:rsidRPr="00923237">
        <w:rPr>
          <w:rFonts w:cstheme="minorHAnsi"/>
        </w:rPr>
        <w:t>. Correlation matrix.</w:t>
      </w:r>
    </w:p>
    <w:tbl>
      <w:tblPr>
        <w:tblStyle w:val="TableGrid"/>
        <w:tblW w:w="5000" w:type="pct"/>
        <w:tblLook w:val="04A0" w:firstRow="1" w:lastRow="0" w:firstColumn="1" w:lastColumn="0" w:noHBand="0" w:noVBand="1"/>
      </w:tblPr>
      <w:tblGrid>
        <w:gridCol w:w="549"/>
        <w:gridCol w:w="2276"/>
        <w:gridCol w:w="910"/>
        <w:gridCol w:w="671"/>
        <w:gridCol w:w="873"/>
        <w:gridCol w:w="873"/>
        <w:gridCol w:w="671"/>
        <w:gridCol w:w="671"/>
        <w:gridCol w:w="671"/>
        <w:gridCol w:w="671"/>
        <w:gridCol w:w="873"/>
        <w:gridCol w:w="873"/>
        <w:gridCol w:w="671"/>
        <w:gridCol w:w="873"/>
        <w:gridCol w:w="671"/>
        <w:gridCol w:w="873"/>
      </w:tblGrid>
      <w:tr w:rsidR="00036BFC" w:rsidRPr="00923237" w14:paraId="3FCC329A" w14:textId="77777777" w:rsidTr="00036BFC">
        <w:trPr>
          <w:trHeight w:val="296"/>
        </w:trPr>
        <w:tc>
          <w:tcPr>
            <w:tcW w:w="201" w:type="pct"/>
            <w:hideMark/>
          </w:tcPr>
          <w:p w14:paraId="49CCA3A2" w14:textId="77777777" w:rsidR="00A4606E" w:rsidRPr="00923237" w:rsidRDefault="00A4606E" w:rsidP="00036BFC">
            <w:pPr>
              <w:pStyle w:val="NoSpacing"/>
              <w:rPr>
                <w:rFonts w:cstheme="minorHAnsi"/>
                <w:sz w:val="20"/>
                <w:szCs w:val="20"/>
              </w:rPr>
            </w:pPr>
          </w:p>
        </w:tc>
        <w:tc>
          <w:tcPr>
            <w:tcW w:w="832" w:type="pct"/>
            <w:hideMark/>
          </w:tcPr>
          <w:p w14:paraId="4AAE49AE" w14:textId="77777777" w:rsidR="00A4606E" w:rsidRPr="00923237" w:rsidRDefault="00A4606E" w:rsidP="00036BFC">
            <w:pPr>
              <w:pStyle w:val="NoSpacing"/>
              <w:rPr>
                <w:rFonts w:cstheme="minorHAnsi"/>
                <w:sz w:val="20"/>
                <w:szCs w:val="20"/>
              </w:rPr>
            </w:pPr>
            <w:r w:rsidRPr="00923237">
              <w:rPr>
                <w:rFonts w:cstheme="minorHAnsi"/>
                <w:sz w:val="20"/>
                <w:szCs w:val="20"/>
              </w:rPr>
              <w:t>Variable</w:t>
            </w:r>
          </w:p>
        </w:tc>
        <w:tc>
          <w:tcPr>
            <w:tcW w:w="333" w:type="pct"/>
            <w:hideMark/>
          </w:tcPr>
          <w:p w14:paraId="1B4D6B29" w14:textId="77777777" w:rsidR="00A4606E" w:rsidRPr="00923237" w:rsidRDefault="00A4606E" w:rsidP="00036BFC">
            <w:pPr>
              <w:pStyle w:val="NoSpacing"/>
              <w:rPr>
                <w:rFonts w:cstheme="minorHAnsi"/>
                <w:sz w:val="20"/>
                <w:szCs w:val="20"/>
              </w:rPr>
            </w:pPr>
            <w:r w:rsidRPr="00923237">
              <w:rPr>
                <w:rFonts w:cstheme="minorHAnsi"/>
                <w:sz w:val="20"/>
                <w:szCs w:val="20"/>
              </w:rPr>
              <w:t>[1]</w:t>
            </w:r>
          </w:p>
        </w:tc>
        <w:tc>
          <w:tcPr>
            <w:tcW w:w="245" w:type="pct"/>
            <w:hideMark/>
          </w:tcPr>
          <w:p w14:paraId="0414BA4C" w14:textId="77777777" w:rsidR="00A4606E" w:rsidRPr="00923237" w:rsidRDefault="00A4606E" w:rsidP="00036BFC">
            <w:pPr>
              <w:pStyle w:val="NoSpacing"/>
              <w:rPr>
                <w:rFonts w:cstheme="minorHAnsi"/>
                <w:sz w:val="20"/>
                <w:szCs w:val="20"/>
              </w:rPr>
            </w:pPr>
            <w:r w:rsidRPr="00923237">
              <w:rPr>
                <w:rFonts w:cstheme="minorHAnsi"/>
                <w:sz w:val="20"/>
                <w:szCs w:val="20"/>
              </w:rPr>
              <w:t>[2]</w:t>
            </w:r>
          </w:p>
        </w:tc>
        <w:tc>
          <w:tcPr>
            <w:tcW w:w="319" w:type="pct"/>
            <w:hideMark/>
          </w:tcPr>
          <w:p w14:paraId="2A3BA424" w14:textId="77777777" w:rsidR="00A4606E" w:rsidRPr="00923237" w:rsidRDefault="00A4606E" w:rsidP="00036BFC">
            <w:pPr>
              <w:pStyle w:val="NoSpacing"/>
              <w:rPr>
                <w:rFonts w:cstheme="minorHAnsi"/>
                <w:sz w:val="20"/>
                <w:szCs w:val="20"/>
              </w:rPr>
            </w:pPr>
            <w:r w:rsidRPr="00923237">
              <w:rPr>
                <w:rFonts w:cstheme="minorHAnsi"/>
                <w:sz w:val="20"/>
                <w:szCs w:val="20"/>
              </w:rPr>
              <w:t>[3]</w:t>
            </w:r>
          </w:p>
        </w:tc>
        <w:tc>
          <w:tcPr>
            <w:tcW w:w="319" w:type="pct"/>
            <w:hideMark/>
          </w:tcPr>
          <w:p w14:paraId="4D14CB33" w14:textId="77777777" w:rsidR="00A4606E" w:rsidRPr="00923237" w:rsidRDefault="00A4606E" w:rsidP="00036BFC">
            <w:pPr>
              <w:pStyle w:val="NoSpacing"/>
              <w:rPr>
                <w:rFonts w:cstheme="minorHAnsi"/>
                <w:sz w:val="20"/>
                <w:szCs w:val="20"/>
              </w:rPr>
            </w:pPr>
            <w:r w:rsidRPr="00923237">
              <w:rPr>
                <w:rFonts w:cstheme="minorHAnsi"/>
                <w:sz w:val="20"/>
                <w:szCs w:val="20"/>
              </w:rPr>
              <w:t>[4]</w:t>
            </w:r>
          </w:p>
        </w:tc>
        <w:tc>
          <w:tcPr>
            <w:tcW w:w="245" w:type="pct"/>
            <w:hideMark/>
          </w:tcPr>
          <w:p w14:paraId="31C4405D" w14:textId="77777777" w:rsidR="00A4606E" w:rsidRPr="00923237" w:rsidRDefault="00A4606E" w:rsidP="00036BFC">
            <w:pPr>
              <w:pStyle w:val="NoSpacing"/>
              <w:rPr>
                <w:rFonts w:cstheme="minorHAnsi"/>
                <w:sz w:val="20"/>
                <w:szCs w:val="20"/>
              </w:rPr>
            </w:pPr>
            <w:r w:rsidRPr="00923237">
              <w:rPr>
                <w:rFonts w:cstheme="minorHAnsi"/>
                <w:sz w:val="20"/>
                <w:szCs w:val="20"/>
              </w:rPr>
              <w:t>[5]</w:t>
            </w:r>
          </w:p>
        </w:tc>
        <w:tc>
          <w:tcPr>
            <w:tcW w:w="245" w:type="pct"/>
            <w:hideMark/>
          </w:tcPr>
          <w:p w14:paraId="50E60BA6" w14:textId="77777777" w:rsidR="00A4606E" w:rsidRPr="00923237" w:rsidRDefault="00A4606E" w:rsidP="00036BFC">
            <w:pPr>
              <w:pStyle w:val="NoSpacing"/>
              <w:rPr>
                <w:rFonts w:cstheme="minorHAnsi"/>
                <w:sz w:val="20"/>
                <w:szCs w:val="20"/>
              </w:rPr>
            </w:pPr>
            <w:r w:rsidRPr="00923237">
              <w:rPr>
                <w:rFonts w:cstheme="minorHAnsi"/>
                <w:sz w:val="20"/>
                <w:szCs w:val="20"/>
              </w:rPr>
              <w:t>[6]</w:t>
            </w:r>
          </w:p>
        </w:tc>
        <w:tc>
          <w:tcPr>
            <w:tcW w:w="245" w:type="pct"/>
            <w:hideMark/>
          </w:tcPr>
          <w:p w14:paraId="2459AD4F" w14:textId="77777777" w:rsidR="00A4606E" w:rsidRPr="00923237" w:rsidRDefault="00A4606E" w:rsidP="00036BFC">
            <w:pPr>
              <w:pStyle w:val="NoSpacing"/>
              <w:rPr>
                <w:rFonts w:cstheme="minorHAnsi"/>
                <w:sz w:val="20"/>
                <w:szCs w:val="20"/>
              </w:rPr>
            </w:pPr>
            <w:r w:rsidRPr="00923237">
              <w:rPr>
                <w:rFonts w:cstheme="minorHAnsi"/>
                <w:sz w:val="20"/>
                <w:szCs w:val="20"/>
              </w:rPr>
              <w:t>[7]</w:t>
            </w:r>
          </w:p>
        </w:tc>
        <w:tc>
          <w:tcPr>
            <w:tcW w:w="245" w:type="pct"/>
            <w:hideMark/>
          </w:tcPr>
          <w:p w14:paraId="1F5A668D" w14:textId="77777777" w:rsidR="00A4606E" w:rsidRPr="00923237" w:rsidRDefault="00A4606E" w:rsidP="00036BFC">
            <w:pPr>
              <w:pStyle w:val="NoSpacing"/>
              <w:rPr>
                <w:rFonts w:cstheme="minorHAnsi"/>
                <w:sz w:val="20"/>
                <w:szCs w:val="20"/>
              </w:rPr>
            </w:pPr>
            <w:r w:rsidRPr="00923237">
              <w:rPr>
                <w:rFonts w:cstheme="minorHAnsi"/>
                <w:sz w:val="20"/>
                <w:szCs w:val="20"/>
              </w:rPr>
              <w:t>[8]</w:t>
            </w:r>
          </w:p>
        </w:tc>
        <w:tc>
          <w:tcPr>
            <w:tcW w:w="319" w:type="pct"/>
            <w:hideMark/>
          </w:tcPr>
          <w:p w14:paraId="6A1CE133" w14:textId="77777777" w:rsidR="00A4606E" w:rsidRPr="00923237" w:rsidRDefault="00A4606E" w:rsidP="00036BFC">
            <w:pPr>
              <w:pStyle w:val="NoSpacing"/>
              <w:rPr>
                <w:rFonts w:cstheme="minorHAnsi"/>
                <w:sz w:val="20"/>
                <w:szCs w:val="20"/>
              </w:rPr>
            </w:pPr>
            <w:r w:rsidRPr="00923237">
              <w:rPr>
                <w:rFonts w:cstheme="minorHAnsi"/>
                <w:sz w:val="20"/>
                <w:szCs w:val="20"/>
              </w:rPr>
              <w:t>[9]</w:t>
            </w:r>
          </w:p>
        </w:tc>
        <w:tc>
          <w:tcPr>
            <w:tcW w:w="319" w:type="pct"/>
            <w:hideMark/>
          </w:tcPr>
          <w:p w14:paraId="70F84148" w14:textId="77777777" w:rsidR="00A4606E" w:rsidRPr="00923237" w:rsidRDefault="00A4606E" w:rsidP="00036BFC">
            <w:pPr>
              <w:pStyle w:val="NoSpacing"/>
              <w:rPr>
                <w:rFonts w:cstheme="minorHAnsi"/>
                <w:sz w:val="20"/>
                <w:szCs w:val="20"/>
              </w:rPr>
            </w:pPr>
            <w:r w:rsidRPr="00923237">
              <w:rPr>
                <w:rFonts w:cstheme="minorHAnsi"/>
                <w:sz w:val="20"/>
                <w:szCs w:val="20"/>
              </w:rPr>
              <w:t>[10]</w:t>
            </w:r>
          </w:p>
        </w:tc>
        <w:tc>
          <w:tcPr>
            <w:tcW w:w="245" w:type="pct"/>
            <w:hideMark/>
          </w:tcPr>
          <w:p w14:paraId="7EED6C9A" w14:textId="77777777" w:rsidR="00A4606E" w:rsidRPr="00923237" w:rsidRDefault="00A4606E" w:rsidP="00036BFC">
            <w:pPr>
              <w:pStyle w:val="NoSpacing"/>
              <w:rPr>
                <w:rFonts w:cstheme="minorHAnsi"/>
                <w:sz w:val="20"/>
                <w:szCs w:val="20"/>
              </w:rPr>
            </w:pPr>
            <w:r w:rsidRPr="00923237">
              <w:rPr>
                <w:rFonts w:cstheme="minorHAnsi"/>
                <w:sz w:val="20"/>
                <w:szCs w:val="20"/>
              </w:rPr>
              <w:t>[11]</w:t>
            </w:r>
          </w:p>
        </w:tc>
        <w:tc>
          <w:tcPr>
            <w:tcW w:w="319" w:type="pct"/>
            <w:hideMark/>
          </w:tcPr>
          <w:p w14:paraId="756C3D1D" w14:textId="77777777" w:rsidR="00A4606E" w:rsidRPr="00923237" w:rsidRDefault="00A4606E" w:rsidP="00036BFC">
            <w:pPr>
              <w:pStyle w:val="NoSpacing"/>
              <w:rPr>
                <w:rFonts w:cstheme="minorHAnsi"/>
                <w:sz w:val="20"/>
                <w:szCs w:val="20"/>
              </w:rPr>
            </w:pPr>
            <w:r w:rsidRPr="00923237">
              <w:rPr>
                <w:rFonts w:cstheme="minorHAnsi"/>
                <w:sz w:val="20"/>
                <w:szCs w:val="20"/>
              </w:rPr>
              <w:t>[12]</w:t>
            </w:r>
          </w:p>
        </w:tc>
        <w:tc>
          <w:tcPr>
            <w:tcW w:w="245" w:type="pct"/>
            <w:hideMark/>
          </w:tcPr>
          <w:p w14:paraId="54717466" w14:textId="77777777" w:rsidR="00A4606E" w:rsidRPr="00923237" w:rsidRDefault="00A4606E" w:rsidP="00036BFC">
            <w:pPr>
              <w:pStyle w:val="NoSpacing"/>
              <w:rPr>
                <w:rFonts w:cstheme="minorHAnsi"/>
                <w:b/>
                <w:bCs/>
                <w:sz w:val="20"/>
                <w:szCs w:val="20"/>
              </w:rPr>
            </w:pPr>
            <w:r w:rsidRPr="00923237">
              <w:rPr>
                <w:rFonts w:cstheme="minorHAnsi"/>
                <w:b/>
                <w:bCs/>
                <w:sz w:val="20"/>
                <w:szCs w:val="20"/>
              </w:rPr>
              <w:t>[13]</w:t>
            </w:r>
          </w:p>
        </w:tc>
        <w:tc>
          <w:tcPr>
            <w:tcW w:w="319" w:type="pct"/>
            <w:hideMark/>
          </w:tcPr>
          <w:p w14:paraId="1F8B586E" w14:textId="77777777" w:rsidR="00A4606E" w:rsidRPr="00923237" w:rsidRDefault="00A4606E" w:rsidP="00036BFC">
            <w:pPr>
              <w:pStyle w:val="NoSpacing"/>
              <w:rPr>
                <w:rFonts w:cstheme="minorHAnsi"/>
                <w:b/>
                <w:bCs/>
                <w:sz w:val="20"/>
                <w:szCs w:val="20"/>
              </w:rPr>
            </w:pPr>
            <w:r w:rsidRPr="00923237">
              <w:rPr>
                <w:rFonts w:cstheme="minorHAnsi"/>
                <w:b/>
                <w:bCs/>
                <w:sz w:val="20"/>
                <w:szCs w:val="20"/>
              </w:rPr>
              <w:t>[14]</w:t>
            </w:r>
          </w:p>
        </w:tc>
      </w:tr>
      <w:tr w:rsidR="00036BFC" w:rsidRPr="00923237" w14:paraId="6FF38240" w14:textId="77777777" w:rsidTr="00036BFC">
        <w:tc>
          <w:tcPr>
            <w:tcW w:w="201" w:type="pct"/>
            <w:hideMark/>
          </w:tcPr>
          <w:p w14:paraId="17BE1218" w14:textId="77777777" w:rsidR="00082922" w:rsidRPr="00923237" w:rsidRDefault="00082922" w:rsidP="00036BFC">
            <w:pPr>
              <w:pStyle w:val="NoSpacing"/>
              <w:rPr>
                <w:rFonts w:cstheme="minorHAnsi"/>
                <w:b/>
                <w:bCs/>
                <w:sz w:val="20"/>
                <w:szCs w:val="20"/>
              </w:rPr>
            </w:pPr>
            <w:r w:rsidRPr="00923237">
              <w:rPr>
                <w:rFonts w:cstheme="minorHAnsi"/>
                <w:b/>
                <w:bCs/>
                <w:sz w:val="20"/>
                <w:szCs w:val="20"/>
              </w:rPr>
              <w:t>[1]</w:t>
            </w:r>
          </w:p>
        </w:tc>
        <w:tc>
          <w:tcPr>
            <w:tcW w:w="832" w:type="pct"/>
            <w:hideMark/>
          </w:tcPr>
          <w:p w14:paraId="71C8D584" w14:textId="77777777" w:rsidR="00082922" w:rsidRPr="00923237" w:rsidRDefault="00082922" w:rsidP="00036BFC">
            <w:pPr>
              <w:pStyle w:val="NoSpacing"/>
              <w:rPr>
                <w:rFonts w:cstheme="minorHAnsi"/>
                <w:sz w:val="20"/>
                <w:szCs w:val="20"/>
              </w:rPr>
            </w:pPr>
            <w:r w:rsidRPr="00923237">
              <w:rPr>
                <w:rFonts w:cstheme="minorHAnsi"/>
                <w:sz w:val="20"/>
                <w:szCs w:val="20"/>
              </w:rPr>
              <w:t>Cumulative return 1/2007–2/2009</w:t>
            </w:r>
          </w:p>
        </w:tc>
        <w:tc>
          <w:tcPr>
            <w:tcW w:w="333" w:type="pct"/>
            <w:hideMark/>
          </w:tcPr>
          <w:p w14:paraId="40B42F00" w14:textId="77777777" w:rsidR="00082922" w:rsidRPr="00923237" w:rsidRDefault="00082922" w:rsidP="00036BFC">
            <w:pPr>
              <w:pStyle w:val="NoSpacing"/>
              <w:rPr>
                <w:rFonts w:cstheme="minorHAnsi"/>
                <w:sz w:val="20"/>
                <w:szCs w:val="20"/>
              </w:rPr>
            </w:pPr>
          </w:p>
        </w:tc>
        <w:tc>
          <w:tcPr>
            <w:tcW w:w="245" w:type="pct"/>
            <w:hideMark/>
          </w:tcPr>
          <w:p w14:paraId="5B7BEB30" w14:textId="77777777" w:rsidR="00082922" w:rsidRPr="00923237" w:rsidRDefault="00082922" w:rsidP="00036BFC">
            <w:pPr>
              <w:pStyle w:val="NoSpacing"/>
              <w:rPr>
                <w:rFonts w:cstheme="minorHAnsi"/>
                <w:sz w:val="20"/>
                <w:szCs w:val="20"/>
              </w:rPr>
            </w:pPr>
          </w:p>
        </w:tc>
        <w:tc>
          <w:tcPr>
            <w:tcW w:w="319" w:type="pct"/>
            <w:hideMark/>
          </w:tcPr>
          <w:p w14:paraId="3BFA88A0" w14:textId="77777777" w:rsidR="00082922" w:rsidRPr="00923237" w:rsidRDefault="00082922" w:rsidP="00036BFC">
            <w:pPr>
              <w:pStyle w:val="NoSpacing"/>
              <w:rPr>
                <w:rFonts w:cstheme="minorHAnsi"/>
                <w:sz w:val="20"/>
                <w:szCs w:val="20"/>
              </w:rPr>
            </w:pPr>
          </w:p>
        </w:tc>
        <w:tc>
          <w:tcPr>
            <w:tcW w:w="319" w:type="pct"/>
            <w:hideMark/>
          </w:tcPr>
          <w:p w14:paraId="15582317" w14:textId="77777777" w:rsidR="00082922" w:rsidRPr="00923237" w:rsidRDefault="00082922" w:rsidP="00036BFC">
            <w:pPr>
              <w:pStyle w:val="NoSpacing"/>
              <w:rPr>
                <w:rFonts w:cstheme="minorHAnsi"/>
                <w:sz w:val="20"/>
                <w:szCs w:val="20"/>
              </w:rPr>
            </w:pPr>
          </w:p>
        </w:tc>
        <w:tc>
          <w:tcPr>
            <w:tcW w:w="245" w:type="pct"/>
            <w:hideMark/>
          </w:tcPr>
          <w:p w14:paraId="7146EF56" w14:textId="77777777" w:rsidR="00082922" w:rsidRPr="00923237" w:rsidRDefault="00082922" w:rsidP="00036BFC">
            <w:pPr>
              <w:pStyle w:val="NoSpacing"/>
              <w:rPr>
                <w:rFonts w:cstheme="minorHAnsi"/>
                <w:sz w:val="20"/>
                <w:szCs w:val="20"/>
              </w:rPr>
            </w:pPr>
          </w:p>
        </w:tc>
        <w:tc>
          <w:tcPr>
            <w:tcW w:w="245" w:type="pct"/>
            <w:hideMark/>
          </w:tcPr>
          <w:p w14:paraId="4958A91B" w14:textId="77777777" w:rsidR="00082922" w:rsidRPr="00923237" w:rsidRDefault="00082922" w:rsidP="00036BFC">
            <w:pPr>
              <w:pStyle w:val="NoSpacing"/>
              <w:rPr>
                <w:rFonts w:cstheme="minorHAnsi"/>
                <w:sz w:val="20"/>
                <w:szCs w:val="20"/>
              </w:rPr>
            </w:pPr>
          </w:p>
        </w:tc>
        <w:tc>
          <w:tcPr>
            <w:tcW w:w="245" w:type="pct"/>
            <w:hideMark/>
          </w:tcPr>
          <w:p w14:paraId="695C5C2E" w14:textId="77777777" w:rsidR="00082922" w:rsidRPr="00923237" w:rsidRDefault="00082922" w:rsidP="00036BFC">
            <w:pPr>
              <w:pStyle w:val="NoSpacing"/>
              <w:rPr>
                <w:rFonts w:cstheme="minorHAnsi"/>
                <w:sz w:val="20"/>
                <w:szCs w:val="20"/>
              </w:rPr>
            </w:pPr>
          </w:p>
        </w:tc>
        <w:tc>
          <w:tcPr>
            <w:tcW w:w="245" w:type="pct"/>
            <w:hideMark/>
          </w:tcPr>
          <w:p w14:paraId="174935B8" w14:textId="77777777" w:rsidR="00082922" w:rsidRPr="00923237" w:rsidRDefault="00082922" w:rsidP="00036BFC">
            <w:pPr>
              <w:pStyle w:val="NoSpacing"/>
              <w:rPr>
                <w:rFonts w:cstheme="minorHAnsi"/>
                <w:sz w:val="20"/>
                <w:szCs w:val="20"/>
              </w:rPr>
            </w:pPr>
          </w:p>
        </w:tc>
        <w:tc>
          <w:tcPr>
            <w:tcW w:w="319" w:type="pct"/>
            <w:hideMark/>
          </w:tcPr>
          <w:p w14:paraId="6E9E819F" w14:textId="77777777" w:rsidR="00082922" w:rsidRPr="00923237" w:rsidRDefault="00082922" w:rsidP="00036BFC">
            <w:pPr>
              <w:pStyle w:val="NoSpacing"/>
              <w:rPr>
                <w:rFonts w:cstheme="minorHAnsi"/>
                <w:sz w:val="20"/>
                <w:szCs w:val="20"/>
              </w:rPr>
            </w:pPr>
          </w:p>
        </w:tc>
        <w:tc>
          <w:tcPr>
            <w:tcW w:w="319" w:type="pct"/>
            <w:hideMark/>
          </w:tcPr>
          <w:p w14:paraId="51DFB04A" w14:textId="77777777" w:rsidR="00082922" w:rsidRPr="00923237" w:rsidRDefault="00082922" w:rsidP="00036BFC">
            <w:pPr>
              <w:pStyle w:val="NoSpacing"/>
              <w:rPr>
                <w:rFonts w:cstheme="minorHAnsi"/>
                <w:sz w:val="20"/>
                <w:szCs w:val="20"/>
              </w:rPr>
            </w:pPr>
          </w:p>
        </w:tc>
        <w:tc>
          <w:tcPr>
            <w:tcW w:w="245" w:type="pct"/>
            <w:hideMark/>
          </w:tcPr>
          <w:p w14:paraId="0D7AE6B8" w14:textId="77777777" w:rsidR="00082922" w:rsidRPr="00923237" w:rsidRDefault="00082922" w:rsidP="00036BFC">
            <w:pPr>
              <w:pStyle w:val="NoSpacing"/>
              <w:rPr>
                <w:rFonts w:cstheme="minorHAnsi"/>
                <w:sz w:val="20"/>
                <w:szCs w:val="20"/>
              </w:rPr>
            </w:pPr>
          </w:p>
        </w:tc>
        <w:tc>
          <w:tcPr>
            <w:tcW w:w="319" w:type="pct"/>
            <w:hideMark/>
          </w:tcPr>
          <w:p w14:paraId="3EF1E088" w14:textId="77777777" w:rsidR="00082922" w:rsidRPr="00923237" w:rsidRDefault="00082922" w:rsidP="00036BFC">
            <w:pPr>
              <w:pStyle w:val="NoSpacing"/>
              <w:rPr>
                <w:rFonts w:cstheme="minorHAnsi"/>
                <w:sz w:val="20"/>
                <w:szCs w:val="20"/>
              </w:rPr>
            </w:pPr>
          </w:p>
        </w:tc>
        <w:tc>
          <w:tcPr>
            <w:tcW w:w="245" w:type="pct"/>
            <w:hideMark/>
          </w:tcPr>
          <w:p w14:paraId="603FAA61" w14:textId="77777777" w:rsidR="00082922" w:rsidRPr="00923237" w:rsidRDefault="00082922" w:rsidP="00036BFC">
            <w:pPr>
              <w:pStyle w:val="NoSpacing"/>
              <w:rPr>
                <w:rFonts w:cstheme="minorHAnsi"/>
                <w:sz w:val="20"/>
                <w:szCs w:val="20"/>
              </w:rPr>
            </w:pPr>
          </w:p>
        </w:tc>
        <w:tc>
          <w:tcPr>
            <w:tcW w:w="319" w:type="pct"/>
            <w:hideMark/>
          </w:tcPr>
          <w:p w14:paraId="05783770" w14:textId="77777777" w:rsidR="00082922" w:rsidRPr="00923237" w:rsidRDefault="00082922" w:rsidP="00036BFC">
            <w:pPr>
              <w:pStyle w:val="NoSpacing"/>
              <w:rPr>
                <w:rFonts w:cstheme="minorHAnsi"/>
                <w:sz w:val="20"/>
                <w:szCs w:val="20"/>
              </w:rPr>
            </w:pPr>
          </w:p>
        </w:tc>
      </w:tr>
      <w:tr w:rsidR="00036BFC" w:rsidRPr="00923237" w14:paraId="2AF8998F" w14:textId="77777777" w:rsidTr="00036BFC">
        <w:tc>
          <w:tcPr>
            <w:tcW w:w="201" w:type="pct"/>
            <w:hideMark/>
          </w:tcPr>
          <w:p w14:paraId="6BD8C4C9" w14:textId="77777777" w:rsidR="00082922" w:rsidRPr="00923237" w:rsidRDefault="00082922" w:rsidP="00036BFC">
            <w:pPr>
              <w:pStyle w:val="NoSpacing"/>
              <w:rPr>
                <w:rFonts w:cstheme="minorHAnsi"/>
                <w:b/>
                <w:bCs/>
                <w:sz w:val="20"/>
                <w:szCs w:val="20"/>
              </w:rPr>
            </w:pPr>
          </w:p>
        </w:tc>
        <w:tc>
          <w:tcPr>
            <w:tcW w:w="832" w:type="pct"/>
            <w:hideMark/>
          </w:tcPr>
          <w:p w14:paraId="760256D1" w14:textId="77777777" w:rsidR="00082922" w:rsidRPr="00923237" w:rsidRDefault="00082922" w:rsidP="00036BFC">
            <w:pPr>
              <w:pStyle w:val="NoSpacing"/>
              <w:rPr>
                <w:rFonts w:cstheme="minorHAnsi"/>
                <w:sz w:val="20"/>
                <w:szCs w:val="20"/>
              </w:rPr>
            </w:pPr>
          </w:p>
        </w:tc>
        <w:tc>
          <w:tcPr>
            <w:tcW w:w="333" w:type="pct"/>
            <w:hideMark/>
          </w:tcPr>
          <w:p w14:paraId="52C97D3F" w14:textId="77777777" w:rsidR="00082922" w:rsidRPr="00923237" w:rsidRDefault="00082922" w:rsidP="00036BFC">
            <w:pPr>
              <w:pStyle w:val="NoSpacing"/>
              <w:rPr>
                <w:rFonts w:cstheme="minorHAnsi"/>
                <w:sz w:val="20"/>
                <w:szCs w:val="20"/>
              </w:rPr>
            </w:pPr>
          </w:p>
        </w:tc>
        <w:tc>
          <w:tcPr>
            <w:tcW w:w="245" w:type="pct"/>
            <w:hideMark/>
          </w:tcPr>
          <w:p w14:paraId="16D6B454" w14:textId="77777777" w:rsidR="00082922" w:rsidRPr="00923237" w:rsidRDefault="00082922" w:rsidP="00036BFC">
            <w:pPr>
              <w:pStyle w:val="NoSpacing"/>
              <w:rPr>
                <w:rFonts w:cstheme="minorHAnsi"/>
                <w:sz w:val="20"/>
                <w:szCs w:val="20"/>
              </w:rPr>
            </w:pPr>
          </w:p>
        </w:tc>
        <w:tc>
          <w:tcPr>
            <w:tcW w:w="319" w:type="pct"/>
            <w:hideMark/>
          </w:tcPr>
          <w:p w14:paraId="45D0B735" w14:textId="77777777" w:rsidR="00082922" w:rsidRPr="00923237" w:rsidRDefault="00082922" w:rsidP="00036BFC">
            <w:pPr>
              <w:pStyle w:val="NoSpacing"/>
              <w:rPr>
                <w:rFonts w:cstheme="minorHAnsi"/>
                <w:sz w:val="20"/>
                <w:szCs w:val="20"/>
              </w:rPr>
            </w:pPr>
          </w:p>
        </w:tc>
        <w:tc>
          <w:tcPr>
            <w:tcW w:w="319" w:type="pct"/>
            <w:hideMark/>
          </w:tcPr>
          <w:p w14:paraId="73114B09" w14:textId="77777777" w:rsidR="00082922" w:rsidRPr="00923237" w:rsidRDefault="00082922" w:rsidP="00036BFC">
            <w:pPr>
              <w:pStyle w:val="NoSpacing"/>
              <w:rPr>
                <w:rFonts w:cstheme="minorHAnsi"/>
                <w:sz w:val="20"/>
                <w:szCs w:val="20"/>
              </w:rPr>
            </w:pPr>
          </w:p>
        </w:tc>
        <w:tc>
          <w:tcPr>
            <w:tcW w:w="245" w:type="pct"/>
            <w:hideMark/>
          </w:tcPr>
          <w:p w14:paraId="79788FDA" w14:textId="77777777" w:rsidR="00082922" w:rsidRPr="00923237" w:rsidRDefault="00082922" w:rsidP="00036BFC">
            <w:pPr>
              <w:pStyle w:val="NoSpacing"/>
              <w:rPr>
                <w:rFonts w:cstheme="minorHAnsi"/>
                <w:sz w:val="20"/>
                <w:szCs w:val="20"/>
              </w:rPr>
            </w:pPr>
          </w:p>
        </w:tc>
        <w:tc>
          <w:tcPr>
            <w:tcW w:w="245" w:type="pct"/>
            <w:hideMark/>
          </w:tcPr>
          <w:p w14:paraId="21339A81" w14:textId="77777777" w:rsidR="00082922" w:rsidRPr="00923237" w:rsidRDefault="00082922" w:rsidP="00036BFC">
            <w:pPr>
              <w:pStyle w:val="NoSpacing"/>
              <w:rPr>
                <w:rFonts w:cstheme="minorHAnsi"/>
                <w:sz w:val="20"/>
                <w:szCs w:val="20"/>
              </w:rPr>
            </w:pPr>
          </w:p>
        </w:tc>
        <w:tc>
          <w:tcPr>
            <w:tcW w:w="245" w:type="pct"/>
            <w:hideMark/>
          </w:tcPr>
          <w:p w14:paraId="53BB0787" w14:textId="77777777" w:rsidR="00082922" w:rsidRPr="00923237" w:rsidRDefault="00082922" w:rsidP="00036BFC">
            <w:pPr>
              <w:pStyle w:val="NoSpacing"/>
              <w:rPr>
                <w:rFonts w:cstheme="minorHAnsi"/>
                <w:sz w:val="20"/>
                <w:szCs w:val="20"/>
              </w:rPr>
            </w:pPr>
          </w:p>
        </w:tc>
        <w:tc>
          <w:tcPr>
            <w:tcW w:w="245" w:type="pct"/>
            <w:hideMark/>
          </w:tcPr>
          <w:p w14:paraId="491C9684" w14:textId="77777777" w:rsidR="00082922" w:rsidRPr="00923237" w:rsidRDefault="00082922" w:rsidP="00036BFC">
            <w:pPr>
              <w:pStyle w:val="NoSpacing"/>
              <w:rPr>
                <w:rFonts w:cstheme="minorHAnsi"/>
                <w:sz w:val="20"/>
                <w:szCs w:val="20"/>
              </w:rPr>
            </w:pPr>
          </w:p>
        </w:tc>
        <w:tc>
          <w:tcPr>
            <w:tcW w:w="319" w:type="pct"/>
            <w:hideMark/>
          </w:tcPr>
          <w:p w14:paraId="68C722F0" w14:textId="77777777" w:rsidR="00082922" w:rsidRPr="00923237" w:rsidRDefault="00082922" w:rsidP="00036BFC">
            <w:pPr>
              <w:pStyle w:val="NoSpacing"/>
              <w:rPr>
                <w:rFonts w:cstheme="minorHAnsi"/>
                <w:sz w:val="20"/>
                <w:szCs w:val="20"/>
              </w:rPr>
            </w:pPr>
          </w:p>
        </w:tc>
        <w:tc>
          <w:tcPr>
            <w:tcW w:w="319" w:type="pct"/>
            <w:hideMark/>
          </w:tcPr>
          <w:p w14:paraId="3A943AFD" w14:textId="77777777" w:rsidR="00082922" w:rsidRPr="00923237" w:rsidRDefault="00082922" w:rsidP="00036BFC">
            <w:pPr>
              <w:pStyle w:val="NoSpacing"/>
              <w:rPr>
                <w:rFonts w:cstheme="minorHAnsi"/>
                <w:sz w:val="20"/>
                <w:szCs w:val="20"/>
              </w:rPr>
            </w:pPr>
          </w:p>
        </w:tc>
        <w:tc>
          <w:tcPr>
            <w:tcW w:w="245" w:type="pct"/>
            <w:hideMark/>
          </w:tcPr>
          <w:p w14:paraId="63A7C1AB" w14:textId="77777777" w:rsidR="00082922" w:rsidRPr="00923237" w:rsidRDefault="00082922" w:rsidP="00036BFC">
            <w:pPr>
              <w:pStyle w:val="NoSpacing"/>
              <w:rPr>
                <w:rFonts w:cstheme="minorHAnsi"/>
                <w:sz w:val="20"/>
                <w:szCs w:val="20"/>
              </w:rPr>
            </w:pPr>
          </w:p>
        </w:tc>
        <w:tc>
          <w:tcPr>
            <w:tcW w:w="319" w:type="pct"/>
            <w:hideMark/>
          </w:tcPr>
          <w:p w14:paraId="35BD9B15" w14:textId="77777777" w:rsidR="00082922" w:rsidRPr="00923237" w:rsidRDefault="00082922" w:rsidP="00036BFC">
            <w:pPr>
              <w:pStyle w:val="NoSpacing"/>
              <w:rPr>
                <w:rFonts w:cstheme="minorHAnsi"/>
                <w:sz w:val="20"/>
                <w:szCs w:val="20"/>
              </w:rPr>
            </w:pPr>
          </w:p>
        </w:tc>
        <w:tc>
          <w:tcPr>
            <w:tcW w:w="245" w:type="pct"/>
            <w:hideMark/>
          </w:tcPr>
          <w:p w14:paraId="45F345ED" w14:textId="77777777" w:rsidR="00082922" w:rsidRPr="00923237" w:rsidRDefault="00082922" w:rsidP="00036BFC">
            <w:pPr>
              <w:pStyle w:val="NoSpacing"/>
              <w:rPr>
                <w:rFonts w:cstheme="minorHAnsi"/>
                <w:sz w:val="20"/>
                <w:szCs w:val="20"/>
              </w:rPr>
            </w:pPr>
          </w:p>
        </w:tc>
        <w:tc>
          <w:tcPr>
            <w:tcW w:w="319" w:type="pct"/>
            <w:hideMark/>
          </w:tcPr>
          <w:p w14:paraId="20CE7203" w14:textId="77777777" w:rsidR="00082922" w:rsidRPr="00923237" w:rsidRDefault="00082922" w:rsidP="00036BFC">
            <w:pPr>
              <w:pStyle w:val="NoSpacing"/>
              <w:rPr>
                <w:rFonts w:cstheme="minorHAnsi"/>
                <w:sz w:val="20"/>
                <w:szCs w:val="20"/>
              </w:rPr>
            </w:pPr>
          </w:p>
        </w:tc>
      </w:tr>
      <w:tr w:rsidR="00036BFC" w:rsidRPr="00923237" w14:paraId="5D5A581C" w14:textId="77777777" w:rsidTr="00036BFC">
        <w:tc>
          <w:tcPr>
            <w:tcW w:w="201" w:type="pct"/>
            <w:hideMark/>
          </w:tcPr>
          <w:p w14:paraId="1E27CCD5" w14:textId="77777777" w:rsidR="00A4606E" w:rsidRPr="00923237" w:rsidRDefault="00A4606E" w:rsidP="00036BFC">
            <w:pPr>
              <w:pStyle w:val="NoSpacing"/>
              <w:rPr>
                <w:rFonts w:cstheme="minorHAnsi"/>
                <w:b/>
                <w:bCs/>
                <w:sz w:val="20"/>
                <w:szCs w:val="20"/>
              </w:rPr>
            </w:pPr>
            <w:r w:rsidRPr="00923237">
              <w:rPr>
                <w:rFonts w:cstheme="minorHAnsi"/>
                <w:b/>
                <w:bCs/>
                <w:sz w:val="20"/>
                <w:szCs w:val="20"/>
              </w:rPr>
              <w:t>[2]</w:t>
            </w:r>
          </w:p>
        </w:tc>
        <w:tc>
          <w:tcPr>
            <w:tcW w:w="832" w:type="pct"/>
            <w:hideMark/>
          </w:tcPr>
          <w:p w14:paraId="77E9BE99" w14:textId="133BA061" w:rsidR="00A4606E" w:rsidRPr="00923237" w:rsidRDefault="00A4606E" w:rsidP="00036BFC">
            <w:pPr>
              <w:pStyle w:val="NoSpacing"/>
              <w:rPr>
                <w:rFonts w:cstheme="minorHAnsi"/>
                <w:sz w:val="20"/>
                <w:szCs w:val="20"/>
              </w:rPr>
            </w:pPr>
            <w:r w:rsidRPr="00923237">
              <w:rPr>
                <w:rFonts w:cstheme="minorHAnsi"/>
                <w:sz w:val="20"/>
                <w:szCs w:val="20"/>
              </w:rPr>
              <w:t xml:space="preserve">Cumulative return </w:t>
            </w:r>
          </w:p>
        </w:tc>
        <w:tc>
          <w:tcPr>
            <w:tcW w:w="333" w:type="pct"/>
            <w:hideMark/>
          </w:tcPr>
          <w:p w14:paraId="5D41EEC3" w14:textId="77777777" w:rsidR="00A4606E" w:rsidRPr="00923237" w:rsidRDefault="00A4606E" w:rsidP="00036BFC">
            <w:pPr>
              <w:pStyle w:val="NoSpacing"/>
              <w:rPr>
                <w:rFonts w:cstheme="minorHAnsi"/>
                <w:sz w:val="20"/>
                <w:szCs w:val="20"/>
              </w:rPr>
            </w:pPr>
            <w:r w:rsidRPr="00923237">
              <w:rPr>
                <w:rFonts w:cstheme="minorHAnsi"/>
                <w:sz w:val="20"/>
                <w:szCs w:val="20"/>
              </w:rPr>
              <w:t>−0.50</w:t>
            </w:r>
          </w:p>
        </w:tc>
        <w:tc>
          <w:tcPr>
            <w:tcW w:w="245" w:type="pct"/>
            <w:hideMark/>
          </w:tcPr>
          <w:p w14:paraId="4571A05B" w14:textId="77777777" w:rsidR="00A4606E" w:rsidRPr="00923237" w:rsidRDefault="00A4606E" w:rsidP="00036BFC">
            <w:pPr>
              <w:pStyle w:val="NoSpacing"/>
              <w:rPr>
                <w:rFonts w:cstheme="minorHAnsi"/>
                <w:sz w:val="20"/>
                <w:szCs w:val="20"/>
              </w:rPr>
            </w:pPr>
          </w:p>
        </w:tc>
        <w:tc>
          <w:tcPr>
            <w:tcW w:w="319" w:type="pct"/>
            <w:hideMark/>
          </w:tcPr>
          <w:p w14:paraId="3321A404" w14:textId="77777777" w:rsidR="00A4606E" w:rsidRPr="00923237" w:rsidRDefault="00A4606E" w:rsidP="00036BFC">
            <w:pPr>
              <w:pStyle w:val="NoSpacing"/>
              <w:rPr>
                <w:rFonts w:cstheme="minorHAnsi"/>
                <w:sz w:val="20"/>
                <w:szCs w:val="20"/>
              </w:rPr>
            </w:pPr>
          </w:p>
        </w:tc>
        <w:tc>
          <w:tcPr>
            <w:tcW w:w="319" w:type="pct"/>
            <w:hideMark/>
          </w:tcPr>
          <w:p w14:paraId="2C9E08F1" w14:textId="77777777" w:rsidR="00A4606E" w:rsidRPr="00923237" w:rsidRDefault="00A4606E" w:rsidP="00036BFC">
            <w:pPr>
              <w:pStyle w:val="NoSpacing"/>
              <w:rPr>
                <w:rFonts w:cstheme="minorHAnsi"/>
                <w:sz w:val="20"/>
                <w:szCs w:val="20"/>
              </w:rPr>
            </w:pPr>
          </w:p>
        </w:tc>
        <w:tc>
          <w:tcPr>
            <w:tcW w:w="245" w:type="pct"/>
            <w:hideMark/>
          </w:tcPr>
          <w:p w14:paraId="45C9D713" w14:textId="77777777" w:rsidR="00A4606E" w:rsidRPr="00923237" w:rsidRDefault="00A4606E" w:rsidP="00036BFC">
            <w:pPr>
              <w:pStyle w:val="NoSpacing"/>
              <w:rPr>
                <w:rFonts w:cstheme="minorHAnsi"/>
                <w:sz w:val="20"/>
                <w:szCs w:val="20"/>
              </w:rPr>
            </w:pPr>
          </w:p>
        </w:tc>
        <w:tc>
          <w:tcPr>
            <w:tcW w:w="245" w:type="pct"/>
            <w:hideMark/>
          </w:tcPr>
          <w:p w14:paraId="6B4CBF5A" w14:textId="77777777" w:rsidR="00A4606E" w:rsidRPr="00923237" w:rsidRDefault="00A4606E" w:rsidP="00036BFC">
            <w:pPr>
              <w:pStyle w:val="NoSpacing"/>
              <w:rPr>
                <w:rFonts w:cstheme="minorHAnsi"/>
                <w:sz w:val="20"/>
                <w:szCs w:val="20"/>
              </w:rPr>
            </w:pPr>
          </w:p>
        </w:tc>
        <w:tc>
          <w:tcPr>
            <w:tcW w:w="245" w:type="pct"/>
            <w:hideMark/>
          </w:tcPr>
          <w:p w14:paraId="7A55DC86" w14:textId="77777777" w:rsidR="00A4606E" w:rsidRPr="00923237" w:rsidRDefault="00A4606E" w:rsidP="00036BFC">
            <w:pPr>
              <w:pStyle w:val="NoSpacing"/>
              <w:rPr>
                <w:rFonts w:cstheme="minorHAnsi"/>
                <w:sz w:val="20"/>
                <w:szCs w:val="20"/>
              </w:rPr>
            </w:pPr>
          </w:p>
        </w:tc>
        <w:tc>
          <w:tcPr>
            <w:tcW w:w="245" w:type="pct"/>
            <w:hideMark/>
          </w:tcPr>
          <w:p w14:paraId="4AF9F232" w14:textId="77777777" w:rsidR="00A4606E" w:rsidRPr="00923237" w:rsidRDefault="00A4606E" w:rsidP="00036BFC">
            <w:pPr>
              <w:pStyle w:val="NoSpacing"/>
              <w:rPr>
                <w:rFonts w:cstheme="minorHAnsi"/>
                <w:sz w:val="20"/>
                <w:szCs w:val="20"/>
              </w:rPr>
            </w:pPr>
          </w:p>
        </w:tc>
        <w:tc>
          <w:tcPr>
            <w:tcW w:w="319" w:type="pct"/>
            <w:hideMark/>
          </w:tcPr>
          <w:p w14:paraId="71CD4932" w14:textId="77777777" w:rsidR="00A4606E" w:rsidRPr="00923237" w:rsidRDefault="00A4606E" w:rsidP="00036BFC">
            <w:pPr>
              <w:pStyle w:val="NoSpacing"/>
              <w:rPr>
                <w:rFonts w:cstheme="minorHAnsi"/>
                <w:sz w:val="20"/>
                <w:szCs w:val="20"/>
              </w:rPr>
            </w:pPr>
          </w:p>
        </w:tc>
        <w:tc>
          <w:tcPr>
            <w:tcW w:w="319" w:type="pct"/>
            <w:hideMark/>
          </w:tcPr>
          <w:p w14:paraId="6B7DE59E" w14:textId="77777777" w:rsidR="00A4606E" w:rsidRPr="00923237" w:rsidRDefault="00A4606E" w:rsidP="00036BFC">
            <w:pPr>
              <w:pStyle w:val="NoSpacing"/>
              <w:rPr>
                <w:rFonts w:cstheme="minorHAnsi"/>
                <w:sz w:val="20"/>
                <w:szCs w:val="20"/>
              </w:rPr>
            </w:pPr>
          </w:p>
        </w:tc>
        <w:tc>
          <w:tcPr>
            <w:tcW w:w="245" w:type="pct"/>
            <w:hideMark/>
          </w:tcPr>
          <w:p w14:paraId="57DED250" w14:textId="77777777" w:rsidR="00A4606E" w:rsidRPr="00923237" w:rsidRDefault="00A4606E" w:rsidP="00036BFC">
            <w:pPr>
              <w:pStyle w:val="NoSpacing"/>
              <w:rPr>
                <w:rFonts w:cstheme="minorHAnsi"/>
                <w:sz w:val="20"/>
                <w:szCs w:val="20"/>
              </w:rPr>
            </w:pPr>
          </w:p>
        </w:tc>
        <w:tc>
          <w:tcPr>
            <w:tcW w:w="319" w:type="pct"/>
            <w:hideMark/>
          </w:tcPr>
          <w:p w14:paraId="1A3720E7" w14:textId="77777777" w:rsidR="00A4606E" w:rsidRPr="00923237" w:rsidRDefault="00A4606E" w:rsidP="00036BFC">
            <w:pPr>
              <w:pStyle w:val="NoSpacing"/>
              <w:rPr>
                <w:rFonts w:cstheme="minorHAnsi"/>
                <w:sz w:val="20"/>
                <w:szCs w:val="20"/>
              </w:rPr>
            </w:pPr>
          </w:p>
        </w:tc>
        <w:tc>
          <w:tcPr>
            <w:tcW w:w="245" w:type="pct"/>
            <w:hideMark/>
          </w:tcPr>
          <w:p w14:paraId="4FF60F97" w14:textId="77777777" w:rsidR="00A4606E" w:rsidRPr="00923237" w:rsidRDefault="00A4606E" w:rsidP="00036BFC">
            <w:pPr>
              <w:pStyle w:val="NoSpacing"/>
              <w:rPr>
                <w:rFonts w:cstheme="minorHAnsi"/>
                <w:sz w:val="20"/>
                <w:szCs w:val="20"/>
              </w:rPr>
            </w:pPr>
          </w:p>
        </w:tc>
        <w:tc>
          <w:tcPr>
            <w:tcW w:w="319" w:type="pct"/>
            <w:hideMark/>
          </w:tcPr>
          <w:p w14:paraId="2DC0ED3F" w14:textId="77777777" w:rsidR="00A4606E" w:rsidRPr="00923237" w:rsidRDefault="00A4606E" w:rsidP="00036BFC">
            <w:pPr>
              <w:pStyle w:val="NoSpacing"/>
              <w:rPr>
                <w:rFonts w:cstheme="minorHAnsi"/>
                <w:sz w:val="20"/>
                <w:szCs w:val="20"/>
              </w:rPr>
            </w:pPr>
          </w:p>
        </w:tc>
      </w:tr>
      <w:tr w:rsidR="00036BFC" w:rsidRPr="00923237" w14:paraId="56EA469A" w14:textId="77777777" w:rsidTr="00036BFC">
        <w:tc>
          <w:tcPr>
            <w:tcW w:w="201" w:type="pct"/>
            <w:hideMark/>
          </w:tcPr>
          <w:p w14:paraId="6DF31C49" w14:textId="77777777" w:rsidR="00A4606E" w:rsidRPr="00923237" w:rsidRDefault="00A4606E" w:rsidP="00036BFC">
            <w:pPr>
              <w:pStyle w:val="NoSpacing"/>
              <w:rPr>
                <w:rFonts w:cstheme="minorHAnsi"/>
                <w:b/>
                <w:bCs/>
                <w:sz w:val="20"/>
                <w:szCs w:val="20"/>
              </w:rPr>
            </w:pPr>
          </w:p>
        </w:tc>
        <w:tc>
          <w:tcPr>
            <w:tcW w:w="832" w:type="pct"/>
            <w:hideMark/>
          </w:tcPr>
          <w:p w14:paraId="22910EDD" w14:textId="71846A20" w:rsidR="00A4606E" w:rsidRPr="00923237" w:rsidRDefault="00893E02" w:rsidP="00036BFC">
            <w:pPr>
              <w:pStyle w:val="NoSpacing"/>
              <w:rPr>
                <w:rFonts w:cstheme="minorHAnsi"/>
                <w:sz w:val="20"/>
                <w:szCs w:val="20"/>
              </w:rPr>
            </w:pPr>
            <w:r w:rsidRPr="00923237">
              <w:rPr>
                <w:rFonts w:cstheme="minorHAnsi"/>
                <w:sz w:val="20"/>
                <w:szCs w:val="20"/>
              </w:rPr>
              <w:t>3/2009–12/2016</w:t>
            </w:r>
          </w:p>
        </w:tc>
        <w:tc>
          <w:tcPr>
            <w:tcW w:w="333" w:type="pct"/>
            <w:hideMark/>
          </w:tcPr>
          <w:p w14:paraId="31F3EEF5" w14:textId="77777777" w:rsidR="00A4606E" w:rsidRPr="00923237" w:rsidRDefault="00A4606E" w:rsidP="00036BFC">
            <w:pPr>
              <w:pStyle w:val="NoSpacing"/>
              <w:rPr>
                <w:rFonts w:cstheme="minorHAnsi"/>
                <w:sz w:val="20"/>
                <w:szCs w:val="20"/>
              </w:rPr>
            </w:pPr>
            <w:r w:rsidRPr="00923237">
              <w:rPr>
                <w:rFonts w:cstheme="minorHAnsi"/>
                <w:sz w:val="20"/>
                <w:szCs w:val="20"/>
              </w:rPr>
              <w:t>&lt;</w:t>
            </w: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0001</w:t>
            </w:r>
          </w:p>
        </w:tc>
        <w:tc>
          <w:tcPr>
            <w:tcW w:w="245" w:type="pct"/>
            <w:hideMark/>
          </w:tcPr>
          <w:p w14:paraId="7622E918" w14:textId="77777777" w:rsidR="00A4606E" w:rsidRPr="00923237" w:rsidRDefault="00A4606E" w:rsidP="00036BFC">
            <w:pPr>
              <w:pStyle w:val="NoSpacing"/>
              <w:rPr>
                <w:rFonts w:cstheme="minorHAnsi"/>
                <w:sz w:val="20"/>
                <w:szCs w:val="20"/>
              </w:rPr>
            </w:pPr>
          </w:p>
        </w:tc>
        <w:tc>
          <w:tcPr>
            <w:tcW w:w="319" w:type="pct"/>
            <w:hideMark/>
          </w:tcPr>
          <w:p w14:paraId="3455317C" w14:textId="77777777" w:rsidR="00A4606E" w:rsidRPr="00923237" w:rsidRDefault="00A4606E" w:rsidP="00036BFC">
            <w:pPr>
              <w:pStyle w:val="NoSpacing"/>
              <w:rPr>
                <w:rFonts w:cstheme="minorHAnsi"/>
                <w:sz w:val="20"/>
                <w:szCs w:val="20"/>
              </w:rPr>
            </w:pPr>
          </w:p>
        </w:tc>
        <w:tc>
          <w:tcPr>
            <w:tcW w:w="319" w:type="pct"/>
            <w:hideMark/>
          </w:tcPr>
          <w:p w14:paraId="43582DF3" w14:textId="77777777" w:rsidR="00A4606E" w:rsidRPr="00923237" w:rsidRDefault="00A4606E" w:rsidP="00036BFC">
            <w:pPr>
              <w:pStyle w:val="NoSpacing"/>
              <w:rPr>
                <w:rFonts w:cstheme="minorHAnsi"/>
                <w:sz w:val="20"/>
                <w:szCs w:val="20"/>
              </w:rPr>
            </w:pPr>
          </w:p>
        </w:tc>
        <w:tc>
          <w:tcPr>
            <w:tcW w:w="245" w:type="pct"/>
            <w:hideMark/>
          </w:tcPr>
          <w:p w14:paraId="28E79D31" w14:textId="77777777" w:rsidR="00A4606E" w:rsidRPr="00923237" w:rsidRDefault="00A4606E" w:rsidP="00036BFC">
            <w:pPr>
              <w:pStyle w:val="NoSpacing"/>
              <w:rPr>
                <w:rFonts w:cstheme="minorHAnsi"/>
                <w:sz w:val="20"/>
                <w:szCs w:val="20"/>
              </w:rPr>
            </w:pPr>
          </w:p>
        </w:tc>
        <w:tc>
          <w:tcPr>
            <w:tcW w:w="245" w:type="pct"/>
            <w:hideMark/>
          </w:tcPr>
          <w:p w14:paraId="58863971" w14:textId="77777777" w:rsidR="00A4606E" w:rsidRPr="00923237" w:rsidRDefault="00A4606E" w:rsidP="00036BFC">
            <w:pPr>
              <w:pStyle w:val="NoSpacing"/>
              <w:rPr>
                <w:rFonts w:cstheme="minorHAnsi"/>
                <w:sz w:val="20"/>
                <w:szCs w:val="20"/>
              </w:rPr>
            </w:pPr>
          </w:p>
        </w:tc>
        <w:tc>
          <w:tcPr>
            <w:tcW w:w="245" w:type="pct"/>
            <w:hideMark/>
          </w:tcPr>
          <w:p w14:paraId="30567952" w14:textId="77777777" w:rsidR="00A4606E" w:rsidRPr="00923237" w:rsidRDefault="00A4606E" w:rsidP="00036BFC">
            <w:pPr>
              <w:pStyle w:val="NoSpacing"/>
              <w:rPr>
                <w:rFonts w:cstheme="minorHAnsi"/>
                <w:sz w:val="20"/>
                <w:szCs w:val="20"/>
              </w:rPr>
            </w:pPr>
          </w:p>
        </w:tc>
        <w:tc>
          <w:tcPr>
            <w:tcW w:w="245" w:type="pct"/>
            <w:hideMark/>
          </w:tcPr>
          <w:p w14:paraId="00790D65" w14:textId="77777777" w:rsidR="00A4606E" w:rsidRPr="00923237" w:rsidRDefault="00A4606E" w:rsidP="00036BFC">
            <w:pPr>
              <w:pStyle w:val="NoSpacing"/>
              <w:rPr>
                <w:rFonts w:cstheme="minorHAnsi"/>
                <w:sz w:val="20"/>
                <w:szCs w:val="20"/>
              </w:rPr>
            </w:pPr>
          </w:p>
        </w:tc>
        <w:tc>
          <w:tcPr>
            <w:tcW w:w="319" w:type="pct"/>
            <w:hideMark/>
          </w:tcPr>
          <w:p w14:paraId="3F037D8F" w14:textId="77777777" w:rsidR="00A4606E" w:rsidRPr="00923237" w:rsidRDefault="00A4606E" w:rsidP="00036BFC">
            <w:pPr>
              <w:pStyle w:val="NoSpacing"/>
              <w:rPr>
                <w:rFonts w:cstheme="minorHAnsi"/>
                <w:sz w:val="20"/>
                <w:szCs w:val="20"/>
              </w:rPr>
            </w:pPr>
          </w:p>
        </w:tc>
        <w:tc>
          <w:tcPr>
            <w:tcW w:w="319" w:type="pct"/>
            <w:hideMark/>
          </w:tcPr>
          <w:p w14:paraId="03F4B4B1" w14:textId="77777777" w:rsidR="00A4606E" w:rsidRPr="00923237" w:rsidRDefault="00A4606E" w:rsidP="00036BFC">
            <w:pPr>
              <w:pStyle w:val="NoSpacing"/>
              <w:rPr>
                <w:rFonts w:cstheme="minorHAnsi"/>
                <w:sz w:val="20"/>
                <w:szCs w:val="20"/>
              </w:rPr>
            </w:pPr>
          </w:p>
        </w:tc>
        <w:tc>
          <w:tcPr>
            <w:tcW w:w="245" w:type="pct"/>
            <w:hideMark/>
          </w:tcPr>
          <w:p w14:paraId="5DC48BCB" w14:textId="77777777" w:rsidR="00A4606E" w:rsidRPr="00923237" w:rsidRDefault="00A4606E" w:rsidP="00036BFC">
            <w:pPr>
              <w:pStyle w:val="NoSpacing"/>
              <w:rPr>
                <w:rFonts w:cstheme="minorHAnsi"/>
                <w:sz w:val="20"/>
                <w:szCs w:val="20"/>
              </w:rPr>
            </w:pPr>
          </w:p>
        </w:tc>
        <w:tc>
          <w:tcPr>
            <w:tcW w:w="319" w:type="pct"/>
            <w:hideMark/>
          </w:tcPr>
          <w:p w14:paraId="5833CC00" w14:textId="77777777" w:rsidR="00A4606E" w:rsidRPr="00923237" w:rsidRDefault="00A4606E" w:rsidP="00036BFC">
            <w:pPr>
              <w:pStyle w:val="NoSpacing"/>
              <w:rPr>
                <w:rFonts w:cstheme="minorHAnsi"/>
                <w:sz w:val="20"/>
                <w:szCs w:val="20"/>
              </w:rPr>
            </w:pPr>
          </w:p>
        </w:tc>
        <w:tc>
          <w:tcPr>
            <w:tcW w:w="245" w:type="pct"/>
            <w:hideMark/>
          </w:tcPr>
          <w:p w14:paraId="5626135C" w14:textId="77777777" w:rsidR="00A4606E" w:rsidRPr="00923237" w:rsidRDefault="00A4606E" w:rsidP="00036BFC">
            <w:pPr>
              <w:pStyle w:val="NoSpacing"/>
              <w:rPr>
                <w:rFonts w:cstheme="minorHAnsi"/>
                <w:sz w:val="20"/>
                <w:szCs w:val="20"/>
              </w:rPr>
            </w:pPr>
          </w:p>
        </w:tc>
        <w:tc>
          <w:tcPr>
            <w:tcW w:w="319" w:type="pct"/>
            <w:hideMark/>
          </w:tcPr>
          <w:p w14:paraId="0DC197D4" w14:textId="77777777" w:rsidR="00A4606E" w:rsidRPr="00923237" w:rsidRDefault="00A4606E" w:rsidP="00036BFC">
            <w:pPr>
              <w:pStyle w:val="NoSpacing"/>
              <w:rPr>
                <w:rFonts w:cstheme="minorHAnsi"/>
                <w:sz w:val="20"/>
                <w:szCs w:val="20"/>
              </w:rPr>
            </w:pPr>
          </w:p>
        </w:tc>
      </w:tr>
      <w:tr w:rsidR="00036BFC" w:rsidRPr="00923237" w14:paraId="7E3AF998" w14:textId="77777777" w:rsidTr="00036BFC">
        <w:tc>
          <w:tcPr>
            <w:tcW w:w="201" w:type="pct"/>
            <w:hideMark/>
          </w:tcPr>
          <w:p w14:paraId="74A370B0" w14:textId="77777777" w:rsidR="00F04EDB" w:rsidRPr="00923237" w:rsidRDefault="00F04EDB" w:rsidP="00036BFC">
            <w:pPr>
              <w:pStyle w:val="NoSpacing"/>
              <w:rPr>
                <w:rFonts w:cstheme="minorHAnsi"/>
                <w:b/>
                <w:bCs/>
                <w:sz w:val="20"/>
                <w:szCs w:val="20"/>
              </w:rPr>
            </w:pPr>
            <w:r w:rsidRPr="00923237">
              <w:rPr>
                <w:rFonts w:cstheme="minorHAnsi"/>
                <w:b/>
                <w:bCs/>
                <w:sz w:val="20"/>
                <w:szCs w:val="20"/>
              </w:rPr>
              <w:t>[3]</w:t>
            </w:r>
          </w:p>
        </w:tc>
        <w:tc>
          <w:tcPr>
            <w:tcW w:w="832" w:type="pct"/>
            <w:hideMark/>
          </w:tcPr>
          <w:p w14:paraId="3D26FB9C" w14:textId="77777777" w:rsidR="00F04EDB" w:rsidRPr="00923237" w:rsidRDefault="00F04EDB" w:rsidP="00036BFC">
            <w:pPr>
              <w:pStyle w:val="NoSpacing"/>
              <w:rPr>
                <w:rFonts w:cstheme="minorHAnsi"/>
                <w:sz w:val="20"/>
                <w:szCs w:val="20"/>
              </w:rPr>
            </w:pPr>
            <w:r w:rsidRPr="00923237">
              <w:rPr>
                <w:rFonts w:cstheme="minorHAnsi"/>
                <w:sz w:val="20"/>
                <w:szCs w:val="20"/>
              </w:rPr>
              <w:t>Size</w:t>
            </w:r>
          </w:p>
        </w:tc>
        <w:tc>
          <w:tcPr>
            <w:tcW w:w="333" w:type="pct"/>
            <w:hideMark/>
          </w:tcPr>
          <w:p w14:paraId="1B8F6A43" w14:textId="77777777" w:rsidR="00F04EDB" w:rsidRPr="00923237" w:rsidRDefault="00F04EDB" w:rsidP="00036BFC">
            <w:pPr>
              <w:pStyle w:val="NoSpacing"/>
              <w:rPr>
                <w:rFonts w:cstheme="minorHAnsi"/>
                <w:sz w:val="20"/>
                <w:szCs w:val="20"/>
              </w:rPr>
            </w:pPr>
            <w:r w:rsidRPr="00923237">
              <w:rPr>
                <w:rFonts w:cstheme="minorHAnsi"/>
                <w:sz w:val="20"/>
                <w:szCs w:val="20"/>
              </w:rPr>
              <w:t>−0.23</w:t>
            </w:r>
          </w:p>
        </w:tc>
        <w:tc>
          <w:tcPr>
            <w:tcW w:w="245" w:type="pct"/>
            <w:hideMark/>
          </w:tcPr>
          <w:p w14:paraId="67EC56F7" w14:textId="77777777" w:rsidR="00F04EDB" w:rsidRPr="00923237" w:rsidRDefault="00F04EDB" w:rsidP="00036BFC">
            <w:pPr>
              <w:pStyle w:val="NoSpacing"/>
              <w:rPr>
                <w:rFonts w:cstheme="minorHAnsi"/>
                <w:sz w:val="20"/>
                <w:szCs w:val="20"/>
              </w:rPr>
            </w:pPr>
            <w:r w:rsidRPr="00923237">
              <w:rPr>
                <w:rFonts w:cstheme="minorHAnsi"/>
                <w:sz w:val="20"/>
                <w:szCs w:val="20"/>
              </w:rPr>
              <w:t>0.29</w:t>
            </w:r>
          </w:p>
        </w:tc>
        <w:tc>
          <w:tcPr>
            <w:tcW w:w="319" w:type="pct"/>
            <w:hideMark/>
          </w:tcPr>
          <w:p w14:paraId="70D13EA2" w14:textId="77777777" w:rsidR="00F04EDB" w:rsidRPr="00923237" w:rsidRDefault="00F04EDB" w:rsidP="00036BFC">
            <w:pPr>
              <w:pStyle w:val="NoSpacing"/>
              <w:rPr>
                <w:rFonts w:cstheme="minorHAnsi"/>
                <w:sz w:val="20"/>
                <w:szCs w:val="20"/>
              </w:rPr>
            </w:pPr>
          </w:p>
        </w:tc>
        <w:tc>
          <w:tcPr>
            <w:tcW w:w="319" w:type="pct"/>
            <w:hideMark/>
          </w:tcPr>
          <w:p w14:paraId="265CC530" w14:textId="77777777" w:rsidR="00F04EDB" w:rsidRPr="00923237" w:rsidRDefault="00F04EDB" w:rsidP="00036BFC">
            <w:pPr>
              <w:pStyle w:val="NoSpacing"/>
              <w:rPr>
                <w:rFonts w:cstheme="minorHAnsi"/>
                <w:sz w:val="20"/>
                <w:szCs w:val="20"/>
              </w:rPr>
            </w:pPr>
          </w:p>
        </w:tc>
        <w:tc>
          <w:tcPr>
            <w:tcW w:w="245" w:type="pct"/>
            <w:hideMark/>
          </w:tcPr>
          <w:p w14:paraId="5005917C" w14:textId="77777777" w:rsidR="00F04EDB" w:rsidRPr="00923237" w:rsidRDefault="00F04EDB" w:rsidP="00036BFC">
            <w:pPr>
              <w:pStyle w:val="NoSpacing"/>
              <w:rPr>
                <w:rFonts w:cstheme="minorHAnsi"/>
                <w:sz w:val="20"/>
                <w:szCs w:val="20"/>
              </w:rPr>
            </w:pPr>
          </w:p>
        </w:tc>
        <w:tc>
          <w:tcPr>
            <w:tcW w:w="245" w:type="pct"/>
            <w:hideMark/>
          </w:tcPr>
          <w:p w14:paraId="00AB3418" w14:textId="77777777" w:rsidR="00F04EDB" w:rsidRPr="00923237" w:rsidRDefault="00F04EDB" w:rsidP="00036BFC">
            <w:pPr>
              <w:pStyle w:val="NoSpacing"/>
              <w:rPr>
                <w:rFonts w:cstheme="minorHAnsi"/>
                <w:sz w:val="20"/>
                <w:szCs w:val="20"/>
              </w:rPr>
            </w:pPr>
          </w:p>
        </w:tc>
        <w:tc>
          <w:tcPr>
            <w:tcW w:w="245" w:type="pct"/>
            <w:hideMark/>
          </w:tcPr>
          <w:p w14:paraId="42FA1B5D" w14:textId="77777777" w:rsidR="00F04EDB" w:rsidRPr="00923237" w:rsidRDefault="00F04EDB" w:rsidP="00036BFC">
            <w:pPr>
              <w:pStyle w:val="NoSpacing"/>
              <w:rPr>
                <w:rFonts w:cstheme="minorHAnsi"/>
                <w:sz w:val="20"/>
                <w:szCs w:val="20"/>
              </w:rPr>
            </w:pPr>
          </w:p>
        </w:tc>
        <w:tc>
          <w:tcPr>
            <w:tcW w:w="245" w:type="pct"/>
            <w:hideMark/>
          </w:tcPr>
          <w:p w14:paraId="0FF8A3CB" w14:textId="77777777" w:rsidR="00F04EDB" w:rsidRPr="00923237" w:rsidRDefault="00F04EDB" w:rsidP="00036BFC">
            <w:pPr>
              <w:pStyle w:val="NoSpacing"/>
              <w:rPr>
                <w:rFonts w:cstheme="minorHAnsi"/>
                <w:sz w:val="20"/>
                <w:szCs w:val="20"/>
              </w:rPr>
            </w:pPr>
          </w:p>
        </w:tc>
        <w:tc>
          <w:tcPr>
            <w:tcW w:w="319" w:type="pct"/>
            <w:hideMark/>
          </w:tcPr>
          <w:p w14:paraId="50B05BFE" w14:textId="77777777" w:rsidR="00F04EDB" w:rsidRPr="00923237" w:rsidRDefault="00F04EDB" w:rsidP="00036BFC">
            <w:pPr>
              <w:pStyle w:val="NoSpacing"/>
              <w:rPr>
                <w:rFonts w:cstheme="minorHAnsi"/>
                <w:sz w:val="20"/>
                <w:szCs w:val="20"/>
              </w:rPr>
            </w:pPr>
          </w:p>
        </w:tc>
        <w:tc>
          <w:tcPr>
            <w:tcW w:w="319" w:type="pct"/>
            <w:hideMark/>
          </w:tcPr>
          <w:p w14:paraId="18C5F06C" w14:textId="77777777" w:rsidR="00F04EDB" w:rsidRPr="00923237" w:rsidRDefault="00F04EDB" w:rsidP="00036BFC">
            <w:pPr>
              <w:pStyle w:val="NoSpacing"/>
              <w:rPr>
                <w:rFonts w:cstheme="minorHAnsi"/>
                <w:sz w:val="20"/>
                <w:szCs w:val="20"/>
              </w:rPr>
            </w:pPr>
          </w:p>
        </w:tc>
        <w:tc>
          <w:tcPr>
            <w:tcW w:w="245" w:type="pct"/>
            <w:hideMark/>
          </w:tcPr>
          <w:p w14:paraId="7CA52E35" w14:textId="77777777" w:rsidR="00F04EDB" w:rsidRPr="00923237" w:rsidRDefault="00F04EDB" w:rsidP="00036BFC">
            <w:pPr>
              <w:pStyle w:val="NoSpacing"/>
              <w:rPr>
                <w:rFonts w:cstheme="minorHAnsi"/>
                <w:sz w:val="20"/>
                <w:szCs w:val="20"/>
              </w:rPr>
            </w:pPr>
          </w:p>
        </w:tc>
        <w:tc>
          <w:tcPr>
            <w:tcW w:w="319" w:type="pct"/>
            <w:hideMark/>
          </w:tcPr>
          <w:p w14:paraId="67EA9253" w14:textId="77777777" w:rsidR="00F04EDB" w:rsidRPr="00923237" w:rsidRDefault="00F04EDB" w:rsidP="00036BFC">
            <w:pPr>
              <w:pStyle w:val="NoSpacing"/>
              <w:rPr>
                <w:rFonts w:cstheme="minorHAnsi"/>
                <w:sz w:val="20"/>
                <w:szCs w:val="20"/>
              </w:rPr>
            </w:pPr>
          </w:p>
        </w:tc>
        <w:tc>
          <w:tcPr>
            <w:tcW w:w="245" w:type="pct"/>
            <w:hideMark/>
          </w:tcPr>
          <w:p w14:paraId="2CFC69B9" w14:textId="77777777" w:rsidR="00F04EDB" w:rsidRPr="00923237" w:rsidRDefault="00F04EDB" w:rsidP="00036BFC">
            <w:pPr>
              <w:pStyle w:val="NoSpacing"/>
              <w:rPr>
                <w:rFonts w:cstheme="minorHAnsi"/>
                <w:sz w:val="20"/>
                <w:szCs w:val="20"/>
              </w:rPr>
            </w:pPr>
          </w:p>
        </w:tc>
        <w:tc>
          <w:tcPr>
            <w:tcW w:w="319" w:type="pct"/>
            <w:hideMark/>
          </w:tcPr>
          <w:p w14:paraId="6A70A370" w14:textId="77777777" w:rsidR="00F04EDB" w:rsidRPr="00923237" w:rsidRDefault="00F04EDB" w:rsidP="00036BFC">
            <w:pPr>
              <w:pStyle w:val="NoSpacing"/>
              <w:rPr>
                <w:rFonts w:cstheme="minorHAnsi"/>
                <w:sz w:val="20"/>
                <w:szCs w:val="20"/>
              </w:rPr>
            </w:pPr>
          </w:p>
        </w:tc>
      </w:tr>
      <w:tr w:rsidR="00036BFC" w:rsidRPr="00923237" w14:paraId="2872B19C" w14:textId="77777777" w:rsidTr="00036BFC">
        <w:tc>
          <w:tcPr>
            <w:tcW w:w="201" w:type="pct"/>
            <w:hideMark/>
          </w:tcPr>
          <w:p w14:paraId="37862A5D" w14:textId="77777777" w:rsidR="00F04EDB" w:rsidRPr="00923237" w:rsidRDefault="00F04EDB" w:rsidP="00036BFC">
            <w:pPr>
              <w:pStyle w:val="NoSpacing"/>
              <w:rPr>
                <w:rFonts w:cstheme="minorHAnsi"/>
                <w:b/>
                <w:bCs/>
                <w:sz w:val="20"/>
                <w:szCs w:val="20"/>
              </w:rPr>
            </w:pPr>
          </w:p>
        </w:tc>
        <w:tc>
          <w:tcPr>
            <w:tcW w:w="832" w:type="pct"/>
            <w:hideMark/>
          </w:tcPr>
          <w:p w14:paraId="31140C3A" w14:textId="77777777" w:rsidR="00F04EDB" w:rsidRPr="00923237" w:rsidRDefault="00F04EDB" w:rsidP="00036BFC">
            <w:pPr>
              <w:pStyle w:val="NoSpacing"/>
              <w:rPr>
                <w:rFonts w:cstheme="minorHAnsi"/>
                <w:sz w:val="20"/>
                <w:szCs w:val="20"/>
              </w:rPr>
            </w:pPr>
          </w:p>
        </w:tc>
        <w:tc>
          <w:tcPr>
            <w:tcW w:w="333" w:type="pct"/>
            <w:hideMark/>
          </w:tcPr>
          <w:p w14:paraId="6925C9C3" w14:textId="77777777" w:rsidR="00F04EDB" w:rsidRPr="00923237" w:rsidRDefault="00F04EDB"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01</w:t>
            </w:r>
          </w:p>
        </w:tc>
        <w:tc>
          <w:tcPr>
            <w:tcW w:w="245" w:type="pct"/>
            <w:hideMark/>
          </w:tcPr>
          <w:p w14:paraId="69BA1C9F" w14:textId="77777777" w:rsidR="00F04EDB" w:rsidRPr="00923237" w:rsidRDefault="00F04EDB"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00</w:t>
            </w:r>
          </w:p>
        </w:tc>
        <w:tc>
          <w:tcPr>
            <w:tcW w:w="319" w:type="pct"/>
            <w:hideMark/>
          </w:tcPr>
          <w:p w14:paraId="23E8F759" w14:textId="77777777" w:rsidR="00F04EDB" w:rsidRPr="00923237" w:rsidRDefault="00F04EDB" w:rsidP="00036BFC">
            <w:pPr>
              <w:pStyle w:val="NoSpacing"/>
              <w:rPr>
                <w:rFonts w:cstheme="minorHAnsi"/>
                <w:sz w:val="20"/>
                <w:szCs w:val="20"/>
              </w:rPr>
            </w:pPr>
          </w:p>
        </w:tc>
        <w:tc>
          <w:tcPr>
            <w:tcW w:w="319" w:type="pct"/>
            <w:hideMark/>
          </w:tcPr>
          <w:p w14:paraId="3B65E746" w14:textId="77777777" w:rsidR="00F04EDB" w:rsidRPr="00923237" w:rsidRDefault="00F04EDB" w:rsidP="00036BFC">
            <w:pPr>
              <w:pStyle w:val="NoSpacing"/>
              <w:rPr>
                <w:rFonts w:cstheme="minorHAnsi"/>
                <w:sz w:val="20"/>
                <w:szCs w:val="20"/>
              </w:rPr>
            </w:pPr>
          </w:p>
        </w:tc>
        <w:tc>
          <w:tcPr>
            <w:tcW w:w="245" w:type="pct"/>
            <w:hideMark/>
          </w:tcPr>
          <w:p w14:paraId="4F664F61" w14:textId="77777777" w:rsidR="00F04EDB" w:rsidRPr="00923237" w:rsidRDefault="00F04EDB" w:rsidP="00036BFC">
            <w:pPr>
              <w:pStyle w:val="NoSpacing"/>
              <w:rPr>
                <w:rFonts w:cstheme="minorHAnsi"/>
                <w:sz w:val="20"/>
                <w:szCs w:val="20"/>
              </w:rPr>
            </w:pPr>
          </w:p>
        </w:tc>
        <w:tc>
          <w:tcPr>
            <w:tcW w:w="245" w:type="pct"/>
            <w:hideMark/>
          </w:tcPr>
          <w:p w14:paraId="23002C1C" w14:textId="77777777" w:rsidR="00F04EDB" w:rsidRPr="00923237" w:rsidRDefault="00F04EDB" w:rsidP="00036BFC">
            <w:pPr>
              <w:pStyle w:val="NoSpacing"/>
              <w:rPr>
                <w:rFonts w:cstheme="minorHAnsi"/>
                <w:sz w:val="20"/>
                <w:szCs w:val="20"/>
              </w:rPr>
            </w:pPr>
          </w:p>
        </w:tc>
        <w:tc>
          <w:tcPr>
            <w:tcW w:w="245" w:type="pct"/>
            <w:hideMark/>
          </w:tcPr>
          <w:p w14:paraId="58A8E8EA" w14:textId="77777777" w:rsidR="00F04EDB" w:rsidRPr="00923237" w:rsidRDefault="00F04EDB" w:rsidP="00036BFC">
            <w:pPr>
              <w:pStyle w:val="NoSpacing"/>
              <w:rPr>
                <w:rFonts w:cstheme="minorHAnsi"/>
                <w:sz w:val="20"/>
                <w:szCs w:val="20"/>
              </w:rPr>
            </w:pPr>
          </w:p>
        </w:tc>
        <w:tc>
          <w:tcPr>
            <w:tcW w:w="245" w:type="pct"/>
            <w:hideMark/>
          </w:tcPr>
          <w:p w14:paraId="62FC426E" w14:textId="77777777" w:rsidR="00F04EDB" w:rsidRPr="00923237" w:rsidRDefault="00F04EDB" w:rsidP="00036BFC">
            <w:pPr>
              <w:pStyle w:val="NoSpacing"/>
              <w:rPr>
                <w:rFonts w:cstheme="minorHAnsi"/>
                <w:sz w:val="20"/>
                <w:szCs w:val="20"/>
              </w:rPr>
            </w:pPr>
          </w:p>
        </w:tc>
        <w:tc>
          <w:tcPr>
            <w:tcW w:w="319" w:type="pct"/>
            <w:hideMark/>
          </w:tcPr>
          <w:p w14:paraId="028D659C" w14:textId="77777777" w:rsidR="00F04EDB" w:rsidRPr="00923237" w:rsidRDefault="00F04EDB" w:rsidP="00036BFC">
            <w:pPr>
              <w:pStyle w:val="NoSpacing"/>
              <w:rPr>
                <w:rFonts w:cstheme="minorHAnsi"/>
                <w:sz w:val="20"/>
                <w:szCs w:val="20"/>
              </w:rPr>
            </w:pPr>
          </w:p>
        </w:tc>
        <w:tc>
          <w:tcPr>
            <w:tcW w:w="319" w:type="pct"/>
            <w:hideMark/>
          </w:tcPr>
          <w:p w14:paraId="057FB784" w14:textId="77777777" w:rsidR="00F04EDB" w:rsidRPr="00923237" w:rsidRDefault="00F04EDB" w:rsidP="00036BFC">
            <w:pPr>
              <w:pStyle w:val="NoSpacing"/>
              <w:rPr>
                <w:rFonts w:cstheme="minorHAnsi"/>
                <w:sz w:val="20"/>
                <w:szCs w:val="20"/>
              </w:rPr>
            </w:pPr>
          </w:p>
        </w:tc>
        <w:tc>
          <w:tcPr>
            <w:tcW w:w="245" w:type="pct"/>
            <w:hideMark/>
          </w:tcPr>
          <w:p w14:paraId="0FAFEC05" w14:textId="77777777" w:rsidR="00F04EDB" w:rsidRPr="00923237" w:rsidRDefault="00F04EDB" w:rsidP="00036BFC">
            <w:pPr>
              <w:pStyle w:val="NoSpacing"/>
              <w:rPr>
                <w:rFonts w:cstheme="minorHAnsi"/>
                <w:sz w:val="20"/>
                <w:szCs w:val="20"/>
              </w:rPr>
            </w:pPr>
          </w:p>
        </w:tc>
        <w:tc>
          <w:tcPr>
            <w:tcW w:w="319" w:type="pct"/>
            <w:hideMark/>
          </w:tcPr>
          <w:p w14:paraId="6AFE349A" w14:textId="77777777" w:rsidR="00F04EDB" w:rsidRPr="00923237" w:rsidRDefault="00F04EDB" w:rsidP="00036BFC">
            <w:pPr>
              <w:pStyle w:val="NoSpacing"/>
              <w:rPr>
                <w:rFonts w:cstheme="minorHAnsi"/>
                <w:sz w:val="20"/>
                <w:szCs w:val="20"/>
              </w:rPr>
            </w:pPr>
          </w:p>
        </w:tc>
        <w:tc>
          <w:tcPr>
            <w:tcW w:w="245" w:type="pct"/>
            <w:hideMark/>
          </w:tcPr>
          <w:p w14:paraId="3534DCC3" w14:textId="77777777" w:rsidR="00F04EDB" w:rsidRPr="00923237" w:rsidRDefault="00F04EDB" w:rsidP="00036BFC">
            <w:pPr>
              <w:pStyle w:val="NoSpacing"/>
              <w:rPr>
                <w:rFonts w:cstheme="minorHAnsi"/>
                <w:sz w:val="20"/>
                <w:szCs w:val="20"/>
              </w:rPr>
            </w:pPr>
          </w:p>
        </w:tc>
        <w:tc>
          <w:tcPr>
            <w:tcW w:w="319" w:type="pct"/>
            <w:hideMark/>
          </w:tcPr>
          <w:p w14:paraId="4805FAC8" w14:textId="77777777" w:rsidR="00F04EDB" w:rsidRPr="00923237" w:rsidRDefault="00F04EDB" w:rsidP="00036BFC">
            <w:pPr>
              <w:pStyle w:val="NoSpacing"/>
              <w:rPr>
                <w:rFonts w:cstheme="minorHAnsi"/>
                <w:sz w:val="20"/>
                <w:szCs w:val="20"/>
              </w:rPr>
            </w:pPr>
          </w:p>
        </w:tc>
      </w:tr>
      <w:tr w:rsidR="00036BFC" w:rsidRPr="00923237" w14:paraId="080E0F82" w14:textId="77777777" w:rsidTr="00036BFC">
        <w:tc>
          <w:tcPr>
            <w:tcW w:w="201" w:type="pct"/>
            <w:hideMark/>
          </w:tcPr>
          <w:p w14:paraId="5314772D" w14:textId="77777777" w:rsidR="00A4606E" w:rsidRPr="00923237" w:rsidRDefault="00A4606E" w:rsidP="00036BFC">
            <w:pPr>
              <w:pStyle w:val="NoSpacing"/>
              <w:rPr>
                <w:rFonts w:cstheme="minorHAnsi"/>
                <w:b/>
                <w:bCs/>
                <w:sz w:val="20"/>
                <w:szCs w:val="20"/>
              </w:rPr>
            </w:pPr>
            <w:r w:rsidRPr="00923237">
              <w:rPr>
                <w:rFonts w:cstheme="minorHAnsi"/>
                <w:b/>
                <w:bCs/>
                <w:sz w:val="20"/>
                <w:szCs w:val="20"/>
              </w:rPr>
              <w:t>[4]</w:t>
            </w:r>
          </w:p>
        </w:tc>
        <w:tc>
          <w:tcPr>
            <w:tcW w:w="832" w:type="pct"/>
            <w:hideMark/>
          </w:tcPr>
          <w:p w14:paraId="532CDA74" w14:textId="77777777" w:rsidR="00A4606E" w:rsidRPr="00923237" w:rsidRDefault="00A4606E" w:rsidP="00036BFC">
            <w:pPr>
              <w:pStyle w:val="NoSpacing"/>
              <w:rPr>
                <w:rFonts w:cstheme="minorHAnsi"/>
                <w:sz w:val="20"/>
                <w:szCs w:val="20"/>
              </w:rPr>
            </w:pPr>
            <w:r w:rsidRPr="00923237">
              <w:rPr>
                <w:rFonts w:cstheme="minorHAnsi"/>
                <w:sz w:val="20"/>
                <w:szCs w:val="20"/>
              </w:rPr>
              <w:t>Firm Q</w:t>
            </w:r>
          </w:p>
        </w:tc>
        <w:tc>
          <w:tcPr>
            <w:tcW w:w="333" w:type="pct"/>
            <w:hideMark/>
          </w:tcPr>
          <w:p w14:paraId="7AC57D90" w14:textId="77777777" w:rsidR="00A4606E" w:rsidRPr="00923237" w:rsidRDefault="00A4606E" w:rsidP="00036BFC">
            <w:pPr>
              <w:pStyle w:val="NoSpacing"/>
              <w:rPr>
                <w:rFonts w:cstheme="minorHAnsi"/>
                <w:sz w:val="20"/>
                <w:szCs w:val="20"/>
              </w:rPr>
            </w:pPr>
            <w:r w:rsidRPr="00923237">
              <w:rPr>
                <w:rFonts w:cstheme="minorHAnsi"/>
                <w:sz w:val="20"/>
                <w:szCs w:val="20"/>
              </w:rPr>
              <w:t>0.14</w:t>
            </w:r>
          </w:p>
        </w:tc>
        <w:tc>
          <w:tcPr>
            <w:tcW w:w="245" w:type="pct"/>
            <w:hideMark/>
          </w:tcPr>
          <w:p w14:paraId="056EECF6" w14:textId="77777777" w:rsidR="00A4606E" w:rsidRPr="00923237" w:rsidRDefault="00A4606E" w:rsidP="00036BFC">
            <w:pPr>
              <w:pStyle w:val="NoSpacing"/>
              <w:rPr>
                <w:rFonts w:cstheme="minorHAnsi"/>
                <w:sz w:val="20"/>
                <w:szCs w:val="20"/>
              </w:rPr>
            </w:pPr>
            <w:r w:rsidRPr="00923237">
              <w:rPr>
                <w:rFonts w:cstheme="minorHAnsi"/>
                <w:sz w:val="20"/>
                <w:szCs w:val="20"/>
              </w:rPr>
              <w:t>−0.16</w:t>
            </w:r>
          </w:p>
        </w:tc>
        <w:tc>
          <w:tcPr>
            <w:tcW w:w="319" w:type="pct"/>
            <w:hideMark/>
          </w:tcPr>
          <w:p w14:paraId="0B853F5C" w14:textId="77777777" w:rsidR="00A4606E" w:rsidRPr="00923237" w:rsidRDefault="00A4606E" w:rsidP="00036BFC">
            <w:pPr>
              <w:pStyle w:val="NoSpacing"/>
              <w:rPr>
                <w:rFonts w:cstheme="minorHAnsi"/>
                <w:sz w:val="20"/>
                <w:szCs w:val="20"/>
              </w:rPr>
            </w:pPr>
            <w:r w:rsidRPr="00923237">
              <w:rPr>
                <w:rFonts w:cstheme="minorHAnsi"/>
                <w:sz w:val="20"/>
                <w:szCs w:val="20"/>
              </w:rPr>
              <w:t>−0.11</w:t>
            </w:r>
          </w:p>
        </w:tc>
        <w:tc>
          <w:tcPr>
            <w:tcW w:w="319" w:type="pct"/>
            <w:hideMark/>
          </w:tcPr>
          <w:p w14:paraId="11DC636C" w14:textId="77777777" w:rsidR="00A4606E" w:rsidRPr="00923237" w:rsidRDefault="00A4606E" w:rsidP="00036BFC">
            <w:pPr>
              <w:pStyle w:val="NoSpacing"/>
              <w:rPr>
                <w:rFonts w:cstheme="minorHAnsi"/>
                <w:sz w:val="20"/>
                <w:szCs w:val="20"/>
              </w:rPr>
            </w:pPr>
          </w:p>
        </w:tc>
        <w:tc>
          <w:tcPr>
            <w:tcW w:w="245" w:type="pct"/>
            <w:hideMark/>
          </w:tcPr>
          <w:p w14:paraId="4EDEE626" w14:textId="77777777" w:rsidR="00A4606E" w:rsidRPr="00923237" w:rsidRDefault="00A4606E" w:rsidP="00036BFC">
            <w:pPr>
              <w:pStyle w:val="NoSpacing"/>
              <w:rPr>
                <w:rFonts w:cstheme="minorHAnsi"/>
                <w:sz w:val="20"/>
                <w:szCs w:val="20"/>
              </w:rPr>
            </w:pPr>
          </w:p>
        </w:tc>
        <w:tc>
          <w:tcPr>
            <w:tcW w:w="245" w:type="pct"/>
            <w:hideMark/>
          </w:tcPr>
          <w:p w14:paraId="58301752" w14:textId="77777777" w:rsidR="00A4606E" w:rsidRPr="00923237" w:rsidRDefault="00A4606E" w:rsidP="00036BFC">
            <w:pPr>
              <w:pStyle w:val="NoSpacing"/>
              <w:rPr>
                <w:rFonts w:cstheme="minorHAnsi"/>
                <w:sz w:val="20"/>
                <w:szCs w:val="20"/>
              </w:rPr>
            </w:pPr>
          </w:p>
        </w:tc>
        <w:tc>
          <w:tcPr>
            <w:tcW w:w="245" w:type="pct"/>
            <w:hideMark/>
          </w:tcPr>
          <w:p w14:paraId="47FB849F" w14:textId="77777777" w:rsidR="00A4606E" w:rsidRPr="00923237" w:rsidRDefault="00A4606E" w:rsidP="00036BFC">
            <w:pPr>
              <w:pStyle w:val="NoSpacing"/>
              <w:rPr>
                <w:rFonts w:cstheme="minorHAnsi"/>
                <w:sz w:val="20"/>
                <w:szCs w:val="20"/>
              </w:rPr>
            </w:pPr>
          </w:p>
        </w:tc>
        <w:tc>
          <w:tcPr>
            <w:tcW w:w="245" w:type="pct"/>
            <w:hideMark/>
          </w:tcPr>
          <w:p w14:paraId="171BADD1" w14:textId="77777777" w:rsidR="00A4606E" w:rsidRPr="00923237" w:rsidRDefault="00A4606E" w:rsidP="00036BFC">
            <w:pPr>
              <w:pStyle w:val="NoSpacing"/>
              <w:rPr>
                <w:rFonts w:cstheme="minorHAnsi"/>
                <w:sz w:val="20"/>
                <w:szCs w:val="20"/>
              </w:rPr>
            </w:pPr>
          </w:p>
        </w:tc>
        <w:tc>
          <w:tcPr>
            <w:tcW w:w="319" w:type="pct"/>
            <w:hideMark/>
          </w:tcPr>
          <w:p w14:paraId="1BE7ED8A" w14:textId="77777777" w:rsidR="00A4606E" w:rsidRPr="00923237" w:rsidRDefault="00A4606E" w:rsidP="00036BFC">
            <w:pPr>
              <w:pStyle w:val="NoSpacing"/>
              <w:rPr>
                <w:rFonts w:cstheme="minorHAnsi"/>
                <w:sz w:val="20"/>
                <w:szCs w:val="20"/>
              </w:rPr>
            </w:pPr>
          </w:p>
        </w:tc>
        <w:tc>
          <w:tcPr>
            <w:tcW w:w="319" w:type="pct"/>
            <w:hideMark/>
          </w:tcPr>
          <w:p w14:paraId="2B908CF8" w14:textId="77777777" w:rsidR="00A4606E" w:rsidRPr="00923237" w:rsidRDefault="00A4606E" w:rsidP="00036BFC">
            <w:pPr>
              <w:pStyle w:val="NoSpacing"/>
              <w:rPr>
                <w:rFonts w:cstheme="minorHAnsi"/>
                <w:sz w:val="20"/>
                <w:szCs w:val="20"/>
              </w:rPr>
            </w:pPr>
          </w:p>
        </w:tc>
        <w:tc>
          <w:tcPr>
            <w:tcW w:w="245" w:type="pct"/>
            <w:hideMark/>
          </w:tcPr>
          <w:p w14:paraId="637CC4A8" w14:textId="77777777" w:rsidR="00A4606E" w:rsidRPr="00923237" w:rsidRDefault="00A4606E" w:rsidP="00036BFC">
            <w:pPr>
              <w:pStyle w:val="NoSpacing"/>
              <w:rPr>
                <w:rFonts w:cstheme="minorHAnsi"/>
                <w:sz w:val="20"/>
                <w:szCs w:val="20"/>
              </w:rPr>
            </w:pPr>
          </w:p>
        </w:tc>
        <w:tc>
          <w:tcPr>
            <w:tcW w:w="319" w:type="pct"/>
            <w:hideMark/>
          </w:tcPr>
          <w:p w14:paraId="44915492" w14:textId="77777777" w:rsidR="00A4606E" w:rsidRPr="00923237" w:rsidRDefault="00A4606E" w:rsidP="00036BFC">
            <w:pPr>
              <w:pStyle w:val="NoSpacing"/>
              <w:rPr>
                <w:rFonts w:cstheme="minorHAnsi"/>
                <w:sz w:val="20"/>
                <w:szCs w:val="20"/>
              </w:rPr>
            </w:pPr>
          </w:p>
        </w:tc>
        <w:tc>
          <w:tcPr>
            <w:tcW w:w="245" w:type="pct"/>
            <w:hideMark/>
          </w:tcPr>
          <w:p w14:paraId="16664254" w14:textId="77777777" w:rsidR="00A4606E" w:rsidRPr="00923237" w:rsidRDefault="00A4606E" w:rsidP="00036BFC">
            <w:pPr>
              <w:pStyle w:val="NoSpacing"/>
              <w:rPr>
                <w:rFonts w:cstheme="minorHAnsi"/>
                <w:sz w:val="20"/>
                <w:szCs w:val="20"/>
              </w:rPr>
            </w:pPr>
          </w:p>
        </w:tc>
        <w:tc>
          <w:tcPr>
            <w:tcW w:w="319" w:type="pct"/>
            <w:hideMark/>
          </w:tcPr>
          <w:p w14:paraId="6C0B4975" w14:textId="77777777" w:rsidR="00A4606E" w:rsidRPr="00923237" w:rsidRDefault="00A4606E" w:rsidP="00036BFC">
            <w:pPr>
              <w:pStyle w:val="NoSpacing"/>
              <w:rPr>
                <w:rFonts w:cstheme="minorHAnsi"/>
                <w:sz w:val="20"/>
                <w:szCs w:val="20"/>
              </w:rPr>
            </w:pPr>
          </w:p>
        </w:tc>
      </w:tr>
      <w:tr w:rsidR="00036BFC" w:rsidRPr="00923237" w14:paraId="7DE24BF2" w14:textId="77777777" w:rsidTr="00036BFC">
        <w:tc>
          <w:tcPr>
            <w:tcW w:w="201" w:type="pct"/>
            <w:hideMark/>
          </w:tcPr>
          <w:p w14:paraId="1E75A766" w14:textId="77777777" w:rsidR="00A4606E" w:rsidRPr="00923237" w:rsidRDefault="00A4606E" w:rsidP="00036BFC">
            <w:pPr>
              <w:pStyle w:val="NoSpacing"/>
              <w:rPr>
                <w:rFonts w:cstheme="minorHAnsi"/>
                <w:b/>
                <w:bCs/>
                <w:sz w:val="20"/>
                <w:szCs w:val="20"/>
              </w:rPr>
            </w:pPr>
          </w:p>
        </w:tc>
        <w:tc>
          <w:tcPr>
            <w:tcW w:w="832" w:type="pct"/>
            <w:hideMark/>
          </w:tcPr>
          <w:p w14:paraId="22A3BE3C" w14:textId="77777777" w:rsidR="00A4606E" w:rsidRPr="00923237" w:rsidRDefault="00A4606E" w:rsidP="00036BFC">
            <w:pPr>
              <w:pStyle w:val="NoSpacing"/>
              <w:rPr>
                <w:rFonts w:cstheme="minorHAnsi"/>
                <w:sz w:val="20"/>
                <w:szCs w:val="20"/>
              </w:rPr>
            </w:pPr>
          </w:p>
        </w:tc>
        <w:tc>
          <w:tcPr>
            <w:tcW w:w="333" w:type="pct"/>
            <w:hideMark/>
          </w:tcPr>
          <w:p w14:paraId="7EC5D6E4" w14:textId="77777777" w:rsidR="00A4606E" w:rsidRPr="00923237" w:rsidRDefault="00A4606E"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09</w:t>
            </w:r>
          </w:p>
        </w:tc>
        <w:tc>
          <w:tcPr>
            <w:tcW w:w="245" w:type="pct"/>
            <w:hideMark/>
          </w:tcPr>
          <w:p w14:paraId="06D1D388" w14:textId="77777777" w:rsidR="00A4606E" w:rsidRPr="00923237" w:rsidRDefault="00A4606E"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07</w:t>
            </w:r>
          </w:p>
        </w:tc>
        <w:tc>
          <w:tcPr>
            <w:tcW w:w="319" w:type="pct"/>
            <w:hideMark/>
          </w:tcPr>
          <w:p w14:paraId="3AACAEB2" w14:textId="77777777" w:rsidR="00A4606E" w:rsidRPr="00923237" w:rsidRDefault="00A4606E"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22</w:t>
            </w:r>
          </w:p>
        </w:tc>
        <w:tc>
          <w:tcPr>
            <w:tcW w:w="319" w:type="pct"/>
            <w:hideMark/>
          </w:tcPr>
          <w:p w14:paraId="0DB6B58A" w14:textId="77777777" w:rsidR="00A4606E" w:rsidRPr="00923237" w:rsidRDefault="00A4606E" w:rsidP="00036BFC">
            <w:pPr>
              <w:pStyle w:val="NoSpacing"/>
              <w:rPr>
                <w:rFonts w:cstheme="minorHAnsi"/>
                <w:sz w:val="20"/>
                <w:szCs w:val="20"/>
              </w:rPr>
            </w:pPr>
          </w:p>
        </w:tc>
        <w:tc>
          <w:tcPr>
            <w:tcW w:w="245" w:type="pct"/>
            <w:hideMark/>
          </w:tcPr>
          <w:p w14:paraId="355F1E90" w14:textId="77777777" w:rsidR="00A4606E" w:rsidRPr="00923237" w:rsidRDefault="00A4606E" w:rsidP="00036BFC">
            <w:pPr>
              <w:pStyle w:val="NoSpacing"/>
              <w:rPr>
                <w:rFonts w:cstheme="minorHAnsi"/>
                <w:sz w:val="20"/>
                <w:szCs w:val="20"/>
              </w:rPr>
            </w:pPr>
          </w:p>
        </w:tc>
        <w:tc>
          <w:tcPr>
            <w:tcW w:w="245" w:type="pct"/>
            <w:hideMark/>
          </w:tcPr>
          <w:p w14:paraId="1D245354" w14:textId="77777777" w:rsidR="00A4606E" w:rsidRPr="00923237" w:rsidRDefault="00A4606E" w:rsidP="00036BFC">
            <w:pPr>
              <w:pStyle w:val="NoSpacing"/>
              <w:rPr>
                <w:rFonts w:cstheme="minorHAnsi"/>
                <w:sz w:val="20"/>
                <w:szCs w:val="20"/>
              </w:rPr>
            </w:pPr>
          </w:p>
        </w:tc>
        <w:tc>
          <w:tcPr>
            <w:tcW w:w="245" w:type="pct"/>
            <w:hideMark/>
          </w:tcPr>
          <w:p w14:paraId="159D8F44" w14:textId="77777777" w:rsidR="00A4606E" w:rsidRPr="00923237" w:rsidRDefault="00A4606E" w:rsidP="00036BFC">
            <w:pPr>
              <w:pStyle w:val="NoSpacing"/>
              <w:rPr>
                <w:rFonts w:cstheme="minorHAnsi"/>
                <w:sz w:val="20"/>
                <w:szCs w:val="20"/>
              </w:rPr>
            </w:pPr>
          </w:p>
        </w:tc>
        <w:tc>
          <w:tcPr>
            <w:tcW w:w="245" w:type="pct"/>
            <w:hideMark/>
          </w:tcPr>
          <w:p w14:paraId="588DDDB2" w14:textId="77777777" w:rsidR="00A4606E" w:rsidRPr="00923237" w:rsidRDefault="00A4606E" w:rsidP="00036BFC">
            <w:pPr>
              <w:pStyle w:val="NoSpacing"/>
              <w:rPr>
                <w:rFonts w:cstheme="minorHAnsi"/>
                <w:sz w:val="20"/>
                <w:szCs w:val="20"/>
              </w:rPr>
            </w:pPr>
          </w:p>
        </w:tc>
        <w:tc>
          <w:tcPr>
            <w:tcW w:w="319" w:type="pct"/>
            <w:hideMark/>
          </w:tcPr>
          <w:p w14:paraId="557EE621" w14:textId="77777777" w:rsidR="00A4606E" w:rsidRPr="00923237" w:rsidRDefault="00A4606E" w:rsidP="00036BFC">
            <w:pPr>
              <w:pStyle w:val="NoSpacing"/>
              <w:rPr>
                <w:rFonts w:cstheme="minorHAnsi"/>
                <w:sz w:val="20"/>
                <w:szCs w:val="20"/>
              </w:rPr>
            </w:pPr>
          </w:p>
        </w:tc>
        <w:tc>
          <w:tcPr>
            <w:tcW w:w="319" w:type="pct"/>
            <w:hideMark/>
          </w:tcPr>
          <w:p w14:paraId="004F727C" w14:textId="77777777" w:rsidR="00A4606E" w:rsidRPr="00923237" w:rsidRDefault="00A4606E" w:rsidP="00036BFC">
            <w:pPr>
              <w:pStyle w:val="NoSpacing"/>
              <w:rPr>
                <w:rFonts w:cstheme="minorHAnsi"/>
                <w:sz w:val="20"/>
                <w:szCs w:val="20"/>
              </w:rPr>
            </w:pPr>
          </w:p>
        </w:tc>
        <w:tc>
          <w:tcPr>
            <w:tcW w:w="245" w:type="pct"/>
            <w:hideMark/>
          </w:tcPr>
          <w:p w14:paraId="02E7A125" w14:textId="77777777" w:rsidR="00A4606E" w:rsidRPr="00923237" w:rsidRDefault="00A4606E" w:rsidP="00036BFC">
            <w:pPr>
              <w:pStyle w:val="NoSpacing"/>
              <w:rPr>
                <w:rFonts w:cstheme="minorHAnsi"/>
                <w:sz w:val="20"/>
                <w:szCs w:val="20"/>
              </w:rPr>
            </w:pPr>
          </w:p>
        </w:tc>
        <w:tc>
          <w:tcPr>
            <w:tcW w:w="319" w:type="pct"/>
            <w:hideMark/>
          </w:tcPr>
          <w:p w14:paraId="0B1DAE5C" w14:textId="77777777" w:rsidR="00A4606E" w:rsidRPr="00923237" w:rsidRDefault="00A4606E" w:rsidP="00036BFC">
            <w:pPr>
              <w:pStyle w:val="NoSpacing"/>
              <w:rPr>
                <w:rFonts w:cstheme="minorHAnsi"/>
                <w:sz w:val="20"/>
                <w:szCs w:val="20"/>
              </w:rPr>
            </w:pPr>
          </w:p>
        </w:tc>
        <w:tc>
          <w:tcPr>
            <w:tcW w:w="245" w:type="pct"/>
            <w:hideMark/>
          </w:tcPr>
          <w:p w14:paraId="0CB6BDD4" w14:textId="77777777" w:rsidR="00A4606E" w:rsidRPr="00923237" w:rsidRDefault="00A4606E" w:rsidP="00036BFC">
            <w:pPr>
              <w:pStyle w:val="NoSpacing"/>
              <w:rPr>
                <w:rFonts w:cstheme="minorHAnsi"/>
                <w:sz w:val="20"/>
                <w:szCs w:val="20"/>
              </w:rPr>
            </w:pPr>
          </w:p>
        </w:tc>
        <w:tc>
          <w:tcPr>
            <w:tcW w:w="319" w:type="pct"/>
            <w:hideMark/>
          </w:tcPr>
          <w:p w14:paraId="599D2D5E" w14:textId="77777777" w:rsidR="00A4606E" w:rsidRPr="00923237" w:rsidRDefault="00A4606E" w:rsidP="00036BFC">
            <w:pPr>
              <w:pStyle w:val="NoSpacing"/>
              <w:rPr>
                <w:rFonts w:cstheme="minorHAnsi"/>
                <w:sz w:val="20"/>
                <w:szCs w:val="20"/>
              </w:rPr>
            </w:pPr>
          </w:p>
        </w:tc>
      </w:tr>
      <w:tr w:rsidR="00036BFC" w:rsidRPr="00923237" w14:paraId="25E05E98" w14:textId="77777777" w:rsidTr="00036BFC">
        <w:tc>
          <w:tcPr>
            <w:tcW w:w="201" w:type="pct"/>
            <w:hideMark/>
          </w:tcPr>
          <w:p w14:paraId="6D886E82" w14:textId="77777777" w:rsidR="00A4606E" w:rsidRPr="00923237" w:rsidRDefault="00A4606E" w:rsidP="00036BFC">
            <w:pPr>
              <w:pStyle w:val="NoSpacing"/>
              <w:rPr>
                <w:rFonts w:cstheme="minorHAnsi"/>
                <w:b/>
                <w:bCs/>
                <w:sz w:val="20"/>
                <w:szCs w:val="20"/>
              </w:rPr>
            </w:pPr>
            <w:r w:rsidRPr="00923237">
              <w:rPr>
                <w:rFonts w:cstheme="minorHAnsi"/>
                <w:b/>
                <w:bCs/>
                <w:sz w:val="20"/>
                <w:szCs w:val="20"/>
              </w:rPr>
              <w:t>[5]</w:t>
            </w:r>
          </w:p>
        </w:tc>
        <w:tc>
          <w:tcPr>
            <w:tcW w:w="832" w:type="pct"/>
            <w:hideMark/>
          </w:tcPr>
          <w:p w14:paraId="26046B23" w14:textId="77777777" w:rsidR="00A4606E" w:rsidRPr="00923237" w:rsidRDefault="00A4606E" w:rsidP="00036BFC">
            <w:pPr>
              <w:pStyle w:val="NoSpacing"/>
              <w:rPr>
                <w:rFonts w:cstheme="minorHAnsi"/>
                <w:sz w:val="20"/>
                <w:szCs w:val="20"/>
              </w:rPr>
            </w:pPr>
            <w:r w:rsidRPr="00923237">
              <w:rPr>
                <w:rFonts w:cstheme="minorHAnsi"/>
                <w:sz w:val="20"/>
                <w:szCs w:val="20"/>
              </w:rPr>
              <w:t>Cash/total assets</w:t>
            </w:r>
          </w:p>
        </w:tc>
        <w:tc>
          <w:tcPr>
            <w:tcW w:w="333" w:type="pct"/>
            <w:hideMark/>
          </w:tcPr>
          <w:p w14:paraId="128EE593" w14:textId="77777777" w:rsidR="00A4606E" w:rsidRPr="00923237" w:rsidRDefault="00A4606E" w:rsidP="00036BFC">
            <w:pPr>
              <w:pStyle w:val="NoSpacing"/>
              <w:rPr>
                <w:rFonts w:cstheme="minorHAnsi"/>
                <w:sz w:val="20"/>
                <w:szCs w:val="20"/>
              </w:rPr>
            </w:pPr>
            <w:r w:rsidRPr="00923237">
              <w:rPr>
                <w:rFonts w:cstheme="minorHAnsi"/>
                <w:sz w:val="20"/>
                <w:szCs w:val="20"/>
              </w:rPr>
              <w:t>−0.05</w:t>
            </w:r>
          </w:p>
        </w:tc>
        <w:tc>
          <w:tcPr>
            <w:tcW w:w="245" w:type="pct"/>
            <w:hideMark/>
          </w:tcPr>
          <w:p w14:paraId="0F09F34D" w14:textId="77777777" w:rsidR="00A4606E" w:rsidRPr="00923237" w:rsidRDefault="00A4606E" w:rsidP="00036BFC">
            <w:pPr>
              <w:pStyle w:val="NoSpacing"/>
              <w:rPr>
                <w:rFonts w:cstheme="minorHAnsi"/>
                <w:sz w:val="20"/>
                <w:szCs w:val="20"/>
              </w:rPr>
            </w:pPr>
            <w:r w:rsidRPr="00923237">
              <w:rPr>
                <w:rFonts w:cstheme="minorHAnsi"/>
                <w:sz w:val="20"/>
                <w:szCs w:val="20"/>
              </w:rPr>
              <w:t>−0.07</w:t>
            </w:r>
          </w:p>
        </w:tc>
        <w:tc>
          <w:tcPr>
            <w:tcW w:w="319" w:type="pct"/>
            <w:hideMark/>
          </w:tcPr>
          <w:p w14:paraId="0BC77B9C" w14:textId="77777777" w:rsidR="00A4606E" w:rsidRPr="00923237" w:rsidRDefault="00A4606E" w:rsidP="00036BFC">
            <w:pPr>
              <w:pStyle w:val="NoSpacing"/>
              <w:rPr>
                <w:rFonts w:cstheme="minorHAnsi"/>
                <w:sz w:val="20"/>
                <w:szCs w:val="20"/>
              </w:rPr>
            </w:pPr>
            <w:r w:rsidRPr="00923237">
              <w:rPr>
                <w:rFonts w:cstheme="minorHAnsi"/>
                <w:sz w:val="20"/>
                <w:szCs w:val="20"/>
              </w:rPr>
              <w:t>−0.22</w:t>
            </w:r>
          </w:p>
        </w:tc>
        <w:tc>
          <w:tcPr>
            <w:tcW w:w="319" w:type="pct"/>
            <w:hideMark/>
          </w:tcPr>
          <w:p w14:paraId="7EDDD0B5" w14:textId="77777777" w:rsidR="00A4606E" w:rsidRPr="00923237" w:rsidRDefault="00A4606E" w:rsidP="00036BFC">
            <w:pPr>
              <w:pStyle w:val="NoSpacing"/>
              <w:rPr>
                <w:rFonts w:cstheme="minorHAnsi"/>
                <w:sz w:val="20"/>
                <w:szCs w:val="20"/>
              </w:rPr>
            </w:pPr>
            <w:r w:rsidRPr="00923237">
              <w:rPr>
                <w:rFonts w:cstheme="minorHAnsi"/>
                <w:sz w:val="20"/>
                <w:szCs w:val="20"/>
              </w:rPr>
              <w:t>0.26</w:t>
            </w:r>
          </w:p>
        </w:tc>
        <w:tc>
          <w:tcPr>
            <w:tcW w:w="245" w:type="pct"/>
            <w:hideMark/>
          </w:tcPr>
          <w:p w14:paraId="1E9CA312" w14:textId="77777777" w:rsidR="00A4606E" w:rsidRPr="00923237" w:rsidRDefault="00A4606E" w:rsidP="00036BFC">
            <w:pPr>
              <w:pStyle w:val="NoSpacing"/>
              <w:rPr>
                <w:rFonts w:cstheme="minorHAnsi"/>
                <w:sz w:val="20"/>
                <w:szCs w:val="20"/>
              </w:rPr>
            </w:pPr>
          </w:p>
        </w:tc>
        <w:tc>
          <w:tcPr>
            <w:tcW w:w="245" w:type="pct"/>
            <w:hideMark/>
          </w:tcPr>
          <w:p w14:paraId="7A28B1FE" w14:textId="77777777" w:rsidR="00A4606E" w:rsidRPr="00923237" w:rsidRDefault="00A4606E" w:rsidP="00036BFC">
            <w:pPr>
              <w:pStyle w:val="NoSpacing"/>
              <w:rPr>
                <w:rFonts w:cstheme="minorHAnsi"/>
                <w:sz w:val="20"/>
                <w:szCs w:val="20"/>
              </w:rPr>
            </w:pPr>
          </w:p>
        </w:tc>
        <w:tc>
          <w:tcPr>
            <w:tcW w:w="245" w:type="pct"/>
            <w:hideMark/>
          </w:tcPr>
          <w:p w14:paraId="06414FEB" w14:textId="77777777" w:rsidR="00A4606E" w:rsidRPr="00923237" w:rsidRDefault="00A4606E" w:rsidP="00036BFC">
            <w:pPr>
              <w:pStyle w:val="NoSpacing"/>
              <w:rPr>
                <w:rFonts w:cstheme="minorHAnsi"/>
                <w:sz w:val="20"/>
                <w:szCs w:val="20"/>
              </w:rPr>
            </w:pPr>
          </w:p>
        </w:tc>
        <w:tc>
          <w:tcPr>
            <w:tcW w:w="245" w:type="pct"/>
            <w:hideMark/>
          </w:tcPr>
          <w:p w14:paraId="12A39A8E" w14:textId="77777777" w:rsidR="00A4606E" w:rsidRPr="00923237" w:rsidRDefault="00A4606E" w:rsidP="00036BFC">
            <w:pPr>
              <w:pStyle w:val="NoSpacing"/>
              <w:rPr>
                <w:rFonts w:cstheme="minorHAnsi"/>
                <w:sz w:val="20"/>
                <w:szCs w:val="20"/>
              </w:rPr>
            </w:pPr>
          </w:p>
        </w:tc>
        <w:tc>
          <w:tcPr>
            <w:tcW w:w="319" w:type="pct"/>
            <w:hideMark/>
          </w:tcPr>
          <w:p w14:paraId="296CE532" w14:textId="77777777" w:rsidR="00A4606E" w:rsidRPr="00923237" w:rsidRDefault="00A4606E" w:rsidP="00036BFC">
            <w:pPr>
              <w:pStyle w:val="NoSpacing"/>
              <w:rPr>
                <w:rFonts w:cstheme="minorHAnsi"/>
                <w:sz w:val="20"/>
                <w:szCs w:val="20"/>
              </w:rPr>
            </w:pPr>
          </w:p>
        </w:tc>
        <w:tc>
          <w:tcPr>
            <w:tcW w:w="319" w:type="pct"/>
            <w:hideMark/>
          </w:tcPr>
          <w:p w14:paraId="51A17E10" w14:textId="77777777" w:rsidR="00A4606E" w:rsidRPr="00923237" w:rsidRDefault="00A4606E" w:rsidP="00036BFC">
            <w:pPr>
              <w:pStyle w:val="NoSpacing"/>
              <w:rPr>
                <w:rFonts w:cstheme="minorHAnsi"/>
                <w:sz w:val="20"/>
                <w:szCs w:val="20"/>
              </w:rPr>
            </w:pPr>
          </w:p>
        </w:tc>
        <w:tc>
          <w:tcPr>
            <w:tcW w:w="245" w:type="pct"/>
            <w:hideMark/>
          </w:tcPr>
          <w:p w14:paraId="3B6E0FEB" w14:textId="77777777" w:rsidR="00A4606E" w:rsidRPr="00923237" w:rsidRDefault="00A4606E" w:rsidP="00036BFC">
            <w:pPr>
              <w:pStyle w:val="NoSpacing"/>
              <w:rPr>
                <w:rFonts w:cstheme="minorHAnsi"/>
                <w:sz w:val="20"/>
                <w:szCs w:val="20"/>
              </w:rPr>
            </w:pPr>
          </w:p>
        </w:tc>
        <w:tc>
          <w:tcPr>
            <w:tcW w:w="319" w:type="pct"/>
            <w:hideMark/>
          </w:tcPr>
          <w:p w14:paraId="086577A0" w14:textId="77777777" w:rsidR="00A4606E" w:rsidRPr="00923237" w:rsidRDefault="00A4606E" w:rsidP="00036BFC">
            <w:pPr>
              <w:pStyle w:val="NoSpacing"/>
              <w:rPr>
                <w:rFonts w:cstheme="minorHAnsi"/>
                <w:sz w:val="20"/>
                <w:szCs w:val="20"/>
              </w:rPr>
            </w:pPr>
          </w:p>
        </w:tc>
        <w:tc>
          <w:tcPr>
            <w:tcW w:w="245" w:type="pct"/>
            <w:hideMark/>
          </w:tcPr>
          <w:p w14:paraId="37AAF304" w14:textId="77777777" w:rsidR="00A4606E" w:rsidRPr="00923237" w:rsidRDefault="00A4606E" w:rsidP="00036BFC">
            <w:pPr>
              <w:pStyle w:val="NoSpacing"/>
              <w:rPr>
                <w:rFonts w:cstheme="minorHAnsi"/>
                <w:sz w:val="20"/>
                <w:szCs w:val="20"/>
              </w:rPr>
            </w:pPr>
          </w:p>
        </w:tc>
        <w:tc>
          <w:tcPr>
            <w:tcW w:w="319" w:type="pct"/>
            <w:hideMark/>
          </w:tcPr>
          <w:p w14:paraId="3439BBA4" w14:textId="77777777" w:rsidR="00A4606E" w:rsidRPr="00923237" w:rsidRDefault="00A4606E" w:rsidP="00036BFC">
            <w:pPr>
              <w:pStyle w:val="NoSpacing"/>
              <w:rPr>
                <w:rFonts w:cstheme="minorHAnsi"/>
                <w:sz w:val="20"/>
                <w:szCs w:val="20"/>
              </w:rPr>
            </w:pPr>
          </w:p>
        </w:tc>
      </w:tr>
      <w:tr w:rsidR="00036BFC" w:rsidRPr="00923237" w14:paraId="09A151E5" w14:textId="77777777" w:rsidTr="00036BFC">
        <w:tc>
          <w:tcPr>
            <w:tcW w:w="201" w:type="pct"/>
            <w:hideMark/>
          </w:tcPr>
          <w:p w14:paraId="2B99A2CB" w14:textId="77777777" w:rsidR="00A4606E" w:rsidRPr="00923237" w:rsidRDefault="00A4606E" w:rsidP="00036BFC">
            <w:pPr>
              <w:pStyle w:val="NoSpacing"/>
              <w:rPr>
                <w:rFonts w:cstheme="minorHAnsi"/>
                <w:b/>
                <w:bCs/>
                <w:sz w:val="20"/>
                <w:szCs w:val="20"/>
              </w:rPr>
            </w:pPr>
          </w:p>
        </w:tc>
        <w:tc>
          <w:tcPr>
            <w:tcW w:w="832" w:type="pct"/>
            <w:hideMark/>
          </w:tcPr>
          <w:p w14:paraId="40071AB7" w14:textId="77777777" w:rsidR="00A4606E" w:rsidRPr="00923237" w:rsidRDefault="00A4606E" w:rsidP="00036BFC">
            <w:pPr>
              <w:pStyle w:val="NoSpacing"/>
              <w:rPr>
                <w:rFonts w:cstheme="minorHAnsi"/>
                <w:sz w:val="20"/>
                <w:szCs w:val="20"/>
              </w:rPr>
            </w:pPr>
          </w:p>
        </w:tc>
        <w:tc>
          <w:tcPr>
            <w:tcW w:w="333" w:type="pct"/>
            <w:hideMark/>
          </w:tcPr>
          <w:p w14:paraId="6B98B791" w14:textId="77777777" w:rsidR="00A4606E" w:rsidRPr="00923237" w:rsidRDefault="00A4606E"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55</w:t>
            </w:r>
          </w:p>
        </w:tc>
        <w:tc>
          <w:tcPr>
            <w:tcW w:w="245" w:type="pct"/>
            <w:hideMark/>
          </w:tcPr>
          <w:p w14:paraId="5CC734C1" w14:textId="77777777" w:rsidR="00A4606E" w:rsidRPr="00923237" w:rsidRDefault="00A4606E"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41</w:t>
            </w:r>
          </w:p>
        </w:tc>
        <w:tc>
          <w:tcPr>
            <w:tcW w:w="319" w:type="pct"/>
            <w:hideMark/>
          </w:tcPr>
          <w:p w14:paraId="613FAC59" w14:textId="77777777" w:rsidR="00A4606E" w:rsidRPr="00923237" w:rsidRDefault="00A4606E"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01</w:t>
            </w:r>
          </w:p>
        </w:tc>
        <w:tc>
          <w:tcPr>
            <w:tcW w:w="319" w:type="pct"/>
            <w:hideMark/>
          </w:tcPr>
          <w:p w14:paraId="62C3C32C" w14:textId="77777777" w:rsidR="00A4606E" w:rsidRPr="00923237" w:rsidRDefault="00A4606E"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00</w:t>
            </w:r>
          </w:p>
        </w:tc>
        <w:tc>
          <w:tcPr>
            <w:tcW w:w="245" w:type="pct"/>
            <w:hideMark/>
          </w:tcPr>
          <w:p w14:paraId="0B235DF5" w14:textId="77777777" w:rsidR="00A4606E" w:rsidRPr="00923237" w:rsidRDefault="00A4606E" w:rsidP="00036BFC">
            <w:pPr>
              <w:pStyle w:val="NoSpacing"/>
              <w:rPr>
                <w:rFonts w:cstheme="minorHAnsi"/>
                <w:sz w:val="20"/>
                <w:szCs w:val="20"/>
              </w:rPr>
            </w:pPr>
          </w:p>
        </w:tc>
        <w:tc>
          <w:tcPr>
            <w:tcW w:w="245" w:type="pct"/>
            <w:hideMark/>
          </w:tcPr>
          <w:p w14:paraId="66D833DA" w14:textId="77777777" w:rsidR="00A4606E" w:rsidRPr="00923237" w:rsidRDefault="00A4606E" w:rsidP="00036BFC">
            <w:pPr>
              <w:pStyle w:val="NoSpacing"/>
              <w:rPr>
                <w:rFonts w:cstheme="minorHAnsi"/>
                <w:sz w:val="20"/>
                <w:szCs w:val="20"/>
              </w:rPr>
            </w:pPr>
          </w:p>
        </w:tc>
        <w:tc>
          <w:tcPr>
            <w:tcW w:w="245" w:type="pct"/>
            <w:hideMark/>
          </w:tcPr>
          <w:p w14:paraId="0F4A26B6" w14:textId="77777777" w:rsidR="00A4606E" w:rsidRPr="00923237" w:rsidRDefault="00A4606E" w:rsidP="00036BFC">
            <w:pPr>
              <w:pStyle w:val="NoSpacing"/>
              <w:rPr>
                <w:rFonts w:cstheme="minorHAnsi"/>
                <w:sz w:val="20"/>
                <w:szCs w:val="20"/>
              </w:rPr>
            </w:pPr>
          </w:p>
        </w:tc>
        <w:tc>
          <w:tcPr>
            <w:tcW w:w="245" w:type="pct"/>
            <w:hideMark/>
          </w:tcPr>
          <w:p w14:paraId="2ABBD8E7" w14:textId="77777777" w:rsidR="00A4606E" w:rsidRPr="00923237" w:rsidRDefault="00A4606E" w:rsidP="00036BFC">
            <w:pPr>
              <w:pStyle w:val="NoSpacing"/>
              <w:rPr>
                <w:rFonts w:cstheme="minorHAnsi"/>
                <w:sz w:val="20"/>
                <w:szCs w:val="20"/>
              </w:rPr>
            </w:pPr>
          </w:p>
        </w:tc>
        <w:tc>
          <w:tcPr>
            <w:tcW w:w="319" w:type="pct"/>
            <w:hideMark/>
          </w:tcPr>
          <w:p w14:paraId="037CE605" w14:textId="77777777" w:rsidR="00A4606E" w:rsidRPr="00923237" w:rsidRDefault="00A4606E" w:rsidP="00036BFC">
            <w:pPr>
              <w:pStyle w:val="NoSpacing"/>
              <w:rPr>
                <w:rFonts w:cstheme="minorHAnsi"/>
                <w:sz w:val="20"/>
                <w:szCs w:val="20"/>
              </w:rPr>
            </w:pPr>
          </w:p>
        </w:tc>
        <w:tc>
          <w:tcPr>
            <w:tcW w:w="319" w:type="pct"/>
            <w:hideMark/>
          </w:tcPr>
          <w:p w14:paraId="699107F5" w14:textId="77777777" w:rsidR="00A4606E" w:rsidRPr="00923237" w:rsidRDefault="00A4606E" w:rsidP="00036BFC">
            <w:pPr>
              <w:pStyle w:val="NoSpacing"/>
              <w:rPr>
                <w:rFonts w:cstheme="minorHAnsi"/>
                <w:sz w:val="20"/>
                <w:szCs w:val="20"/>
              </w:rPr>
            </w:pPr>
          </w:p>
        </w:tc>
        <w:tc>
          <w:tcPr>
            <w:tcW w:w="245" w:type="pct"/>
            <w:hideMark/>
          </w:tcPr>
          <w:p w14:paraId="7BEB4068" w14:textId="77777777" w:rsidR="00A4606E" w:rsidRPr="00923237" w:rsidRDefault="00A4606E" w:rsidP="00036BFC">
            <w:pPr>
              <w:pStyle w:val="NoSpacing"/>
              <w:rPr>
                <w:rFonts w:cstheme="minorHAnsi"/>
                <w:sz w:val="20"/>
                <w:szCs w:val="20"/>
              </w:rPr>
            </w:pPr>
          </w:p>
        </w:tc>
        <w:tc>
          <w:tcPr>
            <w:tcW w:w="319" w:type="pct"/>
            <w:hideMark/>
          </w:tcPr>
          <w:p w14:paraId="0B12C008" w14:textId="77777777" w:rsidR="00A4606E" w:rsidRPr="00923237" w:rsidRDefault="00A4606E" w:rsidP="00036BFC">
            <w:pPr>
              <w:pStyle w:val="NoSpacing"/>
              <w:rPr>
                <w:rFonts w:cstheme="minorHAnsi"/>
                <w:sz w:val="20"/>
                <w:szCs w:val="20"/>
              </w:rPr>
            </w:pPr>
          </w:p>
        </w:tc>
        <w:tc>
          <w:tcPr>
            <w:tcW w:w="245" w:type="pct"/>
            <w:hideMark/>
          </w:tcPr>
          <w:p w14:paraId="695DBC42" w14:textId="77777777" w:rsidR="00A4606E" w:rsidRPr="00923237" w:rsidRDefault="00A4606E" w:rsidP="00036BFC">
            <w:pPr>
              <w:pStyle w:val="NoSpacing"/>
              <w:rPr>
                <w:rFonts w:cstheme="minorHAnsi"/>
                <w:sz w:val="20"/>
                <w:szCs w:val="20"/>
              </w:rPr>
            </w:pPr>
          </w:p>
        </w:tc>
        <w:tc>
          <w:tcPr>
            <w:tcW w:w="319" w:type="pct"/>
            <w:hideMark/>
          </w:tcPr>
          <w:p w14:paraId="4C0C2983" w14:textId="77777777" w:rsidR="00A4606E" w:rsidRPr="00923237" w:rsidRDefault="00A4606E" w:rsidP="00036BFC">
            <w:pPr>
              <w:pStyle w:val="NoSpacing"/>
              <w:rPr>
                <w:rFonts w:cstheme="minorHAnsi"/>
                <w:sz w:val="20"/>
                <w:szCs w:val="20"/>
              </w:rPr>
            </w:pPr>
          </w:p>
        </w:tc>
      </w:tr>
      <w:tr w:rsidR="00036BFC" w:rsidRPr="00923237" w14:paraId="59922BE4" w14:textId="77777777" w:rsidTr="00036BFC">
        <w:tc>
          <w:tcPr>
            <w:tcW w:w="201" w:type="pct"/>
            <w:hideMark/>
          </w:tcPr>
          <w:p w14:paraId="0CCF86BA" w14:textId="77777777" w:rsidR="00A4606E" w:rsidRPr="00923237" w:rsidRDefault="00A4606E" w:rsidP="00036BFC">
            <w:pPr>
              <w:pStyle w:val="NoSpacing"/>
              <w:rPr>
                <w:rFonts w:cstheme="minorHAnsi"/>
                <w:b/>
                <w:bCs/>
                <w:sz w:val="20"/>
                <w:szCs w:val="20"/>
              </w:rPr>
            </w:pPr>
            <w:r w:rsidRPr="00923237">
              <w:rPr>
                <w:rFonts w:cstheme="minorHAnsi"/>
                <w:b/>
                <w:bCs/>
                <w:sz w:val="20"/>
                <w:szCs w:val="20"/>
              </w:rPr>
              <w:t>[6]</w:t>
            </w:r>
          </w:p>
        </w:tc>
        <w:tc>
          <w:tcPr>
            <w:tcW w:w="832" w:type="pct"/>
            <w:hideMark/>
          </w:tcPr>
          <w:p w14:paraId="10703A75" w14:textId="77777777" w:rsidR="00A4606E" w:rsidRPr="00923237" w:rsidRDefault="00A4606E" w:rsidP="00036BFC">
            <w:pPr>
              <w:pStyle w:val="NoSpacing"/>
              <w:rPr>
                <w:rFonts w:cstheme="minorHAnsi"/>
                <w:sz w:val="20"/>
                <w:szCs w:val="20"/>
              </w:rPr>
            </w:pPr>
            <w:r w:rsidRPr="00923237">
              <w:rPr>
                <w:rFonts w:cstheme="minorHAnsi"/>
                <w:sz w:val="20"/>
                <w:szCs w:val="20"/>
              </w:rPr>
              <w:t>FFO per share</w:t>
            </w:r>
          </w:p>
        </w:tc>
        <w:tc>
          <w:tcPr>
            <w:tcW w:w="333" w:type="pct"/>
            <w:hideMark/>
          </w:tcPr>
          <w:p w14:paraId="3C7F466A" w14:textId="77777777" w:rsidR="00A4606E" w:rsidRPr="00923237" w:rsidRDefault="00A4606E" w:rsidP="00036BFC">
            <w:pPr>
              <w:pStyle w:val="NoSpacing"/>
              <w:rPr>
                <w:rFonts w:cstheme="minorHAnsi"/>
                <w:sz w:val="20"/>
                <w:szCs w:val="20"/>
              </w:rPr>
            </w:pPr>
            <w:r w:rsidRPr="00923237">
              <w:rPr>
                <w:rFonts w:cstheme="minorHAnsi"/>
                <w:sz w:val="20"/>
                <w:szCs w:val="20"/>
              </w:rPr>
              <w:t>−0.02</w:t>
            </w:r>
          </w:p>
        </w:tc>
        <w:tc>
          <w:tcPr>
            <w:tcW w:w="245" w:type="pct"/>
            <w:hideMark/>
          </w:tcPr>
          <w:p w14:paraId="79BD14EA" w14:textId="77777777" w:rsidR="00A4606E" w:rsidRPr="00923237" w:rsidRDefault="00A4606E" w:rsidP="00036BFC">
            <w:pPr>
              <w:pStyle w:val="NoSpacing"/>
              <w:rPr>
                <w:rFonts w:cstheme="minorHAnsi"/>
                <w:sz w:val="20"/>
                <w:szCs w:val="20"/>
              </w:rPr>
            </w:pPr>
            <w:r w:rsidRPr="00923237">
              <w:rPr>
                <w:rFonts w:cstheme="minorHAnsi"/>
                <w:sz w:val="20"/>
                <w:szCs w:val="20"/>
              </w:rPr>
              <w:t>−0.10</w:t>
            </w:r>
          </w:p>
        </w:tc>
        <w:tc>
          <w:tcPr>
            <w:tcW w:w="319" w:type="pct"/>
            <w:hideMark/>
          </w:tcPr>
          <w:p w14:paraId="65D84EFD" w14:textId="77777777" w:rsidR="00A4606E" w:rsidRPr="00923237" w:rsidRDefault="00A4606E" w:rsidP="00036BFC">
            <w:pPr>
              <w:pStyle w:val="NoSpacing"/>
              <w:rPr>
                <w:rFonts w:cstheme="minorHAnsi"/>
                <w:sz w:val="20"/>
                <w:szCs w:val="20"/>
              </w:rPr>
            </w:pPr>
            <w:r w:rsidRPr="00923237">
              <w:rPr>
                <w:rFonts w:cstheme="minorHAnsi"/>
                <w:sz w:val="20"/>
                <w:szCs w:val="20"/>
              </w:rPr>
              <w:t>0.45</w:t>
            </w:r>
          </w:p>
        </w:tc>
        <w:tc>
          <w:tcPr>
            <w:tcW w:w="319" w:type="pct"/>
            <w:hideMark/>
          </w:tcPr>
          <w:p w14:paraId="365B3506" w14:textId="77777777" w:rsidR="00A4606E" w:rsidRPr="00923237" w:rsidRDefault="00A4606E" w:rsidP="00036BFC">
            <w:pPr>
              <w:pStyle w:val="NoSpacing"/>
              <w:rPr>
                <w:rFonts w:cstheme="minorHAnsi"/>
                <w:sz w:val="20"/>
                <w:szCs w:val="20"/>
              </w:rPr>
            </w:pPr>
            <w:r w:rsidRPr="00923237">
              <w:rPr>
                <w:rFonts w:cstheme="minorHAnsi"/>
                <w:sz w:val="20"/>
                <w:szCs w:val="20"/>
              </w:rPr>
              <w:t>0.32</w:t>
            </w:r>
          </w:p>
        </w:tc>
        <w:tc>
          <w:tcPr>
            <w:tcW w:w="245" w:type="pct"/>
            <w:hideMark/>
          </w:tcPr>
          <w:p w14:paraId="640DFD58" w14:textId="77777777" w:rsidR="00A4606E" w:rsidRPr="00923237" w:rsidRDefault="00A4606E" w:rsidP="00036BFC">
            <w:pPr>
              <w:pStyle w:val="NoSpacing"/>
              <w:rPr>
                <w:rFonts w:cstheme="minorHAnsi"/>
                <w:sz w:val="20"/>
                <w:szCs w:val="20"/>
              </w:rPr>
            </w:pPr>
            <w:r w:rsidRPr="00923237">
              <w:rPr>
                <w:rFonts w:cstheme="minorHAnsi"/>
                <w:sz w:val="20"/>
                <w:szCs w:val="20"/>
              </w:rPr>
              <w:t>0.05</w:t>
            </w:r>
          </w:p>
        </w:tc>
        <w:tc>
          <w:tcPr>
            <w:tcW w:w="245" w:type="pct"/>
            <w:hideMark/>
          </w:tcPr>
          <w:p w14:paraId="07BD14D4" w14:textId="77777777" w:rsidR="00A4606E" w:rsidRPr="00923237" w:rsidRDefault="00A4606E" w:rsidP="00036BFC">
            <w:pPr>
              <w:pStyle w:val="NoSpacing"/>
              <w:rPr>
                <w:rFonts w:cstheme="minorHAnsi"/>
                <w:sz w:val="20"/>
                <w:szCs w:val="20"/>
              </w:rPr>
            </w:pPr>
          </w:p>
        </w:tc>
        <w:tc>
          <w:tcPr>
            <w:tcW w:w="245" w:type="pct"/>
            <w:hideMark/>
          </w:tcPr>
          <w:p w14:paraId="7BD4C627" w14:textId="77777777" w:rsidR="00A4606E" w:rsidRPr="00923237" w:rsidRDefault="00A4606E" w:rsidP="00036BFC">
            <w:pPr>
              <w:pStyle w:val="NoSpacing"/>
              <w:rPr>
                <w:rFonts w:cstheme="minorHAnsi"/>
                <w:sz w:val="20"/>
                <w:szCs w:val="20"/>
              </w:rPr>
            </w:pPr>
          </w:p>
        </w:tc>
        <w:tc>
          <w:tcPr>
            <w:tcW w:w="245" w:type="pct"/>
            <w:hideMark/>
          </w:tcPr>
          <w:p w14:paraId="2CC2CEC4" w14:textId="77777777" w:rsidR="00A4606E" w:rsidRPr="00923237" w:rsidRDefault="00A4606E" w:rsidP="00036BFC">
            <w:pPr>
              <w:pStyle w:val="NoSpacing"/>
              <w:rPr>
                <w:rFonts w:cstheme="minorHAnsi"/>
                <w:sz w:val="20"/>
                <w:szCs w:val="20"/>
              </w:rPr>
            </w:pPr>
          </w:p>
        </w:tc>
        <w:tc>
          <w:tcPr>
            <w:tcW w:w="319" w:type="pct"/>
            <w:hideMark/>
          </w:tcPr>
          <w:p w14:paraId="4882EDC6" w14:textId="77777777" w:rsidR="00A4606E" w:rsidRPr="00923237" w:rsidRDefault="00A4606E" w:rsidP="00036BFC">
            <w:pPr>
              <w:pStyle w:val="NoSpacing"/>
              <w:rPr>
                <w:rFonts w:cstheme="minorHAnsi"/>
                <w:sz w:val="20"/>
                <w:szCs w:val="20"/>
              </w:rPr>
            </w:pPr>
          </w:p>
        </w:tc>
        <w:tc>
          <w:tcPr>
            <w:tcW w:w="319" w:type="pct"/>
            <w:hideMark/>
          </w:tcPr>
          <w:p w14:paraId="61E8A416" w14:textId="77777777" w:rsidR="00A4606E" w:rsidRPr="00923237" w:rsidRDefault="00A4606E" w:rsidP="00036BFC">
            <w:pPr>
              <w:pStyle w:val="NoSpacing"/>
              <w:rPr>
                <w:rFonts w:cstheme="minorHAnsi"/>
                <w:sz w:val="20"/>
                <w:szCs w:val="20"/>
              </w:rPr>
            </w:pPr>
          </w:p>
        </w:tc>
        <w:tc>
          <w:tcPr>
            <w:tcW w:w="245" w:type="pct"/>
            <w:hideMark/>
          </w:tcPr>
          <w:p w14:paraId="34EBD40F" w14:textId="77777777" w:rsidR="00A4606E" w:rsidRPr="00923237" w:rsidRDefault="00A4606E" w:rsidP="00036BFC">
            <w:pPr>
              <w:pStyle w:val="NoSpacing"/>
              <w:rPr>
                <w:rFonts w:cstheme="minorHAnsi"/>
                <w:sz w:val="20"/>
                <w:szCs w:val="20"/>
              </w:rPr>
            </w:pPr>
          </w:p>
        </w:tc>
        <w:tc>
          <w:tcPr>
            <w:tcW w:w="319" w:type="pct"/>
            <w:hideMark/>
          </w:tcPr>
          <w:p w14:paraId="563304C9" w14:textId="77777777" w:rsidR="00A4606E" w:rsidRPr="00923237" w:rsidRDefault="00A4606E" w:rsidP="00036BFC">
            <w:pPr>
              <w:pStyle w:val="NoSpacing"/>
              <w:rPr>
                <w:rFonts w:cstheme="minorHAnsi"/>
                <w:sz w:val="20"/>
                <w:szCs w:val="20"/>
              </w:rPr>
            </w:pPr>
          </w:p>
        </w:tc>
        <w:tc>
          <w:tcPr>
            <w:tcW w:w="245" w:type="pct"/>
            <w:hideMark/>
          </w:tcPr>
          <w:p w14:paraId="7E4B7BD7" w14:textId="77777777" w:rsidR="00A4606E" w:rsidRPr="00923237" w:rsidRDefault="00A4606E" w:rsidP="00036BFC">
            <w:pPr>
              <w:pStyle w:val="NoSpacing"/>
              <w:rPr>
                <w:rFonts w:cstheme="minorHAnsi"/>
                <w:sz w:val="20"/>
                <w:szCs w:val="20"/>
              </w:rPr>
            </w:pPr>
          </w:p>
        </w:tc>
        <w:tc>
          <w:tcPr>
            <w:tcW w:w="319" w:type="pct"/>
            <w:hideMark/>
          </w:tcPr>
          <w:p w14:paraId="30DAEBBB" w14:textId="77777777" w:rsidR="00A4606E" w:rsidRPr="00923237" w:rsidRDefault="00A4606E" w:rsidP="00036BFC">
            <w:pPr>
              <w:pStyle w:val="NoSpacing"/>
              <w:rPr>
                <w:rFonts w:cstheme="minorHAnsi"/>
                <w:sz w:val="20"/>
                <w:szCs w:val="20"/>
              </w:rPr>
            </w:pPr>
          </w:p>
        </w:tc>
      </w:tr>
      <w:tr w:rsidR="00036BFC" w:rsidRPr="00923237" w14:paraId="45559D12" w14:textId="77777777" w:rsidTr="00036BFC">
        <w:tc>
          <w:tcPr>
            <w:tcW w:w="201" w:type="pct"/>
            <w:hideMark/>
          </w:tcPr>
          <w:p w14:paraId="57AAA431" w14:textId="77777777" w:rsidR="00A4606E" w:rsidRPr="00923237" w:rsidRDefault="00A4606E" w:rsidP="00036BFC">
            <w:pPr>
              <w:pStyle w:val="NoSpacing"/>
              <w:rPr>
                <w:rFonts w:cstheme="minorHAnsi"/>
                <w:b/>
                <w:bCs/>
                <w:sz w:val="20"/>
                <w:szCs w:val="20"/>
              </w:rPr>
            </w:pPr>
          </w:p>
        </w:tc>
        <w:tc>
          <w:tcPr>
            <w:tcW w:w="832" w:type="pct"/>
            <w:hideMark/>
          </w:tcPr>
          <w:p w14:paraId="4869C7E3" w14:textId="77777777" w:rsidR="00A4606E" w:rsidRPr="00923237" w:rsidRDefault="00A4606E" w:rsidP="00036BFC">
            <w:pPr>
              <w:pStyle w:val="NoSpacing"/>
              <w:rPr>
                <w:rFonts w:cstheme="minorHAnsi"/>
                <w:sz w:val="20"/>
                <w:szCs w:val="20"/>
              </w:rPr>
            </w:pPr>
          </w:p>
        </w:tc>
        <w:tc>
          <w:tcPr>
            <w:tcW w:w="333" w:type="pct"/>
            <w:hideMark/>
          </w:tcPr>
          <w:p w14:paraId="1D26325F" w14:textId="77777777" w:rsidR="00A4606E" w:rsidRPr="00923237" w:rsidRDefault="00A4606E"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84</w:t>
            </w:r>
          </w:p>
        </w:tc>
        <w:tc>
          <w:tcPr>
            <w:tcW w:w="245" w:type="pct"/>
            <w:hideMark/>
          </w:tcPr>
          <w:p w14:paraId="5D67375C" w14:textId="77777777" w:rsidR="00A4606E" w:rsidRPr="00923237" w:rsidRDefault="00A4606E"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31</w:t>
            </w:r>
          </w:p>
        </w:tc>
        <w:tc>
          <w:tcPr>
            <w:tcW w:w="319" w:type="pct"/>
            <w:hideMark/>
          </w:tcPr>
          <w:p w14:paraId="5BC39DE3" w14:textId="77777777" w:rsidR="00A4606E" w:rsidRPr="00923237" w:rsidRDefault="00A4606E" w:rsidP="00036BFC">
            <w:pPr>
              <w:pStyle w:val="NoSpacing"/>
              <w:rPr>
                <w:rFonts w:cstheme="minorHAnsi"/>
                <w:sz w:val="20"/>
                <w:szCs w:val="20"/>
              </w:rPr>
            </w:pPr>
            <w:r w:rsidRPr="00923237">
              <w:rPr>
                <w:rFonts w:cstheme="minorHAnsi"/>
                <w:sz w:val="20"/>
                <w:szCs w:val="20"/>
              </w:rPr>
              <w:t>&lt;</w:t>
            </w: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0001</w:t>
            </w:r>
          </w:p>
        </w:tc>
        <w:tc>
          <w:tcPr>
            <w:tcW w:w="319" w:type="pct"/>
            <w:hideMark/>
          </w:tcPr>
          <w:p w14:paraId="7A8CE2A8" w14:textId="77777777" w:rsidR="00A4606E" w:rsidRPr="00923237" w:rsidRDefault="00A4606E" w:rsidP="00036BFC">
            <w:pPr>
              <w:pStyle w:val="NoSpacing"/>
              <w:rPr>
                <w:rFonts w:cstheme="minorHAnsi"/>
                <w:sz w:val="20"/>
                <w:szCs w:val="20"/>
              </w:rPr>
            </w:pPr>
            <w:r w:rsidRPr="00923237">
              <w:rPr>
                <w:rFonts w:cstheme="minorHAnsi"/>
                <w:sz w:val="20"/>
                <w:szCs w:val="20"/>
              </w:rPr>
              <w:t>&lt;</w:t>
            </w: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0001</w:t>
            </w:r>
          </w:p>
        </w:tc>
        <w:tc>
          <w:tcPr>
            <w:tcW w:w="245" w:type="pct"/>
            <w:hideMark/>
          </w:tcPr>
          <w:p w14:paraId="09E03508" w14:textId="77777777" w:rsidR="00A4606E" w:rsidRPr="00923237" w:rsidRDefault="00A4606E"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63</w:t>
            </w:r>
          </w:p>
        </w:tc>
        <w:tc>
          <w:tcPr>
            <w:tcW w:w="245" w:type="pct"/>
            <w:hideMark/>
          </w:tcPr>
          <w:p w14:paraId="795F19E4" w14:textId="77777777" w:rsidR="00A4606E" w:rsidRPr="00923237" w:rsidRDefault="00A4606E" w:rsidP="00036BFC">
            <w:pPr>
              <w:pStyle w:val="NoSpacing"/>
              <w:rPr>
                <w:rFonts w:cstheme="minorHAnsi"/>
                <w:sz w:val="20"/>
                <w:szCs w:val="20"/>
              </w:rPr>
            </w:pPr>
          </w:p>
        </w:tc>
        <w:tc>
          <w:tcPr>
            <w:tcW w:w="245" w:type="pct"/>
            <w:hideMark/>
          </w:tcPr>
          <w:p w14:paraId="5071438D" w14:textId="77777777" w:rsidR="00A4606E" w:rsidRPr="00923237" w:rsidRDefault="00A4606E" w:rsidP="00036BFC">
            <w:pPr>
              <w:pStyle w:val="NoSpacing"/>
              <w:rPr>
                <w:rFonts w:cstheme="minorHAnsi"/>
                <w:sz w:val="20"/>
                <w:szCs w:val="20"/>
              </w:rPr>
            </w:pPr>
          </w:p>
        </w:tc>
        <w:tc>
          <w:tcPr>
            <w:tcW w:w="245" w:type="pct"/>
            <w:hideMark/>
          </w:tcPr>
          <w:p w14:paraId="24395EA7" w14:textId="77777777" w:rsidR="00A4606E" w:rsidRPr="00923237" w:rsidRDefault="00A4606E" w:rsidP="00036BFC">
            <w:pPr>
              <w:pStyle w:val="NoSpacing"/>
              <w:rPr>
                <w:rFonts w:cstheme="minorHAnsi"/>
                <w:sz w:val="20"/>
                <w:szCs w:val="20"/>
              </w:rPr>
            </w:pPr>
          </w:p>
        </w:tc>
        <w:tc>
          <w:tcPr>
            <w:tcW w:w="319" w:type="pct"/>
            <w:hideMark/>
          </w:tcPr>
          <w:p w14:paraId="47F0EBC2" w14:textId="77777777" w:rsidR="00A4606E" w:rsidRPr="00923237" w:rsidRDefault="00A4606E" w:rsidP="00036BFC">
            <w:pPr>
              <w:pStyle w:val="NoSpacing"/>
              <w:rPr>
                <w:rFonts w:cstheme="minorHAnsi"/>
                <w:sz w:val="20"/>
                <w:szCs w:val="20"/>
              </w:rPr>
            </w:pPr>
          </w:p>
        </w:tc>
        <w:tc>
          <w:tcPr>
            <w:tcW w:w="319" w:type="pct"/>
            <w:hideMark/>
          </w:tcPr>
          <w:p w14:paraId="00914912" w14:textId="77777777" w:rsidR="00A4606E" w:rsidRPr="00923237" w:rsidRDefault="00A4606E" w:rsidP="00036BFC">
            <w:pPr>
              <w:pStyle w:val="NoSpacing"/>
              <w:rPr>
                <w:rFonts w:cstheme="minorHAnsi"/>
                <w:sz w:val="20"/>
                <w:szCs w:val="20"/>
              </w:rPr>
            </w:pPr>
          </w:p>
        </w:tc>
        <w:tc>
          <w:tcPr>
            <w:tcW w:w="245" w:type="pct"/>
            <w:hideMark/>
          </w:tcPr>
          <w:p w14:paraId="60ACF7FA" w14:textId="77777777" w:rsidR="00A4606E" w:rsidRPr="00923237" w:rsidRDefault="00A4606E" w:rsidP="00036BFC">
            <w:pPr>
              <w:pStyle w:val="NoSpacing"/>
              <w:rPr>
                <w:rFonts w:cstheme="minorHAnsi"/>
                <w:sz w:val="20"/>
                <w:szCs w:val="20"/>
              </w:rPr>
            </w:pPr>
          </w:p>
        </w:tc>
        <w:tc>
          <w:tcPr>
            <w:tcW w:w="319" w:type="pct"/>
            <w:hideMark/>
          </w:tcPr>
          <w:p w14:paraId="66B213C0" w14:textId="77777777" w:rsidR="00A4606E" w:rsidRPr="00923237" w:rsidRDefault="00A4606E" w:rsidP="00036BFC">
            <w:pPr>
              <w:pStyle w:val="NoSpacing"/>
              <w:rPr>
                <w:rFonts w:cstheme="minorHAnsi"/>
                <w:sz w:val="20"/>
                <w:szCs w:val="20"/>
              </w:rPr>
            </w:pPr>
          </w:p>
        </w:tc>
        <w:tc>
          <w:tcPr>
            <w:tcW w:w="245" w:type="pct"/>
            <w:hideMark/>
          </w:tcPr>
          <w:p w14:paraId="58ACA190" w14:textId="77777777" w:rsidR="00A4606E" w:rsidRPr="00923237" w:rsidRDefault="00A4606E" w:rsidP="00036BFC">
            <w:pPr>
              <w:pStyle w:val="NoSpacing"/>
              <w:rPr>
                <w:rFonts w:cstheme="minorHAnsi"/>
                <w:sz w:val="20"/>
                <w:szCs w:val="20"/>
              </w:rPr>
            </w:pPr>
          </w:p>
        </w:tc>
        <w:tc>
          <w:tcPr>
            <w:tcW w:w="319" w:type="pct"/>
            <w:hideMark/>
          </w:tcPr>
          <w:p w14:paraId="71BEF1F8" w14:textId="77777777" w:rsidR="00A4606E" w:rsidRPr="00923237" w:rsidRDefault="00A4606E" w:rsidP="00036BFC">
            <w:pPr>
              <w:pStyle w:val="NoSpacing"/>
              <w:rPr>
                <w:rFonts w:cstheme="minorHAnsi"/>
                <w:sz w:val="20"/>
                <w:szCs w:val="20"/>
              </w:rPr>
            </w:pPr>
          </w:p>
        </w:tc>
      </w:tr>
      <w:tr w:rsidR="00036BFC" w:rsidRPr="00923237" w14:paraId="32E3D236" w14:textId="77777777" w:rsidTr="00036BFC">
        <w:tc>
          <w:tcPr>
            <w:tcW w:w="201" w:type="pct"/>
            <w:hideMark/>
          </w:tcPr>
          <w:p w14:paraId="00779DA0" w14:textId="77777777" w:rsidR="00A4606E" w:rsidRPr="00923237" w:rsidRDefault="00A4606E" w:rsidP="00036BFC">
            <w:pPr>
              <w:pStyle w:val="NoSpacing"/>
              <w:rPr>
                <w:rFonts w:cstheme="minorHAnsi"/>
                <w:b/>
                <w:bCs/>
                <w:sz w:val="20"/>
                <w:szCs w:val="20"/>
              </w:rPr>
            </w:pPr>
            <w:r w:rsidRPr="00923237">
              <w:rPr>
                <w:rFonts w:cstheme="minorHAnsi"/>
                <w:b/>
                <w:bCs/>
                <w:sz w:val="20"/>
                <w:szCs w:val="20"/>
              </w:rPr>
              <w:t>[7]</w:t>
            </w:r>
          </w:p>
        </w:tc>
        <w:tc>
          <w:tcPr>
            <w:tcW w:w="832" w:type="pct"/>
            <w:hideMark/>
          </w:tcPr>
          <w:p w14:paraId="07E6ADB0" w14:textId="77777777" w:rsidR="00A4606E" w:rsidRPr="00923237" w:rsidRDefault="00A4606E" w:rsidP="00036BFC">
            <w:pPr>
              <w:pStyle w:val="NoSpacing"/>
              <w:rPr>
                <w:rFonts w:cstheme="minorHAnsi"/>
                <w:sz w:val="20"/>
                <w:szCs w:val="20"/>
              </w:rPr>
            </w:pPr>
            <w:r w:rsidRPr="00923237">
              <w:rPr>
                <w:rFonts w:cstheme="minorHAnsi"/>
                <w:sz w:val="20"/>
                <w:szCs w:val="20"/>
              </w:rPr>
              <w:t>Market leverage</w:t>
            </w:r>
          </w:p>
        </w:tc>
        <w:tc>
          <w:tcPr>
            <w:tcW w:w="333" w:type="pct"/>
            <w:hideMark/>
          </w:tcPr>
          <w:p w14:paraId="37A1F302" w14:textId="77777777" w:rsidR="00A4606E" w:rsidRPr="00923237" w:rsidRDefault="00A4606E" w:rsidP="00036BFC">
            <w:pPr>
              <w:pStyle w:val="NoSpacing"/>
              <w:rPr>
                <w:rFonts w:cstheme="minorHAnsi"/>
                <w:sz w:val="20"/>
                <w:szCs w:val="20"/>
              </w:rPr>
            </w:pPr>
            <w:r w:rsidRPr="00923237">
              <w:rPr>
                <w:rFonts w:cstheme="minorHAnsi"/>
                <w:sz w:val="20"/>
                <w:szCs w:val="20"/>
              </w:rPr>
              <w:t>−0.38</w:t>
            </w:r>
          </w:p>
        </w:tc>
        <w:tc>
          <w:tcPr>
            <w:tcW w:w="245" w:type="pct"/>
            <w:hideMark/>
          </w:tcPr>
          <w:p w14:paraId="5AF4704D" w14:textId="77777777" w:rsidR="00A4606E" w:rsidRPr="00923237" w:rsidRDefault="00A4606E" w:rsidP="00036BFC">
            <w:pPr>
              <w:pStyle w:val="NoSpacing"/>
              <w:rPr>
                <w:rFonts w:cstheme="minorHAnsi"/>
                <w:sz w:val="20"/>
                <w:szCs w:val="20"/>
              </w:rPr>
            </w:pPr>
            <w:r w:rsidRPr="00923237">
              <w:rPr>
                <w:rFonts w:cstheme="minorHAnsi"/>
                <w:sz w:val="20"/>
                <w:szCs w:val="20"/>
              </w:rPr>
              <w:t>0.31</w:t>
            </w:r>
          </w:p>
        </w:tc>
        <w:tc>
          <w:tcPr>
            <w:tcW w:w="319" w:type="pct"/>
            <w:hideMark/>
          </w:tcPr>
          <w:p w14:paraId="6E851096" w14:textId="77777777" w:rsidR="00A4606E" w:rsidRPr="00923237" w:rsidRDefault="00A4606E" w:rsidP="00036BFC">
            <w:pPr>
              <w:pStyle w:val="NoSpacing"/>
              <w:rPr>
                <w:rFonts w:cstheme="minorHAnsi"/>
                <w:sz w:val="20"/>
                <w:szCs w:val="20"/>
              </w:rPr>
            </w:pPr>
            <w:r w:rsidRPr="00923237">
              <w:rPr>
                <w:rFonts w:cstheme="minorHAnsi"/>
                <w:sz w:val="20"/>
                <w:szCs w:val="20"/>
              </w:rPr>
              <w:t>0.20</w:t>
            </w:r>
          </w:p>
        </w:tc>
        <w:tc>
          <w:tcPr>
            <w:tcW w:w="319" w:type="pct"/>
            <w:hideMark/>
          </w:tcPr>
          <w:p w14:paraId="01DA49CD" w14:textId="77777777" w:rsidR="00A4606E" w:rsidRPr="00923237" w:rsidRDefault="00A4606E" w:rsidP="00036BFC">
            <w:pPr>
              <w:pStyle w:val="NoSpacing"/>
              <w:rPr>
                <w:rFonts w:cstheme="minorHAnsi"/>
                <w:sz w:val="20"/>
                <w:szCs w:val="20"/>
              </w:rPr>
            </w:pPr>
            <w:r w:rsidRPr="00923237">
              <w:rPr>
                <w:rFonts w:cstheme="minorHAnsi"/>
                <w:sz w:val="20"/>
                <w:szCs w:val="20"/>
              </w:rPr>
              <w:t>−0.54</w:t>
            </w:r>
          </w:p>
        </w:tc>
        <w:tc>
          <w:tcPr>
            <w:tcW w:w="245" w:type="pct"/>
            <w:hideMark/>
          </w:tcPr>
          <w:p w14:paraId="2E4DE1F7" w14:textId="77777777" w:rsidR="00A4606E" w:rsidRPr="00923237" w:rsidRDefault="00A4606E" w:rsidP="00036BFC">
            <w:pPr>
              <w:pStyle w:val="NoSpacing"/>
              <w:rPr>
                <w:rFonts w:cstheme="minorHAnsi"/>
                <w:sz w:val="20"/>
                <w:szCs w:val="20"/>
              </w:rPr>
            </w:pPr>
            <w:r w:rsidRPr="00923237">
              <w:rPr>
                <w:rFonts w:cstheme="minorHAnsi"/>
                <w:sz w:val="20"/>
                <w:szCs w:val="20"/>
              </w:rPr>
              <w:t>−0.10</w:t>
            </w:r>
          </w:p>
        </w:tc>
        <w:tc>
          <w:tcPr>
            <w:tcW w:w="245" w:type="pct"/>
            <w:hideMark/>
          </w:tcPr>
          <w:p w14:paraId="7CE285D0" w14:textId="77777777" w:rsidR="00A4606E" w:rsidRPr="00923237" w:rsidRDefault="00A4606E" w:rsidP="00036BFC">
            <w:pPr>
              <w:pStyle w:val="NoSpacing"/>
              <w:rPr>
                <w:rFonts w:cstheme="minorHAnsi"/>
                <w:sz w:val="20"/>
                <w:szCs w:val="20"/>
              </w:rPr>
            </w:pPr>
            <w:r w:rsidRPr="00923237">
              <w:rPr>
                <w:rFonts w:cstheme="minorHAnsi"/>
                <w:sz w:val="20"/>
                <w:szCs w:val="20"/>
              </w:rPr>
              <w:t>−0.03</w:t>
            </w:r>
          </w:p>
        </w:tc>
        <w:tc>
          <w:tcPr>
            <w:tcW w:w="245" w:type="pct"/>
            <w:hideMark/>
          </w:tcPr>
          <w:p w14:paraId="19347F8A" w14:textId="77777777" w:rsidR="00A4606E" w:rsidRPr="00923237" w:rsidRDefault="00A4606E" w:rsidP="00036BFC">
            <w:pPr>
              <w:pStyle w:val="NoSpacing"/>
              <w:rPr>
                <w:rFonts w:cstheme="minorHAnsi"/>
                <w:sz w:val="20"/>
                <w:szCs w:val="20"/>
              </w:rPr>
            </w:pPr>
          </w:p>
        </w:tc>
        <w:tc>
          <w:tcPr>
            <w:tcW w:w="245" w:type="pct"/>
            <w:hideMark/>
          </w:tcPr>
          <w:p w14:paraId="0E0D9818" w14:textId="77777777" w:rsidR="00A4606E" w:rsidRPr="00923237" w:rsidRDefault="00A4606E" w:rsidP="00036BFC">
            <w:pPr>
              <w:pStyle w:val="NoSpacing"/>
              <w:rPr>
                <w:rFonts w:cstheme="minorHAnsi"/>
                <w:sz w:val="20"/>
                <w:szCs w:val="20"/>
              </w:rPr>
            </w:pPr>
          </w:p>
        </w:tc>
        <w:tc>
          <w:tcPr>
            <w:tcW w:w="319" w:type="pct"/>
            <w:hideMark/>
          </w:tcPr>
          <w:p w14:paraId="3A9084B8" w14:textId="77777777" w:rsidR="00A4606E" w:rsidRPr="00923237" w:rsidRDefault="00A4606E" w:rsidP="00036BFC">
            <w:pPr>
              <w:pStyle w:val="NoSpacing"/>
              <w:rPr>
                <w:rFonts w:cstheme="minorHAnsi"/>
                <w:sz w:val="20"/>
                <w:szCs w:val="20"/>
              </w:rPr>
            </w:pPr>
          </w:p>
        </w:tc>
        <w:tc>
          <w:tcPr>
            <w:tcW w:w="319" w:type="pct"/>
            <w:hideMark/>
          </w:tcPr>
          <w:p w14:paraId="554062EE" w14:textId="77777777" w:rsidR="00A4606E" w:rsidRPr="00923237" w:rsidRDefault="00A4606E" w:rsidP="00036BFC">
            <w:pPr>
              <w:pStyle w:val="NoSpacing"/>
              <w:rPr>
                <w:rFonts w:cstheme="minorHAnsi"/>
                <w:sz w:val="20"/>
                <w:szCs w:val="20"/>
              </w:rPr>
            </w:pPr>
          </w:p>
        </w:tc>
        <w:tc>
          <w:tcPr>
            <w:tcW w:w="245" w:type="pct"/>
            <w:hideMark/>
          </w:tcPr>
          <w:p w14:paraId="2220275E" w14:textId="77777777" w:rsidR="00A4606E" w:rsidRPr="00923237" w:rsidRDefault="00A4606E" w:rsidP="00036BFC">
            <w:pPr>
              <w:pStyle w:val="NoSpacing"/>
              <w:rPr>
                <w:rFonts w:cstheme="minorHAnsi"/>
                <w:sz w:val="20"/>
                <w:szCs w:val="20"/>
              </w:rPr>
            </w:pPr>
          </w:p>
        </w:tc>
        <w:tc>
          <w:tcPr>
            <w:tcW w:w="319" w:type="pct"/>
            <w:hideMark/>
          </w:tcPr>
          <w:p w14:paraId="469311FF" w14:textId="77777777" w:rsidR="00A4606E" w:rsidRPr="00923237" w:rsidRDefault="00A4606E" w:rsidP="00036BFC">
            <w:pPr>
              <w:pStyle w:val="NoSpacing"/>
              <w:rPr>
                <w:rFonts w:cstheme="minorHAnsi"/>
                <w:sz w:val="20"/>
                <w:szCs w:val="20"/>
              </w:rPr>
            </w:pPr>
          </w:p>
        </w:tc>
        <w:tc>
          <w:tcPr>
            <w:tcW w:w="245" w:type="pct"/>
            <w:hideMark/>
          </w:tcPr>
          <w:p w14:paraId="13263D1B" w14:textId="77777777" w:rsidR="00A4606E" w:rsidRPr="00923237" w:rsidRDefault="00A4606E" w:rsidP="00036BFC">
            <w:pPr>
              <w:pStyle w:val="NoSpacing"/>
              <w:rPr>
                <w:rFonts w:cstheme="minorHAnsi"/>
                <w:sz w:val="20"/>
                <w:szCs w:val="20"/>
              </w:rPr>
            </w:pPr>
          </w:p>
        </w:tc>
        <w:tc>
          <w:tcPr>
            <w:tcW w:w="319" w:type="pct"/>
            <w:hideMark/>
          </w:tcPr>
          <w:p w14:paraId="3D02E3A4" w14:textId="77777777" w:rsidR="00A4606E" w:rsidRPr="00923237" w:rsidRDefault="00A4606E" w:rsidP="00036BFC">
            <w:pPr>
              <w:pStyle w:val="NoSpacing"/>
              <w:rPr>
                <w:rFonts w:cstheme="minorHAnsi"/>
                <w:sz w:val="20"/>
                <w:szCs w:val="20"/>
              </w:rPr>
            </w:pPr>
          </w:p>
        </w:tc>
      </w:tr>
      <w:tr w:rsidR="00036BFC" w:rsidRPr="00923237" w14:paraId="2F1BA539" w14:textId="77777777" w:rsidTr="00036BFC">
        <w:tc>
          <w:tcPr>
            <w:tcW w:w="201" w:type="pct"/>
            <w:hideMark/>
          </w:tcPr>
          <w:p w14:paraId="69042DF8" w14:textId="77777777" w:rsidR="00A4606E" w:rsidRPr="00923237" w:rsidRDefault="00A4606E" w:rsidP="00036BFC">
            <w:pPr>
              <w:pStyle w:val="NoSpacing"/>
              <w:rPr>
                <w:rFonts w:cstheme="minorHAnsi"/>
                <w:b/>
                <w:bCs/>
                <w:sz w:val="20"/>
                <w:szCs w:val="20"/>
              </w:rPr>
            </w:pPr>
          </w:p>
        </w:tc>
        <w:tc>
          <w:tcPr>
            <w:tcW w:w="832" w:type="pct"/>
            <w:hideMark/>
          </w:tcPr>
          <w:p w14:paraId="60646074" w14:textId="77777777" w:rsidR="00A4606E" w:rsidRPr="00923237" w:rsidRDefault="00A4606E" w:rsidP="00036BFC">
            <w:pPr>
              <w:pStyle w:val="NoSpacing"/>
              <w:rPr>
                <w:rFonts w:cstheme="minorHAnsi"/>
                <w:sz w:val="20"/>
                <w:szCs w:val="20"/>
              </w:rPr>
            </w:pPr>
          </w:p>
        </w:tc>
        <w:tc>
          <w:tcPr>
            <w:tcW w:w="333" w:type="pct"/>
            <w:hideMark/>
          </w:tcPr>
          <w:p w14:paraId="05D5286C" w14:textId="77777777" w:rsidR="00A4606E" w:rsidRPr="00923237" w:rsidRDefault="00A4606E" w:rsidP="00036BFC">
            <w:pPr>
              <w:pStyle w:val="NoSpacing"/>
              <w:rPr>
                <w:rFonts w:cstheme="minorHAnsi"/>
                <w:sz w:val="20"/>
                <w:szCs w:val="20"/>
              </w:rPr>
            </w:pPr>
            <w:r w:rsidRPr="00923237">
              <w:rPr>
                <w:rFonts w:cstheme="minorHAnsi"/>
                <w:sz w:val="20"/>
                <w:szCs w:val="20"/>
              </w:rPr>
              <w:t>&lt;</w:t>
            </w: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0001</w:t>
            </w:r>
          </w:p>
        </w:tc>
        <w:tc>
          <w:tcPr>
            <w:tcW w:w="245" w:type="pct"/>
            <w:hideMark/>
          </w:tcPr>
          <w:p w14:paraId="5D7C6863" w14:textId="77777777" w:rsidR="00A4606E" w:rsidRPr="00923237" w:rsidRDefault="00A4606E"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00</w:t>
            </w:r>
          </w:p>
        </w:tc>
        <w:tc>
          <w:tcPr>
            <w:tcW w:w="319" w:type="pct"/>
            <w:hideMark/>
          </w:tcPr>
          <w:p w14:paraId="08BD7DCD" w14:textId="77777777" w:rsidR="00A4606E" w:rsidRPr="00923237" w:rsidRDefault="00A4606E"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02</w:t>
            </w:r>
          </w:p>
        </w:tc>
        <w:tc>
          <w:tcPr>
            <w:tcW w:w="319" w:type="pct"/>
            <w:hideMark/>
          </w:tcPr>
          <w:p w14:paraId="688FE129" w14:textId="77777777" w:rsidR="00A4606E" w:rsidRPr="00923237" w:rsidRDefault="00A4606E" w:rsidP="00036BFC">
            <w:pPr>
              <w:pStyle w:val="NoSpacing"/>
              <w:rPr>
                <w:rFonts w:cstheme="minorHAnsi"/>
                <w:sz w:val="20"/>
                <w:szCs w:val="20"/>
              </w:rPr>
            </w:pPr>
            <w:r w:rsidRPr="00923237">
              <w:rPr>
                <w:rFonts w:cstheme="minorHAnsi"/>
                <w:sz w:val="20"/>
                <w:szCs w:val="20"/>
              </w:rPr>
              <w:t>&lt;</w:t>
            </w: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0001</w:t>
            </w:r>
          </w:p>
        </w:tc>
        <w:tc>
          <w:tcPr>
            <w:tcW w:w="245" w:type="pct"/>
            <w:hideMark/>
          </w:tcPr>
          <w:p w14:paraId="72BDCADE" w14:textId="77777777" w:rsidR="00A4606E" w:rsidRPr="00923237" w:rsidRDefault="00A4606E"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25</w:t>
            </w:r>
          </w:p>
        </w:tc>
        <w:tc>
          <w:tcPr>
            <w:tcW w:w="245" w:type="pct"/>
            <w:hideMark/>
          </w:tcPr>
          <w:p w14:paraId="761C92D8" w14:textId="77777777" w:rsidR="00A4606E" w:rsidRPr="00923237" w:rsidRDefault="00A4606E"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76</w:t>
            </w:r>
          </w:p>
        </w:tc>
        <w:tc>
          <w:tcPr>
            <w:tcW w:w="245" w:type="pct"/>
            <w:hideMark/>
          </w:tcPr>
          <w:p w14:paraId="413A4D66" w14:textId="77777777" w:rsidR="00A4606E" w:rsidRPr="00923237" w:rsidRDefault="00A4606E" w:rsidP="00036BFC">
            <w:pPr>
              <w:pStyle w:val="NoSpacing"/>
              <w:rPr>
                <w:rFonts w:cstheme="minorHAnsi"/>
                <w:sz w:val="20"/>
                <w:szCs w:val="20"/>
              </w:rPr>
            </w:pPr>
          </w:p>
        </w:tc>
        <w:tc>
          <w:tcPr>
            <w:tcW w:w="245" w:type="pct"/>
            <w:hideMark/>
          </w:tcPr>
          <w:p w14:paraId="74B80F4E" w14:textId="77777777" w:rsidR="00A4606E" w:rsidRPr="00923237" w:rsidRDefault="00A4606E" w:rsidP="00036BFC">
            <w:pPr>
              <w:pStyle w:val="NoSpacing"/>
              <w:rPr>
                <w:rFonts w:cstheme="minorHAnsi"/>
                <w:sz w:val="20"/>
                <w:szCs w:val="20"/>
              </w:rPr>
            </w:pPr>
          </w:p>
        </w:tc>
        <w:tc>
          <w:tcPr>
            <w:tcW w:w="319" w:type="pct"/>
            <w:hideMark/>
          </w:tcPr>
          <w:p w14:paraId="54300797" w14:textId="77777777" w:rsidR="00A4606E" w:rsidRPr="00923237" w:rsidRDefault="00A4606E" w:rsidP="00036BFC">
            <w:pPr>
              <w:pStyle w:val="NoSpacing"/>
              <w:rPr>
                <w:rFonts w:cstheme="minorHAnsi"/>
                <w:sz w:val="20"/>
                <w:szCs w:val="20"/>
              </w:rPr>
            </w:pPr>
          </w:p>
        </w:tc>
        <w:tc>
          <w:tcPr>
            <w:tcW w:w="319" w:type="pct"/>
            <w:hideMark/>
          </w:tcPr>
          <w:p w14:paraId="51A00731" w14:textId="77777777" w:rsidR="00A4606E" w:rsidRPr="00923237" w:rsidRDefault="00A4606E" w:rsidP="00036BFC">
            <w:pPr>
              <w:pStyle w:val="NoSpacing"/>
              <w:rPr>
                <w:rFonts w:cstheme="minorHAnsi"/>
                <w:sz w:val="20"/>
                <w:szCs w:val="20"/>
              </w:rPr>
            </w:pPr>
          </w:p>
        </w:tc>
        <w:tc>
          <w:tcPr>
            <w:tcW w:w="245" w:type="pct"/>
            <w:hideMark/>
          </w:tcPr>
          <w:p w14:paraId="0340CCC1" w14:textId="77777777" w:rsidR="00A4606E" w:rsidRPr="00923237" w:rsidRDefault="00A4606E" w:rsidP="00036BFC">
            <w:pPr>
              <w:pStyle w:val="NoSpacing"/>
              <w:rPr>
                <w:rFonts w:cstheme="minorHAnsi"/>
                <w:sz w:val="20"/>
                <w:szCs w:val="20"/>
              </w:rPr>
            </w:pPr>
          </w:p>
        </w:tc>
        <w:tc>
          <w:tcPr>
            <w:tcW w:w="319" w:type="pct"/>
            <w:hideMark/>
          </w:tcPr>
          <w:p w14:paraId="67FBB571" w14:textId="77777777" w:rsidR="00A4606E" w:rsidRPr="00923237" w:rsidRDefault="00A4606E" w:rsidP="00036BFC">
            <w:pPr>
              <w:pStyle w:val="NoSpacing"/>
              <w:rPr>
                <w:rFonts w:cstheme="minorHAnsi"/>
                <w:sz w:val="20"/>
                <w:szCs w:val="20"/>
              </w:rPr>
            </w:pPr>
          </w:p>
        </w:tc>
        <w:tc>
          <w:tcPr>
            <w:tcW w:w="245" w:type="pct"/>
            <w:hideMark/>
          </w:tcPr>
          <w:p w14:paraId="3E6CAC23" w14:textId="77777777" w:rsidR="00A4606E" w:rsidRPr="00923237" w:rsidRDefault="00A4606E" w:rsidP="00036BFC">
            <w:pPr>
              <w:pStyle w:val="NoSpacing"/>
              <w:rPr>
                <w:rFonts w:cstheme="minorHAnsi"/>
                <w:sz w:val="20"/>
                <w:szCs w:val="20"/>
              </w:rPr>
            </w:pPr>
          </w:p>
        </w:tc>
        <w:tc>
          <w:tcPr>
            <w:tcW w:w="319" w:type="pct"/>
            <w:hideMark/>
          </w:tcPr>
          <w:p w14:paraId="6A147D66" w14:textId="77777777" w:rsidR="00A4606E" w:rsidRPr="00923237" w:rsidRDefault="00A4606E" w:rsidP="00036BFC">
            <w:pPr>
              <w:pStyle w:val="NoSpacing"/>
              <w:rPr>
                <w:rFonts w:cstheme="minorHAnsi"/>
                <w:sz w:val="20"/>
                <w:szCs w:val="20"/>
              </w:rPr>
            </w:pPr>
          </w:p>
        </w:tc>
      </w:tr>
      <w:tr w:rsidR="00036BFC" w:rsidRPr="00923237" w14:paraId="766D1328" w14:textId="77777777" w:rsidTr="00036BFC">
        <w:tc>
          <w:tcPr>
            <w:tcW w:w="201" w:type="pct"/>
            <w:hideMark/>
          </w:tcPr>
          <w:p w14:paraId="529E3626" w14:textId="77777777" w:rsidR="00A4606E" w:rsidRPr="00923237" w:rsidRDefault="00A4606E" w:rsidP="00036BFC">
            <w:pPr>
              <w:pStyle w:val="NoSpacing"/>
              <w:rPr>
                <w:rFonts w:cstheme="minorHAnsi"/>
                <w:b/>
                <w:bCs/>
                <w:sz w:val="20"/>
                <w:szCs w:val="20"/>
              </w:rPr>
            </w:pPr>
            <w:r w:rsidRPr="00923237">
              <w:rPr>
                <w:rFonts w:cstheme="minorHAnsi"/>
                <w:b/>
                <w:bCs/>
                <w:sz w:val="20"/>
                <w:szCs w:val="20"/>
              </w:rPr>
              <w:t>[8]</w:t>
            </w:r>
          </w:p>
        </w:tc>
        <w:tc>
          <w:tcPr>
            <w:tcW w:w="832" w:type="pct"/>
            <w:hideMark/>
          </w:tcPr>
          <w:p w14:paraId="1A9043B9" w14:textId="77777777" w:rsidR="00A4606E" w:rsidRPr="00923237" w:rsidRDefault="00A4606E" w:rsidP="00036BFC">
            <w:pPr>
              <w:pStyle w:val="NoSpacing"/>
              <w:rPr>
                <w:rFonts w:cstheme="minorHAnsi"/>
                <w:sz w:val="20"/>
                <w:szCs w:val="20"/>
              </w:rPr>
            </w:pPr>
            <w:r w:rsidRPr="00923237">
              <w:rPr>
                <w:rFonts w:cstheme="minorHAnsi"/>
                <w:sz w:val="20"/>
                <w:szCs w:val="20"/>
              </w:rPr>
              <w:t>Preferred stock</w:t>
            </w:r>
          </w:p>
        </w:tc>
        <w:tc>
          <w:tcPr>
            <w:tcW w:w="333" w:type="pct"/>
            <w:hideMark/>
          </w:tcPr>
          <w:p w14:paraId="2B82C39C" w14:textId="77777777" w:rsidR="00A4606E" w:rsidRPr="00923237" w:rsidRDefault="00A4606E" w:rsidP="00036BFC">
            <w:pPr>
              <w:pStyle w:val="NoSpacing"/>
              <w:rPr>
                <w:rFonts w:cstheme="minorHAnsi"/>
                <w:sz w:val="20"/>
                <w:szCs w:val="20"/>
              </w:rPr>
            </w:pPr>
            <w:r w:rsidRPr="00923237">
              <w:rPr>
                <w:rFonts w:cstheme="minorHAnsi"/>
                <w:sz w:val="20"/>
                <w:szCs w:val="20"/>
              </w:rPr>
              <w:t>0.12</w:t>
            </w:r>
          </w:p>
        </w:tc>
        <w:tc>
          <w:tcPr>
            <w:tcW w:w="245" w:type="pct"/>
            <w:hideMark/>
          </w:tcPr>
          <w:p w14:paraId="52970260" w14:textId="77777777" w:rsidR="00A4606E" w:rsidRPr="00923237" w:rsidRDefault="00A4606E" w:rsidP="00036BFC">
            <w:pPr>
              <w:pStyle w:val="NoSpacing"/>
              <w:rPr>
                <w:rFonts w:cstheme="minorHAnsi"/>
                <w:sz w:val="20"/>
                <w:szCs w:val="20"/>
              </w:rPr>
            </w:pPr>
            <w:r w:rsidRPr="00923237">
              <w:rPr>
                <w:rFonts w:cstheme="minorHAnsi"/>
                <w:sz w:val="20"/>
                <w:szCs w:val="20"/>
              </w:rPr>
              <w:t>0.01</w:t>
            </w:r>
          </w:p>
        </w:tc>
        <w:tc>
          <w:tcPr>
            <w:tcW w:w="319" w:type="pct"/>
            <w:hideMark/>
          </w:tcPr>
          <w:p w14:paraId="0642FA64" w14:textId="77777777" w:rsidR="00A4606E" w:rsidRPr="00923237" w:rsidRDefault="00A4606E" w:rsidP="00036BFC">
            <w:pPr>
              <w:pStyle w:val="NoSpacing"/>
              <w:rPr>
                <w:rFonts w:cstheme="minorHAnsi"/>
                <w:sz w:val="20"/>
                <w:szCs w:val="20"/>
              </w:rPr>
            </w:pPr>
            <w:r w:rsidRPr="00923237">
              <w:rPr>
                <w:rFonts w:cstheme="minorHAnsi"/>
                <w:sz w:val="20"/>
                <w:szCs w:val="20"/>
              </w:rPr>
              <w:t>0.06</w:t>
            </w:r>
          </w:p>
        </w:tc>
        <w:tc>
          <w:tcPr>
            <w:tcW w:w="319" w:type="pct"/>
            <w:hideMark/>
          </w:tcPr>
          <w:p w14:paraId="528C75D1" w14:textId="77777777" w:rsidR="00A4606E" w:rsidRPr="00923237" w:rsidRDefault="00A4606E" w:rsidP="00036BFC">
            <w:pPr>
              <w:pStyle w:val="NoSpacing"/>
              <w:rPr>
                <w:rFonts w:cstheme="minorHAnsi"/>
                <w:sz w:val="20"/>
                <w:szCs w:val="20"/>
              </w:rPr>
            </w:pPr>
            <w:r w:rsidRPr="00923237">
              <w:rPr>
                <w:rFonts w:cstheme="minorHAnsi"/>
                <w:sz w:val="20"/>
                <w:szCs w:val="20"/>
              </w:rPr>
              <w:t>0.12</w:t>
            </w:r>
          </w:p>
        </w:tc>
        <w:tc>
          <w:tcPr>
            <w:tcW w:w="245" w:type="pct"/>
            <w:hideMark/>
          </w:tcPr>
          <w:p w14:paraId="7190A232" w14:textId="77777777" w:rsidR="00A4606E" w:rsidRPr="00923237" w:rsidRDefault="00A4606E" w:rsidP="00036BFC">
            <w:pPr>
              <w:pStyle w:val="NoSpacing"/>
              <w:rPr>
                <w:rFonts w:cstheme="minorHAnsi"/>
                <w:sz w:val="20"/>
                <w:szCs w:val="20"/>
              </w:rPr>
            </w:pPr>
            <w:r w:rsidRPr="00923237">
              <w:rPr>
                <w:rFonts w:cstheme="minorHAnsi"/>
                <w:sz w:val="20"/>
                <w:szCs w:val="20"/>
              </w:rPr>
              <w:t>−0.08</w:t>
            </w:r>
          </w:p>
        </w:tc>
        <w:tc>
          <w:tcPr>
            <w:tcW w:w="245" w:type="pct"/>
            <w:hideMark/>
          </w:tcPr>
          <w:p w14:paraId="54AB5F1C" w14:textId="77777777" w:rsidR="00A4606E" w:rsidRPr="00923237" w:rsidRDefault="00A4606E" w:rsidP="00036BFC">
            <w:pPr>
              <w:pStyle w:val="NoSpacing"/>
              <w:rPr>
                <w:rFonts w:cstheme="minorHAnsi"/>
                <w:sz w:val="20"/>
                <w:szCs w:val="20"/>
              </w:rPr>
            </w:pPr>
            <w:r w:rsidRPr="00923237">
              <w:rPr>
                <w:rFonts w:cstheme="minorHAnsi"/>
                <w:sz w:val="20"/>
                <w:szCs w:val="20"/>
              </w:rPr>
              <w:t>−0.05</w:t>
            </w:r>
          </w:p>
        </w:tc>
        <w:tc>
          <w:tcPr>
            <w:tcW w:w="245" w:type="pct"/>
            <w:hideMark/>
          </w:tcPr>
          <w:p w14:paraId="4D6C9441" w14:textId="77777777" w:rsidR="00A4606E" w:rsidRPr="00923237" w:rsidRDefault="00A4606E" w:rsidP="00036BFC">
            <w:pPr>
              <w:pStyle w:val="NoSpacing"/>
              <w:rPr>
                <w:rFonts w:cstheme="minorHAnsi"/>
                <w:sz w:val="20"/>
                <w:szCs w:val="20"/>
              </w:rPr>
            </w:pPr>
            <w:r w:rsidRPr="00923237">
              <w:rPr>
                <w:rFonts w:cstheme="minorHAnsi"/>
                <w:sz w:val="20"/>
                <w:szCs w:val="20"/>
              </w:rPr>
              <w:t>−0.26</w:t>
            </w:r>
          </w:p>
        </w:tc>
        <w:tc>
          <w:tcPr>
            <w:tcW w:w="245" w:type="pct"/>
            <w:hideMark/>
          </w:tcPr>
          <w:p w14:paraId="59806EB5" w14:textId="77777777" w:rsidR="00A4606E" w:rsidRPr="00923237" w:rsidRDefault="00A4606E" w:rsidP="00036BFC">
            <w:pPr>
              <w:pStyle w:val="NoSpacing"/>
              <w:rPr>
                <w:rFonts w:cstheme="minorHAnsi"/>
                <w:sz w:val="20"/>
                <w:szCs w:val="20"/>
              </w:rPr>
            </w:pPr>
          </w:p>
        </w:tc>
        <w:tc>
          <w:tcPr>
            <w:tcW w:w="319" w:type="pct"/>
            <w:hideMark/>
          </w:tcPr>
          <w:p w14:paraId="2F240194" w14:textId="77777777" w:rsidR="00A4606E" w:rsidRPr="00923237" w:rsidRDefault="00A4606E" w:rsidP="00036BFC">
            <w:pPr>
              <w:pStyle w:val="NoSpacing"/>
              <w:rPr>
                <w:rFonts w:cstheme="minorHAnsi"/>
                <w:sz w:val="20"/>
                <w:szCs w:val="20"/>
              </w:rPr>
            </w:pPr>
          </w:p>
        </w:tc>
        <w:tc>
          <w:tcPr>
            <w:tcW w:w="319" w:type="pct"/>
            <w:hideMark/>
          </w:tcPr>
          <w:p w14:paraId="135D4CDB" w14:textId="77777777" w:rsidR="00A4606E" w:rsidRPr="00923237" w:rsidRDefault="00A4606E" w:rsidP="00036BFC">
            <w:pPr>
              <w:pStyle w:val="NoSpacing"/>
              <w:rPr>
                <w:rFonts w:cstheme="minorHAnsi"/>
                <w:sz w:val="20"/>
                <w:szCs w:val="20"/>
              </w:rPr>
            </w:pPr>
          </w:p>
        </w:tc>
        <w:tc>
          <w:tcPr>
            <w:tcW w:w="245" w:type="pct"/>
            <w:hideMark/>
          </w:tcPr>
          <w:p w14:paraId="7D5A28F9" w14:textId="77777777" w:rsidR="00A4606E" w:rsidRPr="00923237" w:rsidRDefault="00A4606E" w:rsidP="00036BFC">
            <w:pPr>
              <w:pStyle w:val="NoSpacing"/>
              <w:rPr>
                <w:rFonts w:cstheme="minorHAnsi"/>
                <w:sz w:val="20"/>
                <w:szCs w:val="20"/>
              </w:rPr>
            </w:pPr>
          </w:p>
        </w:tc>
        <w:tc>
          <w:tcPr>
            <w:tcW w:w="319" w:type="pct"/>
            <w:hideMark/>
          </w:tcPr>
          <w:p w14:paraId="06E2DA3D" w14:textId="77777777" w:rsidR="00A4606E" w:rsidRPr="00923237" w:rsidRDefault="00A4606E" w:rsidP="00036BFC">
            <w:pPr>
              <w:pStyle w:val="NoSpacing"/>
              <w:rPr>
                <w:rFonts w:cstheme="minorHAnsi"/>
                <w:sz w:val="20"/>
                <w:szCs w:val="20"/>
              </w:rPr>
            </w:pPr>
          </w:p>
        </w:tc>
        <w:tc>
          <w:tcPr>
            <w:tcW w:w="245" w:type="pct"/>
            <w:hideMark/>
          </w:tcPr>
          <w:p w14:paraId="47DAFA5A" w14:textId="77777777" w:rsidR="00A4606E" w:rsidRPr="00923237" w:rsidRDefault="00A4606E" w:rsidP="00036BFC">
            <w:pPr>
              <w:pStyle w:val="NoSpacing"/>
              <w:rPr>
                <w:rFonts w:cstheme="minorHAnsi"/>
                <w:sz w:val="20"/>
                <w:szCs w:val="20"/>
              </w:rPr>
            </w:pPr>
          </w:p>
        </w:tc>
        <w:tc>
          <w:tcPr>
            <w:tcW w:w="319" w:type="pct"/>
            <w:hideMark/>
          </w:tcPr>
          <w:p w14:paraId="36C31E45" w14:textId="77777777" w:rsidR="00A4606E" w:rsidRPr="00923237" w:rsidRDefault="00A4606E" w:rsidP="00036BFC">
            <w:pPr>
              <w:pStyle w:val="NoSpacing"/>
              <w:rPr>
                <w:rFonts w:cstheme="minorHAnsi"/>
                <w:sz w:val="20"/>
                <w:szCs w:val="20"/>
              </w:rPr>
            </w:pPr>
          </w:p>
        </w:tc>
      </w:tr>
      <w:tr w:rsidR="00036BFC" w:rsidRPr="00923237" w14:paraId="2348DD30" w14:textId="77777777" w:rsidTr="00036BFC">
        <w:tc>
          <w:tcPr>
            <w:tcW w:w="201" w:type="pct"/>
            <w:hideMark/>
          </w:tcPr>
          <w:p w14:paraId="5184DA6B" w14:textId="0DA31E44" w:rsidR="00A4606E" w:rsidRPr="00923237" w:rsidRDefault="00A4606E" w:rsidP="00036BFC">
            <w:pPr>
              <w:pStyle w:val="NoSpacing"/>
              <w:rPr>
                <w:rFonts w:cstheme="minorHAnsi"/>
                <w:b/>
                <w:bCs/>
                <w:sz w:val="20"/>
                <w:szCs w:val="20"/>
              </w:rPr>
            </w:pPr>
          </w:p>
        </w:tc>
        <w:tc>
          <w:tcPr>
            <w:tcW w:w="832" w:type="pct"/>
            <w:hideMark/>
          </w:tcPr>
          <w:p w14:paraId="70BC227F" w14:textId="1F64EC7B" w:rsidR="00A4606E" w:rsidRPr="00923237" w:rsidRDefault="00A4606E" w:rsidP="00036BFC">
            <w:pPr>
              <w:pStyle w:val="NoSpacing"/>
              <w:rPr>
                <w:rFonts w:cstheme="minorHAnsi"/>
                <w:sz w:val="20"/>
                <w:szCs w:val="20"/>
              </w:rPr>
            </w:pPr>
          </w:p>
        </w:tc>
        <w:tc>
          <w:tcPr>
            <w:tcW w:w="333" w:type="pct"/>
            <w:hideMark/>
          </w:tcPr>
          <w:p w14:paraId="7C8443FD" w14:textId="77777777" w:rsidR="00A4606E" w:rsidRPr="00923237" w:rsidRDefault="00A4606E"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17</w:t>
            </w:r>
          </w:p>
        </w:tc>
        <w:tc>
          <w:tcPr>
            <w:tcW w:w="245" w:type="pct"/>
            <w:hideMark/>
          </w:tcPr>
          <w:p w14:paraId="793149CD" w14:textId="77777777" w:rsidR="00A4606E" w:rsidRPr="00923237" w:rsidRDefault="00A4606E"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92</w:t>
            </w:r>
          </w:p>
        </w:tc>
        <w:tc>
          <w:tcPr>
            <w:tcW w:w="319" w:type="pct"/>
            <w:hideMark/>
          </w:tcPr>
          <w:p w14:paraId="72E93847" w14:textId="77777777" w:rsidR="00A4606E" w:rsidRPr="00923237" w:rsidRDefault="00A4606E"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48</w:t>
            </w:r>
          </w:p>
        </w:tc>
        <w:tc>
          <w:tcPr>
            <w:tcW w:w="319" w:type="pct"/>
            <w:hideMark/>
          </w:tcPr>
          <w:p w14:paraId="7820F0E7" w14:textId="77777777" w:rsidR="00A4606E" w:rsidRPr="00923237" w:rsidRDefault="00A4606E"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16</w:t>
            </w:r>
          </w:p>
        </w:tc>
        <w:tc>
          <w:tcPr>
            <w:tcW w:w="245" w:type="pct"/>
            <w:hideMark/>
          </w:tcPr>
          <w:p w14:paraId="22C6CA87" w14:textId="77777777" w:rsidR="00A4606E" w:rsidRPr="00923237" w:rsidRDefault="00A4606E"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35</w:t>
            </w:r>
          </w:p>
        </w:tc>
        <w:tc>
          <w:tcPr>
            <w:tcW w:w="245" w:type="pct"/>
            <w:hideMark/>
          </w:tcPr>
          <w:p w14:paraId="3F545337" w14:textId="77777777" w:rsidR="00A4606E" w:rsidRPr="00923237" w:rsidRDefault="00A4606E"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62</w:t>
            </w:r>
          </w:p>
        </w:tc>
        <w:tc>
          <w:tcPr>
            <w:tcW w:w="245" w:type="pct"/>
            <w:hideMark/>
          </w:tcPr>
          <w:p w14:paraId="21094B56" w14:textId="77777777" w:rsidR="00A4606E" w:rsidRPr="00923237" w:rsidRDefault="00A4606E"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00</w:t>
            </w:r>
          </w:p>
        </w:tc>
        <w:tc>
          <w:tcPr>
            <w:tcW w:w="245" w:type="pct"/>
            <w:hideMark/>
          </w:tcPr>
          <w:p w14:paraId="7C9BDA5C" w14:textId="77777777" w:rsidR="00A4606E" w:rsidRPr="00923237" w:rsidRDefault="00A4606E" w:rsidP="00036BFC">
            <w:pPr>
              <w:pStyle w:val="NoSpacing"/>
              <w:rPr>
                <w:rFonts w:cstheme="minorHAnsi"/>
                <w:sz w:val="20"/>
                <w:szCs w:val="20"/>
              </w:rPr>
            </w:pPr>
          </w:p>
        </w:tc>
        <w:tc>
          <w:tcPr>
            <w:tcW w:w="319" w:type="pct"/>
            <w:hideMark/>
          </w:tcPr>
          <w:p w14:paraId="0214FD80" w14:textId="77777777" w:rsidR="00A4606E" w:rsidRPr="00923237" w:rsidRDefault="00A4606E" w:rsidP="00036BFC">
            <w:pPr>
              <w:pStyle w:val="NoSpacing"/>
              <w:rPr>
                <w:rFonts w:cstheme="minorHAnsi"/>
                <w:sz w:val="20"/>
                <w:szCs w:val="20"/>
              </w:rPr>
            </w:pPr>
          </w:p>
        </w:tc>
        <w:tc>
          <w:tcPr>
            <w:tcW w:w="319" w:type="pct"/>
            <w:hideMark/>
          </w:tcPr>
          <w:p w14:paraId="7A4DD78F" w14:textId="77777777" w:rsidR="00A4606E" w:rsidRPr="00923237" w:rsidRDefault="00A4606E" w:rsidP="00036BFC">
            <w:pPr>
              <w:pStyle w:val="NoSpacing"/>
              <w:rPr>
                <w:rFonts w:cstheme="minorHAnsi"/>
                <w:sz w:val="20"/>
                <w:szCs w:val="20"/>
              </w:rPr>
            </w:pPr>
          </w:p>
        </w:tc>
        <w:tc>
          <w:tcPr>
            <w:tcW w:w="245" w:type="pct"/>
            <w:hideMark/>
          </w:tcPr>
          <w:p w14:paraId="175394C5" w14:textId="77777777" w:rsidR="00A4606E" w:rsidRPr="00923237" w:rsidRDefault="00A4606E" w:rsidP="00036BFC">
            <w:pPr>
              <w:pStyle w:val="NoSpacing"/>
              <w:rPr>
                <w:rFonts w:cstheme="minorHAnsi"/>
                <w:sz w:val="20"/>
                <w:szCs w:val="20"/>
              </w:rPr>
            </w:pPr>
          </w:p>
        </w:tc>
        <w:tc>
          <w:tcPr>
            <w:tcW w:w="319" w:type="pct"/>
            <w:hideMark/>
          </w:tcPr>
          <w:p w14:paraId="7C7F11DE" w14:textId="77777777" w:rsidR="00A4606E" w:rsidRPr="00923237" w:rsidRDefault="00A4606E" w:rsidP="00036BFC">
            <w:pPr>
              <w:pStyle w:val="NoSpacing"/>
              <w:rPr>
                <w:rFonts w:cstheme="minorHAnsi"/>
                <w:sz w:val="20"/>
                <w:szCs w:val="20"/>
              </w:rPr>
            </w:pPr>
          </w:p>
        </w:tc>
        <w:tc>
          <w:tcPr>
            <w:tcW w:w="245" w:type="pct"/>
            <w:hideMark/>
          </w:tcPr>
          <w:p w14:paraId="31DD7CB7" w14:textId="77777777" w:rsidR="00A4606E" w:rsidRPr="00923237" w:rsidRDefault="00A4606E" w:rsidP="00036BFC">
            <w:pPr>
              <w:pStyle w:val="NoSpacing"/>
              <w:rPr>
                <w:rFonts w:cstheme="minorHAnsi"/>
                <w:sz w:val="20"/>
                <w:szCs w:val="20"/>
              </w:rPr>
            </w:pPr>
          </w:p>
        </w:tc>
        <w:tc>
          <w:tcPr>
            <w:tcW w:w="319" w:type="pct"/>
            <w:hideMark/>
          </w:tcPr>
          <w:p w14:paraId="1906571E" w14:textId="77777777" w:rsidR="00A4606E" w:rsidRPr="00923237" w:rsidRDefault="00A4606E" w:rsidP="00036BFC">
            <w:pPr>
              <w:pStyle w:val="NoSpacing"/>
              <w:rPr>
                <w:rFonts w:cstheme="minorHAnsi"/>
                <w:sz w:val="20"/>
                <w:szCs w:val="20"/>
              </w:rPr>
            </w:pPr>
          </w:p>
        </w:tc>
      </w:tr>
      <w:tr w:rsidR="00036BFC" w:rsidRPr="00923237" w14:paraId="65267742" w14:textId="77777777" w:rsidTr="00036BFC">
        <w:tc>
          <w:tcPr>
            <w:tcW w:w="201" w:type="pct"/>
          </w:tcPr>
          <w:p w14:paraId="3CC50B8A" w14:textId="45CCD2CC" w:rsidR="002B29A9" w:rsidRPr="00923237" w:rsidRDefault="002B29A9" w:rsidP="00036BFC">
            <w:pPr>
              <w:pStyle w:val="NoSpacing"/>
              <w:rPr>
                <w:rFonts w:cstheme="minorHAnsi"/>
                <w:b/>
                <w:bCs/>
                <w:sz w:val="20"/>
                <w:szCs w:val="20"/>
              </w:rPr>
            </w:pPr>
            <w:r w:rsidRPr="00923237">
              <w:rPr>
                <w:rFonts w:cstheme="minorHAnsi"/>
                <w:b/>
                <w:bCs/>
                <w:sz w:val="20"/>
                <w:szCs w:val="20"/>
              </w:rPr>
              <w:t>[9]</w:t>
            </w:r>
          </w:p>
        </w:tc>
        <w:tc>
          <w:tcPr>
            <w:tcW w:w="832" w:type="pct"/>
          </w:tcPr>
          <w:p w14:paraId="6E588E2A" w14:textId="7DD0E739" w:rsidR="002B29A9" w:rsidRPr="00923237" w:rsidRDefault="002B29A9" w:rsidP="00036BFC">
            <w:pPr>
              <w:pStyle w:val="NoSpacing"/>
              <w:rPr>
                <w:rFonts w:cstheme="minorHAnsi"/>
                <w:sz w:val="20"/>
                <w:szCs w:val="20"/>
              </w:rPr>
            </w:pPr>
            <w:r w:rsidRPr="00923237">
              <w:rPr>
                <w:rFonts w:cstheme="minorHAnsi"/>
                <w:sz w:val="20"/>
                <w:szCs w:val="20"/>
              </w:rPr>
              <w:t>Variable rate debt/total debt</w:t>
            </w:r>
          </w:p>
        </w:tc>
        <w:tc>
          <w:tcPr>
            <w:tcW w:w="333" w:type="pct"/>
          </w:tcPr>
          <w:p w14:paraId="5652C3B6" w14:textId="1979502D" w:rsidR="002B29A9" w:rsidRPr="00923237" w:rsidRDefault="002B29A9" w:rsidP="00036BFC">
            <w:pPr>
              <w:pStyle w:val="NoSpacing"/>
              <w:rPr>
                <w:rStyle w:val="Emphasis"/>
                <w:rFonts w:cstheme="minorHAnsi"/>
                <w:sz w:val="20"/>
                <w:szCs w:val="20"/>
              </w:rPr>
            </w:pPr>
            <w:r w:rsidRPr="00923237">
              <w:rPr>
                <w:rFonts w:cstheme="minorHAnsi"/>
                <w:sz w:val="20"/>
                <w:szCs w:val="20"/>
              </w:rPr>
              <w:t>−0.11</w:t>
            </w:r>
          </w:p>
        </w:tc>
        <w:tc>
          <w:tcPr>
            <w:tcW w:w="245" w:type="pct"/>
          </w:tcPr>
          <w:p w14:paraId="402B1108" w14:textId="5E05826C" w:rsidR="002B29A9" w:rsidRPr="00923237" w:rsidRDefault="002B29A9" w:rsidP="00036BFC">
            <w:pPr>
              <w:pStyle w:val="NoSpacing"/>
              <w:rPr>
                <w:rStyle w:val="Emphasis"/>
                <w:rFonts w:cstheme="minorHAnsi"/>
                <w:sz w:val="20"/>
                <w:szCs w:val="20"/>
              </w:rPr>
            </w:pPr>
            <w:r w:rsidRPr="00923237">
              <w:rPr>
                <w:rFonts w:cstheme="minorHAnsi"/>
                <w:sz w:val="20"/>
                <w:szCs w:val="20"/>
              </w:rPr>
              <w:t>0.02</w:t>
            </w:r>
          </w:p>
        </w:tc>
        <w:tc>
          <w:tcPr>
            <w:tcW w:w="319" w:type="pct"/>
          </w:tcPr>
          <w:p w14:paraId="4F3939AB" w14:textId="14694C4B" w:rsidR="002B29A9" w:rsidRPr="00923237" w:rsidRDefault="002B29A9" w:rsidP="00036BFC">
            <w:pPr>
              <w:pStyle w:val="NoSpacing"/>
              <w:rPr>
                <w:rStyle w:val="Emphasis"/>
                <w:rFonts w:cstheme="minorHAnsi"/>
                <w:sz w:val="20"/>
                <w:szCs w:val="20"/>
              </w:rPr>
            </w:pPr>
            <w:r w:rsidRPr="00923237">
              <w:rPr>
                <w:rFonts w:cstheme="minorHAnsi"/>
                <w:sz w:val="20"/>
                <w:szCs w:val="20"/>
              </w:rPr>
              <w:t>−0.07</w:t>
            </w:r>
          </w:p>
        </w:tc>
        <w:tc>
          <w:tcPr>
            <w:tcW w:w="319" w:type="pct"/>
          </w:tcPr>
          <w:p w14:paraId="61664630" w14:textId="26A091AB" w:rsidR="002B29A9" w:rsidRPr="00923237" w:rsidRDefault="002B29A9" w:rsidP="00036BFC">
            <w:pPr>
              <w:pStyle w:val="NoSpacing"/>
              <w:rPr>
                <w:rStyle w:val="Emphasis"/>
                <w:rFonts w:cstheme="minorHAnsi"/>
                <w:sz w:val="20"/>
                <w:szCs w:val="20"/>
              </w:rPr>
            </w:pPr>
            <w:r w:rsidRPr="00923237">
              <w:rPr>
                <w:rFonts w:cstheme="minorHAnsi"/>
                <w:sz w:val="20"/>
                <w:szCs w:val="20"/>
              </w:rPr>
              <w:t>0.17</w:t>
            </w:r>
          </w:p>
        </w:tc>
        <w:tc>
          <w:tcPr>
            <w:tcW w:w="245" w:type="pct"/>
          </w:tcPr>
          <w:p w14:paraId="2B9F7CF3" w14:textId="79011E57" w:rsidR="002B29A9" w:rsidRPr="00923237" w:rsidRDefault="002B29A9" w:rsidP="00036BFC">
            <w:pPr>
              <w:pStyle w:val="NoSpacing"/>
              <w:rPr>
                <w:rStyle w:val="Emphasis"/>
                <w:rFonts w:cstheme="minorHAnsi"/>
                <w:sz w:val="20"/>
                <w:szCs w:val="20"/>
              </w:rPr>
            </w:pPr>
            <w:r w:rsidRPr="00923237">
              <w:rPr>
                <w:rFonts w:cstheme="minorHAnsi"/>
                <w:sz w:val="20"/>
                <w:szCs w:val="20"/>
              </w:rPr>
              <w:t>−0.18</w:t>
            </w:r>
          </w:p>
        </w:tc>
        <w:tc>
          <w:tcPr>
            <w:tcW w:w="245" w:type="pct"/>
          </w:tcPr>
          <w:p w14:paraId="20894421" w14:textId="3AF5EBEA" w:rsidR="002B29A9" w:rsidRPr="00923237" w:rsidRDefault="002B29A9" w:rsidP="00036BFC">
            <w:pPr>
              <w:pStyle w:val="NoSpacing"/>
              <w:rPr>
                <w:rStyle w:val="Emphasis"/>
                <w:rFonts w:cstheme="minorHAnsi"/>
                <w:sz w:val="20"/>
                <w:szCs w:val="20"/>
              </w:rPr>
            </w:pPr>
            <w:r w:rsidRPr="00923237">
              <w:rPr>
                <w:rFonts w:cstheme="minorHAnsi"/>
                <w:sz w:val="20"/>
                <w:szCs w:val="20"/>
              </w:rPr>
              <w:t>0.08</w:t>
            </w:r>
          </w:p>
        </w:tc>
        <w:tc>
          <w:tcPr>
            <w:tcW w:w="245" w:type="pct"/>
          </w:tcPr>
          <w:p w14:paraId="4D077543" w14:textId="076830AD" w:rsidR="002B29A9" w:rsidRPr="00923237" w:rsidRDefault="002B29A9" w:rsidP="00036BFC">
            <w:pPr>
              <w:pStyle w:val="NoSpacing"/>
              <w:rPr>
                <w:rStyle w:val="Emphasis"/>
                <w:rFonts w:cstheme="minorHAnsi"/>
                <w:sz w:val="20"/>
                <w:szCs w:val="20"/>
              </w:rPr>
            </w:pPr>
            <w:r w:rsidRPr="00923237">
              <w:rPr>
                <w:rFonts w:cstheme="minorHAnsi"/>
                <w:sz w:val="20"/>
                <w:szCs w:val="20"/>
              </w:rPr>
              <w:t>−0.14</w:t>
            </w:r>
          </w:p>
        </w:tc>
        <w:tc>
          <w:tcPr>
            <w:tcW w:w="245" w:type="pct"/>
          </w:tcPr>
          <w:p w14:paraId="322A6BEC" w14:textId="432006F5" w:rsidR="002B29A9" w:rsidRPr="00923237" w:rsidRDefault="002B29A9" w:rsidP="00036BFC">
            <w:pPr>
              <w:pStyle w:val="NoSpacing"/>
              <w:rPr>
                <w:rFonts w:cstheme="minorHAnsi"/>
                <w:sz w:val="20"/>
                <w:szCs w:val="20"/>
              </w:rPr>
            </w:pPr>
            <w:r w:rsidRPr="00923237">
              <w:rPr>
                <w:rFonts w:cstheme="minorHAnsi"/>
                <w:sz w:val="20"/>
                <w:szCs w:val="20"/>
              </w:rPr>
              <w:t>0.03</w:t>
            </w:r>
          </w:p>
        </w:tc>
        <w:tc>
          <w:tcPr>
            <w:tcW w:w="319" w:type="pct"/>
          </w:tcPr>
          <w:p w14:paraId="207B1BBF" w14:textId="77777777" w:rsidR="002B29A9" w:rsidRPr="00923237" w:rsidRDefault="002B29A9" w:rsidP="00036BFC">
            <w:pPr>
              <w:pStyle w:val="NoSpacing"/>
              <w:rPr>
                <w:rFonts w:cstheme="minorHAnsi"/>
                <w:sz w:val="20"/>
                <w:szCs w:val="20"/>
              </w:rPr>
            </w:pPr>
          </w:p>
        </w:tc>
        <w:tc>
          <w:tcPr>
            <w:tcW w:w="319" w:type="pct"/>
          </w:tcPr>
          <w:p w14:paraId="2DE42E27" w14:textId="77777777" w:rsidR="002B29A9" w:rsidRPr="00923237" w:rsidRDefault="002B29A9" w:rsidP="00036BFC">
            <w:pPr>
              <w:pStyle w:val="NoSpacing"/>
              <w:rPr>
                <w:rFonts w:cstheme="minorHAnsi"/>
                <w:sz w:val="20"/>
                <w:szCs w:val="20"/>
              </w:rPr>
            </w:pPr>
          </w:p>
        </w:tc>
        <w:tc>
          <w:tcPr>
            <w:tcW w:w="245" w:type="pct"/>
          </w:tcPr>
          <w:p w14:paraId="25CB57C0" w14:textId="77777777" w:rsidR="002B29A9" w:rsidRPr="00923237" w:rsidRDefault="002B29A9" w:rsidP="00036BFC">
            <w:pPr>
              <w:pStyle w:val="NoSpacing"/>
              <w:rPr>
                <w:rFonts w:cstheme="minorHAnsi"/>
                <w:sz w:val="20"/>
                <w:szCs w:val="20"/>
              </w:rPr>
            </w:pPr>
          </w:p>
        </w:tc>
        <w:tc>
          <w:tcPr>
            <w:tcW w:w="319" w:type="pct"/>
          </w:tcPr>
          <w:p w14:paraId="04F22277" w14:textId="77777777" w:rsidR="002B29A9" w:rsidRPr="00923237" w:rsidRDefault="002B29A9" w:rsidP="00036BFC">
            <w:pPr>
              <w:pStyle w:val="NoSpacing"/>
              <w:rPr>
                <w:rFonts w:cstheme="minorHAnsi"/>
                <w:sz w:val="20"/>
                <w:szCs w:val="20"/>
              </w:rPr>
            </w:pPr>
          </w:p>
        </w:tc>
        <w:tc>
          <w:tcPr>
            <w:tcW w:w="245" w:type="pct"/>
          </w:tcPr>
          <w:p w14:paraId="5820EE2B" w14:textId="77777777" w:rsidR="002B29A9" w:rsidRPr="00923237" w:rsidRDefault="002B29A9" w:rsidP="00036BFC">
            <w:pPr>
              <w:pStyle w:val="NoSpacing"/>
              <w:rPr>
                <w:rFonts w:cstheme="minorHAnsi"/>
                <w:sz w:val="20"/>
                <w:szCs w:val="20"/>
              </w:rPr>
            </w:pPr>
          </w:p>
        </w:tc>
        <w:tc>
          <w:tcPr>
            <w:tcW w:w="319" w:type="pct"/>
          </w:tcPr>
          <w:p w14:paraId="025DD7A5" w14:textId="77777777" w:rsidR="002B29A9" w:rsidRPr="00923237" w:rsidRDefault="002B29A9" w:rsidP="00036BFC">
            <w:pPr>
              <w:pStyle w:val="NoSpacing"/>
              <w:rPr>
                <w:rFonts w:cstheme="minorHAnsi"/>
                <w:sz w:val="20"/>
                <w:szCs w:val="20"/>
              </w:rPr>
            </w:pPr>
          </w:p>
        </w:tc>
      </w:tr>
      <w:tr w:rsidR="00036BFC" w:rsidRPr="00923237" w14:paraId="18C0756A" w14:textId="77777777" w:rsidTr="00036BFC">
        <w:tc>
          <w:tcPr>
            <w:tcW w:w="201" w:type="pct"/>
          </w:tcPr>
          <w:p w14:paraId="6715C49C" w14:textId="77777777" w:rsidR="002B29A9" w:rsidRPr="00923237" w:rsidRDefault="002B29A9" w:rsidP="00036BFC">
            <w:pPr>
              <w:pStyle w:val="NoSpacing"/>
              <w:rPr>
                <w:rFonts w:cstheme="minorHAnsi"/>
                <w:b/>
                <w:bCs/>
                <w:sz w:val="20"/>
                <w:szCs w:val="20"/>
              </w:rPr>
            </w:pPr>
          </w:p>
        </w:tc>
        <w:tc>
          <w:tcPr>
            <w:tcW w:w="832" w:type="pct"/>
          </w:tcPr>
          <w:p w14:paraId="492471CF" w14:textId="77777777" w:rsidR="002B29A9" w:rsidRPr="00923237" w:rsidRDefault="002B29A9" w:rsidP="00036BFC">
            <w:pPr>
              <w:pStyle w:val="NoSpacing"/>
              <w:rPr>
                <w:rFonts w:cstheme="minorHAnsi"/>
                <w:sz w:val="20"/>
                <w:szCs w:val="20"/>
              </w:rPr>
            </w:pPr>
          </w:p>
        </w:tc>
        <w:tc>
          <w:tcPr>
            <w:tcW w:w="333" w:type="pct"/>
          </w:tcPr>
          <w:p w14:paraId="162EE393" w14:textId="475DF24D" w:rsidR="002B29A9" w:rsidRPr="00923237" w:rsidRDefault="002B29A9"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18</w:t>
            </w:r>
          </w:p>
        </w:tc>
        <w:tc>
          <w:tcPr>
            <w:tcW w:w="245" w:type="pct"/>
          </w:tcPr>
          <w:p w14:paraId="1FDD3BEC" w14:textId="7A2559F2" w:rsidR="002B29A9" w:rsidRPr="00923237" w:rsidRDefault="002B29A9"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79</w:t>
            </w:r>
          </w:p>
        </w:tc>
        <w:tc>
          <w:tcPr>
            <w:tcW w:w="319" w:type="pct"/>
          </w:tcPr>
          <w:p w14:paraId="05508516" w14:textId="05F8A14A" w:rsidR="002B29A9" w:rsidRPr="00923237" w:rsidRDefault="002B29A9"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40</w:t>
            </w:r>
          </w:p>
        </w:tc>
        <w:tc>
          <w:tcPr>
            <w:tcW w:w="319" w:type="pct"/>
          </w:tcPr>
          <w:p w14:paraId="7D0E40E1" w14:textId="2E50377A" w:rsidR="002B29A9" w:rsidRPr="00923237" w:rsidRDefault="002B29A9"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04</w:t>
            </w:r>
          </w:p>
        </w:tc>
        <w:tc>
          <w:tcPr>
            <w:tcW w:w="245" w:type="pct"/>
          </w:tcPr>
          <w:p w14:paraId="26DBF82B" w14:textId="566D0182" w:rsidR="002B29A9" w:rsidRPr="00923237" w:rsidRDefault="002B29A9"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03</w:t>
            </w:r>
          </w:p>
        </w:tc>
        <w:tc>
          <w:tcPr>
            <w:tcW w:w="245" w:type="pct"/>
          </w:tcPr>
          <w:p w14:paraId="5FCC49FC" w14:textId="2EDFCF4A" w:rsidR="002B29A9" w:rsidRPr="00923237" w:rsidRDefault="002B29A9"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45</w:t>
            </w:r>
          </w:p>
        </w:tc>
        <w:tc>
          <w:tcPr>
            <w:tcW w:w="245" w:type="pct"/>
          </w:tcPr>
          <w:p w14:paraId="3B3F2383" w14:textId="5B201569" w:rsidR="002B29A9" w:rsidRPr="00923237" w:rsidRDefault="002B29A9"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11</w:t>
            </w:r>
          </w:p>
        </w:tc>
        <w:tc>
          <w:tcPr>
            <w:tcW w:w="245" w:type="pct"/>
          </w:tcPr>
          <w:p w14:paraId="00421FB3" w14:textId="78E23A94" w:rsidR="002B29A9" w:rsidRPr="00923237" w:rsidRDefault="002B29A9"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74</w:t>
            </w:r>
          </w:p>
        </w:tc>
        <w:tc>
          <w:tcPr>
            <w:tcW w:w="319" w:type="pct"/>
          </w:tcPr>
          <w:p w14:paraId="03C6D7F8" w14:textId="77777777" w:rsidR="002B29A9" w:rsidRPr="00923237" w:rsidRDefault="002B29A9" w:rsidP="00036BFC">
            <w:pPr>
              <w:pStyle w:val="NoSpacing"/>
              <w:rPr>
                <w:rFonts w:cstheme="minorHAnsi"/>
                <w:sz w:val="20"/>
                <w:szCs w:val="20"/>
              </w:rPr>
            </w:pPr>
          </w:p>
        </w:tc>
        <w:tc>
          <w:tcPr>
            <w:tcW w:w="319" w:type="pct"/>
          </w:tcPr>
          <w:p w14:paraId="7E57F293" w14:textId="77777777" w:rsidR="002B29A9" w:rsidRPr="00923237" w:rsidRDefault="002B29A9" w:rsidP="00036BFC">
            <w:pPr>
              <w:pStyle w:val="NoSpacing"/>
              <w:rPr>
                <w:rFonts w:cstheme="minorHAnsi"/>
                <w:sz w:val="20"/>
                <w:szCs w:val="20"/>
              </w:rPr>
            </w:pPr>
          </w:p>
        </w:tc>
        <w:tc>
          <w:tcPr>
            <w:tcW w:w="245" w:type="pct"/>
          </w:tcPr>
          <w:p w14:paraId="0F01E36F" w14:textId="77777777" w:rsidR="002B29A9" w:rsidRPr="00923237" w:rsidRDefault="002B29A9" w:rsidP="00036BFC">
            <w:pPr>
              <w:pStyle w:val="NoSpacing"/>
              <w:rPr>
                <w:rFonts w:cstheme="minorHAnsi"/>
                <w:sz w:val="20"/>
                <w:szCs w:val="20"/>
              </w:rPr>
            </w:pPr>
          </w:p>
        </w:tc>
        <w:tc>
          <w:tcPr>
            <w:tcW w:w="319" w:type="pct"/>
          </w:tcPr>
          <w:p w14:paraId="567EC78E" w14:textId="77777777" w:rsidR="002B29A9" w:rsidRPr="00923237" w:rsidRDefault="002B29A9" w:rsidP="00036BFC">
            <w:pPr>
              <w:pStyle w:val="NoSpacing"/>
              <w:rPr>
                <w:rFonts w:cstheme="minorHAnsi"/>
                <w:sz w:val="20"/>
                <w:szCs w:val="20"/>
              </w:rPr>
            </w:pPr>
          </w:p>
        </w:tc>
        <w:tc>
          <w:tcPr>
            <w:tcW w:w="245" w:type="pct"/>
          </w:tcPr>
          <w:p w14:paraId="58BA6F32" w14:textId="77777777" w:rsidR="002B29A9" w:rsidRPr="00923237" w:rsidRDefault="002B29A9" w:rsidP="00036BFC">
            <w:pPr>
              <w:pStyle w:val="NoSpacing"/>
              <w:rPr>
                <w:rFonts w:cstheme="minorHAnsi"/>
                <w:sz w:val="20"/>
                <w:szCs w:val="20"/>
              </w:rPr>
            </w:pPr>
          </w:p>
        </w:tc>
        <w:tc>
          <w:tcPr>
            <w:tcW w:w="319" w:type="pct"/>
          </w:tcPr>
          <w:p w14:paraId="0348BE7D" w14:textId="77777777" w:rsidR="002B29A9" w:rsidRPr="00923237" w:rsidRDefault="002B29A9" w:rsidP="00036BFC">
            <w:pPr>
              <w:pStyle w:val="NoSpacing"/>
              <w:rPr>
                <w:rFonts w:cstheme="minorHAnsi"/>
                <w:sz w:val="20"/>
                <w:szCs w:val="20"/>
              </w:rPr>
            </w:pPr>
          </w:p>
        </w:tc>
      </w:tr>
      <w:tr w:rsidR="00036BFC" w:rsidRPr="00923237" w14:paraId="71B85E05" w14:textId="77777777" w:rsidTr="00036BFC">
        <w:tc>
          <w:tcPr>
            <w:tcW w:w="201" w:type="pct"/>
            <w:hideMark/>
          </w:tcPr>
          <w:p w14:paraId="3D5A3242" w14:textId="22B2D768" w:rsidR="00A21174" w:rsidRPr="00923237" w:rsidRDefault="00A21174" w:rsidP="00036BFC">
            <w:pPr>
              <w:pStyle w:val="NoSpacing"/>
              <w:rPr>
                <w:rFonts w:cstheme="minorHAnsi"/>
                <w:b/>
                <w:bCs/>
                <w:sz w:val="20"/>
                <w:szCs w:val="20"/>
              </w:rPr>
            </w:pPr>
            <w:r w:rsidRPr="00923237">
              <w:rPr>
                <w:rFonts w:cstheme="minorHAnsi"/>
                <w:b/>
                <w:bCs/>
                <w:sz w:val="20"/>
                <w:szCs w:val="20"/>
              </w:rPr>
              <w:t>[10]</w:t>
            </w:r>
          </w:p>
        </w:tc>
        <w:tc>
          <w:tcPr>
            <w:tcW w:w="832" w:type="pct"/>
            <w:hideMark/>
          </w:tcPr>
          <w:p w14:paraId="4846F42E" w14:textId="4989FEA1" w:rsidR="00A21174" w:rsidRPr="00923237" w:rsidRDefault="00A21174" w:rsidP="00036BFC">
            <w:pPr>
              <w:pStyle w:val="NoSpacing"/>
              <w:rPr>
                <w:rFonts w:cstheme="minorHAnsi"/>
                <w:sz w:val="20"/>
                <w:szCs w:val="20"/>
              </w:rPr>
            </w:pPr>
            <w:r w:rsidRPr="00923237">
              <w:rPr>
                <w:rFonts w:cstheme="minorHAnsi"/>
                <w:sz w:val="20"/>
                <w:szCs w:val="20"/>
              </w:rPr>
              <w:t>Debt due in 1 year/total debt</w:t>
            </w:r>
          </w:p>
        </w:tc>
        <w:tc>
          <w:tcPr>
            <w:tcW w:w="333" w:type="pct"/>
          </w:tcPr>
          <w:p w14:paraId="65125942" w14:textId="2F51CCF3" w:rsidR="00A21174" w:rsidRPr="00923237" w:rsidRDefault="00A21174" w:rsidP="00036BFC">
            <w:pPr>
              <w:pStyle w:val="NoSpacing"/>
              <w:rPr>
                <w:rFonts w:cstheme="minorHAnsi"/>
                <w:sz w:val="20"/>
                <w:szCs w:val="20"/>
              </w:rPr>
            </w:pPr>
            <w:r w:rsidRPr="00923237">
              <w:rPr>
                <w:rFonts w:cstheme="minorHAnsi"/>
                <w:sz w:val="20"/>
                <w:szCs w:val="20"/>
              </w:rPr>
              <w:t>0.15</w:t>
            </w:r>
          </w:p>
        </w:tc>
        <w:tc>
          <w:tcPr>
            <w:tcW w:w="245" w:type="pct"/>
          </w:tcPr>
          <w:p w14:paraId="0BF71CEF" w14:textId="70305134" w:rsidR="00A21174" w:rsidRPr="00923237" w:rsidRDefault="00A21174" w:rsidP="00036BFC">
            <w:pPr>
              <w:pStyle w:val="NoSpacing"/>
              <w:rPr>
                <w:rFonts w:cstheme="minorHAnsi"/>
                <w:sz w:val="20"/>
                <w:szCs w:val="20"/>
              </w:rPr>
            </w:pPr>
            <w:r w:rsidRPr="00923237">
              <w:rPr>
                <w:rFonts w:cstheme="minorHAnsi"/>
                <w:sz w:val="20"/>
                <w:szCs w:val="20"/>
              </w:rPr>
              <w:t>−0.05</w:t>
            </w:r>
          </w:p>
        </w:tc>
        <w:tc>
          <w:tcPr>
            <w:tcW w:w="319" w:type="pct"/>
          </w:tcPr>
          <w:p w14:paraId="221DBC24" w14:textId="08A82A4F" w:rsidR="00A21174" w:rsidRPr="00923237" w:rsidRDefault="00A21174" w:rsidP="00036BFC">
            <w:pPr>
              <w:pStyle w:val="NoSpacing"/>
              <w:rPr>
                <w:rFonts w:cstheme="minorHAnsi"/>
                <w:sz w:val="20"/>
                <w:szCs w:val="20"/>
              </w:rPr>
            </w:pPr>
            <w:r w:rsidRPr="00923237">
              <w:rPr>
                <w:rFonts w:cstheme="minorHAnsi"/>
                <w:sz w:val="20"/>
                <w:szCs w:val="20"/>
              </w:rPr>
              <w:t>0.04</w:t>
            </w:r>
          </w:p>
        </w:tc>
        <w:tc>
          <w:tcPr>
            <w:tcW w:w="319" w:type="pct"/>
          </w:tcPr>
          <w:p w14:paraId="69C77735" w14:textId="366BDA43" w:rsidR="00A21174" w:rsidRPr="00923237" w:rsidRDefault="00A21174" w:rsidP="00036BFC">
            <w:pPr>
              <w:pStyle w:val="NoSpacing"/>
              <w:rPr>
                <w:rFonts w:cstheme="minorHAnsi"/>
                <w:sz w:val="20"/>
                <w:szCs w:val="20"/>
              </w:rPr>
            </w:pPr>
            <w:r w:rsidRPr="00923237">
              <w:rPr>
                <w:rFonts w:cstheme="minorHAnsi"/>
                <w:sz w:val="20"/>
                <w:szCs w:val="20"/>
              </w:rPr>
              <w:t>−0.34</w:t>
            </w:r>
          </w:p>
        </w:tc>
        <w:tc>
          <w:tcPr>
            <w:tcW w:w="245" w:type="pct"/>
          </w:tcPr>
          <w:p w14:paraId="24352D0F" w14:textId="62A113B4" w:rsidR="00A21174" w:rsidRPr="00923237" w:rsidRDefault="00A21174" w:rsidP="00036BFC">
            <w:pPr>
              <w:pStyle w:val="NoSpacing"/>
              <w:rPr>
                <w:rFonts w:cstheme="minorHAnsi"/>
                <w:sz w:val="20"/>
                <w:szCs w:val="20"/>
              </w:rPr>
            </w:pPr>
            <w:r w:rsidRPr="00923237">
              <w:rPr>
                <w:rFonts w:cstheme="minorHAnsi"/>
                <w:sz w:val="20"/>
                <w:szCs w:val="20"/>
              </w:rPr>
              <w:t>0.19</w:t>
            </w:r>
          </w:p>
        </w:tc>
        <w:tc>
          <w:tcPr>
            <w:tcW w:w="245" w:type="pct"/>
          </w:tcPr>
          <w:p w14:paraId="270E5525" w14:textId="587DD8A6" w:rsidR="00A21174" w:rsidRPr="00923237" w:rsidRDefault="00A21174" w:rsidP="00036BFC">
            <w:pPr>
              <w:pStyle w:val="NoSpacing"/>
              <w:rPr>
                <w:rFonts w:cstheme="minorHAnsi"/>
                <w:sz w:val="20"/>
                <w:szCs w:val="20"/>
              </w:rPr>
            </w:pPr>
            <w:r w:rsidRPr="00923237">
              <w:rPr>
                <w:rFonts w:cstheme="minorHAnsi"/>
                <w:sz w:val="20"/>
                <w:szCs w:val="20"/>
              </w:rPr>
              <w:t>−0.01</w:t>
            </w:r>
          </w:p>
        </w:tc>
        <w:tc>
          <w:tcPr>
            <w:tcW w:w="245" w:type="pct"/>
          </w:tcPr>
          <w:p w14:paraId="6BE524DC" w14:textId="6EED4699" w:rsidR="00A21174" w:rsidRPr="00923237" w:rsidRDefault="00A21174" w:rsidP="00036BFC">
            <w:pPr>
              <w:pStyle w:val="NoSpacing"/>
              <w:rPr>
                <w:rFonts w:cstheme="minorHAnsi"/>
                <w:sz w:val="20"/>
                <w:szCs w:val="20"/>
              </w:rPr>
            </w:pPr>
            <w:r w:rsidRPr="00923237">
              <w:rPr>
                <w:rFonts w:cstheme="minorHAnsi"/>
                <w:sz w:val="20"/>
                <w:szCs w:val="20"/>
              </w:rPr>
              <w:t>−0.03</w:t>
            </w:r>
          </w:p>
        </w:tc>
        <w:tc>
          <w:tcPr>
            <w:tcW w:w="245" w:type="pct"/>
          </w:tcPr>
          <w:p w14:paraId="50C40382" w14:textId="1FBA43CF" w:rsidR="00A21174" w:rsidRPr="00923237" w:rsidRDefault="00A21174" w:rsidP="00036BFC">
            <w:pPr>
              <w:pStyle w:val="NoSpacing"/>
              <w:rPr>
                <w:rFonts w:cstheme="minorHAnsi"/>
                <w:sz w:val="20"/>
                <w:szCs w:val="20"/>
              </w:rPr>
            </w:pPr>
            <w:r w:rsidRPr="00923237">
              <w:rPr>
                <w:rFonts w:cstheme="minorHAnsi"/>
                <w:sz w:val="20"/>
                <w:szCs w:val="20"/>
              </w:rPr>
              <w:t>−0.10</w:t>
            </w:r>
          </w:p>
        </w:tc>
        <w:tc>
          <w:tcPr>
            <w:tcW w:w="319" w:type="pct"/>
          </w:tcPr>
          <w:p w14:paraId="0AC7682C" w14:textId="47C82927" w:rsidR="00A21174" w:rsidRPr="00923237" w:rsidRDefault="00A21174" w:rsidP="00036BFC">
            <w:pPr>
              <w:pStyle w:val="NoSpacing"/>
              <w:rPr>
                <w:rFonts w:cstheme="minorHAnsi"/>
                <w:sz w:val="20"/>
                <w:szCs w:val="20"/>
              </w:rPr>
            </w:pPr>
            <w:r w:rsidRPr="00923237">
              <w:rPr>
                <w:rFonts w:cstheme="minorHAnsi"/>
                <w:sz w:val="20"/>
                <w:szCs w:val="20"/>
              </w:rPr>
              <w:t>−0.22</w:t>
            </w:r>
          </w:p>
        </w:tc>
        <w:tc>
          <w:tcPr>
            <w:tcW w:w="319" w:type="pct"/>
            <w:hideMark/>
          </w:tcPr>
          <w:p w14:paraId="1EF42093" w14:textId="77777777" w:rsidR="00A21174" w:rsidRPr="00923237" w:rsidRDefault="00A21174" w:rsidP="00036BFC">
            <w:pPr>
              <w:pStyle w:val="NoSpacing"/>
              <w:rPr>
                <w:rFonts w:cstheme="minorHAnsi"/>
                <w:sz w:val="20"/>
                <w:szCs w:val="20"/>
              </w:rPr>
            </w:pPr>
          </w:p>
        </w:tc>
        <w:tc>
          <w:tcPr>
            <w:tcW w:w="245" w:type="pct"/>
            <w:hideMark/>
          </w:tcPr>
          <w:p w14:paraId="169270E9" w14:textId="77777777" w:rsidR="00A21174" w:rsidRPr="00923237" w:rsidRDefault="00A21174" w:rsidP="00036BFC">
            <w:pPr>
              <w:pStyle w:val="NoSpacing"/>
              <w:rPr>
                <w:rFonts w:cstheme="minorHAnsi"/>
                <w:sz w:val="20"/>
                <w:szCs w:val="20"/>
              </w:rPr>
            </w:pPr>
          </w:p>
        </w:tc>
        <w:tc>
          <w:tcPr>
            <w:tcW w:w="319" w:type="pct"/>
            <w:hideMark/>
          </w:tcPr>
          <w:p w14:paraId="0B025564" w14:textId="77777777" w:rsidR="00A21174" w:rsidRPr="00923237" w:rsidRDefault="00A21174" w:rsidP="00036BFC">
            <w:pPr>
              <w:pStyle w:val="NoSpacing"/>
              <w:rPr>
                <w:rFonts w:cstheme="minorHAnsi"/>
                <w:sz w:val="20"/>
                <w:szCs w:val="20"/>
              </w:rPr>
            </w:pPr>
          </w:p>
        </w:tc>
        <w:tc>
          <w:tcPr>
            <w:tcW w:w="245" w:type="pct"/>
            <w:hideMark/>
          </w:tcPr>
          <w:p w14:paraId="7392A063" w14:textId="77777777" w:rsidR="00A21174" w:rsidRPr="00923237" w:rsidRDefault="00A21174" w:rsidP="00036BFC">
            <w:pPr>
              <w:pStyle w:val="NoSpacing"/>
              <w:rPr>
                <w:rFonts w:cstheme="minorHAnsi"/>
                <w:sz w:val="20"/>
                <w:szCs w:val="20"/>
              </w:rPr>
            </w:pPr>
          </w:p>
        </w:tc>
        <w:tc>
          <w:tcPr>
            <w:tcW w:w="319" w:type="pct"/>
            <w:hideMark/>
          </w:tcPr>
          <w:p w14:paraId="5B1FE59B" w14:textId="77777777" w:rsidR="00A21174" w:rsidRPr="00923237" w:rsidRDefault="00A21174" w:rsidP="00036BFC">
            <w:pPr>
              <w:pStyle w:val="NoSpacing"/>
              <w:rPr>
                <w:rFonts w:cstheme="minorHAnsi"/>
                <w:sz w:val="20"/>
                <w:szCs w:val="20"/>
              </w:rPr>
            </w:pPr>
          </w:p>
        </w:tc>
      </w:tr>
      <w:tr w:rsidR="00036BFC" w:rsidRPr="00923237" w14:paraId="04F18FA0" w14:textId="77777777" w:rsidTr="00036BFC">
        <w:tc>
          <w:tcPr>
            <w:tcW w:w="201" w:type="pct"/>
            <w:hideMark/>
          </w:tcPr>
          <w:p w14:paraId="48FBE98A" w14:textId="35ACAD7C" w:rsidR="00A21174" w:rsidRPr="00923237" w:rsidRDefault="00A21174" w:rsidP="00036BFC">
            <w:pPr>
              <w:pStyle w:val="NoSpacing"/>
              <w:rPr>
                <w:rFonts w:cstheme="minorHAnsi"/>
                <w:b/>
                <w:bCs/>
                <w:sz w:val="20"/>
                <w:szCs w:val="20"/>
              </w:rPr>
            </w:pPr>
          </w:p>
        </w:tc>
        <w:tc>
          <w:tcPr>
            <w:tcW w:w="832" w:type="pct"/>
            <w:hideMark/>
          </w:tcPr>
          <w:p w14:paraId="033B3990" w14:textId="77777777" w:rsidR="00A21174" w:rsidRPr="00923237" w:rsidRDefault="00A21174" w:rsidP="00036BFC">
            <w:pPr>
              <w:pStyle w:val="NoSpacing"/>
              <w:rPr>
                <w:rFonts w:cstheme="minorHAnsi"/>
                <w:sz w:val="20"/>
                <w:szCs w:val="20"/>
              </w:rPr>
            </w:pPr>
          </w:p>
        </w:tc>
        <w:tc>
          <w:tcPr>
            <w:tcW w:w="333" w:type="pct"/>
          </w:tcPr>
          <w:p w14:paraId="121C0868" w14:textId="64DF858C" w:rsidR="00A21174" w:rsidRPr="00923237" w:rsidRDefault="00A21174"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09</w:t>
            </w:r>
          </w:p>
        </w:tc>
        <w:tc>
          <w:tcPr>
            <w:tcW w:w="245" w:type="pct"/>
          </w:tcPr>
          <w:p w14:paraId="587B2F03" w14:textId="6E133787" w:rsidR="00A21174" w:rsidRPr="00923237" w:rsidRDefault="00A21174"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60</w:t>
            </w:r>
          </w:p>
        </w:tc>
        <w:tc>
          <w:tcPr>
            <w:tcW w:w="319" w:type="pct"/>
          </w:tcPr>
          <w:p w14:paraId="08C75D89" w14:textId="724636EB" w:rsidR="00A21174" w:rsidRPr="00923237" w:rsidRDefault="00A21174"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67</w:t>
            </w:r>
          </w:p>
        </w:tc>
        <w:tc>
          <w:tcPr>
            <w:tcW w:w="319" w:type="pct"/>
          </w:tcPr>
          <w:p w14:paraId="635C0345" w14:textId="0AB5BF66" w:rsidR="00A21174" w:rsidRPr="00923237" w:rsidRDefault="00A21174" w:rsidP="00036BFC">
            <w:pPr>
              <w:pStyle w:val="NoSpacing"/>
              <w:rPr>
                <w:rFonts w:cstheme="minorHAnsi"/>
                <w:sz w:val="20"/>
                <w:szCs w:val="20"/>
              </w:rPr>
            </w:pPr>
            <w:r w:rsidRPr="00923237">
              <w:rPr>
                <w:rFonts w:cstheme="minorHAnsi"/>
                <w:sz w:val="20"/>
                <w:szCs w:val="20"/>
              </w:rPr>
              <w:t>&lt;</w:t>
            </w: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0001</w:t>
            </w:r>
          </w:p>
        </w:tc>
        <w:tc>
          <w:tcPr>
            <w:tcW w:w="245" w:type="pct"/>
          </w:tcPr>
          <w:p w14:paraId="5BF6583D" w14:textId="797C606D" w:rsidR="00A21174" w:rsidRPr="00923237" w:rsidRDefault="00A21174"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02</w:t>
            </w:r>
          </w:p>
        </w:tc>
        <w:tc>
          <w:tcPr>
            <w:tcW w:w="245" w:type="pct"/>
          </w:tcPr>
          <w:p w14:paraId="14A404C3" w14:textId="338C3487" w:rsidR="00A21174" w:rsidRPr="00923237" w:rsidRDefault="00A21174"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89</w:t>
            </w:r>
          </w:p>
        </w:tc>
        <w:tc>
          <w:tcPr>
            <w:tcW w:w="245" w:type="pct"/>
          </w:tcPr>
          <w:p w14:paraId="73577631" w14:textId="24C7ED7F" w:rsidR="00A21174" w:rsidRPr="00923237" w:rsidRDefault="00A21174"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73</w:t>
            </w:r>
          </w:p>
        </w:tc>
        <w:tc>
          <w:tcPr>
            <w:tcW w:w="245" w:type="pct"/>
          </w:tcPr>
          <w:p w14:paraId="7D5E2F55" w14:textId="24EEDB6F" w:rsidR="00A21174" w:rsidRPr="00923237" w:rsidRDefault="00A21174"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23</w:t>
            </w:r>
          </w:p>
        </w:tc>
        <w:tc>
          <w:tcPr>
            <w:tcW w:w="319" w:type="pct"/>
            <w:hideMark/>
          </w:tcPr>
          <w:p w14:paraId="214AC1B2" w14:textId="7A64F0EF" w:rsidR="00A21174" w:rsidRPr="00923237" w:rsidRDefault="00A21174"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01</w:t>
            </w:r>
          </w:p>
        </w:tc>
        <w:tc>
          <w:tcPr>
            <w:tcW w:w="319" w:type="pct"/>
            <w:hideMark/>
          </w:tcPr>
          <w:p w14:paraId="4BF5A035" w14:textId="77777777" w:rsidR="00A21174" w:rsidRPr="00923237" w:rsidRDefault="00A21174" w:rsidP="00036BFC">
            <w:pPr>
              <w:pStyle w:val="NoSpacing"/>
              <w:rPr>
                <w:rFonts w:cstheme="minorHAnsi"/>
                <w:sz w:val="20"/>
                <w:szCs w:val="20"/>
              </w:rPr>
            </w:pPr>
          </w:p>
        </w:tc>
        <w:tc>
          <w:tcPr>
            <w:tcW w:w="245" w:type="pct"/>
            <w:hideMark/>
          </w:tcPr>
          <w:p w14:paraId="290FE33A" w14:textId="77777777" w:rsidR="00A21174" w:rsidRPr="00923237" w:rsidRDefault="00A21174" w:rsidP="00036BFC">
            <w:pPr>
              <w:pStyle w:val="NoSpacing"/>
              <w:rPr>
                <w:rFonts w:cstheme="minorHAnsi"/>
                <w:sz w:val="20"/>
                <w:szCs w:val="20"/>
              </w:rPr>
            </w:pPr>
          </w:p>
        </w:tc>
        <w:tc>
          <w:tcPr>
            <w:tcW w:w="319" w:type="pct"/>
            <w:hideMark/>
          </w:tcPr>
          <w:p w14:paraId="618CF6F8" w14:textId="77777777" w:rsidR="00A21174" w:rsidRPr="00923237" w:rsidRDefault="00A21174" w:rsidP="00036BFC">
            <w:pPr>
              <w:pStyle w:val="NoSpacing"/>
              <w:rPr>
                <w:rFonts w:cstheme="minorHAnsi"/>
                <w:sz w:val="20"/>
                <w:szCs w:val="20"/>
              </w:rPr>
            </w:pPr>
          </w:p>
        </w:tc>
        <w:tc>
          <w:tcPr>
            <w:tcW w:w="245" w:type="pct"/>
            <w:hideMark/>
          </w:tcPr>
          <w:p w14:paraId="77EB6C32" w14:textId="77777777" w:rsidR="00A21174" w:rsidRPr="00923237" w:rsidRDefault="00A21174" w:rsidP="00036BFC">
            <w:pPr>
              <w:pStyle w:val="NoSpacing"/>
              <w:rPr>
                <w:rFonts w:cstheme="minorHAnsi"/>
                <w:sz w:val="20"/>
                <w:szCs w:val="20"/>
              </w:rPr>
            </w:pPr>
          </w:p>
        </w:tc>
        <w:tc>
          <w:tcPr>
            <w:tcW w:w="319" w:type="pct"/>
            <w:hideMark/>
          </w:tcPr>
          <w:p w14:paraId="1DA2ADC8" w14:textId="77777777" w:rsidR="00A21174" w:rsidRPr="00923237" w:rsidRDefault="00A21174" w:rsidP="00036BFC">
            <w:pPr>
              <w:pStyle w:val="NoSpacing"/>
              <w:rPr>
                <w:rFonts w:cstheme="minorHAnsi"/>
                <w:sz w:val="20"/>
                <w:szCs w:val="20"/>
              </w:rPr>
            </w:pPr>
          </w:p>
        </w:tc>
      </w:tr>
      <w:tr w:rsidR="00036BFC" w:rsidRPr="00923237" w14:paraId="2B7C0C3A" w14:textId="77777777" w:rsidTr="00036BFC">
        <w:tc>
          <w:tcPr>
            <w:tcW w:w="201" w:type="pct"/>
            <w:hideMark/>
          </w:tcPr>
          <w:p w14:paraId="421FA8EB" w14:textId="6A70B5B9" w:rsidR="00E84C78" w:rsidRPr="00923237" w:rsidRDefault="00E84C78" w:rsidP="00036BFC">
            <w:pPr>
              <w:pStyle w:val="NoSpacing"/>
              <w:rPr>
                <w:rFonts w:cstheme="minorHAnsi"/>
                <w:b/>
                <w:bCs/>
                <w:sz w:val="20"/>
                <w:szCs w:val="20"/>
              </w:rPr>
            </w:pPr>
            <w:r w:rsidRPr="00923237">
              <w:rPr>
                <w:rFonts w:cstheme="minorHAnsi"/>
                <w:b/>
                <w:bCs/>
                <w:sz w:val="20"/>
                <w:szCs w:val="20"/>
              </w:rPr>
              <w:t>[11]</w:t>
            </w:r>
          </w:p>
        </w:tc>
        <w:tc>
          <w:tcPr>
            <w:tcW w:w="832" w:type="pct"/>
            <w:hideMark/>
          </w:tcPr>
          <w:p w14:paraId="53A01743" w14:textId="17731C6C" w:rsidR="00E84C78" w:rsidRPr="00923237" w:rsidRDefault="00E84C78" w:rsidP="00036BFC">
            <w:pPr>
              <w:pStyle w:val="NoSpacing"/>
              <w:rPr>
                <w:rFonts w:cstheme="minorHAnsi"/>
                <w:sz w:val="20"/>
                <w:szCs w:val="20"/>
              </w:rPr>
            </w:pPr>
            <w:r w:rsidRPr="00923237">
              <w:rPr>
                <w:rFonts w:cstheme="minorHAnsi"/>
                <w:sz w:val="20"/>
                <w:szCs w:val="20"/>
              </w:rPr>
              <w:t>Debt due in 2–3 year/total debt</w:t>
            </w:r>
          </w:p>
        </w:tc>
        <w:tc>
          <w:tcPr>
            <w:tcW w:w="333" w:type="pct"/>
          </w:tcPr>
          <w:p w14:paraId="3FA941A7" w14:textId="07105342" w:rsidR="00E84C78" w:rsidRPr="00923237" w:rsidRDefault="00E84C78" w:rsidP="00036BFC">
            <w:pPr>
              <w:pStyle w:val="NoSpacing"/>
              <w:rPr>
                <w:rFonts w:cstheme="minorHAnsi"/>
                <w:sz w:val="20"/>
                <w:szCs w:val="20"/>
              </w:rPr>
            </w:pPr>
            <w:r w:rsidRPr="00923237">
              <w:rPr>
                <w:rFonts w:cstheme="minorHAnsi"/>
                <w:sz w:val="20"/>
                <w:szCs w:val="20"/>
              </w:rPr>
              <w:t>0.20</w:t>
            </w:r>
          </w:p>
        </w:tc>
        <w:tc>
          <w:tcPr>
            <w:tcW w:w="245" w:type="pct"/>
          </w:tcPr>
          <w:p w14:paraId="5B48751D" w14:textId="1856C9D8" w:rsidR="00E84C78" w:rsidRPr="00923237" w:rsidRDefault="00E84C78" w:rsidP="00036BFC">
            <w:pPr>
              <w:pStyle w:val="NoSpacing"/>
              <w:rPr>
                <w:rFonts w:cstheme="minorHAnsi"/>
                <w:sz w:val="20"/>
                <w:szCs w:val="20"/>
              </w:rPr>
            </w:pPr>
            <w:r w:rsidRPr="00923237">
              <w:rPr>
                <w:rFonts w:cstheme="minorHAnsi"/>
                <w:sz w:val="20"/>
                <w:szCs w:val="20"/>
              </w:rPr>
              <w:t>−0.12</w:t>
            </w:r>
          </w:p>
        </w:tc>
        <w:tc>
          <w:tcPr>
            <w:tcW w:w="319" w:type="pct"/>
          </w:tcPr>
          <w:p w14:paraId="05C1C463" w14:textId="548A2627" w:rsidR="00E84C78" w:rsidRPr="00923237" w:rsidRDefault="00E84C78" w:rsidP="00036BFC">
            <w:pPr>
              <w:pStyle w:val="NoSpacing"/>
              <w:rPr>
                <w:rFonts w:cstheme="minorHAnsi"/>
                <w:sz w:val="20"/>
                <w:szCs w:val="20"/>
              </w:rPr>
            </w:pPr>
            <w:r w:rsidRPr="00923237">
              <w:rPr>
                <w:rFonts w:cstheme="minorHAnsi"/>
                <w:sz w:val="20"/>
                <w:szCs w:val="20"/>
              </w:rPr>
              <w:t>−0.04</w:t>
            </w:r>
          </w:p>
        </w:tc>
        <w:tc>
          <w:tcPr>
            <w:tcW w:w="319" w:type="pct"/>
          </w:tcPr>
          <w:p w14:paraId="7597BE30" w14:textId="52E69955" w:rsidR="00E84C78" w:rsidRPr="00923237" w:rsidRDefault="00E84C78" w:rsidP="00036BFC">
            <w:pPr>
              <w:pStyle w:val="NoSpacing"/>
              <w:rPr>
                <w:rFonts w:cstheme="minorHAnsi"/>
                <w:sz w:val="20"/>
                <w:szCs w:val="20"/>
              </w:rPr>
            </w:pPr>
            <w:r w:rsidRPr="00923237">
              <w:rPr>
                <w:rFonts w:cstheme="minorHAnsi"/>
                <w:sz w:val="20"/>
                <w:szCs w:val="20"/>
              </w:rPr>
              <w:t>−0.29</w:t>
            </w:r>
          </w:p>
        </w:tc>
        <w:tc>
          <w:tcPr>
            <w:tcW w:w="245" w:type="pct"/>
          </w:tcPr>
          <w:p w14:paraId="5968286E" w14:textId="739532AF" w:rsidR="00E84C78" w:rsidRPr="00923237" w:rsidRDefault="00E84C78" w:rsidP="00036BFC">
            <w:pPr>
              <w:pStyle w:val="NoSpacing"/>
              <w:rPr>
                <w:rFonts w:cstheme="minorHAnsi"/>
                <w:sz w:val="20"/>
                <w:szCs w:val="20"/>
              </w:rPr>
            </w:pPr>
            <w:r w:rsidRPr="00923237">
              <w:rPr>
                <w:rFonts w:cstheme="minorHAnsi"/>
                <w:sz w:val="20"/>
                <w:szCs w:val="20"/>
              </w:rPr>
              <w:t>0.16</w:t>
            </w:r>
          </w:p>
        </w:tc>
        <w:tc>
          <w:tcPr>
            <w:tcW w:w="245" w:type="pct"/>
          </w:tcPr>
          <w:p w14:paraId="0BE3DA82" w14:textId="3DC6577D" w:rsidR="00E84C78" w:rsidRPr="00923237" w:rsidRDefault="00E84C78" w:rsidP="00036BFC">
            <w:pPr>
              <w:pStyle w:val="NoSpacing"/>
              <w:rPr>
                <w:rFonts w:cstheme="minorHAnsi"/>
                <w:sz w:val="20"/>
                <w:szCs w:val="20"/>
              </w:rPr>
            </w:pPr>
            <w:r w:rsidRPr="00923237">
              <w:rPr>
                <w:rFonts w:cstheme="minorHAnsi"/>
                <w:sz w:val="20"/>
                <w:szCs w:val="20"/>
              </w:rPr>
              <w:t>−0.09</w:t>
            </w:r>
          </w:p>
        </w:tc>
        <w:tc>
          <w:tcPr>
            <w:tcW w:w="245" w:type="pct"/>
          </w:tcPr>
          <w:p w14:paraId="3F4258D6" w14:textId="7D17303F" w:rsidR="00E84C78" w:rsidRPr="00923237" w:rsidRDefault="00E84C78" w:rsidP="00036BFC">
            <w:pPr>
              <w:pStyle w:val="NoSpacing"/>
              <w:rPr>
                <w:rFonts w:cstheme="minorHAnsi"/>
                <w:sz w:val="20"/>
                <w:szCs w:val="20"/>
              </w:rPr>
            </w:pPr>
            <w:r w:rsidRPr="00923237">
              <w:rPr>
                <w:rFonts w:cstheme="minorHAnsi"/>
                <w:sz w:val="20"/>
                <w:szCs w:val="20"/>
              </w:rPr>
              <w:t>−0.07</w:t>
            </w:r>
          </w:p>
        </w:tc>
        <w:tc>
          <w:tcPr>
            <w:tcW w:w="245" w:type="pct"/>
          </w:tcPr>
          <w:p w14:paraId="6F56D8A4" w14:textId="7DA2D8EB" w:rsidR="00E84C78" w:rsidRPr="00923237" w:rsidRDefault="00E84C78" w:rsidP="00036BFC">
            <w:pPr>
              <w:pStyle w:val="NoSpacing"/>
              <w:rPr>
                <w:rFonts w:cstheme="minorHAnsi"/>
                <w:sz w:val="20"/>
                <w:szCs w:val="20"/>
              </w:rPr>
            </w:pPr>
            <w:r w:rsidRPr="00923237">
              <w:rPr>
                <w:rFonts w:cstheme="minorHAnsi"/>
                <w:sz w:val="20"/>
                <w:szCs w:val="20"/>
              </w:rPr>
              <w:t>0.00</w:t>
            </w:r>
          </w:p>
        </w:tc>
        <w:tc>
          <w:tcPr>
            <w:tcW w:w="319" w:type="pct"/>
          </w:tcPr>
          <w:p w14:paraId="71C1EFAE" w14:textId="6B68AF45" w:rsidR="00E84C78" w:rsidRPr="00923237" w:rsidRDefault="00E84C78" w:rsidP="00036BFC">
            <w:pPr>
              <w:pStyle w:val="NoSpacing"/>
              <w:rPr>
                <w:rFonts w:cstheme="minorHAnsi"/>
                <w:sz w:val="20"/>
                <w:szCs w:val="20"/>
              </w:rPr>
            </w:pPr>
            <w:r w:rsidRPr="00923237">
              <w:rPr>
                <w:rFonts w:cstheme="minorHAnsi"/>
                <w:sz w:val="20"/>
                <w:szCs w:val="20"/>
              </w:rPr>
              <w:t>−0.16</w:t>
            </w:r>
          </w:p>
        </w:tc>
        <w:tc>
          <w:tcPr>
            <w:tcW w:w="319" w:type="pct"/>
            <w:hideMark/>
          </w:tcPr>
          <w:p w14:paraId="3814D9D3" w14:textId="2A18ECAB" w:rsidR="00E84C78" w:rsidRPr="00923237" w:rsidRDefault="00E84C78" w:rsidP="00036BFC">
            <w:pPr>
              <w:pStyle w:val="NoSpacing"/>
              <w:rPr>
                <w:rFonts w:cstheme="minorHAnsi"/>
                <w:sz w:val="20"/>
                <w:szCs w:val="20"/>
              </w:rPr>
            </w:pPr>
            <w:r w:rsidRPr="00923237">
              <w:rPr>
                <w:rFonts w:cstheme="minorHAnsi"/>
                <w:sz w:val="20"/>
                <w:szCs w:val="20"/>
              </w:rPr>
              <w:t>0.90</w:t>
            </w:r>
          </w:p>
        </w:tc>
        <w:tc>
          <w:tcPr>
            <w:tcW w:w="245" w:type="pct"/>
            <w:hideMark/>
          </w:tcPr>
          <w:p w14:paraId="12F557FC" w14:textId="77777777" w:rsidR="00E84C78" w:rsidRPr="00923237" w:rsidRDefault="00E84C78" w:rsidP="00036BFC">
            <w:pPr>
              <w:pStyle w:val="NoSpacing"/>
              <w:rPr>
                <w:rFonts w:cstheme="minorHAnsi"/>
                <w:sz w:val="20"/>
                <w:szCs w:val="20"/>
              </w:rPr>
            </w:pPr>
          </w:p>
        </w:tc>
        <w:tc>
          <w:tcPr>
            <w:tcW w:w="319" w:type="pct"/>
            <w:hideMark/>
          </w:tcPr>
          <w:p w14:paraId="693D1A56" w14:textId="77777777" w:rsidR="00E84C78" w:rsidRPr="00923237" w:rsidRDefault="00E84C78" w:rsidP="00036BFC">
            <w:pPr>
              <w:pStyle w:val="NoSpacing"/>
              <w:rPr>
                <w:rFonts w:cstheme="minorHAnsi"/>
                <w:sz w:val="20"/>
                <w:szCs w:val="20"/>
              </w:rPr>
            </w:pPr>
          </w:p>
        </w:tc>
        <w:tc>
          <w:tcPr>
            <w:tcW w:w="245" w:type="pct"/>
            <w:hideMark/>
          </w:tcPr>
          <w:p w14:paraId="6828537F" w14:textId="77777777" w:rsidR="00E84C78" w:rsidRPr="00923237" w:rsidRDefault="00E84C78" w:rsidP="00036BFC">
            <w:pPr>
              <w:pStyle w:val="NoSpacing"/>
              <w:rPr>
                <w:rFonts w:cstheme="minorHAnsi"/>
                <w:sz w:val="20"/>
                <w:szCs w:val="20"/>
              </w:rPr>
            </w:pPr>
          </w:p>
        </w:tc>
        <w:tc>
          <w:tcPr>
            <w:tcW w:w="319" w:type="pct"/>
            <w:hideMark/>
          </w:tcPr>
          <w:p w14:paraId="6E180B72" w14:textId="77777777" w:rsidR="00E84C78" w:rsidRPr="00923237" w:rsidRDefault="00E84C78" w:rsidP="00036BFC">
            <w:pPr>
              <w:pStyle w:val="NoSpacing"/>
              <w:rPr>
                <w:rFonts w:cstheme="minorHAnsi"/>
                <w:sz w:val="20"/>
                <w:szCs w:val="20"/>
              </w:rPr>
            </w:pPr>
          </w:p>
        </w:tc>
      </w:tr>
      <w:tr w:rsidR="00036BFC" w:rsidRPr="00923237" w14:paraId="57F99A22" w14:textId="77777777" w:rsidTr="00036BFC">
        <w:tc>
          <w:tcPr>
            <w:tcW w:w="201" w:type="pct"/>
            <w:hideMark/>
          </w:tcPr>
          <w:p w14:paraId="50EDD1A1" w14:textId="771B3943" w:rsidR="00E84C78" w:rsidRPr="00923237" w:rsidRDefault="00E84C78" w:rsidP="00036BFC">
            <w:pPr>
              <w:pStyle w:val="NoSpacing"/>
              <w:rPr>
                <w:rFonts w:cstheme="minorHAnsi"/>
                <w:b/>
                <w:bCs/>
                <w:sz w:val="20"/>
                <w:szCs w:val="20"/>
              </w:rPr>
            </w:pPr>
          </w:p>
        </w:tc>
        <w:tc>
          <w:tcPr>
            <w:tcW w:w="832" w:type="pct"/>
            <w:hideMark/>
          </w:tcPr>
          <w:p w14:paraId="4E8FEF0B" w14:textId="77777777" w:rsidR="00E84C78" w:rsidRPr="00923237" w:rsidRDefault="00E84C78" w:rsidP="00036BFC">
            <w:pPr>
              <w:pStyle w:val="NoSpacing"/>
              <w:rPr>
                <w:rFonts w:cstheme="minorHAnsi"/>
                <w:sz w:val="20"/>
                <w:szCs w:val="20"/>
              </w:rPr>
            </w:pPr>
          </w:p>
        </w:tc>
        <w:tc>
          <w:tcPr>
            <w:tcW w:w="333" w:type="pct"/>
          </w:tcPr>
          <w:p w14:paraId="02D265DF" w14:textId="193C26AD" w:rsidR="00E84C78" w:rsidRPr="00923237" w:rsidRDefault="00E84C78"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02</w:t>
            </w:r>
          </w:p>
        </w:tc>
        <w:tc>
          <w:tcPr>
            <w:tcW w:w="245" w:type="pct"/>
          </w:tcPr>
          <w:p w14:paraId="5C9ACC90" w14:textId="33A48A6C" w:rsidR="00E84C78" w:rsidRPr="00923237" w:rsidRDefault="00E84C78"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15</w:t>
            </w:r>
          </w:p>
        </w:tc>
        <w:tc>
          <w:tcPr>
            <w:tcW w:w="319" w:type="pct"/>
          </w:tcPr>
          <w:p w14:paraId="39A6A521" w14:textId="4A5F2754" w:rsidR="00E84C78" w:rsidRPr="00923237" w:rsidRDefault="00E84C78"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68</w:t>
            </w:r>
          </w:p>
        </w:tc>
        <w:tc>
          <w:tcPr>
            <w:tcW w:w="319" w:type="pct"/>
          </w:tcPr>
          <w:p w14:paraId="4919B449" w14:textId="3F74900A" w:rsidR="00E84C78" w:rsidRPr="00923237" w:rsidRDefault="00E84C78"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00</w:t>
            </w:r>
          </w:p>
        </w:tc>
        <w:tc>
          <w:tcPr>
            <w:tcW w:w="245" w:type="pct"/>
          </w:tcPr>
          <w:p w14:paraId="7A26316D" w14:textId="75C6B741" w:rsidR="00E84C78" w:rsidRPr="00923237" w:rsidRDefault="00E84C78"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07</w:t>
            </w:r>
          </w:p>
        </w:tc>
        <w:tc>
          <w:tcPr>
            <w:tcW w:w="245" w:type="pct"/>
          </w:tcPr>
          <w:p w14:paraId="26432BCB" w14:textId="637140D5" w:rsidR="00E84C78" w:rsidRPr="00923237" w:rsidRDefault="00E84C78"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38</w:t>
            </w:r>
          </w:p>
        </w:tc>
        <w:tc>
          <w:tcPr>
            <w:tcW w:w="245" w:type="pct"/>
          </w:tcPr>
          <w:p w14:paraId="79F3D4B2" w14:textId="0AD10DEA" w:rsidR="00E84C78" w:rsidRPr="00923237" w:rsidRDefault="00E84C78"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39</w:t>
            </w:r>
          </w:p>
        </w:tc>
        <w:tc>
          <w:tcPr>
            <w:tcW w:w="245" w:type="pct"/>
          </w:tcPr>
          <w:p w14:paraId="1A33BB95" w14:textId="110F7804" w:rsidR="00E84C78" w:rsidRPr="00923237" w:rsidRDefault="00E84C78"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97</w:t>
            </w:r>
          </w:p>
        </w:tc>
        <w:tc>
          <w:tcPr>
            <w:tcW w:w="319" w:type="pct"/>
          </w:tcPr>
          <w:p w14:paraId="4DB013FA" w14:textId="197BF92A" w:rsidR="00E84C78" w:rsidRPr="00923237" w:rsidRDefault="00E84C78"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07</w:t>
            </w:r>
          </w:p>
        </w:tc>
        <w:tc>
          <w:tcPr>
            <w:tcW w:w="319" w:type="pct"/>
            <w:hideMark/>
          </w:tcPr>
          <w:p w14:paraId="76FB3748" w14:textId="44126D37" w:rsidR="00E84C78" w:rsidRPr="00923237" w:rsidRDefault="00E84C78" w:rsidP="00036BFC">
            <w:pPr>
              <w:pStyle w:val="NoSpacing"/>
              <w:rPr>
                <w:rFonts w:cstheme="minorHAnsi"/>
                <w:sz w:val="20"/>
                <w:szCs w:val="20"/>
              </w:rPr>
            </w:pPr>
            <w:r w:rsidRPr="00923237">
              <w:rPr>
                <w:rFonts w:cstheme="minorHAnsi"/>
                <w:sz w:val="20"/>
                <w:szCs w:val="20"/>
              </w:rPr>
              <w:t>&lt;</w:t>
            </w: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0001</w:t>
            </w:r>
          </w:p>
        </w:tc>
        <w:tc>
          <w:tcPr>
            <w:tcW w:w="245" w:type="pct"/>
            <w:hideMark/>
          </w:tcPr>
          <w:p w14:paraId="1E84C0B7" w14:textId="77777777" w:rsidR="00E84C78" w:rsidRPr="00923237" w:rsidRDefault="00E84C78" w:rsidP="00036BFC">
            <w:pPr>
              <w:pStyle w:val="NoSpacing"/>
              <w:rPr>
                <w:rFonts w:cstheme="minorHAnsi"/>
                <w:sz w:val="20"/>
                <w:szCs w:val="20"/>
              </w:rPr>
            </w:pPr>
          </w:p>
        </w:tc>
        <w:tc>
          <w:tcPr>
            <w:tcW w:w="319" w:type="pct"/>
            <w:hideMark/>
          </w:tcPr>
          <w:p w14:paraId="65E1F42F" w14:textId="77777777" w:rsidR="00E84C78" w:rsidRPr="00923237" w:rsidRDefault="00E84C78" w:rsidP="00036BFC">
            <w:pPr>
              <w:pStyle w:val="NoSpacing"/>
              <w:rPr>
                <w:rFonts w:cstheme="minorHAnsi"/>
                <w:sz w:val="20"/>
                <w:szCs w:val="20"/>
              </w:rPr>
            </w:pPr>
          </w:p>
        </w:tc>
        <w:tc>
          <w:tcPr>
            <w:tcW w:w="245" w:type="pct"/>
            <w:hideMark/>
          </w:tcPr>
          <w:p w14:paraId="2861A8C2" w14:textId="77777777" w:rsidR="00E84C78" w:rsidRPr="00923237" w:rsidRDefault="00E84C78" w:rsidP="00036BFC">
            <w:pPr>
              <w:pStyle w:val="NoSpacing"/>
              <w:rPr>
                <w:rFonts w:cstheme="minorHAnsi"/>
                <w:sz w:val="20"/>
                <w:szCs w:val="20"/>
              </w:rPr>
            </w:pPr>
          </w:p>
        </w:tc>
        <w:tc>
          <w:tcPr>
            <w:tcW w:w="319" w:type="pct"/>
            <w:hideMark/>
          </w:tcPr>
          <w:p w14:paraId="4593F3B7" w14:textId="77777777" w:rsidR="00E84C78" w:rsidRPr="00923237" w:rsidRDefault="00E84C78" w:rsidP="00036BFC">
            <w:pPr>
              <w:pStyle w:val="NoSpacing"/>
              <w:rPr>
                <w:rFonts w:cstheme="minorHAnsi"/>
                <w:sz w:val="20"/>
                <w:szCs w:val="20"/>
              </w:rPr>
            </w:pPr>
          </w:p>
        </w:tc>
      </w:tr>
      <w:tr w:rsidR="00036BFC" w:rsidRPr="00923237" w14:paraId="54755207" w14:textId="77777777" w:rsidTr="00036BFC">
        <w:tc>
          <w:tcPr>
            <w:tcW w:w="201" w:type="pct"/>
            <w:hideMark/>
          </w:tcPr>
          <w:p w14:paraId="1D9ADE59" w14:textId="59F32603" w:rsidR="00893CB7" w:rsidRPr="00923237" w:rsidRDefault="00893CB7" w:rsidP="00036BFC">
            <w:pPr>
              <w:pStyle w:val="NoSpacing"/>
              <w:rPr>
                <w:rFonts w:cstheme="minorHAnsi"/>
                <w:b/>
                <w:bCs/>
                <w:sz w:val="20"/>
                <w:szCs w:val="20"/>
              </w:rPr>
            </w:pPr>
            <w:r w:rsidRPr="00923237">
              <w:rPr>
                <w:rFonts w:cstheme="minorHAnsi"/>
                <w:b/>
                <w:bCs/>
                <w:sz w:val="20"/>
                <w:szCs w:val="20"/>
              </w:rPr>
              <w:t>[12]</w:t>
            </w:r>
          </w:p>
        </w:tc>
        <w:tc>
          <w:tcPr>
            <w:tcW w:w="832" w:type="pct"/>
            <w:hideMark/>
          </w:tcPr>
          <w:p w14:paraId="5950C78F" w14:textId="3DFB3571" w:rsidR="00893CB7" w:rsidRPr="00923237" w:rsidRDefault="00893CB7" w:rsidP="00036BFC">
            <w:pPr>
              <w:pStyle w:val="NoSpacing"/>
              <w:rPr>
                <w:rFonts w:cstheme="minorHAnsi"/>
                <w:sz w:val="20"/>
                <w:szCs w:val="20"/>
              </w:rPr>
            </w:pPr>
            <w:r w:rsidRPr="00923237">
              <w:rPr>
                <w:rFonts w:cstheme="minorHAnsi"/>
                <w:sz w:val="20"/>
                <w:szCs w:val="20"/>
              </w:rPr>
              <w:t>Board meetings</w:t>
            </w:r>
          </w:p>
        </w:tc>
        <w:tc>
          <w:tcPr>
            <w:tcW w:w="333" w:type="pct"/>
          </w:tcPr>
          <w:p w14:paraId="0B04A0E1" w14:textId="6D1F34BD" w:rsidR="00893CB7" w:rsidRPr="00923237" w:rsidRDefault="00893CB7" w:rsidP="00036BFC">
            <w:pPr>
              <w:pStyle w:val="NoSpacing"/>
              <w:rPr>
                <w:rFonts w:cstheme="minorHAnsi"/>
                <w:sz w:val="20"/>
                <w:szCs w:val="20"/>
              </w:rPr>
            </w:pPr>
            <w:r w:rsidRPr="00923237">
              <w:rPr>
                <w:rFonts w:cstheme="minorHAnsi"/>
                <w:sz w:val="20"/>
                <w:szCs w:val="20"/>
              </w:rPr>
              <w:t>−0.02</w:t>
            </w:r>
          </w:p>
        </w:tc>
        <w:tc>
          <w:tcPr>
            <w:tcW w:w="245" w:type="pct"/>
          </w:tcPr>
          <w:p w14:paraId="4B9C88BE" w14:textId="6137179E" w:rsidR="00893CB7" w:rsidRPr="00923237" w:rsidRDefault="00893CB7" w:rsidP="00036BFC">
            <w:pPr>
              <w:pStyle w:val="NoSpacing"/>
              <w:rPr>
                <w:rFonts w:cstheme="minorHAnsi"/>
                <w:sz w:val="20"/>
                <w:szCs w:val="20"/>
              </w:rPr>
            </w:pPr>
            <w:r w:rsidRPr="00923237">
              <w:rPr>
                <w:rFonts w:cstheme="minorHAnsi"/>
                <w:sz w:val="20"/>
                <w:szCs w:val="20"/>
              </w:rPr>
              <w:t>0.06</w:t>
            </w:r>
          </w:p>
        </w:tc>
        <w:tc>
          <w:tcPr>
            <w:tcW w:w="319" w:type="pct"/>
          </w:tcPr>
          <w:p w14:paraId="4F36B2EB" w14:textId="1991E40A" w:rsidR="00893CB7" w:rsidRPr="00923237" w:rsidRDefault="00893CB7" w:rsidP="00036BFC">
            <w:pPr>
              <w:pStyle w:val="NoSpacing"/>
              <w:rPr>
                <w:rFonts w:cstheme="minorHAnsi"/>
                <w:sz w:val="20"/>
                <w:szCs w:val="20"/>
              </w:rPr>
            </w:pPr>
            <w:r w:rsidRPr="00923237">
              <w:rPr>
                <w:rFonts w:cstheme="minorHAnsi"/>
                <w:sz w:val="20"/>
                <w:szCs w:val="20"/>
              </w:rPr>
              <w:t>0.18</w:t>
            </w:r>
          </w:p>
        </w:tc>
        <w:tc>
          <w:tcPr>
            <w:tcW w:w="319" w:type="pct"/>
          </w:tcPr>
          <w:p w14:paraId="007ACFAB" w14:textId="0CE60CBB" w:rsidR="00893CB7" w:rsidRPr="00923237" w:rsidRDefault="00893CB7" w:rsidP="00036BFC">
            <w:pPr>
              <w:pStyle w:val="NoSpacing"/>
              <w:rPr>
                <w:rFonts w:cstheme="minorHAnsi"/>
                <w:sz w:val="20"/>
                <w:szCs w:val="20"/>
              </w:rPr>
            </w:pPr>
            <w:r w:rsidRPr="00923237">
              <w:rPr>
                <w:rFonts w:cstheme="minorHAnsi"/>
                <w:sz w:val="20"/>
                <w:szCs w:val="20"/>
              </w:rPr>
              <w:t>−0.09</w:t>
            </w:r>
          </w:p>
        </w:tc>
        <w:tc>
          <w:tcPr>
            <w:tcW w:w="245" w:type="pct"/>
          </w:tcPr>
          <w:p w14:paraId="027D94FD" w14:textId="70832524" w:rsidR="00893CB7" w:rsidRPr="00923237" w:rsidRDefault="00893CB7" w:rsidP="00036BFC">
            <w:pPr>
              <w:pStyle w:val="NoSpacing"/>
              <w:rPr>
                <w:rFonts w:cstheme="minorHAnsi"/>
                <w:sz w:val="20"/>
                <w:szCs w:val="20"/>
              </w:rPr>
            </w:pPr>
            <w:r w:rsidRPr="00923237">
              <w:rPr>
                <w:rFonts w:cstheme="minorHAnsi"/>
                <w:sz w:val="20"/>
                <w:szCs w:val="20"/>
              </w:rPr>
              <w:t>−0.03</w:t>
            </w:r>
          </w:p>
        </w:tc>
        <w:tc>
          <w:tcPr>
            <w:tcW w:w="245" w:type="pct"/>
          </w:tcPr>
          <w:p w14:paraId="26C9546D" w14:textId="7234D3A8" w:rsidR="00893CB7" w:rsidRPr="00923237" w:rsidRDefault="00893CB7" w:rsidP="00036BFC">
            <w:pPr>
              <w:pStyle w:val="NoSpacing"/>
              <w:rPr>
                <w:rFonts w:cstheme="minorHAnsi"/>
                <w:sz w:val="20"/>
                <w:szCs w:val="20"/>
              </w:rPr>
            </w:pPr>
            <w:r w:rsidRPr="00923237">
              <w:rPr>
                <w:rFonts w:cstheme="minorHAnsi"/>
                <w:sz w:val="20"/>
                <w:szCs w:val="20"/>
              </w:rPr>
              <w:t>0.01</w:t>
            </w:r>
          </w:p>
        </w:tc>
        <w:tc>
          <w:tcPr>
            <w:tcW w:w="245" w:type="pct"/>
          </w:tcPr>
          <w:p w14:paraId="14B8A683" w14:textId="6FA8BE5A" w:rsidR="00893CB7" w:rsidRPr="00923237" w:rsidRDefault="00893CB7" w:rsidP="00036BFC">
            <w:pPr>
              <w:pStyle w:val="NoSpacing"/>
              <w:rPr>
                <w:rFonts w:cstheme="minorHAnsi"/>
                <w:sz w:val="20"/>
                <w:szCs w:val="20"/>
              </w:rPr>
            </w:pPr>
            <w:r w:rsidRPr="00923237">
              <w:rPr>
                <w:rFonts w:cstheme="minorHAnsi"/>
                <w:sz w:val="20"/>
                <w:szCs w:val="20"/>
              </w:rPr>
              <w:t>0.01</w:t>
            </w:r>
          </w:p>
        </w:tc>
        <w:tc>
          <w:tcPr>
            <w:tcW w:w="245" w:type="pct"/>
          </w:tcPr>
          <w:p w14:paraId="0AD8B0AB" w14:textId="379B794F" w:rsidR="00893CB7" w:rsidRPr="00923237" w:rsidRDefault="00893CB7" w:rsidP="00036BFC">
            <w:pPr>
              <w:pStyle w:val="NoSpacing"/>
              <w:rPr>
                <w:rFonts w:cstheme="minorHAnsi"/>
                <w:sz w:val="20"/>
                <w:szCs w:val="20"/>
              </w:rPr>
            </w:pPr>
            <w:r w:rsidRPr="00923237">
              <w:rPr>
                <w:rFonts w:cstheme="minorHAnsi"/>
                <w:sz w:val="20"/>
                <w:szCs w:val="20"/>
              </w:rPr>
              <w:t>0.02</w:t>
            </w:r>
          </w:p>
        </w:tc>
        <w:tc>
          <w:tcPr>
            <w:tcW w:w="319" w:type="pct"/>
          </w:tcPr>
          <w:p w14:paraId="35FE4D60" w14:textId="628993DA" w:rsidR="00893CB7" w:rsidRPr="00923237" w:rsidRDefault="00893CB7" w:rsidP="00036BFC">
            <w:pPr>
              <w:pStyle w:val="NoSpacing"/>
              <w:rPr>
                <w:rFonts w:cstheme="minorHAnsi"/>
                <w:sz w:val="20"/>
                <w:szCs w:val="20"/>
              </w:rPr>
            </w:pPr>
            <w:r w:rsidRPr="00923237">
              <w:rPr>
                <w:rFonts w:cstheme="minorHAnsi"/>
                <w:sz w:val="20"/>
                <w:szCs w:val="20"/>
              </w:rPr>
              <w:t>−0.10</w:t>
            </w:r>
          </w:p>
        </w:tc>
        <w:tc>
          <w:tcPr>
            <w:tcW w:w="319" w:type="pct"/>
          </w:tcPr>
          <w:p w14:paraId="77EB3560" w14:textId="52FA0F53" w:rsidR="00893CB7" w:rsidRPr="00923237" w:rsidRDefault="00893CB7" w:rsidP="00036BFC">
            <w:pPr>
              <w:pStyle w:val="NoSpacing"/>
              <w:rPr>
                <w:rFonts w:cstheme="minorHAnsi"/>
                <w:sz w:val="20"/>
                <w:szCs w:val="20"/>
              </w:rPr>
            </w:pPr>
            <w:r w:rsidRPr="00923237">
              <w:rPr>
                <w:rFonts w:cstheme="minorHAnsi"/>
                <w:sz w:val="20"/>
                <w:szCs w:val="20"/>
              </w:rPr>
              <w:t>−0.08</w:t>
            </w:r>
          </w:p>
        </w:tc>
        <w:tc>
          <w:tcPr>
            <w:tcW w:w="245" w:type="pct"/>
            <w:hideMark/>
          </w:tcPr>
          <w:p w14:paraId="156B8FC6" w14:textId="5E2ACA07" w:rsidR="00893CB7" w:rsidRPr="00923237" w:rsidRDefault="00893CB7" w:rsidP="00036BFC">
            <w:pPr>
              <w:pStyle w:val="NoSpacing"/>
              <w:rPr>
                <w:rFonts w:cstheme="minorHAnsi"/>
                <w:sz w:val="20"/>
                <w:szCs w:val="20"/>
              </w:rPr>
            </w:pPr>
            <w:r w:rsidRPr="00923237">
              <w:rPr>
                <w:rFonts w:cstheme="minorHAnsi"/>
                <w:sz w:val="20"/>
                <w:szCs w:val="20"/>
              </w:rPr>
              <w:t>−0.13</w:t>
            </w:r>
          </w:p>
        </w:tc>
        <w:tc>
          <w:tcPr>
            <w:tcW w:w="319" w:type="pct"/>
            <w:hideMark/>
          </w:tcPr>
          <w:p w14:paraId="5A7767FC" w14:textId="77777777" w:rsidR="00893CB7" w:rsidRPr="00923237" w:rsidRDefault="00893CB7" w:rsidP="00036BFC">
            <w:pPr>
              <w:pStyle w:val="NoSpacing"/>
              <w:rPr>
                <w:rFonts w:cstheme="minorHAnsi"/>
                <w:sz w:val="20"/>
                <w:szCs w:val="20"/>
              </w:rPr>
            </w:pPr>
          </w:p>
        </w:tc>
        <w:tc>
          <w:tcPr>
            <w:tcW w:w="245" w:type="pct"/>
            <w:hideMark/>
          </w:tcPr>
          <w:p w14:paraId="31DD0C35" w14:textId="77777777" w:rsidR="00893CB7" w:rsidRPr="00923237" w:rsidRDefault="00893CB7" w:rsidP="00036BFC">
            <w:pPr>
              <w:pStyle w:val="NoSpacing"/>
              <w:rPr>
                <w:rFonts w:cstheme="minorHAnsi"/>
                <w:sz w:val="20"/>
                <w:szCs w:val="20"/>
              </w:rPr>
            </w:pPr>
          </w:p>
        </w:tc>
        <w:tc>
          <w:tcPr>
            <w:tcW w:w="319" w:type="pct"/>
            <w:hideMark/>
          </w:tcPr>
          <w:p w14:paraId="082A290B" w14:textId="77777777" w:rsidR="00893CB7" w:rsidRPr="00923237" w:rsidRDefault="00893CB7" w:rsidP="00036BFC">
            <w:pPr>
              <w:pStyle w:val="NoSpacing"/>
              <w:rPr>
                <w:rFonts w:cstheme="minorHAnsi"/>
                <w:sz w:val="20"/>
                <w:szCs w:val="20"/>
              </w:rPr>
            </w:pPr>
          </w:p>
        </w:tc>
      </w:tr>
      <w:tr w:rsidR="00036BFC" w:rsidRPr="00923237" w14:paraId="40330B4F" w14:textId="77777777" w:rsidTr="00036BFC">
        <w:tc>
          <w:tcPr>
            <w:tcW w:w="201" w:type="pct"/>
            <w:hideMark/>
          </w:tcPr>
          <w:p w14:paraId="33D8B7E0" w14:textId="509AB3DE" w:rsidR="00893CB7" w:rsidRPr="00923237" w:rsidRDefault="00893CB7" w:rsidP="00036BFC">
            <w:pPr>
              <w:pStyle w:val="NoSpacing"/>
              <w:rPr>
                <w:rFonts w:cstheme="minorHAnsi"/>
                <w:b/>
                <w:bCs/>
                <w:sz w:val="20"/>
                <w:szCs w:val="20"/>
              </w:rPr>
            </w:pPr>
          </w:p>
        </w:tc>
        <w:tc>
          <w:tcPr>
            <w:tcW w:w="832" w:type="pct"/>
          </w:tcPr>
          <w:p w14:paraId="1C12E458" w14:textId="511D867E" w:rsidR="00893CB7" w:rsidRPr="00923237" w:rsidRDefault="00893CB7" w:rsidP="00036BFC">
            <w:pPr>
              <w:pStyle w:val="NoSpacing"/>
              <w:rPr>
                <w:rFonts w:cstheme="minorHAnsi"/>
                <w:sz w:val="20"/>
                <w:szCs w:val="20"/>
              </w:rPr>
            </w:pPr>
          </w:p>
        </w:tc>
        <w:tc>
          <w:tcPr>
            <w:tcW w:w="333" w:type="pct"/>
          </w:tcPr>
          <w:p w14:paraId="1BCEC0E3" w14:textId="2A955772" w:rsidR="00893CB7" w:rsidRPr="00923237" w:rsidRDefault="00893CB7"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82</w:t>
            </w:r>
          </w:p>
        </w:tc>
        <w:tc>
          <w:tcPr>
            <w:tcW w:w="245" w:type="pct"/>
          </w:tcPr>
          <w:p w14:paraId="65CA91CA" w14:textId="3E486F48" w:rsidR="00893CB7" w:rsidRPr="00923237" w:rsidRDefault="00893CB7"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47</w:t>
            </w:r>
          </w:p>
        </w:tc>
        <w:tc>
          <w:tcPr>
            <w:tcW w:w="319" w:type="pct"/>
          </w:tcPr>
          <w:p w14:paraId="2747DD9B" w14:textId="7BE1DFD7" w:rsidR="00893CB7" w:rsidRPr="00923237" w:rsidRDefault="00893CB7"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04</w:t>
            </w:r>
          </w:p>
        </w:tc>
        <w:tc>
          <w:tcPr>
            <w:tcW w:w="319" w:type="pct"/>
          </w:tcPr>
          <w:p w14:paraId="0B0D5A61" w14:textId="23552E46" w:rsidR="00893CB7" w:rsidRPr="00923237" w:rsidRDefault="00893CB7"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31</w:t>
            </w:r>
          </w:p>
        </w:tc>
        <w:tc>
          <w:tcPr>
            <w:tcW w:w="245" w:type="pct"/>
          </w:tcPr>
          <w:p w14:paraId="1A50F144" w14:textId="15DCEDF4" w:rsidR="00893CB7" w:rsidRPr="00923237" w:rsidRDefault="00893CB7"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73</w:t>
            </w:r>
          </w:p>
        </w:tc>
        <w:tc>
          <w:tcPr>
            <w:tcW w:w="245" w:type="pct"/>
          </w:tcPr>
          <w:p w14:paraId="2E446FC2" w14:textId="57A157CC" w:rsidR="00893CB7" w:rsidRPr="00923237" w:rsidRDefault="00893CB7"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89</w:t>
            </w:r>
          </w:p>
        </w:tc>
        <w:tc>
          <w:tcPr>
            <w:tcW w:w="245" w:type="pct"/>
          </w:tcPr>
          <w:p w14:paraId="128025D8" w14:textId="63B202C0" w:rsidR="00893CB7" w:rsidRPr="00923237" w:rsidRDefault="00893CB7"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91</w:t>
            </w:r>
          </w:p>
        </w:tc>
        <w:tc>
          <w:tcPr>
            <w:tcW w:w="245" w:type="pct"/>
          </w:tcPr>
          <w:p w14:paraId="59388411" w14:textId="3F207131" w:rsidR="00893CB7" w:rsidRPr="00923237" w:rsidRDefault="00893CB7"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85</w:t>
            </w:r>
          </w:p>
        </w:tc>
        <w:tc>
          <w:tcPr>
            <w:tcW w:w="319" w:type="pct"/>
          </w:tcPr>
          <w:p w14:paraId="682F6DA5" w14:textId="5AA33ECA" w:rsidR="00893CB7" w:rsidRPr="00923237" w:rsidRDefault="00893CB7"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25</w:t>
            </w:r>
          </w:p>
        </w:tc>
        <w:tc>
          <w:tcPr>
            <w:tcW w:w="319" w:type="pct"/>
          </w:tcPr>
          <w:p w14:paraId="7E8E3B3D" w14:textId="43ACAAFE" w:rsidR="00893CB7" w:rsidRPr="00923237" w:rsidRDefault="00893CB7"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36</w:t>
            </w:r>
          </w:p>
        </w:tc>
        <w:tc>
          <w:tcPr>
            <w:tcW w:w="245" w:type="pct"/>
            <w:hideMark/>
          </w:tcPr>
          <w:p w14:paraId="31838D5F" w14:textId="5228A36C" w:rsidR="00893CB7" w:rsidRPr="00923237" w:rsidRDefault="00893CB7"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14</w:t>
            </w:r>
          </w:p>
        </w:tc>
        <w:tc>
          <w:tcPr>
            <w:tcW w:w="319" w:type="pct"/>
            <w:hideMark/>
          </w:tcPr>
          <w:p w14:paraId="1ED332E1" w14:textId="77777777" w:rsidR="00893CB7" w:rsidRPr="00923237" w:rsidRDefault="00893CB7" w:rsidP="00036BFC">
            <w:pPr>
              <w:pStyle w:val="NoSpacing"/>
              <w:rPr>
                <w:rFonts w:cstheme="minorHAnsi"/>
                <w:sz w:val="20"/>
                <w:szCs w:val="20"/>
              </w:rPr>
            </w:pPr>
          </w:p>
        </w:tc>
        <w:tc>
          <w:tcPr>
            <w:tcW w:w="245" w:type="pct"/>
            <w:hideMark/>
          </w:tcPr>
          <w:p w14:paraId="2753B283" w14:textId="77777777" w:rsidR="00893CB7" w:rsidRPr="00923237" w:rsidRDefault="00893CB7" w:rsidP="00036BFC">
            <w:pPr>
              <w:pStyle w:val="NoSpacing"/>
              <w:rPr>
                <w:rFonts w:cstheme="minorHAnsi"/>
                <w:sz w:val="20"/>
                <w:szCs w:val="20"/>
              </w:rPr>
            </w:pPr>
          </w:p>
        </w:tc>
        <w:tc>
          <w:tcPr>
            <w:tcW w:w="319" w:type="pct"/>
            <w:hideMark/>
          </w:tcPr>
          <w:p w14:paraId="50F41E16" w14:textId="77777777" w:rsidR="00893CB7" w:rsidRPr="00923237" w:rsidRDefault="00893CB7" w:rsidP="00036BFC">
            <w:pPr>
              <w:pStyle w:val="NoSpacing"/>
              <w:rPr>
                <w:rFonts w:cstheme="minorHAnsi"/>
                <w:sz w:val="20"/>
                <w:szCs w:val="20"/>
              </w:rPr>
            </w:pPr>
          </w:p>
        </w:tc>
      </w:tr>
      <w:tr w:rsidR="00036BFC" w:rsidRPr="00923237" w14:paraId="27A046CD" w14:textId="77777777" w:rsidTr="00036BFC">
        <w:tc>
          <w:tcPr>
            <w:tcW w:w="201" w:type="pct"/>
            <w:hideMark/>
          </w:tcPr>
          <w:p w14:paraId="01459CF6" w14:textId="1C48B0F8" w:rsidR="00893CB7" w:rsidRPr="00923237" w:rsidRDefault="00893CB7" w:rsidP="00036BFC">
            <w:pPr>
              <w:pStyle w:val="NoSpacing"/>
              <w:rPr>
                <w:rFonts w:cstheme="minorHAnsi"/>
                <w:b/>
                <w:bCs/>
                <w:sz w:val="20"/>
                <w:szCs w:val="20"/>
              </w:rPr>
            </w:pPr>
            <w:r w:rsidRPr="00923237">
              <w:rPr>
                <w:rFonts w:cstheme="minorHAnsi"/>
                <w:b/>
                <w:bCs/>
                <w:sz w:val="20"/>
                <w:szCs w:val="20"/>
              </w:rPr>
              <w:t>[13]</w:t>
            </w:r>
          </w:p>
        </w:tc>
        <w:tc>
          <w:tcPr>
            <w:tcW w:w="832" w:type="pct"/>
            <w:hideMark/>
          </w:tcPr>
          <w:p w14:paraId="66A332E0" w14:textId="6A38F2D6" w:rsidR="00893CB7" w:rsidRPr="00923237" w:rsidRDefault="00893CB7" w:rsidP="00036BFC">
            <w:pPr>
              <w:pStyle w:val="NoSpacing"/>
              <w:rPr>
                <w:rFonts w:cstheme="minorHAnsi"/>
                <w:sz w:val="20"/>
                <w:szCs w:val="20"/>
              </w:rPr>
            </w:pPr>
            <w:r w:rsidRPr="00923237">
              <w:rPr>
                <w:rFonts w:cstheme="minorHAnsi"/>
                <w:sz w:val="20"/>
                <w:szCs w:val="20"/>
              </w:rPr>
              <w:t>Committee meetings</w:t>
            </w:r>
          </w:p>
        </w:tc>
        <w:tc>
          <w:tcPr>
            <w:tcW w:w="333" w:type="pct"/>
          </w:tcPr>
          <w:p w14:paraId="1DE3AD58" w14:textId="5FFAFF56" w:rsidR="00893CB7" w:rsidRPr="00923237" w:rsidRDefault="00893CB7" w:rsidP="00036BFC">
            <w:pPr>
              <w:pStyle w:val="NoSpacing"/>
              <w:rPr>
                <w:rFonts w:cstheme="minorHAnsi"/>
                <w:sz w:val="20"/>
                <w:szCs w:val="20"/>
              </w:rPr>
            </w:pPr>
            <w:r w:rsidRPr="00923237">
              <w:rPr>
                <w:rFonts w:cstheme="minorHAnsi"/>
                <w:sz w:val="20"/>
                <w:szCs w:val="20"/>
              </w:rPr>
              <w:t>−0.08</w:t>
            </w:r>
          </w:p>
        </w:tc>
        <w:tc>
          <w:tcPr>
            <w:tcW w:w="245" w:type="pct"/>
          </w:tcPr>
          <w:p w14:paraId="427DD279" w14:textId="3B22737D" w:rsidR="00893CB7" w:rsidRPr="00923237" w:rsidRDefault="00893CB7" w:rsidP="00036BFC">
            <w:pPr>
              <w:pStyle w:val="NoSpacing"/>
              <w:rPr>
                <w:rFonts w:cstheme="minorHAnsi"/>
                <w:sz w:val="20"/>
                <w:szCs w:val="20"/>
              </w:rPr>
            </w:pPr>
            <w:r w:rsidRPr="00923237">
              <w:rPr>
                <w:rFonts w:cstheme="minorHAnsi"/>
                <w:sz w:val="20"/>
                <w:szCs w:val="20"/>
              </w:rPr>
              <w:t>0.12</w:t>
            </w:r>
          </w:p>
        </w:tc>
        <w:tc>
          <w:tcPr>
            <w:tcW w:w="319" w:type="pct"/>
          </w:tcPr>
          <w:p w14:paraId="70004D10" w14:textId="33B555CE" w:rsidR="00893CB7" w:rsidRPr="00923237" w:rsidRDefault="00893CB7" w:rsidP="00036BFC">
            <w:pPr>
              <w:pStyle w:val="NoSpacing"/>
              <w:rPr>
                <w:rFonts w:cstheme="minorHAnsi"/>
                <w:sz w:val="20"/>
                <w:szCs w:val="20"/>
              </w:rPr>
            </w:pPr>
            <w:r w:rsidRPr="00923237">
              <w:rPr>
                <w:rFonts w:cstheme="minorHAnsi"/>
                <w:sz w:val="20"/>
                <w:szCs w:val="20"/>
              </w:rPr>
              <w:t>0.34</w:t>
            </w:r>
          </w:p>
        </w:tc>
        <w:tc>
          <w:tcPr>
            <w:tcW w:w="319" w:type="pct"/>
          </w:tcPr>
          <w:p w14:paraId="5699483C" w14:textId="4EA9A00B" w:rsidR="00893CB7" w:rsidRPr="00923237" w:rsidRDefault="00893CB7" w:rsidP="00036BFC">
            <w:pPr>
              <w:pStyle w:val="NoSpacing"/>
              <w:rPr>
                <w:rFonts w:cstheme="minorHAnsi"/>
                <w:sz w:val="20"/>
                <w:szCs w:val="20"/>
              </w:rPr>
            </w:pPr>
            <w:r w:rsidRPr="00923237">
              <w:rPr>
                <w:rFonts w:cstheme="minorHAnsi"/>
                <w:sz w:val="20"/>
                <w:szCs w:val="20"/>
              </w:rPr>
              <w:t>0.11</w:t>
            </w:r>
          </w:p>
        </w:tc>
        <w:tc>
          <w:tcPr>
            <w:tcW w:w="245" w:type="pct"/>
          </w:tcPr>
          <w:p w14:paraId="51751584" w14:textId="5C6DA886" w:rsidR="00893CB7" w:rsidRPr="00923237" w:rsidRDefault="00893CB7" w:rsidP="00036BFC">
            <w:pPr>
              <w:pStyle w:val="NoSpacing"/>
              <w:rPr>
                <w:rFonts w:cstheme="minorHAnsi"/>
                <w:sz w:val="20"/>
                <w:szCs w:val="20"/>
              </w:rPr>
            </w:pPr>
            <w:r w:rsidRPr="00923237">
              <w:rPr>
                <w:rFonts w:cstheme="minorHAnsi"/>
                <w:sz w:val="20"/>
                <w:szCs w:val="20"/>
              </w:rPr>
              <w:t>−0.05</w:t>
            </w:r>
          </w:p>
        </w:tc>
        <w:tc>
          <w:tcPr>
            <w:tcW w:w="245" w:type="pct"/>
          </w:tcPr>
          <w:p w14:paraId="13C73C20" w14:textId="75E71769" w:rsidR="00893CB7" w:rsidRPr="00923237" w:rsidRDefault="00893CB7" w:rsidP="00036BFC">
            <w:pPr>
              <w:pStyle w:val="NoSpacing"/>
              <w:rPr>
                <w:rFonts w:cstheme="minorHAnsi"/>
                <w:sz w:val="20"/>
                <w:szCs w:val="20"/>
              </w:rPr>
            </w:pPr>
            <w:r w:rsidRPr="00923237">
              <w:rPr>
                <w:rFonts w:cstheme="minorHAnsi"/>
                <w:sz w:val="20"/>
                <w:szCs w:val="20"/>
              </w:rPr>
              <w:t>−0.15</w:t>
            </w:r>
          </w:p>
        </w:tc>
        <w:tc>
          <w:tcPr>
            <w:tcW w:w="245" w:type="pct"/>
          </w:tcPr>
          <w:p w14:paraId="5D5A62ED" w14:textId="3D7A0537" w:rsidR="00893CB7" w:rsidRPr="00923237" w:rsidRDefault="00893CB7" w:rsidP="00036BFC">
            <w:pPr>
              <w:pStyle w:val="NoSpacing"/>
              <w:rPr>
                <w:rFonts w:cstheme="minorHAnsi"/>
                <w:sz w:val="20"/>
                <w:szCs w:val="20"/>
              </w:rPr>
            </w:pPr>
            <w:r w:rsidRPr="00923237">
              <w:rPr>
                <w:rFonts w:cstheme="minorHAnsi"/>
                <w:sz w:val="20"/>
                <w:szCs w:val="20"/>
              </w:rPr>
              <w:t>0.08</w:t>
            </w:r>
          </w:p>
        </w:tc>
        <w:tc>
          <w:tcPr>
            <w:tcW w:w="245" w:type="pct"/>
          </w:tcPr>
          <w:p w14:paraId="6F920CFD" w14:textId="0D26E261" w:rsidR="00893CB7" w:rsidRPr="00923237" w:rsidRDefault="00893CB7" w:rsidP="00036BFC">
            <w:pPr>
              <w:pStyle w:val="NoSpacing"/>
              <w:rPr>
                <w:rFonts w:cstheme="minorHAnsi"/>
                <w:sz w:val="20"/>
                <w:szCs w:val="20"/>
              </w:rPr>
            </w:pPr>
            <w:r w:rsidRPr="00923237">
              <w:rPr>
                <w:rFonts w:cstheme="minorHAnsi"/>
                <w:sz w:val="20"/>
                <w:szCs w:val="20"/>
              </w:rPr>
              <w:t>0.04</w:t>
            </w:r>
          </w:p>
        </w:tc>
        <w:tc>
          <w:tcPr>
            <w:tcW w:w="319" w:type="pct"/>
          </w:tcPr>
          <w:p w14:paraId="51093F85" w14:textId="27C75D16" w:rsidR="00893CB7" w:rsidRPr="00923237" w:rsidRDefault="00893CB7" w:rsidP="00036BFC">
            <w:pPr>
              <w:pStyle w:val="NoSpacing"/>
              <w:rPr>
                <w:rFonts w:cstheme="minorHAnsi"/>
                <w:sz w:val="20"/>
                <w:szCs w:val="20"/>
              </w:rPr>
            </w:pPr>
            <w:r w:rsidRPr="00923237">
              <w:rPr>
                <w:rFonts w:cstheme="minorHAnsi"/>
                <w:sz w:val="20"/>
                <w:szCs w:val="20"/>
              </w:rPr>
              <w:t>−0.10</w:t>
            </w:r>
          </w:p>
        </w:tc>
        <w:tc>
          <w:tcPr>
            <w:tcW w:w="319" w:type="pct"/>
          </w:tcPr>
          <w:p w14:paraId="6AD6A3A9" w14:textId="264AD129" w:rsidR="00893CB7" w:rsidRPr="00923237" w:rsidRDefault="00893CB7" w:rsidP="00036BFC">
            <w:pPr>
              <w:pStyle w:val="NoSpacing"/>
              <w:rPr>
                <w:rFonts w:cstheme="minorHAnsi"/>
                <w:sz w:val="20"/>
                <w:szCs w:val="20"/>
              </w:rPr>
            </w:pPr>
            <w:r w:rsidRPr="00923237">
              <w:rPr>
                <w:rFonts w:cstheme="minorHAnsi"/>
                <w:sz w:val="20"/>
                <w:szCs w:val="20"/>
              </w:rPr>
              <w:t>−0.21</w:t>
            </w:r>
          </w:p>
        </w:tc>
        <w:tc>
          <w:tcPr>
            <w:tcW w:w="245" w:type="pct"/>
          </w:tcPr>
          <w:p w14:paraId="47517C23" w14:textId="1F46E644" w:rsidR="00893CB7" w:rsidRPr="00923237" w:rsidRDefault="00893CB7" w:rsidP="00036BFC">
            <w:pPr>
              <w:pStyle w:val="NoSpacing"/>
              <w:rPr>
                <w:rFonts w:cstheme="minorHAnsi"/>
                <w:sz w:val="20"/>
                <w:szCs w:val="20"/>
              </w:rPr>
            </w:pPr>
            <w:r w:rsidRPr="00923237">
              <w:rPr>
                <w:rFonts w:cstheme="minorHAnsi"/>
                <w:sz w:val="20"/>
                <w:szCs w:val="20"/>
              </w:rPr>
              <w:t>−0.22</w:t>
            </w:r>
          </w:p>
        </w:tc>
        <w:tc>
          <w:tcPr>
            <w:tcW w:w="319" w:type="pct"/>
            <w:hideMark/>
          </w:tcPr>
          <w:p w14:paraId="1C141A5E" w14:textId="7DFC8668" w:rsidR="00893CB7" w:rsidRPr="00923237" w:rsidRDefault="00893CB7" w:rsidP="00036BFC">
            <w:pPr>
              <w:pStyle w:val="NoSpacing"/>
              <w:rPr>
                <w:rFonts w:cstheme="minorHAnsi"/>
                <w:sz w:val="20"/>
                <w:szCs w:val="20"/>
              </w:rPr>
            </w:pPr>
            <w:r w:rsidRPr="00923237">
              <w:rPr>
                <w:rFonts w:cstheme="minorHAnsi"/>
                <w:sz w:val="20"/>
                <w:szCs w:val="20"/>
              </w:rPr>
              <w:t>0.28</w:t>
            </w:r>
          </w:p>
        </w:tc>
        <w:tc>
          <w:tcPr>
            <w:tcW w:w="245" w:type="pct"/>
            <w:hideMark/>
          </w:tcPr>
          <w:p w14:paraId="4A443ED9" w14:textId="77777777" w:rsidR="00893CB7" w:rsidRPr="00923237" w:rsidRDefault="00893CB7" w:rsidP="00036BFC">
            <w:pPr>
              <w:pStyle w:val="NoSpacing"/>
              <w:rPr>
                <w:rFonts w:cstheme="minorHAnsi"/>
                <w:sz w:val="20"/>
                <w:szCs w:val="20"/>
              </w:rPr>
            </w:pPr>
          </w:p>
        </w:tc>
        <w:tc>
          <w:tcPr>
            <w:tcW w:w="319" w:type="pct"/>
            <w:hideMark/>
          </w:tcPr>
          <w:p w14:paraId="372BD53D" w14:textId="77777777" w:rsidR="00893CB7" w:rsidRPr="00923237" w:rsidRDefault="00893CB7" w:rsidP="00036BFC">
            <w:pPr>
              <w:pStyle w:val="NoSpacing"/>
              <w:rPr>
                <w:rFonts w:cstheme="minorHAnsi"/>
                <w:sz w:val="20"/>
                <w:szCs w:val="20"/>
              </w:rPr>
            </w:pPr>
          </w:p>
        </w:tc>
      </w:tr>
      <w:tr w:rsidR="00036BFC" w:rsidRPr="00923237" w14:paraId="7DB976D1" w14:textId="77777777" w:rsidTr="00036BFC">
        <w:tc>
          <w:tcPr>
            <w:tcW w:w="201" w:type="pct"/>
            <w:hideMark/>
          </w:tcPr>
          <w:p w14:paraId="4AC8DE72" w14:textId="770880F8" w:rsidR="00893CB7" w:rsidRPr="00923237" w:rsidRDefault="00893CB7" w:rsidP="00036BFC">
            <w:pPr>
              <w:pStyle w:val="NoSpacing"/>
              <w:rPr>
                <w:rFonts w:cstheme="minorHAnsi"/>
                <w:b/>
                <w:bCs/>
                <w:sz w:val="20"/>
                <w:szCs w:val="20"/>
              </w:rPr>
            </w:pPr>
          </w:p>
        </w:tc>
        <w:tc>
          <w:tcPr>
            <w:tcW w:w="832" w:type="pct"/>
            <w:hideMark/>
          </w:tcPr>
          <w:p w14:paraId="170A8931" w14:textId="2B2CA169" w:rsidR="00893CB7" w:rsidRPr="00923237" w:rsidRDefault="00893CB7" w:rsidP="00036BFC">
            <w:pPr>
              <w:pStyle w:val="NoSpacing"/>
              <w:rPr>
                <w:rFonts w:cstheme="minorHAnsi"/>
                <w:sz w:val="20"/>
                <w:szCs w:val="20"/>
              </w:rPr>
            </w:pPr>
          </w:p>
        </w:tc>
        <w:tc>
          <w:tcPr>
            <w:tcW w:w="333" w:type="pct"/>
          </w:tcPr>
          <w:p w14:paraId="0A3DE51C" w14:textId="5BBD3D77" w:rsidR="00893CB7" w:rsidRPr="00923237" w:rsidRDefault="00893CB7"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37</w:t>
            </w:r>
          </w:p>
        </w:tc>
        <w:tc>
          <w:tcPr>
            <w:tcW w:w="245" w:type="pct"/>
          </w:tcPr>
          <w:p w14:paraId="038B2184" w14:textId="05EBD779" w:rsidR="00893CB7" w:rsidRPr="00923237" w:rsidRDefault="00893CB7"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16</w:t>
            </w:r>
          </w:p>
        </w:tc>
        <w:tc>
          <w:tcPr>
            <w:tcW w:w="319" w:type="pct"/>
          </w:tcPr>
          <w:p w14:paraId="0B917D3A" w14:textId="43B5FD3F" w:rsidR="00893CB7" w:rsidRPr="00923237" w:rsidRDefault="00893CB7"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00</w:t>
            </w:r>
          </w:p>
        </w:tc>
        <w:tc>
          <w:tcPr>
            <w:tcW w:w="319" w:type="pct"/>
          </w:tcPr>
          <w:p w14:paraId="677DDD5B" w14:textId="37C12DE2" w:rsidR="00893CB7" w:rsidRPr="00923237" w:rsidRDefault="00893CB7"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21</w:t>
            </w:r>
          </w:p>
        </w:tc>
        <w:tc>
          <w:tcPr>
            <w:tcW w:w="245" w:type="pct"/>
          </w:tcPr>
          <w:p w14:paraId="62A1CA3E" w14:textId="090A0255" w:rsidR="00893CB7" w:rsidRPr="00923237" w:rsidRDefault="00893CB7"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57</w:t>
            </w:r>
          </w:p>
        </w:tc>
        <w:tc>
          <w:tcPr>
            <w:tcW w:w="245" w:type="pct"/>
          </w:tcPr>
          <w:p w14:paraId="73D892B9" w14:textId="60083871" w:rsidR="00893CB7" w:rsidRPr="00923237" w:rsidRDefault="00893CB7"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14</w:t>
            </w:r>
          </w:p>
        </w:tc>
        <w:tc>
          <w:tcPr>
            <w:tcW w:w="245" w:type="pct"/>
          </w:tcPr>
          <w:p w14:paraId="5681BA1E" w14:textId="366A1E6B" w:rsidR="00893CB7" w:rsidRPr="00923237" w:rsidRDefault="00893CB7"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36</w:t>
            </w:r>
          </w:p>
        </w:tc>
        <w:tc>
          <w:tcPr>
            <w:tcW w:w="245" w:type="pct"/>
          </w:tcPr>
          <w:p w14:paraId="49CDF4ED" w14:textId="201DC0C5" w:rsidR="00893CB7" w:rsidRPr="00923237" w:rsidRDefault="00893CB7"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64</w:t>
            </w:r>
          </w:p>
        </w:tc>
        <w:tc>
          <w:tcPr>
            <w:tcW w:w="319" w:type="pct"/>
          </w:tcPr>
          <w:p w14:paraId="7D3A14BE" w14:textId="30790D80" w:rsidR="00893CB7" w:rsidRPr="00923237" w:rsidRDefault="00893CB7"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27</w:t>
            </w:r>
          </w:p>
        </w:tc>
        <w:tc>
          <w:tcPr>
            <w:tcW w:w="319" w:type="pct"/>
          </w:tcPr>
          <w:p w14:paraId="383AA566" w14:textId="2F07A95D" w:rsidR="00893CB7" w:rsidRPr="00923237" w:rsidRDefault="00893CB7"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02</w:t>
            </w:r>
          </w:p>
        </w:tc>
        <w:tc>
          <w:tcPr>
            <w:tcW w:w="245" w:type="pct"/>
          </w:tcPr>
          <w:p w14:paraId="3CE814F1" w14:textId="53F921A9" w:rsidR="00893CB7" w:rsidRPr="00923237" w:rsidRDefault="00893CB7" w:rsidP="00036BFC">
            <w:pPr>
              <w:pStyle w:val="NoSpacing"/>
              <w:rPr>
                <w:rFonts w:cstheme="minorHAnsi"/>
                <w:sz w:val="20"/>
                <w:szCs w:val="20"/>
              </w:rPr>
            </w:pP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01</w:t>
            </w:r>
          </w:p>
        </w:tc>
        <w:tc>
          <w:tcPr>
            <w:tcW w:w="319" w:type="pct"/>
            <w:hideMark/>
          </w:tcPr>
          <w:p w14:paraId="2E78480E" w14:textId="178D382C" w:rsidR="00893CB7" w:rsidRPr="00923237" w:rsidRDefault="00893CB7" w:rsidP="00036BFC">
            <w:pPr>
              <w:pStyle w:val="NoSpacing"/>
              <w:rPr>
                <w:rFonts w:cstheme="minorHAnsi"/>
                <w:sz w:val="20"/>
                <w:szCs w:val="20"/>
              </w:rPr>
            </w:pPr>
            <w:r w:rsidRPr="00923237">
              <w:rPr>
                <w:rFonts w:cstheme="minorHAnsi"/>
                <w:sz w:val="20"/>
                <w:szCs w:val="20"/>
              </w:rPr>
              <w:t>&lt;</w:t>
            </w:r>
            <w:r w:rsidRPr="00923237">
              <w:rPr>
                <w:rStyle w:val="Emphasis"/>
                <w:rFonts w:cstheme="minorHAnsi"/>
                <w:sz w:val="20"/>
                <w:szCs w:val="20"/>
              </w:rPr>
              <w:t>0</w:t>
            </w:r>
            <w:r w:rsidRPr="00923237">
              <w:rPr>
                <w:rFonts w:cstheme="minorHAnsi"/>
                <w:sz w:val="20"/>
                <w:szCs w:val="20"/>
              </w:rPr>
              <w:t>.</w:t>
            </w:r>
            <w:r w:rsidRPr="00923237">
              <w:rPr>
                <w:rStyle w:val="Emphasis"/>
                <w:rFonts w:cstheme="minorHAnsi"/>
                <w:sz w:val="20"/>
                <w:szCs w:val="20"/>
              </w:rPr>
              <w:t>0001</w:t>
            </w:r>
          </w:p>
        </w:tc>
        <w:tc>
          <w:tcPr>
            <w:tcW w:w="245" w:type="pct"/>
            <w:hideMark/>
          </w:tcPr>
          <w:p w14:paraId="57710725" w14:textId="77777777" w:rsidR="00893CB7" w:rsidRPr="00923237" w:rsidRDefault="00893CB7" w:rsidP="00036BFC">
            <w:pPr>
              <w:pStyle w:val="NoSpacing"/>
              <w:rPr>
                <w:rFonts w:cstheme="minorHAnsi"/>
                <w:sz w:val="20"/>
                <w:szCs w:val="20"/>
              </w:rPr>
            </w:pPr>
          </w:p>
        </w:tc>
        <w:tc>
          <w:tcPr>
            <w:tcW w:w="319" w:type="pct"/>
            <w:hideMark/>
          </w:tcPr>
          <w:p w14:paraId="262BE9EA" w14:textId="77777777" w:rsidR="00893CB7" w:rsidRPr="00923237" w:rsidRDefault="00893CB7" w:rsidP="00036BFC">
            <w:pPr>
              <w:pStyle w:val="NoSpacing"/>
              <w:rPr>
                <w:rFonts w:cstheme="minorHAnsi"/>
                <w:sz w:val="20"/>
                <w:szCs w:val="20"/>
              </w:rPr>
            </w:pPr>
          </w:p>
        </w:tc>
      </w:tr>
      <w:tr w:rsidR="00036BFC" w:rsidRPr="00923237" w14:paraId="7C914ACD" w14:textId="77777777" w:rsidTr="00036BFC">
        <w:tc>
          <w:tcPr>
            <w:tcW w:w="201" w:type="pct"/>
            <w:hideMark/>
          </w:tcPr>
          <w:p w14:paraId="4F1034B3" w14:textId="7A3DACF0" w:rsidR="002B419C" w:rsidRPr="00923237" w:rsidRDefault="002B419C" w:rsidP="00036BFC">
            <w:pPr>
              <w:pStyle w:val="NoSpacing"/>
              <w:rPr>
                <w:rFonts w:cstheme="minorHAnsi"/>
                <w:b/>
                <w:bCs/>
                <w:sz w:val="20"/>
                <w:szCs w:val="20"/>
              </w:rPr>
            </w:pPr>
            <w:r w:rsidRPr="00923237">
              <w:rPr>
                <w:rFonts w:cstheme="minorHAnsi"/>
                <w:b/>
                <w:bCs/>
                <w:sz w:val="20"/>
                <w:szCs w:val="20"/>
              </w:rPr>
              <w:t>[14]</w:t>
            </w:r>
          </w:p>
        </w:tc>
        <w:tc>
          <w:tcPr>
            <w:tcW w:w="832" w:type="pct"/>
            <w:hideMark/>
          </w:tcPr>
          <w:p w14:paraId="3BC28BC6" w14:textId="6C6D6622" w:rsidR="002B419C" w:rsidRPr="00923237" w:rsidRDefault="002B419C" w:rsidP="00036BFC">
            <w:pPr>
              <w:pStyle w:val="NoSpacing"/>
              <w:rPr>
                <w:rFonts w:cstheme="minorHAnsi"/>
                <w:sz w:val="20"/>
                <w:szCs w:val="20"/>
              </w:rPr>
            </w:pPr>
            <w:r w:rsidRPr="00923237">
              <w:rPr>
                <w:rFonts w:cstheme="minorHAnsi"/>
                <w:sz w:val="20"/>
                <w:szCs w:val="20"/>
              </w:rPr>
              <w:t>FIN experience</w:t>
            </w:r>
          </w:p>
        </w:tc>
        <w:tc>
          <w:tcPr>
            <w:tcW w:w="333" w:type="pct"/>
          </w:tcPr>
          <w:p w14:paraId="3178EF1E" w14:textId="4CE9C4E4" w:rsidR="002B419C" w:rsidRPr="00923237" w:rsidRDefault="002B419C" w:rsidP="00036BFC">
            <w:pPr>
              <w:pStyle w:val="NoSpacing"/>
              <w:rPr>
                <w:rFonts w:cstheme="minorHAnsi"/>
                <w:sz w:val="20"/>
                <w:szCs w:val="20"/>
              </w:rPr>
            </w:pPr>
            <w:r w:rsidRPr="00923237">
              <w:rPr>
                <w:rFonts w:cstheme="minorHAnsi"/>
                <w:sz w:val="20"/>
                <w:szCs w:val="20"/>
              </w:rPr>
              <w:t>0.05</w:t>
            </w:r>
          </w:p>
        </w:tc>
        <w:tc>
          <w:tcPr>
            <w:tcW w:w="245" w:type="pct"/>
          </w:tcPr>
          <w:p w14:paraId="077A109E" w14:textId="3F334DF2" w:rsidR="002B419C" w:rsidRPr="00923237" w:rsidRDefault="002B419C" w:rsidP="00036BFC">
            <w:pPr>
              <w:pStyle w:val="NoSpacing"/>
              <w:rPr>
                <w:rFonts w:cstheme="minorHAnsi"/>
                <w:sz w:val="20"/>
                <w:szCs w:val="20"/>
              </w:rPr>
            </w:pPr>
            <w:r w:rsidRPr="00923237">
              <w:rPr>
                <w:rFonts w:cstheme="minorHAnsi"/>
                <w:sz w:val="20"/>
                <w:szCs w:val="20"/>
              </w:rPr>
              <w:t>0.04</w:t>
            </w:r>
          </w:p>
        </w:tc>
        <w:tc>
          <w:tcPr>
            <w:tcW w:w="319" w:type="pct"/>
          </w:tcPr>
          <w:p w14:paraId="70DC3225" w14:textId="2E422511" w:rsidR="002B419C" w:rsidRPr="00923237" w:rsidRDefault="002B419C" w:rsidP="00036BFC">
            <w:pPr>
              <w:pStyle w:val="NoSpacing"/>
              <w:rPr>
                <w:rFonts w:cstheme="minorHAnsi"/>
                <w:sz w:val="20"/>
                <w:szCs w:val="20"/>
              </w:rPr>
            </w:pPr>
            <w:r w:rsidRPr="00923237">
              <w:rPr>
                <w:rFonts w:cstheme="minorHAnsi"/>
                <w:sz w:val="20"/>
                <w:szCs w:val="20"/>
              </w:rPr>
              <w:t>0.20</w:t>
            </w:r>
          </w:p>
        </w:tc>
        <w:tc>
          <w:tcPr>
            <w:tcW w:w="319" w:type="pct"/>
          </w:tcPr>
          <w:p w14:paraId="4A7CB0D9" w14:textId="3A94C316" w:rsidR="002B419C" w:rsidRPr="00923237" w:rsidRDefault="002B419C" w:rsidP="00036BFC">
            <w:pPr>
              <w:pStyle w:val="NoSpacing"/>
              <w:rPr>
                <w:rFonts w:cstheme="minorHAnsi"/>
                <w:sz w:val="20"/>
                <w:szCs w:val="20"/>
              </w:rPr>
            </w:pPr>
            <w:r w:rsidRPr="00923237">
              <w:rPr>
                <w:rFonts w:cstheme="minorHAnsi"/>
                <w:sz w:val="20"/>
                <w:szCs w:val="20"/>
              </w:rPr>
              <w:t>−0.15</w:t>
            </w:r>
          </w:p>
        </w:tc>
        <w:tc>
          <w:tcPr>
            <w:tcW w:w="245" w:type="pct"/>
          </w:tcPr>
          <w:p w14:paraId="2C9954F7" w14:textId="780CE886" w:rsidR="002B419C" w:rsidRPr="00923237" w:rsidRDefault="002B419C" w:rsidP="00036BFC">
            <w:pPr>
              <w:pStyle w:val="NoSpacing"/>
              <w:rPr>
                <w:rFonts w:cstheme="minorHAnsi"/>
                <w:sz w:val="20"/>
                <w:szCs w:val="20"/>
              </w:rPr>
            </w:pPr>
            <w:r w:rsidRPr="00923237">
              <w:rPr>
                <w:rFonts w:cstheme="minorHAnsi"/>
                <w:sz w:val="20"/>
                <w:szCs w:val="20"/>
              </w:rPr>
              <w:t>0.16</w:t>
            </w:r>
          </w:p>
        </w:tc>
        <w:tc>
          <w:tcPr>
            <w:tcW w:w="245" w:type="pct"/>
          </w:tcPr>
          <w:p w14:paraId="115D634C" w14:textId="22414C1A" w:rsidR="002B419C" w:rsidRPr="00923237" w:rsidRDefault="002B419C" w:rsidP="00036BFC">
            <w:pPr>
              <w:pStyle w:val="NoSpacing"/>
              <w:rPr>
                <w:rFonts w:cstheme="minorHAnsi"/>
                <w:sz w:val="20"/>
                <w:szCs w:val="20"/>
              </w:rPr>
            </w:pPr>
            <w:r w:rsidRPr="00923237">
              <w:rPr>
                <w:rFonts w:cstheme="minorHAnsi"/>
                <w:sz w:val="20"/>
                <w:szCs w:val="20"/>
              </w:rPr>
              <w:t>0.08</w:t>
            </w:r>
          </w:p>
        </w:tc>
        <w:tc>
          <w:tcPr>
            <w:tcW w:w="245" w:type="pct"/>
          </w:tcPr>
          <w:p w14:paraId="46B70CBC" w14:textId="3E1138D1" w:rsidR="002B419C" w:rsidRPr="00923237" w:rsidRDefault="002B419C" w:rsidP="00036BFC">
            <w:pPr>
              <w:pStyle w:val="NoSpacing"/>
              <w:rPr>
                <w:rFonts w:cstheme="minorHAnsi"/>
                <w:sz w:val="20"/>
                <w:szCs w:val="20"/>
              </w:rPr>
            </w:pPr>
            <w:r w:rsidRPr="00923237">
              <w:rPr>
                <w:rFonts w:cstheme="minorHAnsi"/>
                <w:sz w:val="20"/>
                <w:szCs w:val="20"/>
              </w:rPr>
              <w:t>0.24</w:t>
            </w:r>
          </w:p>
        </w:tc>
        <w:tc>
          <w:tcPr>
            <w:tcW w:w="245" w:type="pct"/>
          </w:tcPr>
          <w:p w14:paraId="777075FD" w14:textId="35BD8CAF" w:rsidR="002B419C" w:rsidRPr="00923237" w:rsidRDefault="002B419C" w:rsidP="00036BFC">
            <w:pPr>
              <w:pStyle w:val="NoSpacing"/>
              <w:rPr>
                <w:rFonts w:cstheme="minorHAnsi"/>
                <w:sz w:val="20"/>
                <w:szCs w:val="20"/>
              </w:rPr>
            </w:pPr>
            <w:r w:rsidRPr="00923237">
              <w:rPr>
                <w:rFonts w:cstheme="minorHAnsi"/>
                <w:sz w:val="20"/>
                <w:szCs w:val="20"/>
              </w:rPr>
              <w:t>0.02</w:t>
            </w:r>
          </w:p>
        </w:tc>
        <w:tc>
          <w:tcPr>
            <w:tcW w:w="319" w:type="pct"/>
          </w:tcPr>
          <w:p w14:paraId="306B681E" w14:textId="43CAD87C" w:rsidR="002B419C" w:rsidRPr="00923237" w:rsidRDefault="002B419C" w:rsidP="00036BFC">
            <w:pPr>
              <w:pStyle w:val="NoSpacing"/>
              <w:rPr>
                <w:rFonts w:cstheme="minorHAnsi"/>
                <w:sz w:val="20"/>
                <w:szCs w:val="20"/>
              </w:rPr>
            </w:pPr>
            <w:r w:rsidRPr="00923237">
              <w:rPr>
                <w:rFonts w:cstheme="minorHAnsi"/>
                <w:sz w:val="20"/>
                <w:szCs w:val="20"/>
              </w:rPr>
              <w:t>−0.22</w:t>
            </w:r>
          </w:p>
        </w:tc>
        <w:tc>
          <w:tcPr>
            <w:tcW w:w="319" w:type="pct"/>
          </w:tcPr>
          <w:p w14:paraId="23860E75" w14:textId="57DFEEC1" w:rsidR="002B419C" w:rsidRPr="00923237" w:rsidRDefault="002B419C" w:rsidP="00036BFC">
            <w:pPr>
              <w:pStyle w:val="NoSpacing"/>
              <w:rPr>
                <w:rFonts w:cstheme="minorHAnsi"/>
                <w:sz w:val="20"/>
                <w:szCs w:val="20"/>
              </w:rPr>
            </w:pPr>
            <w:r w:rsidRPr="00923237">
              <w:rPr>
                <w:rFonts w:cstheme="minorHAnsi"/>
                <w:sz w:val="20"/>
                <w:szCs w:val="20"/>
              </w:rPr>
              <w:t>0.24</w:t>
            </w:r>
          </w:p>
        </w:tc>
        <w:tc>
          <w:tcPr>
            <w:tcW w:w="245" w:type="pct"/>
          </w:tcPr>
          <w:p w14:paraId="68E563E3" w14:textId="44D7368F" w:rsidR="002B419C" w:rsidRPr="00923237" w:rsidRDefault="002B419C" w:rsidP="00036BFC">
            <w:pPr>
              <w:pStyle w:val="NoSpacing"/>
              <w:rPr>
                <w:rFonts w:cstheme="minorHAnsi"/>
                <w:sz w:val="20"/>
                <w:szCs w:val="20"/>
              </w:rPr>
            </w:pPr>
            <w:r w:rsidRPr="00923237">
              <w:rPr>
                <w:rFonts w:cstheme="minorHAnsi"/>
                <w:sz w:val="20"/>
                <w:szCs w:val="20"/>
              </w:rPr>
              <w:t>0.22</w:t>
            </w:r>
          </w:p>
        </w:tc>
        <w:tc>
          <w:tcPr>
            <w:tcW w:w="319" w:type="pct"/>
          </w:tcPr>
          <w:p w14:paraId="4335DCF2" w14:textId="0F54DAA1" w:rsidR="002B419C" w:rsidRPr="00923237" w:rsidRDefault="002B419C" w:rsidP="00036BFC">
            <w:pPr>
              <w:pStyle w:val="NoSpacing"/>
              <w:rPr>
                <w:rFonts w:cstheme="minorHAnsi"/>
                <w:sz w:val="20"/>
                <w:szCs w:val="20"/>
              </w:rPr>
            </w:pPr>
            <w:r w:rsidRPr="00923237">
              <w:rPr>
                <w:rFonts w:cstheme="minorHAnsi"/>
                <w:sz w:val="20"/>
                <w:szCs w:val="20"/>
              </w:rPr>
              <w:t>0.04</w:t>
            </w:r>
          </w:p>
        </w:tc>
        <w:tc>
          <w:tcPr>
            <w:tcW w:w="245" w:type="pct"/>
            <w:hideMark/>
          </w:tcPr>
          <w:p w14:paraId="046A15D2" w14:textId="4553FB53" w:rsidR="002B419C" w:rsidRPr="00923237" w:rsidRDefault="002B419C" w:rsidP="00036BFC">
            <w:pPr>
              <w:pStyle w:val="NoSpacing"/>
              <w:rPr>
                <w:rFonts w:cstheme="minorHAnsi"/>
                <w:sz w:val="20"/>
                <w:szCs w:val="20"/>
              </w:rPr>
            </w:pPr>
            <w:r w:rsidRPr="00923237">
              <w:rPr>
                <w:rFonts w:cstheme="minorHAnsi"/>
                <w:sz w:val="20"/>
                <w:szCs w:val="20"/>
              </w:rPr>
              <w:t>−0.08</w:t>
            </w:r>
          </w:p>
        </w:tc>
        <w:tc>
          <w:tcPr>
            <w:tcW w:w="319" w:type="pct"/>
            <w:hideMark/>
          </w:tcPr>
          <w:p w14:paraId="74D3CDF6" w14:textId="77777777" w:rsidR="002B419C" w:rsidRPr="00923237" w:rsidRDefault="002B419C" w:rsidP="00036BFC">
            <w:pPr>
              <w:pStyle w:val="NoSpacing"/>
              <w:rPr>
                <w:rFonts w:cstheme="minorHAnsi"/>
                <w:sz w:val="20"/>
                <w:szCs w:val="20"/>
              </w:rPr>
            </w:pPr>
          </w:p>
        </w:tc>
      </w:tr>
      <w:tr w:rsidR="00036BFC" w:rsidRPr="00923237" w14:paraId="615AE200" w14:textId="77777777" w:rsidTr="00036BFC">
        <w:tc>
          <w:tcPr>
            <w:tcW w:w="201" w:type="pct"/>
          </w:tcPr>
          <w:p w14:paraId="6CEFA52A" w14:textId="67747872" w:rsidR="002B419C" w:rsidRPr="00923237" w:rsidRDefault="002B419C" w:rsidP="00036BFC">
            <w:pPr>
              <w:pStyle w:val="NoSpacing"/>
              <w:rPr>
                <w:rFonts w:cstheme="minorHAnsi"/>
                <w:b/>
                <w:bCs/>
                <w:sz w:val="20"/>
                <w:szCs w:val="20"/>
              </w:rPr>
            </w:pPr>
          </w:p>
        </w:tc>
        <w:tc>
          <w:tcPr>
            <w:tcW w:w="832" w:type="pct"/>
          </w:tcPr>
          <w:p w14:paraId="40A01E7D" w14:textId="48971FE3" w:rsidR="002B419C" w:rsidRPr="00923237" w:rsidRDefault="002B419C" w:rsidP="00036BFC">
            <w:pPr>
              <w:pStyle w:val="NoSpacing"/>
              <w:rPr>
                <w:rFonts w:cstheme="minorHAnsi"/>
                <w:sz w:val="20"/>
                <w:szCs w:val="20"/>
              </w:rPr>
            </w:pPr>
          </w:p>
        </w:tc>
        <w:tc>
          <w:tcPr>
            <w:tcW w:w="333" w:type="pct"/>
          </w:tcPr>
          <w:p w14:paraId="59BE8058" w14:textId="39BAFE65" w:rsidR="002B419C" w:rsidRPr="00923237" w:rsidRDefault="00C32F1B" w:rsidP="00036BFC">
            <w:pPr>
              <w:pStyle w:val="NoSpacing"/>
              <w:rPr>
                <w:rFonts w:cstheme="minorHAnsi"/>
                <w:sz w:val="20"/>
                <w:szCs w:val="20"/>
              </w:rPr>
            </w:pPr>
            <w:r w:rsidRPr="00923237">
              <w:rPr>
                <w:rFonts w:cstheme="minorHAnsi"/>
                <w:sz w:val="20"/>
                <w:szCs w:val="20"/>
              </w:rPr>
              <w:t>0.55</w:t>
            </w:r>
            <w:r w:rsidRPr="00923237">
              <w:rPr>
                <w:rFonts w:cstheme="minorHAnsi"/>
                <w:sz w:val="20"/>
                <w:szCs w:val="20"/>
              </w:rPr>
              <w:tab/>
            </w:r>
          </w:p>
        </w:tc>
        <w:tc>
          <w:tcPr>
            <w:tcW w:w="245" w:type="pct"/>
          </w:tcPr>
          <w:p w14:paraId="7C4E8F20" w14:textId="303F6DB3" w:rsidR="002B419C" w:rsidRPr="00923237" w:rsidRDefault="00C32F1B" w:rsidP="00036BFC">
            <w:pPr>
              <w:pStyle w:val="NoSpacing"/>
              <w:rPr>
                <w:rFonts w:cstheme="minorHAnsi"/>
                <w:sz w:val="20"/>
                <w:szCs w:val="20"/>
              </w:rPr>
            </w:pPr>
            <w:r w:rsidRPr="00923237">
              <w:rPr>
                <w:rFonts w:cstheme="minorHAnsi"/>
                <w:sz w:val="20"/>
                <w:szCs w:val="20"/>
              </w:rPr>
              <w:t>0.62</w:t>
            </w:r>
          </w:p>
        </w:tc>
        <w:tc>
          <w:tcPr>
            <w:tcW w:w="319" w:type="pct"/>
          </w:tcPr>
          <w:p w14:paraId="6CD5B2B0" w14:textId="23E88C00" w:rsidR="002B419C" w:rsidRPr="00923237" w:rsidRDefault="00C32F1B" w:rsidP="00036BFC">
            <w:pPr>
              <w:pStyle w:val="NoSpacing"/>
              <w:rPr>
                <w:rFonts w:cstheme="minorHAnsi"/>
                <w:sz w:val="20"/>
                <w:szCs w:val="20"/>
              </w:rPr>
            </w:pPr>
            <w:r w:rsidRPr="00923237">
              <w:rPr>
                <w:rFonts w:cstheme="minorHAnsi"/>
                <w:sz w:val="20"/>
                <w:szCs w:val="20"/>
              </w:rPr>
              <w:t>0.02</w:t>
            </w:r>
          </w:p>
        </w:tc>
        <w:tc>
          <w:tcPr>
            <w:tcW w:w="319" w:type="pct"/>
          </w:tcPr>
          <w:p w14:paraId="5D34F1B6" w14:textId="71DFDF0A" w:rsidR="002B419C" w:rsidRPr="00923237" w:rsidRDefault="00C32F1B" w:rsidP="00036BFC">
            <w:pPr>
              <w:pStyle w:val="NoSpacing"/>
              <w:rPr>
                <w:rFonts w:cstheme="minorHAnsi"/>
                <w:sz w:val="20"/>
                <w:szCs w:val="20"/>
              </w:rPr>
            </w:pPr>
            <w:r w:rsidRPr="00923237">
              <w:rPr>
                <w:rFonts w:cstheme="minorHAnsi"/>
                <w:sz w:val="20"/>
                <w:szCs w:val="20"/>
              </w:rPr>
              <w:t>0.08</w:t>
            </w:r>
          </w:p>
        </w:tc>
        <w:tc>
          <w:tcPr>
            <w:tcW w:w="245" w:type="pct"/>
          </w:tcPr>
          <w:p w14:paraId="5329C2FC" w14:textId="5B952C81" w:rsidR="002B419C" w:rsidRPr="00923237" w:rsidRDefault="00B36F7E" w:rsidP="00036BFC">
            <w:pPr>
              <w:pStyle w:val="NoSpacing"/>
              <w:rPr>
                <w:rFonts w:cstheme="minorHAnsi"/>
                <w:sz w:val="20"/>
                <w:szCs w:val="20"/>
              </w:rPr>
            </w:pPr>
            <w:r w:rsidRPr="00923237">
              <w:rPr>
                <w:rFonts w:cstheme="minorHAnsi"/>
                <w:sz w:val="20"/>
                <w:szCs w:val="20"/>
              </w:rPr>
              <w:t>0.06</w:t>
            </w:r>
          </w:p>
        </w:tc>
        <w:tc>
          <w:tcPr>
            <w:tcW w:w="245" w:type="pct"/>
          </w:tcPr>
          <w:p w14:paraId="042A1EA8" w14:textId="0F631372" w:rsidR="002B419C" w:rsidRPr="00923237" w:rsidRDefault="00B36F7E" w:rsidP="00036BFC">
            <w:pPr>
              <w:pStyle w:val="NoSpacing"/>
              <w:rPr>
                <w:rFonts w:cstheme="minorHAnsi"/>
                <w:sz w:val="20"/>
                <w:szCs w:val="20"/>
              </w:rPr>
            </w:pPr>
            <w:r w:rsidRPr="00923237">
              <w:rPr>
                <w:rFonts w:cstheme="minorHAnsi"/>
                <w:sz w:val="20"/>
                <w:szCs w:val="20"/>
              </w:rPr>
              <w:t>0.46</w:t>
            </w:r>
          </w:p>
        </w:tc>
        <w:tc>
          <w:tcPr>
            <w:tcW w:w="245" w:type="pct"/>
          </w:tcPr>
          <w:p w14:paraId="5EE6D617" w14:textId="32A37BFB" w:rsidR="002B419C" w:rsidRPr="00923237" w:rsidRDefault="00B36F7E" w:rsidP="00036BFC">
            <w:pPr>
              <w:pStyle w:val="NoSpacing"/>
              <w:rPr>
                <w:rFonts w:cstheme="minorHAnsi"/>
                <w:sz w:val="20"/>
                <w:szCs w:val="20"/>
              </w:rPr>
            </w:pPr>
            <w:r w:rsidRPr="00923237">
              <w:rPr>
                <w:rFonts w:cstheme="minorHAnsi"/>
                <w:sz w:val="20"/>
                <w:szCs w:val="20"/>
              </w:rPr>
              <w:t>0.00</w:t>
            </w:r>
          </w:p>
        </w:tc>
        <w:tc>
          <w:tcPr>
            <w:tcW w:w="245" w:type="pct"/>
          </w:tcPr>
          <w:p w14:paraId="58B01FFF" w14:textId="278F8A2A" w:rsidR="002B419C" w:rsidRPr="00923237" w:rsidRDefault="00B36F7E" w:rsidP="00036BFC">
            <w:pPr>
              <w:pStyle w:val="NoSpacing"/>
              <w:rPr>
                <w:rFonts w:cstheme="minorHAnsi"/>
                <w:sz w:val="20"/>
                <w:szCs w:val="20"/>
              </w:rPr>
            </w:pPr>
            <w:r w:rsidRPr="00923237">
              <w:rPr>
                <w:rFonts w:cstheme="minorHAnsi"/>
                <w:sz w:val="20"/>
                <w:szCs w:val="20"/>
              </w:rPr>
              <w:t>0.83</w:t>
            </w:r>
          </w:p>
        </w:tc>
        <w:tc>
          <w:tcPr>
            <w:tcW w:w="319" w:type="pct"/>
          </w:tcPr>
          <w:p w14:paraId="77C86C33" w14:textId="00D0F2E4" w:rsidR="002B419C" w:rsidRPr="00923237" w:rsidRDefault="00B36F7E" w:rsidP="00036BFC">
            <w:pPr>
              <w:pStyle w:val="NoSpacing"/>
              <w:rPr>
                <w:rFonts w:cstheme="minorHAnsi"/>
                <w:sz w:val="20"/>
                <w:szCs w:val="20"/>
              </w:rPr>
            </w:pPr>
            <w:r w:rsidRPr="00923237">
              <w:rPr>
                <w:rFonts w:cstheme="minorHAnsi"/>
                <w:sz w:val="20"/>
                <w:szCs w:val="20"/>
              </w:rPr>
              <w:t>0.01</w:t>
            </w:r>
          </w:p>
        </w:tc>
        <w:tc>
          <w:tcPr>
            <w:tcW w:w="319" w:type="pct"/>
          </w:tcPr>
          <w:p w14:paraId="5EEBD650" w14:textId="09C68E23" w:rsidR="002B419C" w:rsidRPr="00923237" w:rsidRDefault="00B36F7E" w:rsidP="00036BFC">
            <w:pPr>
              <w:pStyle w:val="NoSpacing"/>
              <w:rPr>
                <w:rFonts w:cstheme="minorHAnsi"/>
                <w:sz w:val="20"/>
                <w:szCs w:val="20"/>
              </w:rPr>
            </w:pPr>
            <w:r w:rsidRPr="00923237">
              <w:rPr>
                <w:rFonts w:cstheme="minorHAnsi"/>
                <w:sz w:val="20"/>
                <w:szCs w:val="20"/>
              </w:rPr>
              <w:t>0.01</w:t>
            </w:r>
          </w:p>
        </w:tc>
        <w:tc>
          <w:tcPr>
            <w:tcW w:w="245" w:type="pct"/>
          </w:tcPr>
          <w:p w14:paraId="1889A996" w14:textId="1BC0E18C" w:rsidR="002B419C" w:rsidRPr="00923237" w:rsidRDefault="00B36F7E" w:rsidP="00036BFC">
            <w:pPr>
              <w:pStyle w:val="NoSpacing"/>
              <w:rPr>
                <w:rFonts w:cstheme="minorHAnsi"/>
                <w:sz w:val="20"/>
                <w:szCs w:val="20"/>
              </w:rPr>
            </w:pPr>
            <w:r w:rsidRPr="00923237">
              <w:rPr>
                <w:rFonts w:cstheme="minorHAnsi"/>
                <w:sz w:val="20"/>
                <w:szCs w:val="20"/>
              </w:rPr>
              <w:t>0.01</w:t>
            </w:r>
          </w:p>
        </w:tc>
        <w:tc>
          <w:tcPr>
            <w:tcW w:w="319" w:type="pct"/>
          </w:tcPr>
          <w:p w14:paraId="743B8FE5" w14:textId="015412B6" w:rsidR="002B419C" w:rsidRPr="00923237" w:rsidRDefault="00B36F7E" w:rsidP="00036BFC">
            <w:pPr>
              <w:pStyle w:val="NoSpacing"/>
              <w:rPr>
                <w:rFonts w:cstheme="minorHAnsi"/>
                <w:sz w:val="20"/>
                <w:szCs w:val="20"/>
              </w:rPr>
            </w:pPr>
            <w:r w:rsidRPr="00923237">
              <w:rPr>
                <w:rFonts w:cstheme="minorHAnsi"/>
                <w:sz w:val="20"/>
                <w:szCs w:val="20"/>
              </w:rPr>
              <w:t>0.63</w:t>
            </w:r>
          </w:p>
        </w:tc>
        <w:tc>
          <w:tcPr>
            <w:tcW w:w="245" w:type="pct"/>
            <w:hideMark/>
          </w:tcPr>
          <w:p w14:paraId="2C0C2B12" w14:textId="1954EA33" w:rsidR="002B419C" w:rsidRPr="00923237" w:rsidRDefault="00B36F7E" w:rsidP="00036BFC">
            <w:pPr>
              <w:pStyle w:val="NoSpacing"/>
              <w:rPr>
                <w:rFonts w:cstheme="minorHAnsi"/>
                <w:sz w:val="20"/>
                <w:szCs w:val="20"/>
              </w:rPr>
            </w:pPr>
            <w:r w:rsidRPr="00923237">
              <w:rPr>
                <w:rFonts w:cstheme="minorHAnsi"/>
                <w:sz w:val="20"/>
                <w:szCs w:val="20"/>
              </w:rPr>
              <w:t>0.39</w:t>
            </w:r>
          </w:p>
        </w:tc>
        <w:tc>
          <w:tcPr>
            <w:tcW w:w="319" w:type="pct"/>
            <w:hideMark/>
          </w:tcPr>
          <w:p w14:paraId="69DD1426" w14:textId="77777777" w:rsidR="002B419C" w:rsidRPr="00923237" w:rsidRDefault="002B419C" w:rsidP="00036BFC">
            <w:pPr>
              <w:pStyle w:val="NoSpacing"/>
              <w:rPr>
                <w:rFonts w:cstheme="minorHAnsi"/>
                <w:sz w:val="20"/>
                <w:szCs w:val="20"/>
              </w:rPr>
            </w:pPr>
          </w:p>
        </w:tc>
      </w:tr>
      <w:tr w:rsidR="00036BFC" w:rsidRPr="00923237" w14:paraId="6AA474B6" w14:textId="77777777" w:rsidTr="00036BFC">
        <w:tc>
          <w:tcPr>
            <w:tcW w:w="201" w:type="pct"/>
            <w:hideMark/>
          </w:tcPr>
          <w:p w14:paraId="769CFEED" w14:textId="119BBFB0" w:rsidR="00936061" w:rsidRPr="00923237" w:rsidRDefault="00936061" w:rsidP="00036BFC">
            <w:pPr>
              <w:pStyle w:val="NoSpacing"/>
              <w:rPr>
                <w:rFonts w:cstheme="minorHAnsi"/>
                <w:b/>
                <w:bCs/>
                <w:sz w:val="20"/>
                <w:szCs w:val="20"/>
              </w:rPr>
            </w:pPr>
            <w:r w:rsidRPr="00923237">
              <w:rPr>
                <w:rFonts w:cstheme="minorHAnsi"/>
                <w:sz w:val="20"/>
                <w:szCs w:val="20"/>
              </w:rPr>
              <w:t>[15]</w:t>
            </w:r>
          </w:p>
        </w:tc>
        <w:tc>
          <w:tcPr>
            <w:tcW w:w="832" w:type="pct"/>
            <w:hideMark/>
          </w:tcPr>
          <w:p w14:paraId="7FECBDA2" w14:textId="5BC2DD6D" w:rsidR="00936061" w:rsidRPr="00923237" w:rsidRDefault="00936061" w:rsidP="00036BFC">
            <w:pPr>
              <w:pStyle w:val="NoSpacing"/>
              <w:rPr>
                <w:rFonts w:cstheme="minorHAnsi"/>
                <w:sz w:val="20"/>
                <w:szCs w:val="20"/>
              </w:rPr>
            </w:pPr>
            <w:r w:rsidRPr="00923237">
              <w:rPr>
                <w:rFonts w:cstheme="minorHAnsi"/>
                <w:sz w:val="20"/>
                <w:szCs w:val="20"/>
              </w:rPr>
              <w:t>RE experience</w:t>
            </w:r>
          </w:p>
        </w:tc>
        <w:tc>
          <w:tcPr>
            <w:tcW w:w="333" w:type="pct"/>
          </w:tcPr>
          <w:p w14:paraId="3833F3A7" w14:textId="41CE34D3" w:rsidR="00936061" w:rsidRPr="00923237" w:rsidRDefault="00936061" w:rsidP="00036BFC">
            <w:pPr>
              <w:pStyle w:val="NoSpacing"/>
              <w:rPr>
                <w:rFonts w:cstheme="minorHAnsi"/>
                <w:sz w:val="20"/>
                <w:szCs w:val="20"/>
              </w:rPr>
            </w:pPr>
            <w:r w:rsidRPr="00923237">
              <w:rPr>
                <w:rFonts w:cstheme="minorHAnsi"/>
                <w:sz w:val="20"/>
                <w:szCs w:val="20"/>
              </w:rPr>
              <w:t>−0.10</w:t>
            </w:r>
          </w:p>
        </w:tc>
        <w:tc>
          <w:tcPr>
            <w:tcW w:w="245" w:type="pct"/>
            <w:vAlign w:val="center"/>
          </w:tcPr>
          <w:p w14:paraId="3C1714A0" w14:textId="1ECD6C61" w:rsidR="00936061" w:rsidRPr="00923237" w:rsidRDefault="00936061" w:rsidP="00036BFC">
            <w:pPr>
              <w:pStyle w:val="NoSpacing"/>
              <w:rPr>
                <w:rFonts w:cstheme="minorHAnsi"/>
                <w:sz w:val="20"/>
                <w:szCs w:val="20"/>
              </w:rPr>
            </w:pPr>
            <w:r w:rsidRPr="00923237">
              <w:rPr>
                <w:rFonts w:cstheme="minorHAnsi"/>
                <w:color w:val="2E2E2E"/>
                <w:sz w:val="20"/>
                <w:szCs w:val="20"/>
              </w:rPr>
              <w:t>0.02</w:t>
            </w:r>
          </w:p>
        </w:tc>
        <w:tc>
          <w:tcPr>
            <w:tcW w:w="319" w:type="pct"/>
            <w:vAlign w:val="center"/>
          </w:tcPr>
          <w:p w14:paraId="5C7F187D" w14:textId="49C38407" w:rsidR="00936061" w:rsidRPr="00923237" w:rsidRDefault="00936061" w:rsidP="00036BFC">
            <w:pPr>
              <w:pStyle w:val="NoSpacing"/>
              <w:rPr>
                <w:rFonts w:cstheme="minorHAnsi"/>
                <w:sz w:val="20"/>
                <w:szCs w:val="20"/>
              </w:rPr>
            </w:pPr>
            <w:r w:rsidRPr="00923237">
              <w:rPr>
                <w:rFonts w:cstheme="minorHAnsi"/>
                <w:color w:val="2E2E2E"/>
                <w:sz w:val="20"/>
                <w:szCs w:val="20"/>
              </w:rPr>
              <w:t>−0.07</w:t>
            </w:r>
          </w:p>
        </w:tc>
        <w:tc>
          <w:tcPr>
            <w:tcW w:w="319" w:type="pct"/>
            <w:vAlign w:val="center"/>
          </w:tcPr>
          <w:p w14:paraId="12DB4F80" w14:textId="6CACE29F" w:rsidR="00936061" w:rsidRPr="00923237" w:rsidRDefault="00936061" w:rsidP="00036BFC">
            <w:pPr>
              <w:pStyle w:val="NoSpacing"/>
              <w:rPr>
                <w:rFonts w:cstheme="minorHAnsi"/>
                <w:sz w:val="20"/>
                <w:szCs w:val="20"/>
              </w:rPr>
            </w:pPr>
            <w:r w:rsidRPr="00923237">
              <w:rPr>
                <w:rFonts w:cstheme="minorHAnsi"/>
                <w:color w:val="2E2E2E"/>
                <w:sz w:val="20"/>
                <w:szCs w:val="20"/>
              </w:rPr>
              <w:t>0.35</w:t>
            </w:r>
          </w:p>
        </w:tc>
        <w:tc>
          <w:tcPr>
            <w:tcW w:w="245" w:type="pct"/>
            <w:vAlign w:val="center"/>
          </w:tcPr>
          <w:p w14:paraId="02859E0C" w14:textId="3F7EE50C" w:rsidR="00936061" w:rsidRPr="00923237" w:rsidRDefault="00936061" w:rsidP="00036BFC">
            <w:pPr>
              <w:pStyle w:val="NoSpacing"/>
              <w:rPr>
                <w:rFonts w:cstheme="minorHAnsi"/>
                <w:sz w:val="20"/>
                <w:szCs w:val="20"/>
              </w:rPr>
            </w:pPr>
            <w:r w:rsidRPr="00923237">
              <w:rPr>
                <w:rFonts w:cstheme="minorHAnsi"/>
                <w:color w:val="2E2E2E"/>
                <w:sz w:val="20"/>
                <w:szCs w:val="20"/>
              </w:rPr>
              <w:t>0.05</w:t>
            </w:r>
          </w:p>
        </w:tc>
        <w:tc>
          <w:tcPr>
            <w:tcW w:w="245" w:type="pct"/>
            <w:vAlign w:val="center"/>
          </w:tcPr>
          <w:p w14:paraId="5B0CDCD8" w14:textId="0225DDCC" w:rsidR="00936061" w:rsidRPr="00923237" w:rsidRDefault="00936061" w:rsidP="00036BFC">
            <w:pPr>
              <w:pStyle w:val="NoSpacing"/>
              <w:rPr>
                <w:rFonts w:cstheme="minorHAnsi"/>
                <w:sz w:val="20"/>
                <w:szCs w:val="20"/>
              </w:rPr>
            </w:pPr>
            <w:r w:rsidRPr="00923237">
              <w:rPr>
                <w:rFonts w:cstheme="minorHAnsi"/>
                <w:color w:val="2E2E2E"/>
                <w:sz w:val="20"/>
                <w:szCs w:val="20"/>
              </w:rPr>
              <w:t>−0.05</w:t>
            </w:r>
          </w:p>
        </w:tc>
        <w:tc>
          <w:tcPr>
            <w:tcW w:w="245" w:type="pct"/>
            <w:vAlign w:val="center"/>
          </w:tcPr>
          <w:p w14:paraId="178123F0" w14:textId="01BA85D3" w:rsidR="00936061" w:rsidRPr="00923237" w:rsidRDefault="00936061" w:rsidP="00036BFC">
            <w:pPr>
              <w:pStyle w:val="NoSpacing"/>
              <w:rPr>
                <w:rFonts w:cstheme="minorHAnsi"/>
                <w:sz w:val="20"/>
                <w:szCs w:val="20"/>
              </w:rPr>
            </w:pPr>
            <w:r w:rsidRPr="00923237">
              <w:rPr>
                <w:rFonts w:cstheme="minorHAnsi"/>
                <w:color w:val="2E2E2E"/>
                <w:sz w:val="20"/>
                <w:szCs w:val="20"/>
              </w:rPr>
              <w:t>−0.17</w:t>
            </w:r>
          </w:p>
        </w:tc>
        <w:tc>
          <w:tcPr>
            <w:tcW w:w="245" w:type="pct"/>
            <w:vAlign w:val="center"/>
          </w:tcPr>
          <w:p w14:paraId="504C7405" w14:textId="6BAC914C" w:rsidR="00936061" w:rsidRPr="00923237" w:rsidRDefault="00936061" w:rsidP="00036BFC">
            <w:pPr>
              <w:pStyle w:val="NoSpacing"/>
              <w:rPr>
                <w:rFonts w:cstheme="minorHAnsi"/>
                <w:sz w:val="20"/>
                <w:szCs w:val="20"/>
              </w:rPr>
            </w:pPr>
            <w:r w:rsidRPr="00923237">
              <w:rPr>
                <w:rFonts w:cstheme="minorHAnsi"/>
                <w:color w:val="2E2E2E"/>
                <w:sz w:val="20"/>
                <w:szCs w:val="20"/>
              </w:rPr>
              <w:t>−0.06</w:t>
            </w:r>
          </w:p>
        </w:tc>
        <w:tc>
          <w:tcPr>
            <w:tcW w:w="319" w:type="pct"/>
            <w:vAlign w:val="center"/>
          </w:tcPr>
          <w:p w14:paraId="200BC8BF" w14:textId="564EF070" w:rsidR="00936061" w:rsidRPr="00923237" w:rsidRDefault="00936061" w:rsidP="00036BFC">
            <w:pPr>
              <w:pStyle w:val="NoSpacing"/>
              <w:rPr>
                <w:rFonts w:cstheme="minorHAnsi"/>
                <w:sz w:val="20"/>
                <w:szCs w:val="20"/>
              </w:rPr>
            </w:pPr>
            <w:r w:rsidRPr="00923237">
              <w:rPr>
                <w:rFonts w:cstheme="minorHAnsi"/>
                <w:color w:val="2E2E2E"/>
                <w:sz w:val="20"/>
                <w:szCs w:val="20"/>
              </w:rPr>
              <w:t>0.30</w:t>
            </w:r>
          </w:p>
        </w:tc>
        <w:tc>
          <w:tcPr>
            <w:tcW w:w="319" w:type="pct"/>
            <w:vAlign w:val="center"/>
          </w:tcPr>
          <w:p w14:paraId="7F21148F" w14:textId="2D6AD72C" w:rsidR="00936061" w:rsidRPr="00923237" w:rsidRDefault="00936061" w:rsidP="00036BFC">
            <w:pPr>
              <w:pStyle w:val="NoSpacing"/>
              <w:rPr>
                <w:rFonts w:cstheme="minorHAnsi"/>
                <w:sz w:val="20"/>
                <w:szCs w:val="20"/>
              </w:rPr>
            </w:pPr>
            <w:r w:rsidRPr="00923237">
              <w:rPr>
                <w:rFonts w:cstheme="minorHAnsi"/>
                <w:color w:val="2E2E2E"/>
                <w:sz w:val="20"/>
                <w:szCs w:val="20"/>
              </w:rPr>
              <w:t>−0.22</w:t>
            </w:r>
          </w:p>
        </w:tc>
        <w:tc>
          <w:tcPr>
            <w:tcW w:w="245" w:type="pct"/>
            <w:vAlign w:val="center"/>
          </w:tcPr>
          <w:p w14:paraId="331EB599" w14:textId="76CD8EB2" w:rsidR="00936061" w:rsidRPr="00923237" w:rsidRDefault="00936061" w:rsidP="00036BFC">
            <w:pPr>
              <w:pStyle w:val="NoSpacing"/>
              <w:rPr>
                <w:rFonts w:cstheme="minorHAnsi"/>
                <w:sz w:val="20"/>
                <w:szCs w:val="20"/>
              </w:rPr>
            </w:pPr>
            <w:r w:rsidRPr="00923237">
              <w:rPr>
                <w:rFonts w:cstheme="minorHAnsi"/>
                <w:color w:val="2E2E2E"/>
                <w:sz w:val="20"/>
                <w:szCs w:val="20"/>
              </w:rPr>
              <w:t>−0.17</w:t>
            </w:r>
          </w:p>
        </w:tc>
        <w:tc>
          <w:tcPr>
            <w:tcW w:w="319" w:type="pct"/>
            <w:vAlign w:val="center"/>
          </w:tcPr>
          <w:p w14:paraId="3C298DF7" w14:textId="46E82917" w:rsidR="00936061" w:rsidRPr="00923237" w:rsidRDefault="00936061" w:rsidP="00036BFC">
            <w:pPr>
              <w:pStyle w:val="NoSpacing"/>
              <w:rPr>
                <w:rFonts w:cstheme="minorHAnsi"/>
                <w:sz w:val="20"/>
                <w:szCs w:val="20"/>
              </w:rPr>
            </w:pPr>
            <w:r w:rsidRPr="00923237">
              <w:rPr>
                <w:rFonts w:cstheme="minorHAnsi"/>
                <w:color w:val="2E2E2E"/>
                <w:sz w:val="20"/>
                <w:szCs w:val="20"/>
              </w:rPr>
              <w:t>−0.17</w:t>
            </w:r>
          </w:p>
        </w:tc>
        <w:tc>
          <w:tcPr>
            <w:tcW w:w="245" w:type="pct"/>
            <w:vAlign w:val="center"/>
          </w:tcPr>
          <w:p w14:paraId="21381F57" w14:textId="537D3CE2" w:rsidR="00936061" w:rsidRPr="00923237" w:rsidRDefault="00936061" w:rsidP="00036BFC">
            <w:pPr>
              <w:pStyle w:val="NoSpacing"/>
              <w:rPr>
                <w:rFonts w:cstheme="minorHAnsi"/>
                <w:sz w:val="20"/>
                <w:szCs w:val="20"/>
              </w:rPr>
            </w:pPr>
            <w:r w:rsidRPr="00923237">
              <w:rPr>
                <w:rFonts w:cstheme="minorHAnsi"/>
                <w:color w:val="2E2E2E"/>
                <w:sz w:val="20"/>
                <w:szCs w:val="20"/>
              </w:rPr>
              <w:t>0.06</w:t>
            </w:r>
          </w:p>
        </w:tc>
        <w:tc>
          <w:tcPr>
            <w:tcW w:w="319" w:type="pct"/>
            <w:vAlign w:val="center"/>
            <w:hideMark/>
          </w:tcPr>
          <w:p w14:paraId="01170195" w14:textId="069588AA" w:rsidR="00936061" w:rsidRPr="00923237" w:rsidRDefault="00936061" w:rsidP="00036BFC">
            <w:pPr>
              <w:pStyle w:val="NoSpacing"/>
              <w:rPr>
                <w:rFonts w:cstheme="minorHAnsi"/>
                <w:sz w:val="20"/>
                <w:szCs w:val="20"/>
              </w:rPr>
            </w:pPr>
            <w:r w:rsidRPr="00923237">
              <w:rPr>
                <w:rFonts w:cstheme="minorHAnsi"/>
                <w:color w:val="2E2E2E"/>
                <w:sz w:val="20"/>
                <w:szCs w:val="20"/>
              </w:rPr>
              <w:t>−0.54</w:t>
            </w:r>
          </w:p>
        </w:tc>
      </w:tr>
      <w:tr w:rsidR="00036BFC" w:rsidRPr="00923237" w14:paraId="2757E857" w14:textId="77777777" w:rsidTr="00036BFC">
        <w:tc>
          <w:tcPr>
            <w:tcW w:w="201" w:type="pct"/>
          </w:tcPr>
          <w:p w14:paraId="78851EF7" w14:textId="77777777" w:rsidR="00036BFC" w:rsidRPr="00923237" w:rsidRDefault="00036BFC" w:rsidP="00036BFC">
            <w:pPr>
              <w:pStyle w:val="NoSpacing"/>
              <w:rPr>
                <w:rFonts w:cstheme="minorHAnsi"/>
                <w:sz w:val="20"/>
                <w:szCs w:val="20"/>
              </w:rPr>
            </w:pPr>
          </w:p>
        </w:tc>
        <w:tc>
          <w:tcPr>
            <w:tcW w:w="832" w:type="pct"/>
          </w:tcPr>
          <w:p w14:paraId="2601E55D" w14:textId="77777777" w:rsidR="00036BFC" w:rsidRPr="00923237" w:rsidRDefault="00036BFC" w:rsidP="00036BFC">
            <w:pPr>
              <w:pStyle w:val="NoSpacing"/>
              <w:rPr>
                <w:rFonts w:cstheme="minorHAnsi"/>
                <w:sz w:val="20"/>
                <w:szCs w:val="20"/>
              </w:rPr>
            </w:pPr>
          </w:p>
        </w:tc>
        <w:tc>
          <w:tcPr>
            <w:tcW w:w="333" w:type="pct"/>
          </w:tcPr>
          <w:p w14:paraId="31C8EF89" w14:textId="48E7AFC4" w:rsidR="00036BFC" w:rsidRPr="00923237" w:rsidRDefault="00036BFC" w:rsidP="00036BFC">
            <w:pPr>
              <w:pStyle w:val="NoSpacing"/>
              <w:rPr>
                <w:rFonts w:cstheme="minorHAnsi"/>
                <w:sz w:val="20"/>
                <w:szCs w:val="20"/>
              </w:rPr>
            </w:pPr>
            <w:r w:rsidRPr="00923237">
              <w:rPr>
                <w:rFonts w:cstheme="minorHAnsi"/>
                <w:sz w:val="20"/>
                <w:szCs w:val="20"/>
              </w:rPr>
              <w:t>0.27</w:t>
            </w:r>
          </w:p>
        </w:tc>
        <w:tc>
          <w:tcPr>
            <w:tcW w:w="245" w:type="pct"/>
          </w:tcPr>
          <w:p w14:paraId="049A30F1" w14:textId="7B4ECD3D" w:rsidR="00036BFC" w:rsidRPr="00923237" w:rsidRDefault="00036BFC" w:rsidP="00036BFC">
            <w:pPr>
              <w:pStyle w:val="NoSpacing"/>
              <w:rPr>
                <w:rFonts w:cstheme="minorHAnsi"/>
                <w:color w:val="2E2E2E"/>
                <w:sz w:val="20"/>
                <w:szCs w:val="20"/>
              </w:rPr>
            </w:pPr>
            <w:r w:rsidRPr="00923237">
              <w:rPr>
                <w:rFonts w:cstheme="minorHAnsi"/>
                <w:sz w:val="20"/>
                <w:szCs w:val="20"/>
              </w:rPr>
              <w:t>0.83</w:t>
            </w:r>
          </w:p>
        </w:tc>
        <w:tc>
          <w:tcPr>
            <w:tcW w:w="319" w:type="pct"/>
          </w:tcPr>
          <w:p w14:paraId="2A543CAF" w14:textId="1924919A" w:rsidR="00036BFC" w:rsidRPr="00923237" w:rsidRDefault="00036BFC" w:rsidP="00036BFC">
            <w:pPr>
              <w:pStyle w:val="NoSpacing"/>
              <w:rPr>
                <w:rFonts w:cstheme="minorHAnsi"/>
                <w:color w:val="2E2E2E"/>
                <w:sz w:val="20"/>
                <w:szCs w:val="20"/>
              </w:rPr>
            </w:pPr>
            <w:r w:rsidRPr="00923237">
              <w:rPr>
                <w:rFonts w:cstheme="minorHAnsi"/>
                <w:sz w:val="20"/>
                <w:szCs w:val="20"/>
              </w:rPr>
              <w:t>0.43</w:t>
            </w:r>
          </w:p>
        </w:tc>
        <w:tc>
          <w:tcPr>
            <w:tcW w:w="319" w:type="pct"/>
          </w:tcPr>
          <w:p w14:paraId="7CA8C2B6" w14:textId="2AF27EEA" w:rsidR="00036BFC" w:rsidRPr="00923237" w:rsidRDefault="00036BFC" w:rsidP="00036BFC">
            <w:pPr>
              <w:pStyle w:val="NoSpacing"/>
              <w:rPr>
                <w:rFonts w:cstheme="minorHAnsi"/>
                <w:color w:val="2E2E2E"/>
                <w:sz w:val="20"/>
                <w:szCs w:val="20"/>
              </w:rPr>
            </w:pPr>
            <w:r w:rsidRPr="00923237">
              <w:rPr>
                <w:rFonts w:cstheme="minorHAnsi"/>
                <w:sz w:val="20"/>
                <w:szCs w:val="20"/>
              </w:rPr>
              <w:t>&lt;0.0001</w:t>
            </w:r>
          </w:p>
        </w:tc>
        <w:tc>
          <w:tcPr>
            <w:tcW w:w="245" w:type="pct"/>
          </w:tcPr>
          <w:p w14:paraId="7142C8B5" w14:textId="33FB92CD" w:rsidR="00036BFC" w:rsidRPr="00923237" w:rsidRDefault="00036BFC" w:rsidP="00036BFC">
            <w:pPr>
              <w:pStyle w:val="NoSpacing"/>
              <w:rPr>
                <w:rFonts w:cstheme="minorHAnsi"/>
                <w:color w:val="2E2E2E"/>
                <w:sz w:val="20"/>
                <w:szCs w:val="20"/>
              </w:rPr>
            </w:pPr>
            <w:r w:rsidRPr="00923237">
              <w:rPr>
                <w:rFonts w:cstheme="minorHAnsi"/>
                <w:sz w:val="20"/>
                <w:szCs w:val="20"/>
              </w:rPr>
              <w:t>0.56</w:t>
            </w:r>
          </w:p>
        </w:tc>
        <w:tc>
          <w:tcPr>
            <w:tcW w:w="245" w:type="pct"/>
          </w:tcPr>
          <w:p w14:paraId="2A1ACD0E" w14:textId="553B9A5D" w:rsidR="00036BFC" w:rsidRPr="00923237" w:rsidRDefault="00036BFC" w:rsidP="00036BFC">
            <w:pPr>
              <w:pStyle w:val="NoSpacing"/>
              <w:rPr>
                <w:rFonts w:cstheme="minorHAnsi"/>
                <w:color w:val="2E2E2E"/>
                <w:sz w:val="20"/>
                <w:szCs w:val="20"/>
              </w:rPr>
            </w:pPr>
            <w:r w:rsidRPr="00923237">
              <w:rPr>
                <w:rFonts w:cstheme="minorHAnsi"/>
                <w:sz w:val="20"/>
                <w:szCs w:val="20"/>
              </w:rPr>
              <w:t>0.61</w:t>
            </w:r>
          </w:p>
        </w:tc>
        <w:tc>
          <w:tcPr>
            <w:tcW w:w="245" w:type="pct"/>
          </w:tcPr>
          <w:p w14:paraId="61394AF4" w14:textId="6A9DBE18" w:rsidR="00036BFC" w:rsidRPr="00923237" w:rsidRDefault="00036BFC" w:rsidP="00036BFC">
            <w:pPr>
              <w:pStyle w:val="NoSpacing"/>
              <w:rPr>
                <w:rFonts w:cstheme="minorHAnsi"/>
                <w:color w:val="2E2E2E"/>
                <w:sz w:val="20"/>
                <w:szCs w:val="20"/>
              </w:rPr>
            </w:pPr>
            <w:r w:rsidRPr="00923237">
              <w:rPr>
                <w:rFonts w:cstheme="minorHAnsi"/>
                <w:sz w:val="20"/>
                <w:szCs w:val="20"/>
              </w:rPr>
              <w:t>0.05</w:t>
            </w:r>
          </w:p>
        </w:tc>
        <w:tc>
          <w:tcPr>
            <w:tcW w:w="245" w:type="pct"/>
          </w:tcPr>
          <w:p w14:paraId="6DFD6DAC" w14:textId="40929688" w:rsidR="00036BFC" w:rsidRPr="00923237" w:rsidRDefault="00036BFC" w:rsidP="00036BFC">
            <w:pPr>
              <w:pStyle w:val="NoSpacing"/>
              <w:rPr>
                <w:rFonts w:cstheme="minorHAnsi"/>
                <w:color w:val="2E2E2E"/>
                <w:sz w:val="20"/>
                <w:szCs w:val="20"/>
              </w:rPr>
            </w:pPr>
            <w:r w:rsidRPr="00923237">
              <w:rPr>
                <w:rFonts w:cstheme="minorHAnsi"/>
                <w:sz w:val="20"/>
                <w:szCs w:val="20"/>
              </w:rPr>
              <w:t>0.49</w:t>
            </w:r>
          </w:p>
        </w:tc>
        <w:tc>
          <w:tcPr>
            <w:tcW w:w="319" w:type="pct"/>
          </w:tcPr>
          <w:p w14:paraId="2E654311" w14:textId="52A5A3E4" w:rsidR="00036BFC" w:rsidRPr="00923237" w:rsidRDefault="00036BFC" w:rsidP="00036BFC">
            <w:pPr>
              <w:pStyle w:val="NoSpacing"/>
              <w:rPr>
                <w:rFonts w:cstheme="minorHAnsi"/>
                <w:color w:val="2E2E2E"/>
                <w:sz w:val="20"/>
                <w:szCs w:val="20"/>
              </w:rPr>
            </w:pPr>
            <w:r w:rsidRPr="00923237">
              <w:rPr>
                <w:rFonts w:cstheme="minorHAnsi"/>
                <w:sz w:val="20"/>
                <w:szCs w:val="20"/>
              </w:rPr>
              <w:t>&lt;0.0001</w:t>
            </w:r>
          </w:p>
        </w:tc>
        <w:tc>
          <w:tcPr>
            <w:tcW w:w="319" w:type="pct"/>
          </w:tcPr>
          <w:p w14:paraId="7DCAA615" w14:textId="378D3C6B" w:rsidR="00036BFC" w:rsidRPr="00923237" w:rsidRDefault="00036BFC" w:rsidP="00036BFC">
            <w:pPr>
              <w:pStyle w:val="NoSpacing"/>
              <w:rPr>
                <w:rFonts w:cstheme="minorHAnsi"/>
                <w:color w:val="2E2E2E"/>
                <w:sz w:val="20"/>
                <w:szCs w:val="20"/>
              </w:rPr>
            </w:pPr>
            <w:r w:rsidRPr="00923237">
              <w:rPr>
                <w:rFonts w:cstheme="minorHAnsi"/>
                <w:sz w:val="20"/>
                <w:szCs w:val="20"/>
              </w:rPr>
              <w:t>0.01</w:t>
            </w:r>
          </w:p>
        </w:tc>
        <w:tc>
          <w:tcPr>
            <w:tcW w:w="245" w:type="pct"/>
          </w:tcPr>
          <w:p w14:paraId="62527BB2" w14:textId="40539F80" w:rsidR="00036BFC" w:rsidRPr="00923237" w:rsidRDefault="00036BFC" w:rsidP="00036BFC">
            <w:pPr>
              <w:pStyle w:val="NoSpacing"/>
              <w:rPr>
                <w:rFonts w:cstheme="minorHAnsi"/>
                <w:color w:val="2E2E2E"/>
                <w:sz w:val="20"/>
                <w:szCs w:val="20"/>
              </w:rPr>
            </w:pPr>
            <w:r w:rsidRPr="00923237">
              <w:rPr>
                <w:rFonts w:cstheme="minorHAnsi"/>
                <w:sz w:val="20"/>
                <w:szCs w:val="20"/>
              </w:rPr>
              <w:t>0.05</w:t>
            </w:r>
          </w:p>
        </w:tc>
        <w:tc>
          <w:tcPr>
            <w:tcW w:w="319" w:type="pct"/>
          </w:tcPr>
          <w:p w14:paraId="1160567A" w14:textId="631AC80A" w:rsidR="00036BFC" w:rsidRPr="00923237" w:rsidRDefault="00036BFC" w:rsidP="00036BFC">
            <w:pPr>
              <w:pStyle w:val="NoSpacing"/>
              <w:rPr>
                <w:rFonts w:cstheme="minorHAnsi"/>
                <w:color w:val="2E2E2E"/>
                <w:sz w:val="20"/>
                <w:szCs w:val="20"/>
              </w:rPr>
            </w:pPr>
            <w:r w:rsidRPr="00923237">
              <w:rPr>
                <w:rFonts w:cstheme="minorHAnsi"/>
                <w:sz w:val="20"/>
                <w:szCs w:val="20"/>
              </w:rPr>
              <w:t>0.06</w:t>
            </w:r>
          </w:p>
        </w:tc>
        <w:tc>
          <w:tcPr>
            <w:tcW w:w="245" w:type="pct"/>
          </w:tcPr>
          <w:p w14:paraId="37E22EA2" w14:textId="15791FF8" w:rsidR="00036BFC" w:rsidRPr="00923237" w:rsidRDefault="00036BFC" w:rsidP="00036BFC">
            <w:pPr>
              <w:pStyle w:val="NoSpacing"/>
              <w:rPr>
                <w:rFonts w:cstheme="minorHAnsi"/>
                <w:color w:val="2E2E2E"/>
                <w:sz w:val="20"/>
                <w:szCs w:val="20"/>
              </w:rPr>
            </w:pPr>
            <w:r w:rsidRPr="00923237">
              <w:rPr>
                <w:rFonts w:cstheme="minorHAnsi"/>
                <w:sz w:val="20"/>
                <w:szCs w:val="20"/>
              </w:rPr>
              <w:t>0.48</w:t>
            </w:r>
          </w:p>
        </w:tc>
        <w:tc>
          <w:tcPr>
            <w:tcW w:w="319" w:type="pct"/>
          </w:tcPr>
          <w:p w14:paraId="7B23CC0C" w14:textId="62CC3BFE" w:rsidR="00036BFC" w:rsidRPr="00923237" w:rsidRDefault="00036BFC" w:rsidP="00036BFC">
            <w:pPr>
              <w:pStyle w:val="NoSpacing"/>
              <w:rPr>
                <w:rFonts w:cstheme="minorHAnsi"/>
                <w:color w:val="2E2E2E"/>
                <w:sz w:val="20"/>
                <w:szCs w:val="20"/>
              </w:rPr>
            </w:pPr>
            <w:r w:rsidRPr="00923237">
              <w:rPr>
                <w:rFonts w:cstheme="minorHAnsi"/>
                <w:sz w:val="20"/>
                <w:szCs w:val="20"/>
              </w:rPr>
              <w:t>&lt;0.0001</w:t>
            </w:r>
          </w:p>
        </w:tc>
      </w:tr>
    </w:tbl>
    <w:p w14:paraId="6C12430B" w14:textId="77777777" w:rsidR="00F74CAE" w:rsidRPr="00923237" w:rsidRDefault="00F74CAE">
      <w:pPr>
        <w:rPr>
          <w:rFonts w:eastAsiaTheme="majorEastAsia" w:cstheme="minorHAnsi"/>
          <w:color w:val="262626" w:themeColor="text1" w:themeTint="D9"/>
          <w:sz w:val="32"/>
          <w:szCs w:val="32"/>
        </w:rPr>
      </w:pPr>
      <w:r w:rsidRPr="00923237">
        <w:rPr>
          <w:rFonts w:cstheme="minorHAnsi"/>
        </w:rPr>
        <w:br w:type="page"/>
      </w:r>
    </w:p>
    <w:p w14:paraId="69C519BA" w14:textId="77777777" w:rsidR="00F74CAE" w:rsidRPr="00923237" w:rsidRDefault="00F74CAE" w:rsidP="00F317EA">
      <w:pPr>
        <w:pStyle w:val="Heading1"/>
        <w:rPr>
          <w:rFonts w:asciiTheme="minorHAnsi" w:hAnsiTheme="minorHAnsi" w:cstheme="minorHAnsi"/>
        </w:rPr>
        <w:sectPr w:rsidR="00F74CAE" w:rsidRPr="00923237" w:rsidSect="00036BFC">
          <w:pgSz w:w="15840" w:h="12240" w:orient="landscape"/>
          <w:pgMar w:top="1080" w:right="1080" w:bottom="1080" w:left="1080" w:header="720" w:footer="720" w:gutter="0"/>
          <w:cols w:space="720"/>
          <w:docGrid w:linePitch="360"/>
        </w:sectPr>
      </w:pPr>
    </w:p>
    <w:p w14:paraId="462F8304" w14:textId="13A2DB55" w:rsidR="00A4606E" w:rsidRPr="00923237" w:rsidRDefault="00A4606E" w:rsidP="00F317EA">
      <w:pPr>
        <w:pStyle w:val="Heading1"/>
        <w:rPr>
          <w:rFonts w:asciiTheme="minorHAnsi" w:hAnsiTheme="minorHAnsi" w:cstheme="minorHAnsi"/>
          <w:sz w:val="36"/>
          <w:szCs w:val="36"/>
        </w:rPr>
      </w:pPr>
      <w:r w:rsidRPr="00923237">
        <w:rPr>
          <w:rFonts w:asciiTheme="minorHAnsi" w:hAnsiTheme="minorHAnsi" w:cstheme="minorHAnsi"/>
        </w:rPr>
        <w:t>4. Univariate results</w:t>
      </w:r>
    </w:p>
    <w:p w14:paraId="27C20DF7" w14:textId="77777777" w:rsidR="00A4606E" w:rsidRPr="00923237" w:rsidRDefault="006C60C6" w:rsidP="00F317EA">
      <w:pPr>
        <w:rPr>
          <w:rFonts w:cstheme="minorHAnsi"/>
          <w:color w:val="2E2E2E"/>
        </w:rPr>
      </w:pPr>
      <w:hyperlink r:id="rId101" w:tooltip="Learn more about Bayesian Inference from ScienceDirect's AI-generated Topic Pages" w:history="1">
        <w:r w:rsidR="00A4606E" w:rsidRPr="00923237">
          <w:rPr>
            <w:rStyle w:val="Hyperlink"/>
            <w:rFonts w:eastAsiaTheme="majorEastAsia" w:cstheme="minorHAnsi"/>
            <w:color w:val="0C7DBB"/>
          </w:rPr>
          <w:t>Prior</w:t>
        </w:r>
      </w:hyperlink>
      <w:r w:rsidR="00A4606E" w:rsidRPr="00923237">
        <w:rPr>
          <w:rFonts w:cstheme="minorHAnsi"/>
          <w:color w:val="2E2E2E"/>
        </w:rPr>
        <w:t> literature has shown that director monitoring and advising changes depending on a firm's need for board oversight (</w:t>
      </w:r>
      <w:bookmarkStart w:id="72" w:name="bbb0200"/>
      <w:proofErr w:type="spellStart"/>
      <w:r w:rsidR="00A4606E" w:rsidRPr="00923237">
        <w:rPr>
          <w:rFonts w:cstheme="minorHAnsi"/>
          <w:color w:val="2E2E2E"/>
        </w:rPr>
        <w:fldChar w:fldCharType="begin"/>
      </w:r>
      <w:r w:rsidR="00A4606E" w:rsidRPr="00923237">
        <w:rPr>
          <w:rFonts w:cstheme="minorHAnsi"/>
          <w:color w:val="2E2E2E"/>
        </w:rPr>
        <w:instrText xml:space="preserve"> HYPERLINK "https://0-www-sciencedirect-com.libus.csd.mu.edu/science/article/pii/S0929119917307344" \l "bb0200" </w:instrText>
      </w:r>
      <w:r w:rsidR="00A4606E" w:rsidRPr="00923237">
        <w:rPr>
          <w:rFonts w:cstheme="minorHAnsi"/>
          <w:color w:val="2E2E2E"/>
        </w:rPr>
        <w:fldChar w:fldCharType="separate"/>
      </w:r>
      <w:r w:rsidR="00A4606E" w:rsidRPr="00923237">
        <w:rPr>
          <w:rStyle w:val="Hyperlink"/>
          <w:rFonts w:eastAsiaTheme="majorEastAsia" w:cstheme="minorHAnsi"/>
          <w:color w:val="0C7DBB"/>
        </w:rPr>
        <w:t>Linck</w:t>
      </w:r>
      <w:proofErr w:type="spellEnd"/>
      <w:r w:rsidR="00A4606E" w:rsidRPr="00923237">
        <w:rPr>
          <w:rStyle w:val="Hyperlink"/>
          <w:rFonts w:eastAsiaTheme="majorEastAsia" w:cstheme="minorHAnsi"/>
          <w:color w:val="0C7DBB"/>
        </w:rPr>
        <w:t xml:space="preserve"> et al. (2009)</w:t>
      </w:r>
      <w:r w:rsidR="00A4606E" w:rsidRPr="00923237">
        <w:rPr>
          <w:rFonts w:cstheme="minorHAnsi"/>
          <w:color w:val="2E2E2E"/>
        </w:rPr>
        <w:fldChar w:fldCharType="end"/>
      </w:r>
      <w:bookmarkEnd w:id="72"/>
      <w:r w:rsidR="00A4606E" w:rsidRPr="00923237">
        <w:rPr>
          <w:rFonts w:cstheme="minorHAnsi"/>
          <w:color w:val="2E2E2E"/>
        </w:rPr>
        <w:t> and </w:t>
      </w:r>
      <w:bookmarkStart w:id="73" w:name="bbb0205"/>
      <w:r w:rsidR="00A4606E" w:rsidRPr="00923237">
        <w:rPr>
          <w:rFonts w:cstheme="minorHAnsi"/>
          <w:color w:val="2E2E2E"/>
        </w:rPr>
        <w:fldChar w:fldCharType="begin"/>
      </w:r>
      <w:r w:rsidR="00A4606E" w:rsidRPr="00923237">
        <w:rPr>
          <w:rFonts w:cstheme="minorHAnsi"/>
          <w:color w:val="2E2E2E"/>
        </w:rPr>
        <w:instrText xml:space="preserve"> HYPERLINK "https://0-www-sciencedirect-com.libus.csd.mu.edu/science/article/pii/S0929119917307344" \l "bb0205" </w:instrText>
      </w:r>
      <w:r w:rsidR="00A4606E" w:rsidRPr="00923237">
        <w:rPr>
          <w:rFonts w:cstheme="minorHAnsi"/>
          <w:color w:val="2E2E2E"/>
        </w:rPr>
        <w:fldChar w:fldCharType="separate"/>
      </w:r>
      <w:r w:rsidR="00A4606E" w:rsidRPr="00923237">
        <w:rPr>
          <w:rStyle w:val="Hyperlink"/>
          <w:rFonts w:eastAsiaTheme="majorEastAsia" w:cstheme="minorHAnsi"/>
          <w:color w:val="0C7DBB"/>
        </w:rPr>
        <w:t>Linn and Park (2005)</w:t>
      </w:r>
      <w:r w:rsidR="00A4606E" w:rsidRPr="00923237">
        <w:rPr>
          <w:rFonts w:cstheme="minorHAnsi"/>
          <w:color w:val="2E2E2E"/>
        </w:rPr>
        <w:fldChar w:fldCharType="end"/>
      </w:r>
      <w:bookmarkEnd w:id="73"/>
      <w:r w:rsidR="00A4606E" w:rsidRPr="00923237">
        <w:rPr>
          <w:rFonts w:cstheme="minorHAnsi"/>
          <w:color w:val="2E2E2E"/>
        </w:rPr>
        <w:t>). As firm size is often used to capture firm complexity and, thus the demand for director monitoring and advising, we partition our sample firms into three groups based on their total assets. Specifically, large firms are those in the top tercile while small firms are those in the bottom tercile. In addition, we argue that the demand for board monitoring will change through time. Thus, we divide our sample period into three sub-periods: Pre-crisis, Crisis, and Post-crisis. Pre-crisis is defined to be before 2007 while Post-crisis is from 2009 forward. In </w:t>
      </w:r>
      <w:bookmarkStart w:id="74" w:name="bt0015"/>
      <w:r w:rsidR="00A4606E" w:rsidRPr="00923237">
        <w:rPr>
          <w:rFonts w:cstheme="minorHAnsi"/>
          <w:color w:val="2E2E2E"/>
        </w:rPr>
        <w:fldChar w:fldCharType="begin"/>
      </w:r>
      <w:r w:rsidR="00A4606E" w:rsidRPr="00923237">
        <w:rPr>
          <w:rFonts w:cstheme="minorHAnsi"/>
          <w:color w:val="2E2E2E"/>
        </w:rPr>
        <w:instrText xml:space="preserve"> HYPERLINK "https://0-www-sciencedirect-com.libus.csd.mu.edu/science/article/pii/S0929119917307344" \l "t0015" </w:instrText>
      </w:r>
      <w:r w:rsidR="00A4606E" w:rsidRPr="00923237">
        <w:rPr>
          <w:rFonts w:cstheme="minorHAnsi"/>
          <w:color w:val="2E2E2E"/>
        </w:rPr>
        <w:fldChar w:fldCharType="separate"/>
      </w:r>
      <w:r w:rsidR="00A4606E" w:rsidRPr="00923237">
        <w:rPr>
          <w:rStyle w:val="Hyperlink"/>
          <w:rFonts w:eastAsiaTheme="majorEastAsia" w:cstheme="minorHAnsi"/>
          <w:color w:val="0C7DBB"/>
        </w:rPr>
        <w:t>Table 3</w:t>
      </w:r>
      <w:r w:rsidR="00A4606E" w:rsidRPr="00923237">
        <w:rPr>
          <w:rFonts w:cstheme="minorHAnsi"/>
          <w:color w:val="2E2E2E"/>
        </w:rPr>
        <w:fldChar w:fldCharType="end"/>
      </w:r>
      <w:bookmarkEnd w:id="74"/>
      <w:r w:rsidR="00A4606E" w:rsidRPr="00923237">
        <w:rPr>
          <w:rFonts w:cstheme="minorHAnsi"/>
          <w:color w:val="2E2E2E"/>
        </w:rPr>
        <w:t>, we report the distribution of the main variables across firm size and time periods for the full sample.</w:t>
      </w:r>
    </w:p>
    <w:p w14:paraId="6A07B3BA" w14:textId="77777777" w:rsidR="00261B5A" w:rsidRDefault="00261B5A">
      <w:pPr>
        <w:rPr>
          <w:rStyle w:val="label"/>
          <w:rFonts w:cstheme="minorHAnsi"/>
          <w:color w:val="323232"/>
          <w:sz w:val="21"/>
          <w:szCs w:val="21"/>
        </w:rPr>
      </w:pPr>
      <w:r>
        <w:rPr>
          <w:rStyle w:val="label"/>
          <w:rFonts w:cstheme="minorHAnsi"/>
          <w:color w:val="323232"/>
          <w:sz w:val="21"/>
          <w:szCs w:val="21"/>
        </w:rPr>
        <w:br w:type="page"/>
      </w:r>
    </w:p>
    <w:p w14:paraId="0336AF4D" w14:textId="77777777" w:rsidR="00261B5A" w:rsidRDefault="00261B5A" w:rsidP="00F317EA">
      <w:pPr>
        <w:rPr>
          <w:rStyle w:val="label"/>
          <w:rFonts w:cstheme="minorHAnsi"/>
          <w:color w:val="323232"/>
          <w:sz w:val="21"/>
          <w:szCs w:val="21"/>
        </w:rPr>
        <w:sectPr w:rsidR="00261B5A" w:rsidSect="00F74CAE">
          <w:pgSz w:w="12240" w:h="15840"/>
          <w:pgMar w:top="1080" w:right="1080" w:bottom="1080" w:left="1080" w:header="720" w:footer="720" w:gutter="0"/>
          <w:cols w:space="720"/>
          <w:docGrid w:linePitch="360"/>
        </w:sectPr>
      </w:pPr>
    </w:p>
    <w:p w14:paraId="5A9E8A94" w14:textId="4486D218" w:rsidR="00A4606E" w:rsidRPr="00923237" w:rsidRDefault="00A4606E" w:rsidP="00F317EA">
      <w:pPr>
        <w:rPr>
          <w:rFonts w:cstheme="minorHAnsi"/>
          <w:color w:val="323232"/>
        </w:rPr>
      </w:pPr>
      <w:r w:rsidRPr="00923237">
        <w:rPr>
          <w:rStyle w:val="label"/>
          <w:rFonts w:cstheme="minorHAnsi"/>
          <w:color w:val="323232"/>
          <w:sz w:val="21"/>
          <w:szCs w:val="21"/>
        </w:rPr>
        <w:t>Table 3</w:t>
      </w:r>
      <w:r w:rsidRPr="00923237">
        <w:rPr>
          <w:rFonts w:cstheme="minorHAnsi"/>
          <w:color w:val="323232"/>
        </w:rPr>
        <w:t>. Board characteristics, board and committee activity, </w:t>
      </w:r>
      <w:hyperlink r:id="rId102" w:tooltip="Learn more about Leverage from ScienceDirect's AI-generated Topic Pages" w:history="1">
        <w:r w:rsidRPr="00923237">
          <w:rPr>
            <w:rStyle w:val="Hyperlink"/>
            <w:rFonts w:eastAsiaTheme="majorEastAsia" w:cstheme="minorHAnsi"/>
            <w:color w:val="0C7DBB"/>
          </w:rPr>
          <w:t>leverage</w:t>
        </w:r>
      </w:hyperlink>
      <w:r w:rsidRPr="00923237">
        <w:rPr>
          <w:rFonts w:cstheme="minorHAnsi"/>
          <w:color w:val="323232"/>
        </w:rPr>
        <w:t> and firm performance based on firm size and periods.</w:t>
      </w:r>
    </w:p>
    <w:p w14:paraId="0F374568" w14:textId="77777777" w:rsidR="00A4606E" w:rsidRPr="00923237" w:rsidRDefault="00A4606E" w:rsidP="00F317EA">
      <w:pPr>
        <w:ind w:left="720"/>
        <w:rPr>
          <w:rFonts w:cstheme="minorHAnsi"/>
          <w:color w:val="323232"/>
        </w:rPr>
      </w:pPr>
      <w:r w:rsidRPr="00923237">
        <w:rPr>
          <w:rFonts w:cstheme="minorHAnsi"/>
          <w:color w:val="323232"/>
        </w:rPr>
        <w:t>This table reports board structure, board and committee activity, leverage and firm performance. Firms are partitioned into terciles based on their total assets. Firms in each tercile are partitioned into three periods: the pre-crisis period is from 2003 to 2006, the crisis period is from 2007 to 2008, and the post-crisis period is from 2009 to 2016. For each size-period group, we report the average value of each variable in the corresponding column. We report P-values from F-tests for differences in the values across periods within each size tercile. See </w:t>
      </w:r>
      <w:hyperlink r:id="rId103" w:anchor="s0055" w:history="1">
        <w:r w:rsidRPr="00923237">
          <w:rPr>
            <w:rStyle w:val="Hyperlink"/>
            <w:rFonts w:eastAsiaTheme="majorEastAsia" w:cstheme="minorHAnsi"/>
            <w:color w:val="0C7DBB"/>
          </w:rPr>
          <w:t>Appendix 2</w:t>
        </w:r>
      </w:hyperlink>
      <w:r w:rsidRPr="00923237">
        <w:rPr>
          <w:rFonts w:cstheme="minorHAnsi"/>
          <w:color w:val="323232"/>
        </w:rPr>
        <w:t> for variable definitions.</w:t>
      </w:r>
    </w:p>
    <w:tbl>
      <w:tblPr>
        <w:tblStyle w:val="TableGrid"/>
        <w:tblW w:w="5000" w:type="pct"/>
        <w:tblLook w:val="04A0" w:firstRow="1" w:lastRow="0" w:firstColumn="1" w:lastColumn="0" w:noHBand="0" w:noVBand="1"/>
      </w:tblPr>
      <w:tblGrid>
        <w:gridCol w:w="925"/>
        <w:gridCol w:w="961"/>
        <w:gridCol w:w="523"/>
        <w:gridCol w:w="960"/>
        <w:gridCol w:w="1769"/>
        <w:gridCol w:w="1359"/>
        <w:gridCol w:w="1326"/>
        <w:gridCol w:w="1312"/>
        <w:gridCol w:w="1714"/>
        <w:gridCol w:w="1386"/>
        <w:gridCol w:w="1435"/>
      </w:tblGrid>
      <w:tr w:rsidR="00A4606E" w:rsidRPr="00923237" w14:paraId="02E692D1" w14:textId="77777777" w:rsidTr="00261B5A">
        <w:tc>
          <w:tcPr>
            <w:tcW w:w="338" w:type="pct"/>
            <w:hideMark/>
          </w:tcPr>
          <w:p w14:paraId="566E6100" w14:textId="77777777" w:rsidR="00A4606E" w:rsidRPr="00923237" w:rsidRDefault="00A4606E" w:rsidP="00F317EA">
            <w:pPr>
              <w:pStyle w:val="NoSpacing"/>
              <w:rPr>
                <w:rFonts w:cstheme="minorHAnsi"/>
                <w:sz w:val="20"/>
                <w:szCs w:val="20"/>
              </w:rPr>
            </w:pPr>
            <w:r w:rsidRPr="00923237">
              <w:rPr>
                <w:rFonts w:cstheme="minorHAnsi"/>
                <w:sz w:val="20"/>
                <w:szCs w:val="20"/>
              </w:rPr>
              <w:t>Firm size</w:t>
            </w:r>
          </w:p>
        </w:tc>
        <w:tc>
          <w:tcPr>
            <w:tcW w:w="351" w:type="pct"/>
            <w:hideMark/>
          </w:tcPr>
          <w:p w14:paraId="638C1C02" w14:textId="77777777" w:rsidR="00A4606E" w:rsidRPr="00923237" w:rsidRDefault="00A4606E" w:rsidP="00F317EA">
            <w:pPr>
              <w:pStyle w:val="NoSpacing"/>
              <w:rPr>
                <w:rFonts w:cstheme="minorHAnsi"/>
                <w:sz w:val="20"/>
                <w:szCs w:val="20"/>
              </w:rPr>
            </w:pPr>
            <w:r w:rsidRPr="00923237">
              <w:rPr>
                <w:rFonts w:cstheme="minorHAnsi"/>
                <w:sz w:val="20"/>
                <w:szCs w:val="20"/>
              </w:rPr>
              <w:t>Period</w:t>
            </w:r>
          </w:p>
        </w:tc>
        <w:tc>
          <w:tcPr>
            <w:tcW w:w="191" w:type="pct"/>
            <w:hideMark/>
          </w:tcPr>
          <w:p w14:paraId="111B5EDB" w14:textId="77777777" w:rsidR="00A4606E" w:rsidRPr="00923237" w:rsidRDefault="00A4606E" w:rsidP="00F317EA">
            <w:pPr>
              <w:pStyle w:val="NoSpacing"/>
              <w:rPr>
                <w:rFonts w:cstheme="minorHAnsi"/>
                <w:sz w:val="20"/>
                <w:szCs w:val="20"/>
              </w:rPr>
            </w:pPr>
            <w:r w:rsidRPr="00923237">
              <w:rPr>
                <w:rFonts w:cstheme="minorHAnsi"/>
                <w:sz w:val="20"/>
                <w:szCs w:val="20"/>
              </w:rPr>
              <w:t>N</w:t>
            </w:r>
          </w:p>
        </w:tc>
        <w:tc>
          <w:tcPr>
            <w:tcW w:w="351" w:type="pct"/>
            <w:hideMark/>
          </w:tcPr>
          <w:p w14:paraId="6212C123" w14:textId="77777777" w:rsidR="00A4606E" w:rsidRPr="00923237" w:rsidRDefault="00A4606E" w:rsidP="00F317EA">
            <w:pPr>
              <w:pStyle w:val="NoSpacing"/>
              <w:rPr>
                <w:rFonts w:cstheme="minorHAnsi"/>
                <w:sz w:val="20"/>
                <w:szCs w:val="20"/>
              </w:rPr>
            </w:pPr>
            <w:r w:rsidRPr="00923237">
              <w:rPr>
                <w:rFonts w:cstheme="minorHAnsi"/>
                <w:sz w:val="20"/>
                <w:szCs w:val="20"/>
              </w:rPr>
              <w:t>Board size</w:t>
            </w:r>
          </w:p>
        </w:tc>
        <w:tc>
          <w:tcPr>
            <w:tcW w:w="647" w:type="pct"/>
            <w:hideMark/>
          </w:tcPr>
          <w:p w14:paraId="048843CB" w14:textId="77777777" w:rsidR="00A4606E" w:rsidRPr="00923237" w:rsidRDefault="00A4606E" w:rsidP="00F317EA">
            <w:pPr>
              <w:pStyle w:val="NoSpacing"/>
              <w:rPr>
                <w:rFonts w:cstheme="minorHAnsi"/>
                <w:sz w:val="20"/>
                <w:szCs w:val="20"/>
              </w:rPr>
            </w:pPr>
            <w:r w:rsidRPr="00923237">
              <w:rPr>
                <w:rFonts w:cstheme="minorHAnsi"/>
                <w:sz w:val="20"/>
                <w:szCs w:val="20"/>
              </w:rPr>
              <w:t>Board independence</w:t>
            </w:r>
          </w:p>
        </w:tc>
        <w:tc>
          <w:tcPr>
            <w:tcW w:w="497" w:type="pct"/>
            <w:hideMark/>
          </w:tcPr>
          <w:p w14:paraId="7A9D81AF" w14:textId="77777777" w:rsidR="00A4606E" w:rsidRPr="00923237" w:rsidRDefault="00A4606E" w:rsidP="00F317EA">
            <w:pPr>
              <w:pStyle w:val="NoSpacing"/>
              <w:rPr>
                <w:rFonts w:cstheme="minorHAnsi"/>
                <w:sz w:val="20"/>
                <w:szCs w:val="20"/>
              </w:rPr>
            </w:pPr>
            <w:r w:rsidRPr="00923237">
              <w:rPr>
                <w:rFonts w:cstheme="minorHAnsi"/>
                <w:sz w:val="20"/>
                <w:szCs w:val="20"/>
              </w:rPr>
              <w:t>Board meetings</w:t>
            </w:r>
          </w:p>
        </w:tc>
        <w:tc>
          <w:tcPr>
            <w:tcW w:w="485" w:type="pct"/>
            <w:hideMark/>
          </w:tcPr>
          <w:p w14:paraId="07850699" w14:textId="77777777" w:rsidR="00A4606E" w:rsidRPr="00923237" w:rsidRDefault="00A4606E" w:rsidP="00F317EA">
            <w:pPr>
              <w:pStyle w:val="NoSpacing"/>
              <w:rPr>
                <w:rFonts w:cstheme="minorHAnsi"/>
                <w:sz w:val="20"/>
                <w:szCs w:val="20"/>
              </w:rPr>
            </w:pPr>
            <w:r w:rsidRPr="00923237">
              <w:rPr>
                <w:rFonts w:cstheme="minorHAnsi"/>
                <w:sz w:val="20"/>
                <w:szCs w:val="20"/>
              </w:rPr>
              <w:t>Audit meetings</w:t>
            </w:r>
          </w:p>
        </w:tc>
        <w:tc>
          <w:tcPr>
            <w:tcW w:w="480" w:type="pct"/>
            <w:hideMark/>
          </w:tcPr>
          <w:p w14:paraId="155ABDFA" w14:textId="77777777" w:rsidR="00A4606E" w:rsidRPr="00923237" w:rsidRDefault="00A4606E" w:rsidP="00F317EA">
            <w:pPr>
              <w:pStyle w:val="NoSpacing"/>
              <w:rPr>
                <w:rFonts w:cstheme="minorHAnsi"/>
                <w:sz w:val="20"/>
                <w:szCs w:val="20"/>
              </w:rPr>
            </w:pPr>
            <w:r w:rsidRPr="00923237">
              <w:rPr>
                <w:rFonts w:cstheme="minorHAnsi"/>
                <w:sz w:val="20"/>
                <w:szCs w:val="20"/>
              </w:rPr>
              <w:t>Comp. meeting</w:t>
            </w:r>
          </w:p>
        </w:tc>
        <w:tc>
          <w:tcPr>
            <w:tcW w:w="627" w:type="pct"/>
            <w:hideMark/>
          </w:tcPr>
          <w:p w14:paraId="5536E19B" w14:textId="77777777" w:rsidR="00A4606E" w:rsidRPr="00923237" w:rsidRDefault="00A4606E" w:rsidP="00F317EA">
            <w:pPr>
              <w:pStyle w:val="NoSpacing"/>
              <w:rPr>
                <w:rFonts w:cstheme="minorHAnsi"/>
                <w:sz w:val="20"/>
                <w:szCs w:val="20"/>
              </w:rPr>
            </w:pPr>
            <w:r w:rsidRPr="00923237">
              <w:rPr>
                <w:rFonts w:cstheme="minorHAnsi"/>
                <w:sz w:val="20"/>
                <w:szCs w:val="20"/>
              </w:rPr>
              <w:t>Nom &amp; gov. meetings</w:t>
            </w:r>
          </w:p>
        </w:tc>
        <w:tc>
          <w:tcPr>
            <w:tcW w:w="507" w:type="pct"/>
            <w:hideMark/>
          </w:tcPr>
          <w:p w14:paraId="3579E395" w14:textId="77777777" w:rsidR="00A4606E" w:rsidRPr="00923237" w:rsidRDefault="00A4606E" w:rsidP="00F317EA">
            <w:pPr>
              <w:pStyle w:val="NoSpacing"/>
              <w:rPr>
                <w:rFonts w:cstheme="minorHAnsi"/>
                <w:sz w:val="20"/>
                <w:szCs w:val="20"/>
              </w:rPr>
            </w:pPr>
            <w:r w:rsidRPr="00923237">
              <w:rPr>
                <w:rFonts w:cstheme="minorHAnsi"/>
                <w:sz w:val="20"/>
                <w:szCs w:val="20"/>
              </w:rPr>
              <w:t>Market leverage</w:t>
            </w:r>
          </w:p>
        </w:tc>
        <w:tc>
          <w:tcPr>
            <w:tcW w:w="525" w:type="pct"/>
            <w:hideMark/>
          </w:tcPr>
          <w:p w14:paraId="201C90AA" w14:textId="77777777" w:rsidR="00A4606E" w:rsidRPr="00923237" w:rsidRDefault="00A4606E" w:rsidP="00F317EA">
            <w:pPr>
              <w:pStyle w:val="NoSpacing"/>
              <w:rPr>
                <w:rFonts w:cstheme="minorHAnsi"/>
                <w:sz w:val="20"/>
                <w:szCs w:val="20"/>
              </w:rPr>
            </w:pPr>
            <w:r w:rsidRPr="00923237">
              <w:rPr>
                <w:rFonts w:cstheme="minorHAnsi"/>
                <w:sz w:val="20"/>
                <w:szCs w:val="20"/>
              </w:rPr>
              <w:t>Annual return (%)</w:t>
            </w:r>
          </w:p>
        </w:tc>
      </w:tr>
      <w:tr w:rsidR="00F74CAE" w:rsidRPr="00923237" w14:paraId="69C7512A" w14:textId="77777777" w:rsidTr="00261B5A">
        <w:tc>
          <w:tcPr>
            <w:tcW w:w="338" w:type="pct"/>
            <w:hideMark/>
          </w:tcPr>
          <w:p w14:paraId="629B1339" w14:textId="77777777" w:rsidR="00F74CAE" w:rsidRPr="00923237" w:rsidRDefault="00F74CAE" w:rsidP="00F317EA">
            <w:pPr>
              <w:pStyle w:val="NoSpacing"/>
              <w:rPr>
                <w:rFonts w:cstheme="minorHAnsi"/>
                <w:sz w:val="20"/>
                <w:szCs w:val="20"/>
              </w:rPr>
            </w:pPr>
            <w:r w:rsidRPr="00923237">
              <w:rPr>
                <w:rFonts w:cstheme="minorHAnsi"/>
                <w:sz w:val="20"/>
                <w:szCs w:val="20"/>
              </w:rPr>
              <w:t>Large</w:t>
            </w:r>
          </w:p>
        </w:tc>
        <w:tc>
          <w:tcPr>
            <w:tcW w:w="351" w:type="pct"/>
            <w:hideMark/>
          </w:tcPr>
          <w:p w14:paraId="723D4D7E" w14:textId="77777777" w:rsidR="00F74CAE" w:rsidRPr="00923237" w:rsidRDefault="00F74CAE" w:rsidP="00F317EA">
            <w:pPr>
              <w:pStyle w:val="NoSpacing"/>
              <w:rPr>
                <w:rFonts w:cstheme="minorHAnsi"/>
                <w:sz w:val="20"/>
                <w:szCs w:val="20"/>
              </w:rPr>
            </w:pPr>
            <w:r w:rsidRPr="00923237">
              <w:rPr>
                <w:rFonts w:cstheme="minorHAnsi"/>
                <w:sz w:val="20"/>
                <w:szCs w:val="20"/>
              </w:rPr>
              <w:t>Pre-crisis</w:t>
            </w:r>
          </w:p>
        </w:tc>
        <w:tc>
          <w:tcPr>
            <w:tcW w:w="191" w:type="pct"/>
            <w:hideMark/>
          </w:tcPr>
          <w:p w14:paraId="34D2DF2C" w14:textId="77777777" w:rsidR="00F74CAE" w:rsidRPr="00923237" w:rsidRDefault="00F74CAE" w:rsidP="00F317EA">
            <w:pPr>
              <w:pStyle w:val="NoSpacing"/>
              <w:rPr>
                <w:rFonts w:cstheme="minorHAnsi"/>
                <w:sz w:val="20"/>
                <w:szCs w:val="20"/>
              </w:rPr>
            </w:pPr>
            <w:r w:rsidRPr="00923237">
              <w:rPr>
                <w:rFonts w:cstheme="minorHAnsi"/>
                <w:sz w:val="20"/>
                <w:szCs w:val="20"/>
              </w:rPr>
              <w:t>163</w:t>
            </w:r>
          </w:p>
        </w:tc>
        <w:tc>
          <w:tcPr>
            <w:tcW w:w="351" w:type="pct"/>
            <w:hideMark/>
          </w:tcPr>
          <w:p w14:paraId="18C87354" w14:textId="77777777" w:rsidR="00F74CAE" w:rsidRPr="00923237" w:rsidRDefault="00F74CAE" w:rsidP="00F317EA">
            <w:pPr>
              <w:pStyle w:val="NoSpacing"/>
              <w:rPr>
                <w:rFonts w:cstheme="minorHAnsi"/>
                <w:sz w:val="20"/>
                <w:szCs w:val="20"/>
              </w:rPr>
            </w:pPr>
            <w:r w:rsidRPr="00923237">
              <w:rPr>
                <w:rFonts w:cstheme="minorHAnsi"/>
                <w:sz w:val="20"/>
                <w:szCs w:val="20"/>
              </w:rPr>
              <w:t>9.20</w:t>
            </w:r>
          </w:p>
        </w:tc>
        <w:tc>
          <w:tcPr>
            <w:tcW w:w="647" w:type="pct"/>
            <w:hideMark/>
          </w:tcPr>
          <w:p w14:paraId="5CFD16E9" w14:textId="77777777" w:rsidR="00F74CAE" w:rsidRPr="00923237" w:rsidRDefault="00F74CAE" w:rsidP="00F317EA">
            <w:pPr>
              <w:pStyle w:val="NoSpacing"/>
              <w:rPr>
                <w:rFonts w:cstheme="minorHAnsi"/>
                <w:sz w:val="20"/>
                <w:szCs w:val="20"/>
              </w:rPr>
            </w:pPr>
            <w:r w:rsidRPr="00923237">
              <w:rPr>
                <w:rFonts w:cstheme="minorHAnsi"/>
                <w:sz w:val="20"/>
                <w:szCs w:val="20"/>
              </w:rPr>
              <w:t>70.87</w:t>
            </w:r>
          </w:p>
        </w:tc>
        <w:tc>
          <w:tcPr>
            <w:tcW w:w="497" w:type="pct"/>
            <w:hideMark/>
          </w:tcPr>
          <w:p w14:paraId="7464C7BA" w14:textId="77777777" w:rsidR="00F74CAE" w:rsidRPr="00923237" w:rsidRDefault="00F74CAE" w:rsidP="00F317EA">
            <w:pPr>
              <w:pStyle w:val="NoSpacing"/>
              <w:rPr>
                <w:rFonts w:cstheme="minorHAnsi"/>
                <w:sz w:val="20"/>
                <w:szCs w:val="20"/>
              </w:rPr>
            </w:pPr>
            <w:r w:rsidRPr="00923237">
              <w:rPr>
                <w:rFonts w:cstheme="minorHAnsi"/>
                <w:sz w:val="20"/>
                <w:szCs w:val="20"/>
              </w:rPr>
              <w:t>8.06</w:t>
            </w:r>
          </w:p>
        </w:tc>
        <w:tc>
          <w:tcPr>
            <w:tcW w:w="485" w:type="pct"/>
            <w:hideMark/>
          </w:tcPr>
          <w:p w14:paraId="594F17AA" w14:textId="77777777" w:rsidR="00F74CAE" w:rsidRPr="00923237" w:rsidRDefault="00F74CAE" w:rsidP="00F317EA">
            <w:pPr>
              <w:pStyle w:val="NoSpacing"/>
              <w:rPr>
                <w:rFonts w:cstheme="minorHAnsi"/>
                <w:sz w:val="20"/>
                <w:szCs w:val="20"/>
              </w:rPr>
            </w:pPr>
            <w:r w:rsidRPr="00923237">
              <w:rPr>
                <w:rFonts w:cstheme="minorHAnsi"/>
                <w:sz w:val="20"/>
                <w:szCs w:val="20"/>
              </w:rPr>
              <w:t>7.88</w:t>
            </w:r>
          </w:p>
        </w:tc>
        <w:tc>
          <w:tcPr>
            <w:tcW w:w="480" w:type="pct"/>
            <w:hideMark/>
          </w:tcPr>
          <w:p w14:paraId="4A4BC094" w14:textId="77777777" w:rsidR="00F74CAE" w:rsidRPr="00923237" w:rsidRDefault="00F74CAE" w:rsidP="00F317EA">
            <w:pPr>
              <w:pStyle w:val="NoSpacing"/>
              <w:rPr>
                <w:rFonts w:cstheme="minorHAnsi"/>
                <w:sz w:val="20"/>
                <w:szCs w:val="20"/>
              </w:rPr>
            </w:pPr>
            <w:r w:rsidRPr="00923237">
              <w:rPr>
                <w:rFonts w:cstheme="minorHAnsi"/>
                <w:sz w:val="20"/>
                <w:szCs w:val="20"/>
              </w:rPr>
              <w:t>5.07</w:t>
            </w:r>
          </w:p>
        </w:tc>
        <w:tc>
          <w:tcPr>
            <w:tcW w:w="627" w:type="pct"/>
            <w:hideMark/>
          </w:tcPr>
          <w:p w14:paraId="5727D637" w14:textId="77777777" w:rsidR="00F74CAE" w:rsidRPr="00923237" w:rsidRDefault="00F74CAE" w:rsidP="00F317EA">
            <w:pPr>
              <w:pStyle w:val="NoSpacing"/>
              <w:rPr>
                <w:rFonts w:cstheme="minorHAnsi"/>
                <w:sz w:val="20"/>
                <w:szCs w:val="20"/>
              </w:rPr>
            </w:pPr>
            <w:r w:rsidRPr="00923237">
              <w:rPr>
                <w:rFonts w:cstheme="minorHAnsi"/>
                <w:sz w:val="20"/>
                <w:szCs w:val="20"/>
              </w:rPr>
              <w:t>3.36</w:t>
            </w:r>
          </w:p>
        </w:tc>
        <w:tc>
          <w:tcPr>
            <w:tcW w:w="507" w:type="pct"/>
            <w:hideMark/>
          </w:tcPr>
          <w:p w14:paraId="2E51DDC3" w14:textId="77777777" w:rsidR="00F74CAE" w:rsidRPr="00923237" w:rsidRDefault="00F74CAE" w:rsidP="00F317EA">
            <w:pPr>
              <w:pStyle w:val="NoSpacing"/>
              <w:rPr>
                <w:rFonts w:cstheme="minorHAnsi"/>
                <w:sz w:val="20"/>
                <w:szCs w:val="20"/>
              </w:rPr>
            </w:pPr>
            <w:r w:rsidRPr="00923237">
              <w:rPr>
                <w:rFonts w:cstheme="minorHAnsi"/>
                <w:sz w:val="20"/>
                <w:szCs w:val="20"/>
              </w:rPr>
              <w:t>0.46</w:t>
            </w:r>
          </w:p>
        </w:tc>
        <w:tc>
          <w:tcPr>
            <w:tcW w:w="525" w:type="pct"/>
            <w:hideMark/>
          </w:tcPr>
          <w:p w14:paraId="15B55D41" w14:textId="77777777" w:rsidR="00F74CAE" w:rsidRPr="00923237" w:rsidRDefault="00F74CAE" w:rsidP="00F317EA">
            <w:pPr>
              <w:pStyle w:val="NoSpacing"/>
              <w:rPr>
                <w:rFonts w:cstheme="minorHAnsi"/>
                <w:sz w:val="20"/>
                <w:szCs w:val="20"/>
              </w:rPr>
            </w:pPr>
            <w:r w:rsidRPr="00923237">
              <w:rPr>
                <w:rFonts w:cstheme="minorHAnsi"/>
                <w:sz w:val="20"/>
                <w:szCs w:val="20"/>
              </w:rPr>
              <w:t>26.04</w:t>
            </w:r>
          </w:p>
        </w:tc>
      </w:tr>
      <w:tr w:rsidR="00F74CAE" w:rsidRPr="00923237" w14:paraId="55D9EE6F" w14:textId="77777777" w:rsidTr="00261B5A">
        <w:tc>
          <w:tcPr>
            <w:tcW w:w="338" w:type="pct"/>
            <w:hideMark/>
          </w:tcPr>
          <w:p w14:paraId="1E81AE33" w14:textId="77777777" w:rsidR="00F74CAE" w:rsidRPr="00923237" w:rsidRDefault="00F74CAE" w:rsidP="00F317EA">
            <w:pPr>
              <w:pStyle w:val="NoSpacing"/>
              <w:rPr>
                <w:rFonts w:cstheme="minorHAnsi"/>
                <w:sz w:val="20"/>
                <w:szCs w:val="20"/>
              </w:rPr>
            </w:pPr>
          </w:p>
        </w:tc>
        <w:tc>
          <w:tcPr>
            <w:tcW w:w="351" w:type="pct"/>
            <w:hideMark/>
          </w:tcPr>
          <w:p w14:paraId="70048A41" w14:textId="77777777" w:rsidR="00F74CAE" w:rsidRPr="00923237" w:rsidRDefault="00F74CAE" w:rsidP="00F317EA">
            <w:pPr>
              <w:pStyle w:val="NoSpacing"/>
              <w:rPr>
                <w:rFonts w:cstheme="minorHAnsi"/>
                <w:sz w:val="20"/>
                <w:szCs w:val="20"/>
              </w:rPr>
            </w:pPr>
            <w:r w:rsidRPr="00923237">
              <w:rPr>
                <w:rFonts w:cstheme="minorHAnsi"/>
                <w:sz w:val="20"/>
                <w:szCs w:val="20"/>
              </w:rPr>
              <w:t>Crisis</w:t>
            </w:r>
          </w:p>
        </w:tc>
        <w:tc>
          <w:tcPr>
            <w:tcW w:w="191" w:type="pct"/>
            <w:hideMark/>
          </w:tcPr>
          <w:p w14:paraId="7938D480" w14:textId="77777777" w:rsidR="00F74CAE" w:rsidRPr="00923237" w:rsidRDefault="00F74CAE" w:rsidP="00F317EA">
            <w:pPr>
              <w:pStyle w:val="NoSpacing"/>
              <w:rPr>
                <w:rFonts w:cstheme="minorHAnsi"/>
                <w:sz w:val="20"/>
                <w:szCs w:val="20"/>
              </w:rPr>
            </w:pPr>
            <w:r w:rsidRPr="00923237">
              <w:rPr>
                <w:rFonts w:cstheme="minorHAnsi"/>
                <w:sz w:val="20"/>
                <w:szCs w:val="20"/>
              </w:rPr>
              <w:t>91</w:t>
            </w:r>
          </w:p>
        </w:tc>
        <w:tc>
          <w:tcPr>
            <w:tcW w:w="351" w:type="pct"/>
            <w:hideMark/>
          </w:tcPr>
          <w:p w14:paraId="143D1A21" w14:textId="77777777" w:rsidR="00F74CAE" w:rsidRPr="00923237" w:rsidRDefault="00F74CAE" w:rsidP="00F317EA">
            <w:pPr>
              <w:pStyle w:val="NoSpacing"/>
              <w:rPr>
                <w:rFonts w:cstheme="minorHAnsi"/>
                <w:sz w:val="20"/>
                <w:szCs w:val="20"/>
              </w:rPr>
            </w:pPr>
            <w:r w:rsidRPr="00923237">
              <w:rPr>
                <w:rFonts w:cstheme="minorHAnsi"/>
                <w:sz w:val="20"/>
                <w:szCs w:val="20"/>
              </w:rPr>
              <w:t>8.88</w:t>
            </w:r>
          </w:p>
        </w:tc>
        <w:tc>
          <w:tcPr>
            <w:tcW w:w="647" w:type="pct"/>
            <w:hideMark/>
          </w:tcPr>
          <w:p w14:paraId="07201F8F" w14:textId="77777777" w:rsidR="00F74CAE" w:rsidRPr="00923237" w:rsidRDefault="00F74CAE" w:rsidP="00F317EA">
            <w:pPr>
              <w:pStyle w:val="NoSpacing"/>
              <w:rPr>
                <w:rFonts w:cstheme="minorHAnsi"/>
                <w:sz w:val="20"/>
                <w:szCs w:val="20"/>
              </w:rPr>
            </w:pPr>
            <w:r w:rsidRPr="00923237">
              <w:rPr>
                <w:rFonts w:cstheme="minorHAnsi"/>
                <w:sz w:val="20"/>
                <w:szCs w:val="20"/>
              </w:rPr>
              <w:t>71.25</w:t>
            </w:r>
          </w:p>
        </w:tc>
        <w:tc>
          <w:tcPr>
            <w:tcW w:w="497" w:type="pct"/>
            <w:hideMark/>
          </w:tcPr>
          <w:p w14:paraId="766773EF" w14:textId="77777777" w:rsidR="00F74CAE" w:rsidRPr="00923237" w:rsidRDefault="00F74CAE" w:rsidP="00F317EA">
            <w:pPr>
              <w:pStyle w:val="NoSpacing"/>
              <w:rPr>
                <w:rFonts w:cstheme="minorHAnsi"/>
                <w:sz w:val="20"/>
                <w:szCs w:val="20"/>
              </w:rPr>
            </w:pPr>
            <w:r w:rsidRPr="00923237">
              <w:rPr>
                <w:rFonts w:cstheme="minorHAnsi"/>
                <w:sz w:val="20"/>
                <w:szCs w:val="20"/>
              </w:rPr>
              <w:t>10.11</w:t>
            </w:r>
          </w:p>
        </w:tc>
        <w:tc>
          <w:tcPr>
            <w:tcW w:w="485" w:type="pct"/>
            <w:hideMark/>
          </w:tcPr>
          <w:p w14:paraId="79D7807F" w14:textId="77777777" w:rsidR="00F74CAE" w:rsidRPr="00923237" w:rsidRDefault="00F74CAE" w:rsidP="00F317EA">
            <w:pPr>
              <w:pStyle w:val="NoSpacing"/>
              <w:rPr>
                <w:rFonts w:cstheme="minorHAnsi"/>
                <w:sz w:val="20"/>
                <w:szCs w:val="20"/>
              </w:rPr>
            </w:pPr>
            <w:r w:rsidRPr="00923237">
              <w:rPr>
                <w:rFonts w:cstheme="minorHAnsi"/>
                <w:sz w:val="20"/>
                <w:szCs w:val="20"/>
              </w:rPr>
              <w:t>7.80</w:t>
            </w:r>
          </w:p>
        </w:tc>
        <w:tc>
          <w:tcPr>
            <w:tcW w:w="480" w:type="pct"/>
            <w:hideMark/>
          </w:tcPr>
          <w:p w14:paraId="5B697EE6" w14:textId="77777777" w:rsidR="00F74CAE" w:rsidRPr="00923237" w:rsidRDefault="00F74CAE" w:rsidP="00F317EA">
            <w:pPr>
              <w:pStyle w:val="NoSpacing"/>
              <w:rPr>
                <w:rFonts w:cstheme="minorHAnsi"/>
                <w:sz w:val="20"/>
                <w:szCs w:val="20"/>
              </w:rPr>
            </w:pPr>
            <w:r w:rsidRPr="00923237">
              <w:rPr>
                <w:rFonts w:cstheme="minorHAnsi"/>
                <w:sz w:val="20"/>
                <w:szCs w:val="20"/>
              </w:rPr>
              <w:t>5.85</w:t>
            </w:r>
          </w:p>
        </w:tc>
        <w:tc>
          <w:tcPr>
            <w:tcW w:w="627" w:type="pct"/>
            <w:hideMark/>
          </w:tcPr>
          <w:p w14:paraId="793613A5" w14:textId="77777777" w:rsidR="00F74CAE" w:rsidRPr="00923237" w:rsidRDefault="00F74CAE" w:rsidP="00F317EA">
            <w:pPr>
              <w:pStyle w:val="NoSpacing"/>
              <w:rPr>
                <w:rFonts w:cstheme="minorHAnsi"/>
                <w:sz w:val="20"/>
                <w:szCs w:val="20"/>
              </w:rPr>
            </w:pPr>
            <w:r w:rsidRPr="00923237">
              <w:rPr>
                <w:rFonts w:cstheme="minorHAnsi"/>
                <w:sz w:val="20"/>
                <w:szCs w:val="20"/>
              </w:rPr>
              <w:t>3.14</w:t>
            </w:r>
          </w:p>
        </w:tc>
        <w:tc>
          <w:tcPr>
            <w:tcW w:w="507" w:type="pct"/>
            <w:hideMark/>
          </w:tcPr>
          <w:p w14:paraId="2A9C95D5" w14:textId="77777777" w:rsidR="00F74CAE" w:rsidRPr="00923237" w:rsidRDefault="00F74CAE" w:rsidP="00F317EA">
            <w:pPr>
              <w:pStyle w:val="NoSpacing"/>
              <w:rPr>
                <w:rFonts w:cstheme="minorHAnsi"/>
                <w:sz w:val="20"/>
                <w:szCs w:val="20"/>
              </w:rPr>
            </w:pPr>
            <w:r w:rsidRPr="00923237">
              <w:rPr>
                <w:rFonts w:cstheme="minorHAnsi"/>
                <w:sz w:val="20"/>
                <w:szCs w:val="20"/>
              </w:rPr>
              <w:t>0.60</w:t>
            </w:r>
          </w:p>
        </w:tc>
        <w:tc>
          <w:tcPr>
            <w:tcW w:w="525" w:type="pct"/>
            <w:hideMark/>
          </w:tcPr>
          <w:p w14:paraId="542CCDA4" w14:textId="77777777" w:rsidR="00F74CAE" w:rsidRPr="00923237" w:rsidRDefault="00F74CAE" w:rsidP="00F317EA">
            <w:pPr>
              <w:pStyle w:val="NoSpacing"/>
              <w:rPr>
                <w:rFonts w:cstheme="minorHAnsi"/>
                <w:sz w:val="20"/>
                <w:szCs w:val="20"/>
              </w:rPr>
            </w:pPr>
            <w:r w:rsidRPr="00923237">
              <w:rPr>
                <w:rFonts w:cstheme="minorHAnsi"/>
                <w:sz w:val="20"/>
                <w:szCs w:val="20"/>
              </w:rPr>
              <w:t>−34.03</w:t>
            </w:r>
          </w:p>
        </w:tc>
      </w:tr>
      <w:tr w:rsidR="00F74CAE" w:rsidRPr="00923237" w14:paraId="18DF1318" w14:textId="77777777" w:rsidTr="00261B5A">
        <w:tc>
          <w:tcPr>
            <w:tcW w:w="338" w:type="pct"/>
            <w:hideMark/>
          </w:tcPr>
          <w:p w14:paraId="249CFAB5" w14:textId="77777777" w:rsidR="00F74CAE" w:rsidRPr="00923237" w:rsidRDefault="00F74CAE" w:rsidP="00F317EA">
            <w:pPr>
              <w:pStyle w:val="NoSpacing"/>
              <w:rPr>
                <w:rFonts w:cstheme="minorHAnsi"/>
                <w:sz w:val="20"/>
                <w:szCs w:val="20"/>
              </w:rPr>
            </w:pPr>
          </w:p>
        </w:tc>
        <w:tc>
          <w:tcPr>
            <w:tcW w:w="351" w:type="pct"/>
            <w:hideMark/>
          </w:tcPr>
          <w:p w14:paraId="354AB830" w14:textId="77777777" w:rsidR="00F74CAE" w:rsidRPr="00923237" w:rsidRDefault="00F74CAE" w:rsidP="00F317EA">
            <w:pPr>
              <w:pStyle w:val="NoSpacing"/>
              <w:rPr>
                <w:rFonts w:cstheme="minorHAnsi"/>
                <w:sz w:val="20"/>
                <w:szCs w:val="20"/>
              </w:rPr>
            </w:pPr>
            <w:r w:rsidRPr="00923237">
              <w:rPr>
                <w:rFonts w:cstheme="minorHAnsi"/>
                <w:sz w:val="20"/>
                <w:szCs w:val="20"/>
              </w:rPr>
              <w:t>Post-crisis</w:t>
            </w:r>
          </w:p>
        </w:tc>
        <w:tc>
          <w:tcPr>
            <w:tcW w:w="191" w:type="pct"/>
            <w:hideMark/>
          </w:tcPr>
          <w:p w14:paraId="0E88D964" w14:textId="77777777" w:rsidR="00F74CAE" w:rsidRPr="00923237" w:rsidRDefault="00F74CAE" w:rsidP="00F317EA">
            <w:pPr>
              <w:pStyle w:val="NoSpacing"/>
              <w:rPr>
                <w:rFonts w:cstheme="minorHAnsi"/>
                <w:sz w:val="20"/>
                <w:szCs w:val="20"/>
              </w:rPr>
            </w:pPr>
            <w:r w:rsidRPr="00923237">
              <w:rPr>
                <w:rFonts w:cstheme="minorHAnsi"/>
                <w:sz w:val="20"/>
                <w:szCs w:val="20"/>
              </w:rPr>
              <w:t>449</w:t>
            </w:r>
          </w:p>
        </w:tc>
        <w:tc>
          <w:tcPr>
            <w:tcW w:w="351" w:type="pct"/>
            <w:hideMark/>
          </w:tcPr>
          <w:p w14:paraId="33087D89" w14:textId="77777777" w:rsidR="00F74CAE" w:rsidRPr="00923237" w:rsidRDefault="00F74CAE" w:rsidP="00F317EA">
            <w:pPr>
              <w:pStyle w:val="NoSpacing"/>
              <w:rPr>
                <w:rFonts w:cstheme="minorHAnsi"/>
                <w:sz w:val="20"/>
                <w:szCs w:val="20"/>
              </w:rPr>
            </w:pPr>
            <w:r w:rsidRPr="00923237">
              <w:rPr>
                <w:rFonts w:cstheme="minorHAnsi"/>
                <w:sz w:val="20"/>
                <w:szCs w:val="20"/>
              </w:rPr>
              <w:t>8.56</w:t>
            </w:r>
          </w:p>
        </w:tc>
        <w:tc>
          <w:tcPr>
            <w:tcW w:w="647" w:type="pct"/>
            <w:hideMark/>
          </w:tcPr>
          <w:p w14:paraId="67C4D10D" w14:textId="77777777" w:rsidR="00F74CAE" w:rsidRPr="00923237" w:rsidRDefault="00F74CAE" w:rsidP="00F317EA">
            <w:pPr>
              <w:pStyle w:val="NoSpacing"/>
              <w:rPr>
                <w:rFonts w:cstheme="minorHAnsi"/>
                <w:sz w:val="20"/>
                <w:szCs w:val="20"/>
              </w:rPr>
            </w:pPr>
            <w:r w:rsidRPr="00923237">
              <w:rPr>
                <w:rFonts w:cstheme="minorHAnsi"/>
                <w:sz w:val="20"/>
                <w:szCs w:val="20"/>
              </w:rPr>
              <w:t>74.96</w:t>
            </w:r>
          </w:p>
        </w:tc>
        <w:tc>
          <w:tcPr>
            <w:tcW w:w="497" w:type="pct"/>
            <w:hideMark/>
          </w:tcPr>
          <w:p w14:paraId="0494C93A" w14:textId="77777777" w:rsidR="00F74CAE" w:rsidRPr="00923237" w:rsidRDefault="00F74CAE" w:rsidP="00F317EA">
            <w:pPr>
              <w:pStyle w:val="NoSpacing"/>
              <w:rPr>
                <w:rFonts w:cstheme="minorHAnsi"/>
                <w:sz w:val="20"/>
                <w:szCs w:val="20"/>
              </w:rPr>
            </w:pPr>
            <w:r w:rsidRPr="00923237">
              <w:rPr>
                <w:rFonts w:cstheme="minorHAnsi"/>
                <w:sz w:val="20"/>
                <w:szCs w:val="20"/>
              </w:rPr>
              <w:t>9.06</w:t>
            </w:r>
          </w:p>
        </w:tc>
        <w:tc>
          <w:tcPr>
            <w:tcW w:w="485" w:type="pct"/>
            <w:hideMark/>
          </w:tcPr>
          <w:p w14:paraId="5AF85FF4" w14:textId="77777777" w:rsidR="00F74CAE" w:rsidRPr="00923237" w:rsidRDefault="00F74CAE" w:rsidP="00F317EA">
            <w:pPr>
              <w:pStyle w:val="NoSpacing"/>
              <w:rPr>
                <w:rFonts w:cstheme="minorHAnsi"/>
                <w:sz w:val="20"/>
                <w:szCs w:val="20"/>
              </w:rPr>
            </w:pPr>
            <w:r w:rsidRPr="00923237">
              <w:rPr>
                <w:rFonts w:cstheme="minorHAnsi"/>
                <w:sz w:val="20"/>
                <w:szCs w:val="20"/>
              </w:rPr>
              <w:t>6.77</w:t>
            </w:r>
          </w:p>
        </w:tc>
        <w:tc>
          <w:tcPr>
            <w:tcW w:w="480" w:type="pct"/>
            <w:hideMark/>
          </w:tcPr>
          <w:p w14:paraId="05860217" w14:textId="77777777" w:rsidR="00F74CAE" w:rsidRPr="00923237" w:rsidRDefault="00F74CAE" w:rsidP="00F317EA">
            <w:pPr>
              <w:pStyle w:val="NoSpacing"/>
              <w:rPr>
                <w:rFonts w:cstheme="minorHAnsi"/>
                <w:sz w:val="20"/>
                <w:szCs w:val="20"/>
              </w:rPr>
            </w:pPr>
            <w:r w:rsidRPr="00923237">
              <w:rPr>
                <w:rFonts w:cstheme="minorHAnsi"/>
                <w:sz w:val="20"/>
                <w:szCs w:val="20"/>
              </w:rPr>
              <w:t>5.33</w:t>
            </w:r>
          </w:p>
        </w:tc>
        <w:tc>
          <w:tcPr>
            <w:tcW w:w="627" w:type="pct"/>
            <w:hideMark/>
          </w:tcPr>
          <w:p w14:paraId="010AD5CC" w14:textId="77777777" w:rsidR="00F74CAE" w:rsidRPr="00923237" w:rsidRDefault="00F74CAE" w:rsidP="00F317EA">
            <w:pPr>
              <w:pStyle w:val="NoSpacing"/>
              <w:rPr>
                <w:rFonts w:cstheme="minorHAnsi"/>
                <w:sz w:val="20"/>
                <w:szCs w:val="20"/>
              </w:rPr>
            </w:pPr>
            <w:r w:rsidRPr="00923237">
              <w:rPr>
                <w:rFonts w:cstheme="minorHAnsi"/>
                <w:sz w:val="20"/>
                <w:szCs w:val="20"/>
              </w:rPr>
              <w:t>3.39</w:t>
            </w:r>
          </w:p>
        </w:tc>
        <w:tc>
          <w:tcPr>
            <w:tcW w:w="507" w:type="pct"/>
            <w:hideMark/>
          </w:tcPr>
          <w:p w14:paraId="17B89162" w14:textId="77777777" w:rsidR="00F74CAE" w:rsidRPr="00923237" w:rsidRDefault="00F74CAE" w:rsidP="00F317EA">
            <w:pPr>
              <w:pStyle w:val="NoSpacing"/>
              <w:rPr>
                <w:rFonts w:cstheme="minorHAnsi"/>
                <w:sz w:val="20"/>
                <w:szCs w:val="20"/>
              </w:rPr>
            </w:pPr>
            <w:r w:rsidRPr="00923237">
              <w:rPr>
                <w:rFonts w:cstheme="minorHAnsi"/>
                <w:sz w:val="20"/>
                <w:szCs w:val="20"/>
              </w:rPr>
              <w:t>0.40</w:t>
            </w:r>
          </w:p>
        </w:tc>
        <w:tc>
          <w:tcPr>
            <w:tcW w:w="525" w:type="pct"/>
            <w:hideMark/>
          </w:tcPr>
          <w:p w14:paraId="1EAE1EC4" w14:textId="77777777" w:rsidR="00F74CAE" w:rsidRPr="00923237" w:rsidRDefault="00F74CAE" w:rsidP="00F317EA">
            <w:pPr>
              <w:pStyle w:val="NoSpacing"/>
              <w:rPr>
                <w:rFonts w:cstheme="minorHAnsi"/>
                <w:sz w:val="20"/>
                <w:szCs w:val="20"/>
              </w:rPr>
            </w:pPr>
            <w:r w:rsidRPr="00923237">
              <w:rPr>
                <w:rFonts w:cstheme="minorHAnsi"/>
                <w:sz w:val="20"/>
                <w:szCs w:val="20"/>
              </w:rPr>
              <w:t>18.01</w:t>
            </w:r>
          </w:p>
        </w:tc>
      </w:tr>
      <w:tr w:rsidR="00F74CAE" w:rsidRPr="00923237" w14:paraId="4254CFA2" w14:textId="77777777" w:rsidTr="00261B5A">
        <w:tc>
          <w:tcPr>
            <w:tcW w:w="338" w:type="pct"/>
            <w:hideMark/>
          </w:tcPr>
          <w:p w14:paraId="40EC3F4C" w14:textId="77777777" w:rsidR="00F74CAE" w:rsidRPr="00923237" w:rsidRDefault="00F74CAE" w:rsidP="00F317EA">
            <w:pPr>
              <w:pStyle w:val="NoSpacing"/>
              <w:rPr>
                <w:rFonts w:cstheme="minorHAnsi"/>
                <w:sz w:val="20"/>
                <w:szCs w:val="20"/>
              </w:rPr>
            </w:pPr>
          </w:p>
        </w:tc>
        <w:tc>
          <w:tcPr>
            <w:tcW w:w="351" w:type="pct"/>
            <w:hideMark/>
          </w:tcPr>
          <w:p w14:paraId="424511F3" w14:textId="77777777" w:rsidR="00F74CAE" w:rsidRPr="00923237" w:rsidRDefault="00F74CAE" w:rsidP="00F317EA">
            <w:pPr>
              <w:pStyle w:val="NoSpacing"/>
              <w:rPr>
                <w:rFonts w:cstheme="minorHAnsi"/>
                <w:sz w:val="20"/>
                <w:szCs w:val="20"/>
              </w:rPr>
            </w:pPr>
            <w:r w:rsidRPr="00923237">
              <w:rPr>
                <w:rFonts w:cstheme="minorHAnsi"/>
                <w:sz w:val="20"/>
                <w:szCs w:val="20"/>
              </w:rPr>
              <w:t>P-value</w:t>
            </w:r>
          </w:p>
        </w:tc>
        <w:tc>
          <w:tcPr>
            <w:tcW w:w="191" w:type="pct"/>
            <w:hideMark/>
          </w:tcPr>
          <w:p w14:paraId="6ECE766F" w14:textId="77777777" w:rsidR="00F74CAE" w:rsidRPr="00923237" w:rsidRDefault="00F74CAE" w:rsidP="00F317EA">
            <w:pPr>
              <w:pStyle w:val="NoSpacing"/>
              <w:rPr>
                <w:rFonts w:cstheme="minorHAnsi"/>
                <w:sz w:val="20"/>
                <w:szCs w:val="20"/>
              </w:rPr>
            </w:pPr>
          </w:p>
        </w:tc>
        <w:tc>
          <w:tcPr>
            <w:tcW w:w="351" w:type="pct"/>
            <w:hideMark/>
          </w:tcPr>
          <w:p w14:paraId="01A27464" w14:textId="77777777" w:rsidR="00F74CAE" w:rsidRPr="00923237" w:rsidRDefault="00F74CAE" w:rsidP="00F317EA">
            <w:pPr>
              <w:pStyle w:val="NoSpacing"/>
              <w:rPr>
                <w:rFonts w:cstheme="minorHAnsi"/>
                <w:sz w:val="20"/>
                <w:szCs w:val="20"/>
              </w:rPr>
            </w:pPr>
            <w:r w:rsidRPr="00923237">
              <w:rPr>
                <w:rFonts w:cstheme="minorHAnsi"/>
                <w:sz w:val="20"/>
                <w:szCs w:val="20"/>
              </w:rPr>
              <w:t>0.01</w:t>
            </w:r>
          </w:p>
        </w:tc>
        <w:tc>
          <w:tcPr>
            <w:tcW w:w="647" w:type="pct"/>
            <w:hideMark/>
          </w:tcPr>
          <w:p w14:paraId="5057E1BD" w14:textId="77777777" w:rsidR="00F74CAE" w:rsidRPr="00923237" w:rsidRDefault="00F74CAE" w:rsidP="00F317EA">
            <w:pPr>
              <w:pStyle w:val="NoSpacing"/>
              <w:rPr>
                <w:rFonts w:cstheme="minorHAnsi"/>
                <w:sz w:val="20"/>
                <w:szCs w:val="20"/>
              </w:rPr>
            </w:pPr>
            <w:r w:rsidRPr="00923237">
              <w:rPr>
                <w:rFonts w:cstheme="minorHAnsi"/>
                <w:sz w:val="20"/>
                <w:szCs w:val="20"/>
              </w:rPr>
              <w:t>0.00</w:t>
            </w:r>
          </w:p>
        </w:tc>
        <w:tc>
          <w:tcPr>
            <w:tcW w:w="497" w:type="pct"/>
            <w:hideMark/>
          </w:tcPr>
          <w:p w14:paraId="567BFF74" w14:textId="77777777" w:rsidR="00F74CAE" w:rsidRPr="00923237" w:rsidRDefault="00F74CAE" w:rsidP="00F317EA">
            <w:pPr>
              <w:pStyle w:val="NoSpacing"/>
              <w:rPr>
                <w:rFonts w:cstheme="minorHAnsi"/>
                <w:sz w:val="20"/>
                <w:szCs w:val="20"/>
              </w:rPr>
            </w:pPr>
            <w:r w:rsidRPr="00923237">
              <w:rPr>
                <w:rFonts w:cstheme="minorHAnsi"/>
                <w:sz w:val="20"/>
                <w:szCs w:val="20"/>
              </w:rPr>
              <w:t>0.00</w:t>
            </w:r>
          </w:p>
        </w:tc>
        <w:tc>
          <w:tcPr>
            <w:tcW w:w="485" w:type="pct"/>
            <w:hideMark/>
          </w:tcPr>
          <w:p w14:paraId="6E03EABE" w14:textId="77777777" w:rsidR="00F74CAE" w:rsidRPr="00923237" w:rsidRDefault="00F74CAE" w:rsidP="00F317EA">
            <w:pPr>
              <w:pStyle w:val="NoSpacing"/>
              <w:rPr>
                <w:rFonts w:cstheme="minorHAnsi"/>
                <w:sz w:val="20"/>
                <w:szCs w:val="20"/>
              </w:rPr>
            </w:pPr>
            <w:r w:rsidRPr="00923237">
              <w:rPr>
                <w:rFonts w:cstheme="minorHAnsi"/>
                <w:sz w:val="20"/>
                <w:szCs w:val="20"/>
              </w:rPr>
              <w:t>0.00</w:t>
            </w:r>
          </w:p>
        </w:tc>
        <w:tc>
          <w:tcPr>
            <w:tcW w:w="480" w:type="pct"/>
            <w:hideMark/>
          </w:tcPr>
          <w:p w14:paraId="2751608E" w14:textId="77777777" w:rsidR="00F74CAE" w:rsidRPr="00923237" w:rsidRDefault="00F74CAE" w:rsidP="00F317EA">
            <w:pPr>
              <w:pStyle w:val="NoSpacing"/>
              <w:rPr>
                <w:rFonts w:cstheme="minorHAnsi"/>
                <w:sz w:val="20"/>
                <w:szCs w:val="20"/>
              </w:rPr>
            </w:pPr>
            <w:r w:rsidRPr="00923237">
              <w:rPr>
                <w:rFonts w:cstheme="minorHAnsi"/>
                <w:sz w:val="20"/>
                <w:szCs w:val="20"/>
              </w:rPr>
              <w:t>0.15</w:t>
            </w:r>
          </w:p>
        </w:tc>
        <w:tc>
          <w:tcPr>
            <w:tcW w:w="627" w:type="pct"/>
            <w:hideMark/>
          </w:tcPr>
          <w:p w14:paraId="77F1DFDB" w14:textId="77777777" w:rsidR="00F74CAE" w:rsidRPr="00923237" w:rsidRDefault="00F74CAE" w:rsidP="00F317EA">
            <w:pPr>
              <w:pStyle w:val="NoSpacing"/>
              <w:rPr>
                <w:rFonts w:cstheme="minorHAnsi"/>
                <w:sz w:val="20"/>
                <w:szCs w:val="20"/>
              </w:rPr>
            </w:pPr>
            <w:r w:rsidRPr="00923237">
              <w:rPr>
                <w:rFonts w:cstheme="minorHAnsi"/>
                <w:sz w:val="20"/>
                <w:szCs w:val="20"/>
              </w:rPr>
              <w:t>0.57</w:t>
            </w:r>
          </w:p>
        </w:tc>
        <w:tc>
          <w:tcPr>
            <w:tcW w:w="507" w:type="pct"/>
            <w:hideMark/>
          </w:tcPr>
          <w:p w14:paraId="1525BE36" w14:textId="77777777" w:rsidR="00F74CAE" w:rsidRPr="00923237" w:rsidRDefault="00F74CAE" w:rsidP="00F317EA">
            <w:pPr>
              <w:pStyle w:val="NoSpacing"/>
              <w:rPr>
                <w:rFonts w:cstheme="minorHAnsi"/>
                <w:sz w:val="20"/>
                <w:szCs w:val="20"/>
              </w:rPr>
            </w:pPr>
            <w:r w:rsidRPr="00923237">
              <w:rPr>
                <w:rFonts w:cstheme="minorHAnsi"/>
                <w:sz w:val="20"/>
                <w:szCs w:val="20"/>
              </w:rPr>
              <w:t>0.00</w:t>
            </w:r>
          </w:p>
        </w:tc>
        <w:tc>
          <w:tcPr>
            <w:tcW w:w="525" w:type="pct"/>
            <w:hideMark/>
          </w:tcPr>
          <w:p w14:paraId="63FED596" w14:textId="77777777" w:rsidR="00F74CAE" w:rsidRPr="00923237" w:rsidRDefault="00F74CAE" w:rsidP="00F317EA">
            <w:pPr>
              <w:pStyle w:val="NoSpacing"/>
              <w:rPr>
                <w:rFonts w:cstheme="minorHAnsi"/>
                <w:sz w:val="20"/>
                <w:szCs w:val="20"/>
              </w:rPr>
            </w:pPr>
            <w:r w:rsidRPr="00923237">
              <w:rPr>
                <w:rFonts w:cstheme="minorHAnsi"/>
                <w:sz w:val="20"/>
                <w:szCs w:val="20"/>
              </w:rPr>
              <w:t>0.00</w:t>
            </w:r>
          </w:p>
        </w:tc>
      </w:tr>
      <w:tr w:rsidR="00A4606E" w:rsidRPr="00923237" w14:paraId="2A332AB2" w14:textId="77777777" w:rsidTr="00261B5A">
        <w:tc>
          <w:tcPr>
            <w:tcW w:w="338" w:type="pct"/>
            <w:hideMark/>
          </w:tcPr>
          <w:p w14:paraId="4AAE4228" w14:textId="77777777" w:rsidR="00A4606E" w:rsidRPr="00923237" w:rsidRDefault="00A4606E" w:rsidP="00F317EA">
            <w:pPr>
              <w:pStyle w:val="NoSpacing"/>
              <w:rPr>
                <w:rFonts w:cstheme="minorHAnsi"/>
                <w:sz w:val="20"/>
                <w:szCs w:val="20"/>
              </w:rPr>
            </w:pPr>
            <w:r w:rsidRPr="00923237">
              <w:rPr>
                <w:rFonts w:cstheme="minorHAnsi"/>
                <w:sz w:val="20"/>
                <w:szCs w:val="20"/>
              </w:rPr>
              <w:t>Medium</w:t>
            </w:r>
          </w:p>
        </w:tc>
        <w:tc>
          <w:tcPr>
            <w:tcW w:w="351" w:type="pct"/>
            <w:hideMark/>
          </w:tcPr>
          <w:p w14:paraId="1A2CDD3D" w14:textId="77777777" w:rsidR="00A4606E" w:rsidRPr="00923237" w:rsidRDefault="00A4606E" w:rsidP="00F317EA">
            <w:pPr>
              <w:pStyle w:val="NoSpacing"/>
              <w:rPr>
                <w:rFonts w:cstheme="minorHAnsi"/>
                <w:sz w:val="20"/>
                <w:szCs w:val="20"/>
              </w:rPr>
            </w:pPr>
            <w:r w:rsidRPr="00923237">
              <w:rPr>
                <w:rFonts w:cstheme="minorHAnsi"/>
                <w:sz w:val="20"/>
                <w:szCs w:val="20"/>
              </w:rPr>
              <w:t>Pre-crisis</w:t>
            </w:r>
          </w:p>
        </w:tc>
        <w:tc>
          <w:tcPr>
            <w:tcW w:w="191" w:type="pct"/>
            <w:hideMark/>
          </w:tcPr>
          <w:p w14:paraId="4630256E" w14:textId="77777777" w:rsidR="00A4606E" w:rsidRPr="00923237" w:rsidRDefault="00A4606E" w:rsidP="00F317EA">
            <w:pPr>
              <w:pStyle w:val="NoSpacing"/>
              <w:rPr>
                <w:rFonts w:cstheme="minorHAnsi"/>
                <w:sz w:val="20"/>
                <w:szCs w:val="20"/>
              </w:rPr>
            </w:pPr>
            <w:r w:rsidRPr="00923237">
              <w:rPr>
                <w:rFonts w:cstheme="minorHAnsi"/>
                <w:sz w:val="20"/>
                <w:szCs w:val="20"/>
              </w:rPr>
              <w:t>225</w:t>
            </w:r>
          </w:p>
        </w:tc>
        <w:tc>
          <w:tcPr>
            <w:tcW w:w="351" w:type="pct"/>
            <w:hideMark/>
          </w:tcPr>
          <w:p w14:paraId="4018D69C" w14:textId="77777777" w:rsidR="00A4606E" w:rsidRPr="00923237" w:rsidRDefault="00A4606E" w:rsidP="00F317EA">
            <w:pPr>
              <w:pStyle w:val="NoSpacing"/>
              <w:rPr>
                <w:rFonts w:cstheme="minorHAnsi"/>
                <w:sz w:val="20"/>
                <w:szCs w:val="20"/>
              </w:rPr>
            </w:pPr>
            <w:r w:rsidRPr="00923237">
              <w:rPr>
                <w:rFonts w:cstheme="minorHAnsi"/>
                <w:sz w:val="20"/>
                <w:szCs w:val="20"/>
              </w:rPr>
              <w:t>8.47</w:t>
            </w:r>
          </w:p>
        </w:tc>
        <w:tc>
          <w:tcPr>
            <w:tcW w:w="647" w:type="pct"/>
            <w:hideMark/>
          </w:tcPr>
          <w:p w14:paraId="13EDFCDC" w14:textId="77777777" w:rsidR="00A4606E" w:rsidRPr="00923237" w:rsidRDefault="00A4606E" w:rsidP="00F317EA">
            <w:pPr>
              <w:pStyle w:val="NoSpacing"/>
              <w:rPr>
                <w:rFonts w:cstheme="minorHAnsi"/>
                <w:sz w:val="20"/>
                <w:szCs w:val="20"/>
              </w:rPr>
            </w:pPr>
            <w:r w:rsidRPr="00923237">
              <w:rPr>
                <w:rFonts w:cstheme="minorHAnsi"/>
                <w:sz w:val="20"/>
                <w:szCs w:val="20"/>
              </w:rPr>
              <w:t>71.17</w:t>
            </w:r>
          </w:p>
        </w:tc>
        <w:tc>
          <w:tcPr>
            <w:tcW w:w="497" w:type="pct"/>
            <w:hideMark/>
          </w:tcPr>
          <w:p w14:paraId="2C0A43C3" w14:textId="77777777" w:rsidR="00A4606E" w:rsidRPr="00923237" w:rsidRDefault="00A4606E" w:rsidP="00F317EA">
            <w:pPr>
              <w:pStyle w:val="NoSpacing"/>
              <w:rPr>
                <w:rFonts w:cstheme="minorHAnsi"/>
                <w:sz w:val="20"/>
                <w:szCs w:val="20"/>
              </w:rPr>
            </w:pPr>
            <w:r w:rsidRPr="00923237">
              <w:rPr>
                <w:rFonts w:cstheme="minorHAnsi"/>
                <w:sz w:val="20"/>
                <w:szCs w:val="20"/>
              </w:rPr>
              <w:t>8.54</w:t>
            </w:r>
          </w:p>
        </w:tc>
        <w:tc>
          <w:tcPr>
            <w:tcW w:w="485" w:type="pct"/>
            <w:hideMark/>
          </w:tcPr>
          <w:p w14:paraId="20D66064" w14:textId="77777777" w:rsidR="00A4606E" w:rsidRPr="00923237" w:rsidRDefault="00A4606E" w:rsidP="00F317EA">
            <w:pPr>
              <w:pStyle w:val="NoSpacing"/>
              <w:rPr>
                <w:rFonts w:cstheme="minorHAnsi"/>
                <w:sz w:val="20"/>
                <w:szCs w:val="20"/>
              </w:rPr>
            </w:pPr>
            <w:r w:rsidRPr="00923237">
              <w:rPr>
                <w:rFonts w:cstheme="minorHAnsi"/>
                <w:sz w:val="20"/>
                <w:szCs w:val="20"/>
              </w:rPr>
              <w:t>7.65</w:t>
            </w:r>
          </w:p>
        </w:tc>
        <w:tc>
          <w:tcPr>
            <w:tcW w:w="480" w:type="pct"/>
            <w:hideMark/>
          </w:tcPr>
          <w:p w14:paraId="5B3C99EB" w14:textId="77777777" w:rsidR="00A4606E" w:rsidRPr="00923237" w:rsidRDefault="00A4606E" w:rsidP="00F317EA">
            <w:pPr>
              <w:pStyle w:val="NoSpacing"/>
              <w:rPr>
                <w:rFonts w:cstheme="minorHAnsi"/>
                <w:sz w:val="20"/>
                <w:szCs w:val="20"/>
              </w:rPr>
            </w:pPr>
            <w:r w:rsidRPr="00923237">
              <w:rPr>
                <w:rFonts w:cstheme="minorHAnsi"/>
                <w:sz w:val="20"/>
                <w:szCs w:val="20"/>
              </w:rPr>
              <w:t>4.34</w:t>
            </w:r>
          </w:p>
        </w:tc>
        <w:tc>
          <w:tcPr>
            <w:tcW w:w="627" w:type="pct"/>
            <w:hideMark/>
          </w:tcPr>
          <w:p w14:paraId="3EE9B20D" w14:textId="77777777" w:rsidR="00A4606E" w:rsidRPr="00923237" w:rsidRDefault="00A4606E" w:rsidP="00F317EA">
            <w:pPr>
              <w:pStyle w:val="NoSpacing"/>
              <w:rPr>
                <w:rFonts w:cstheme="minorHAnsi"/>
                <w:sz w:val="20"/>
                <w:szCs w:val="20"/>
              </w:rPr>
            </w:pPr>
            <w:r w:rsidRPr="00923237">
              <w:rPr>
                <w:rFonts w:cstheme="minorHAnsi"/>
                <w:sz w:val="20"/>
                <w:szCs w:val="20"/>
              </w:rPr>
              <w:t>2.84</w:t>
            </w:r>
          </w:p>
        </w:tc>
        <w:tc>
          <w:tcPr>
            <w:tcW w:w="507" w:type="pct"/>
            <w:hideMark/>
          </w:tcPr>
          <w:p w14:paraId="266062DC" w14:textId="77777777" w:rsidR="00A4606E" w:rsidRPr="00923237" w:rsidRDefault="00A4606E" w:rsidP="00F317EA">
            <w:pPr>
              <w:pStyle w:val="NoSpacing"/>
              <w:rPr>
                <w:rFonts w:cstheme="minorHAnsi"/>
                <w:sz w:val="20"/>
                <w:szCs w:val="20"/>
              </w:rPr>
            </w:pPr>
            <w:r w:rsidRPr="00923237">
              <w:rPr>
                <w:rFonts w:cstheme="minorHAnsi"/>
                <w:sz w:val="20"/>
                <w:szCs w:val="20"/>
              </w:rPr>
              <w:t>0.43</w:t>
            </w:r>
          </w:p>
        </w:tc>
        <w:tc>
          <w:tcPr>
            <w:tcW w:w="525" w:type="pct"/>
            <w:hideMark/>
          </w:tcPr>
          <w:p w14:paraId="5ABD45FF" w14:textId="77777777" w:rsidR="00A4606E" w:rsidRPr="00923237" w:rsidRDefault="00A4606E" w:rsidP="00F317EA">
            <w:pPr>
              <w:pStyle w:val="NoSpacing"/>
              <w:rPr>
                <w:rFonts w:cstheme="minorHAnsi"/>
                <w:sz w:val="20"/>
                <w:szCs w:val="20"/>
              </w:rPr>
            </w:pPr>
            <w:r w:rsidRPr="00923237">
              <w:rPr>
                <w:rFonts w:cstheme="minorHAnsi"/>
                <w:sz w:val="20"/>
                <w:szCs w:val="20"/>
              </w:rPr>
              <w:t>25.24</w:t>
            </w:r>
          </w:p>
        </w:tc>
      </w:tr>
      <w:tr w:rsidR="00A4606E" w:rsidRPr="00923237" w14:paraId="115A1F11" w14:textId="77777777" w:rsidTr="00261B5A">
        <w:tc>
          <w:tcPr>
            <w:tcW w:w="338" w:type="pct"/>
            <w:hideMark/>
          </w:tcPr>
          <w:p w14:paraId="07F9A717" w14:textId="77777777" w:rsidR="00A4606E" w:rsidRPr="00923237" w:rsidRDefault="00A4606E" w:rsidP="00F317EA">
            <w:pPr>
              <w:pStyle w:val="NoSpacing"/>
              <w:rPr>
                <w:rFonts w:cstheme="minorHAnsi"/>
                <w:sz w:val="20"/>
                <w:szCs w:val="20"/>
              </w:rPr>
            </w:pPr>
          </w:p>
        </w:tc>
        <w:tc>
          <w:tcPr>
            <w:tcW w:w="351" w:type="pct"/>
            <w:hideMark/>
          </w:tcPr>
          <w:p w14:paraId="0F8BC838" w14:textId="77777777" w:rsidR="00A4606E" w:rsidRPr="00923237" w:rsidRDefault="00A4606E" w:rsidP="00F317EA">
            <w:pPr>
              <w:pStyle w:val="NoSpacing"/>
              <w:rPr>
                <w:rFonts w:cstheme="minorHAnsi"/>
                <w:sz w:val="20"/>
                <w:szCs w:val="20"/>
              </w:rPr>
            </w:pPr>
            <w:r w:rsidRPr="00923237">
              <w:rPr>
                <w:rFonts w:cstheme="minorHAnsi"/>
                <w:sz w:val="20"/>
                <w:szCs w:val="20"/>
              </w:rPr>
              <w:t>Crisis</w:t>
            </w:r>
          </w:p>
        </w:tc>
        <w:tc>
          <w:tcPr>
            <w:tcW w:w="191" w:type="pct"/>
            <w:hideMark/>
          </w:tcPr>
          <w:p w14:paraId="008CBBED" w14:textId="77777777" w:rsidR="00A4606E" w:rsidRPr="00923237" w:rsidRDefault="00A4606E" w:rsidP="00F317EA">
            <w:pPr>
              <w:pStyle w:val="NoSpacing"/>
              <w:rPr>
                <w:rFonts w:cstheme="minorHAnsi"/>
                <w:sz w:val="20"/>
                <w:szCs w:val="20"/>
              </w:rPr>
            </w:pPr>
            <w:r w:rsidRPr="00923237">
              <w:rPr>
                <w:rFonts w:cstheme="minorHAnsi"/>
                <w:sz w:val="20"/>
                <w:szCs w:val="20"/>
              </w:rPr>
              <w:t>105</w:t>
            </w:r>
          </w:p>
        </w:tc>
        <w:tc>
          <w:tcPr>
            <w:tcW w:w="351" w:type="pct"/>
            <w:hideMark/>
          </w:tcPr>
          <w:p w14:paraId="321233B0" w14:textId="77777777" w:rsidR="00A4606E" w:rsidRPr="00923237" w:rsidRDefault="00A4606E" w:rsidP="00F317EA">
            <w:pPr>
              <w:pStyle w:val="NoSpacing"/>
              <w:rPr>
                <w:rFonts w:cstheme="minorHAnsi"/>
                <w:sz w:val="20"/>
                <w:szCs w:val="20"/>
              </w:rPr>
            </w:pPr>
            <w:r w:rsidRPr="00923237">
              <w:rPr>
                <w:rFonts w:cstheme="minorHAnsi"/>
                <w:sz w:val="20"/>
                <w:szCs w:val="20"/>
              </w:rPr>
              <w:t>8.50</w:t>
            </w:r>
          </w:p>
        </w:tc>
        <w:tc>
          <w:tcPr>
            <w:tcW w:w="647" w:type="pct"/>
            <w:hideMark/>
          </w:tcPr>
          <w:p w14:paraId="7F55B071" w14:textId="77777777" w:rsidR="00A4606E" w:rsidRPr="00923237" w:rsidRDefault="00A4606E" w:rsidP="00F317EA">
            <w:pPr>
              <w:pStyle w:val="NoSpacing"/>
              <w:rPr>
                <w:rFonts w:cstheme="minorHAnsi"/>
                <w:sz w:val="20"/>
                <w:szCs w:val="20"/>
              </w:rPr>
            </w:pPr>
            <w:r w:rsidRPr="00923237">
              <w:rPr>
                <w:rFonts w:cstheme="minorHAnsi"/>
                <w:sz w:val="20"/>
                <w:szCs w:val="20"/>
              </w:rPr>
              <w:t>71.10</w:t>
            </w:r>
          </w:p>
        </w:tc>
        <w:tc>
          <w:tcPr>
            <w:tcW w:w="497" w:type="pct"/>
            <w:hideMark/>
          </w:tcPr>
          <w:p w14:paraId="155ECBAA" w14:textId="77777777" w:rsidR="00A4606E" w:rsidRPr="00923237" w:rsidRDefault="00A4606E" w:rsidP="00F317EA">
            <w:pPr>
              <w:pStyle w:val="NoSpacing"/>
              <w:rPr>
                <w:rFonts w:cstheme="minorHAnsi"/>
                <w:sz w:val="20"/>
                <w:szCs w:val="20"/>
              </w:rPr>
            </w:pPr>
            <w:r w:rsidRPr="00923237">
              <w:rPr>
                <w:rFonts w:cstheme="minorHAnsi"/>
                <w:sz w:val="20"/>
                <w:szCs w:val="20"/>
              </w:rPr>
              <w:t>8.70</w:t>
            </w:r>
          </w:p>
        </w:tc>
        <w:tc>
          <w:tcPr>
            <w:tcW w:w="485" w:type="pct"/>
            <w:hideMark/>
          </w:tcPr>
          <w:p w14:paraId="70B7E423" w14:textId="77777777" w:rsidR="00A4606E" w:rsidRPr="00923237" w:rsidRDefault="00A4606E" w:rsidP="00F317EA">
            <w:pPr>
              <w:pStyle w:val="NoSpacing"/>
              <w:rPr>
                <w:rFonts w:cstheme="minorHAnsi"/>
                <w:sz w:val="20"/>
                <w:szCs w:val="20"/>
              </w:rPr>
            </w:pPr>
            <w:r w:rsidRPr="00923237">
              <w:rPr>
                <w:rFonts w:cstheme="minorHAnsi"/>
                <w:sz w:val="20"/>
                <w:szCs w:val="20"/>
              </w:rPr>
              <w:t>6.94</w:t>
            </w:r>
          </w:p>
        </w:tc>
        <w:tc>
          <w:tcPr>
            <w:tcW w:w="480" w:type="pct"/>
            <w:hideMark/>
          </w:tcPr>
          <w:p w14:paraId="59B8196F" w14:textId="77777777" w:rsidR="00A4606E" w:rsidRPr="00923237" w:rsidRDefault="00A4606E" w:rsidP="00F317EA">
            <w:pPr>
              <w:pStyle w:val="NoSpacing"/>
              <w:rPr>
                <w:rFonts w:cstheme="minorHAnsi"/>
                <w:sz w:val="20"/>
                <w:szCs w:val="20"/>
              </w:rPr>
            </w:pPr>
            <w:r w:rsidRPr="00923237">
              <w:rPr>
                <w:rFonts w:cstheme="minorHAnsi"/>
                <w:sz w:val="20"/>
                <w:szCs w:val="20"/>
              </w:rPr>
              <w:t>5.09</w:t>
            </w:r>
          </w:p>
        </w:tc>
        <w:tc>
          <w:tcPr>
            <w:tcW w:w="627" w:type="pct"/>
            <w:hideMark/>
          </w:tcPr>
          <w:p w14:paraId="06B4A7F2" w14:textId="77777777" w:rsidR="00A4606E" w:rsidRPr="00923237" w:rsidRDefault="00A4606E" w:rsidP="00F317EA">
            <w:pPr>
              <w:pStyle w:val="NoSpacing"/>
              <w:rPr>
                <w:rFonts w:cstheme="minorHAnsi"/>
                <w:sz w:val="20"/>
                <w:szCs w:val="20"/>
              </w:rPr>
            </w:pPr>
            <w:r w:rsidRPr="00923237">
              <w:rPr>
                <w:rFonts w:cstheme="minorHAnsi"/>
                <w:sz w:val="20"/>
                <w:szCs w:val="20"/>
              </w:rPr>
              <w:t>3.13</w:t>
            </w:r>
          </w:p>
        </w:tc>
        <w:tc>
          <w:tcPr>
            <w:tcW w:w="507" w:type="pct"/>
            <w:hideMark/>
          </w:tcPr>
          <w:p w14:paraId="5B9BA29D" w14:textId="77777777" w:rsidR="00A4606E" w:rsidRPr="00923237" w:rsidRDefault="00A4606E" w:rsidP="00F317EA">
            <w:pPr>
              <w:pStyle w:val="NoSpacing"/>
              <w:rPr>
                <w:rFonts w:cstheme="minorHAnsi"/>
                <w:sz w:val="20"/>
                <w:szCs w:val="20"/>
              </w:rPr>
            </w:pPr>
            <w:r w:rsidRPr="00923237">
              <w:rPr>
                <w:rFonts w:cstheme="minorHAnsi"/>
                <w:sz w:val="20"/>
                <w:szCs w:val="20"/>
              </w:rPr>
              <w:t>0.55</w:t>
            </w:r>
          </w:p>
        </w:tc>
        <w:tc>
          <w:tcPr>
            <w:tcW w:w="525" w:type="pct"/>
            <w:hideMark/>
          </w:tcPr>
          <w:p w14:paraId="7CBA479C" w14:textId="77777777" w:rsidR="00A4606E" w:rsidRPr="00923237" w:rsidRDefault="00A4606E" w:rsidP="00F317EA">
            <w:pPr>
              <w:pStyle w:val="NoSpacing"/>
              <w:rPr>
                <w:rFonts w:cstheme="minorHAnsi"/>
                <w:sz w:val="20"/>
                <w:szCs w:val="20"/>
              </w:rPr>
            </w:pPr>
            <w:r w:rsidRPr="00923237">
              <w:rPr>
                <w:rFonts w:cstheme="minorHAnsi"/>
                <w:sz w:val="20"/>
                <w:szCs w:val="20"/>
              </w:rPr>
              <w:t>−28.96</w:t>
            </w:r>
          </w:p>
        </w:tc>
      </w:tr>
      <w:tr w:rsidR="00A4606E" w:rsidRPr="00923237" w14:paraId="48895AC6" w14:textId="77777777" w:rsidTr="00261B5A">
        <w:tc>
          <w:tcPr>
            <w:tcW w:w="338" w:type="pct"/>
            <w:hideMark/>
          </w:tcPr>
          <w:p w14:paraId="49667829" w14:textId="77777777" w:rsidR="00A4606E" w:rsidRPr="00923237" w:rsidRDefault="00A4606E" w:rsidP="00F317EA">
            <w:pPr>
              <w:pStyle w:val="NoSpacing"/>
              <w:rPr>
                <w:rFonts w:cstheme="minorHAnsi"/>
                <w:sz w:val="20"/>
                <w:szCs w:val="20"/>
              </w:rPr>
            </w:pPr>
          </w:p>
        </w:tc>
        <w:tc>
          <w:tcPr>
            <w:tcW w:w="351" w:type="pct"/>
            <w:hideMark/>
          </w:tcPr>
          <w:p w14:paraId="7B1CA471" w14:textId="77777777" w:rsidR="00A4606E" w:rsidRPr="00923237" w:rsidRDefault="00A4606E" w:rsidP="00F317EA">
            <w:pPr>
              <w:pStyle w:val="NoSpacing"/>
              <w:rPr>
                <w:rFonts w:cstheme="minorHAnsi"/>
                <w:sz w:val="20"/>
                <w:szCs w:val="20"/>
              </w:rPr>
            </w:pPr>
            <w:r w:rsidRPr="00923237">
              <w:rPr>
                <w:rFonts w:cstheme="minorHAnsi"/>
                <w:sz w:val="20"/>
                <w:szCs w:val="20"/>
              </w:rPr>
              <w:t>Post-crisis</w:t>
            </w:r>
          </w:p>
        </w:tc>
        <w:tc>
          <w:tcPr>
            <w:tcW w:w="191" w:type="pct"/>
            <w:hideMark/>
          </w:tcPr>
          <w:p w14:paraId="14DD844E" w14:textId="77777777" w:rsidR="00A4606E" w:rsidRPr="00923237" w:rsidRDefault="00A4606E" w:rsidP="00F317EA">
            <w:pPr>
              <w:pStyle w:val="NoSpacing"/>
              <w:rPr>
                <w:rFonts w:cstheme="minorHAnsi"/>
                <w:sz w:val="20"/>
                <w:szCs w:val="20"/>
              </w:rPr>
            </w:pPr>
            <w:r w:rsidRPr="00923237">
              <w:rPr>
                <w:rFonts w:cstheme="minorHAnsi"/>
                <w:sz w:val="20"/>
                <w:szCs w:val="20"/>
              </w:rPr>
              <w:t>409</w:t>
            </w:r>
          </w:p>
        </w:tc>
        <w:tc>
          <w:tcPr>
            <w:tcW w:w="351" w:type="pct"/>
            <w:hideMark/>
          </w:tcPr>
          <w:p w14:paraId="1129648D" w14:textId="77777777" w:rsidR="00A4606E" w:rsidRPr="00923237" w:rsidRDefault="00A4606E" w:rsidP="00F317EA">
            <w:pPr>
              <w:pStyle w:val="NoSpacing"/>
              <w:rPr>
                <w:rFonts w:cstheme="minorHAnsi"/>
                <w:sz w:val="20"/>
                <w:szCs w:val="20"/>
              </w:rPr>
            </w:pPr>
            <w:r w:rsidRPr="00923237">
              <w:rPr>
                <w:rFonts w:cstheme="minorHAnsi"/>
                <w:sz w:val="20"/>
                <w:szCs w:val="20"/>
              </w:rPr>
              <w:t>7.93</w:t>
            </w:r>
          </w:p>
        </w:tc>
        <w:tc>
          <w:tcPr>
            <w:tcW w:w="647" w:type="pct"/>
            <w:hideMark/>
          </w:tcPr>
          <w:p w14:paraId="7C03423F" w14:textId="77777777" w:rsidR="00A4606E" w:rsidRPr="00923237" w:rsidRDefault="00A4606E" w:rsidP="00F317EA">
            <w:pPr>
              <w:pStyle w:val="NoSpacing"/>
              <w:rPr>
                <w:rFonts w:cstheme="minorHAnsi"/>
                <w:sz w:val="20"/>
                <w:szCs w:val="20"/>
              </w:rPr>
            </w:pPr>
            <w:r w:rsidRPr="00923237">
              <w:rPr>
                <w:rFonts w:cstheme="minorHAnsi"/>
                <w:sz w:val="20"/>
                <w:szCs w:val="20"/>
              </w:rPr>
              <w:t>76.67</w:t>
            </w:r>
          </w:p>
        </w:tc>
        <w:tc>
          <w:tcPr>
            <w:tcW w:w="497" w:type="pct"/>
            <w:hideMark/>
          </w:tcPr>
          <w:p w14:paraId="2411609A" w14:textId="77777777" w:rsidR="00A4606E" w:rsidRPr="00923237" w:rsidRDefault="00A4606E" w:rsidP="00F317EA">
            <w:pPr>
              <w:pStyle w:val="NoSpacing"/>
              <w:rPr>
                <w:rFonts w:cstheme="minorHAnsi"/>
                <w:sz w:val="20"/>
                <w:szCs w:val="20"/>
              </w:rPr>
            </w:pPr>
            <w:r w:rsidRPr="00923237">
              <w:rPr>
                <w:rFonts w:cstheme="minorHAnsi"/>
                <w:sz w:val="20"/>
                <w:szCs w:val="20"/>
              </w:rPr>
              <w:t>8.19</w:t>
            </w:r>
          </w:p>
        </w:tc>
        <w:tc>
          <w:tcPr>
            <w:tcW w:w="485" w:type="pct"/>
            <w:hideMark/>
          </w:tcPr>
          <w:p w14:paraId="49B3B535" w14:textId="77777777" w:rsidR="00A4606E" w:rsidRPr="00923237" w:rsidRDefault="00A4606E" w:rsidP="00F317EA">
            <w:pPr>
              <w:pStyle w:val="NoSpacing"/>
              <w:rPr>
                <w:rFonts w:cstheme="minorHAnsi"/>
                <w:sz w:val="20"/>
                <w:szCs w:val="20"/>
              </w:rPr>
            </w:pPr>
            <w:r w:rsidRPr="00923237">
              <w:rPr>
                <w:rFonts w:cstheme="minorHAnsi"/>
                <w:sz w:val="20"/>
                <w:szCs w:val="20"/>
              </w:rPr>
              <w:t>6.35</w:t>
            </w:r>
          </w:p>
        </w:tc>
        <w:tc>
          <w:tcPr>
            <w:tcW w:w="480" w:type="pct"/>
            <w:hideMark/>
          </w:tcPr>
          <w:p w14:paraId="0E3B941D" w14:textId="77777777" w:rsidR="00A4606E" w:rsidRPr="00923237" w:rsidRDefault="00A4606E" w:rsidP="00F317EA">
            <w:pPr>
              <w:pStyle w:val="NoSpacing"/>
              <w:rPr>
                <w:rFonts w:cstheme="minorHAnsi"/>
                <w:sz w:val="20"/>
                <w:szCs w:val="20"/>
              </w:rPr>
            </w:pPr>
            <w:r w:rsidRPr="00923237">
              <w:rPr>
                <w:rFonts w:cstheme="minorHAnsi"/>
                <w:sz w:val="20"/>
                <w:szCs w:val="20"/>
              </w:rPr>
              <w:t>5.22</w:t>
            </w:r>
          </w:p>
        </w:tc>
        <w:tc>
          <w:tcPr>
            <w:tcW w:w="627" w:type="pct"/>
            <w:hideMark/>
          </w:tcPr>
          <w:p w14:paraId="1EADD88E" w14:textId="77777777" w:rsidR="00A4606E" w:rsidRPr="00923237" w:rsidRDefault="00A4606E" w:rsidP="00F317EA">
            <w:pPr>
              <w:pStyle w:val="NoSpacing"/>
              <w:rPr>
                <w:rFonts w:cstheme="minorHAnsi"/>
                <w:sz w:val="20"/>
                <w:szCs w:val="20"/>
              </w:rPr>
            </w:pPr>
            <w:r w:rsidRPr="00923237">
              <w:rPr>
                <w:rFonts w:cstheme="minorHAnsi"/>
                <w:sz w:val="20"/>
                <w:szCs w:val="20"/>
              </w:rPr>
              <w:t>3.26</w:t>
            </w:r>
          </w:p>
        </w:tc>
        <w:tc>
          <w:tcPr>
            <w:tcW w:w="507" w:type="pct"/>
            <w:hideMark/>
          </w:tcPr>
          <w:p w14:paraId="0E598606" w14:textId="77777777" w:rsidR="00A4606E" w:rsidRPr="00923237" w:rsidRDefault="00A4606E" w:rsidP="00F317EA">
            <w:pPr>
              <w:pStyle w:val="NoSpacing"/>
              <w:rPr>
                <w:rFonts w:cstheme="minorHAnsi"/>
                <w:sz w:val="20"/>
                <w:szCs w:val="20"/>
              </w:rPr>
            </w:pPr>
            <w:r w:rsidRPr="00923237">
              <w:rPr>
                <w:rFonts w:cstheme="minorHAnsi"/>
                <w:sz w:val="20"/>
                <w:szCs w:val="20"/>
              </w:rPr>
              <w:t>0.41</w:t>
            </w:r>
          </w:p>
        </w:tc>
        <w:tc>
          <w:tcPr>
            <w:tcW w:w="525" w:type="pct"/>
            <w:hideMark/>
          </w:tcPr>
          <w:p w14:paraId="1B773DC4" w14:textId="77777777" w:rsidR="00A4606E" w:rsidRPr="00923237" w:rsidRDefault="00A4606E" w:rsidP="00F317EA">
            <w:pPr>
              <w:pStyle w:val="NoSpacing"/>
              <w:rPr>
                <w:rFonts w:cstheme="minorHAnsi"/>
                <w:sz w:val="20"/>
                <w:szCs w:val="20"/>
              </w:rPr>
            </w:pPr>
            <w:r w:rsidRPr="00923237">
              <w:rPr>
                <w:rFonts w:cstheme="minorHAnsi"/>
                <w:sz w:val="20"/>
                <w:szCs w:val="20"/>
              </w:rPr>
              <w:t>22.01</w:t>
            </w:r>
          </w:p>
        </w:tc>
      </w:tr>
      <w:tr w:rsidR="00A4606E" w:rsidRPr="00923237" w14:paraId="7E43C342" w14:textId="77777777" w:rsidTr="00261B5A">
        <w:tc>
          <w:tcPr>
            <w:tcW w:w="338" w:type="pct"/>
            <w:hideMark/>
          </w:tcPr>
          <w:p w14:paraId="586C3E36" w14:textId="77777777" w:rsidR="00A4606E" w:rsidRPr="00923237" w:rsidRDefault="00A4606E" w:rsidP="00F317EA">
            <w:pPr>
              <w:pStyle w:val="NoSpacing"/>
              <w:rPr>
                <w:rFonts w:cstheme="minorHAnsi"/>
                <w:sz w:val="20"/>
                <w:szCs w:val="20"/>
              </w:rPr>
            </w:pPr>
          </w:p>
        </w:tc>
        <w:tc>
          <w:tcPr>
            <w:tcW w:w="351" w:type="pct"/>
            <w:hideMark/>
          </w:tcPr>
          <w:p w14:paraId="4B9B871E" w14:textId="77777777" w:rsidR="00A4606E" w:rsidRPr="00923237" w:rsidRDefault="00A4606E" w:rsidP="00F317EA">
            <w:pPr>
              <w:pStyle w:val="NoSpacing"/>
              <w:rPr>
                <w:rFonts w:cstheme="minorHAnsi"/>
                <w:sz w:val="20"/>
                <w:szCs w:val="20"/>
              </w:rPr>
            </w:pPr>
            <w:r w:rsidRPr="00923237">
              <w:rPr>
                <w:rFonts w:cstheme="minorHAnsi"/>
                <w:sz w:val="20"/>
                <w:szCs w:val="20"/>
              </w:rPr>
              <w:t>P-value</w:t>
            </w:r>
          </w:p>
        </w:tc>
        <w:tc>
          <w:tcPr>
            <w:tcW w:w="191" w:type="pct"/>
            <w:hideMark/>
          </w:tcPr>
          <w:p w14:paraId="289B5A26" w14:textId="77777777" w:rsidR="00A4606E" w:rsidRPr="00923237" w:rsidRDefault="00A4606E" w:rsidP="00F317EA">
            <w:pPr>
              <w:pStyle w:val="NoSpacing"/>
              <w:rPr>
                <w:rFonts w:cstheme="minorHAnsi"/>
                <w:sz w:val="20"/>
                <w:szCs w:val="20"/>
              </w:rPr>
            </w:pPr>
          </w:p>
        </w:tc>
        <w:tc>
          <w:tcPr>
            <w:tcW w:w="351" w:type="pct"/>
            <w:hideMark/>
          </w:tcPr>
          <w:p w14:paraId="6ADE2BE2" w14:textId="77777777" w:rsidR="00A4606E" w:rsidRPr="00923237" w:rsidRDefault="00A4606E" w:rsidP="00F317EA">
            <w:pPr>
              <w:pStyle w:val="NoSpacing"/>
              <w:rPr>
                <w:rFonts w:cstheme="minorHAnsi"/>
                <w:sz w:val="20"/>
                <w:szCs w:val="20"/>
              </w:rPr>
            </w:pPr>
            <w:r w:rsidRPr="00923237">
              <w:rPr>
                <w:rFonts w:cstheme="minorHAnsi"/>
                <w:sz w:val="20"/>
                <w:szCs w:val="20"/>
              </w:rPr>
              <w:t>0.00</w:t>
            </w:r>
          </w:p>
        </w:tc>
        <w:tc>
          <w:tcPr>
            <w:tcW w:w="647" w:type="pct"/>
            <w:hideMark/>
          </w:tcPr>
          <w:p w14:paraId="68467343" w14:textId="77777777" w:rsidR="00A4606E" w:rsidRPr="00923237" w:rsidRDefault="00A4606E" w:rsidP="00F317EA">
            <w:pPr>
              <w:pStyle w:val="NoSpacing"/>
              <w:rPr>
                <w:rFonts w:cstheme="minorHAnsi"/>
                <w:sz w:val="20"/>
                <w:szCs w:val="20"/>
              </w:rPr>
            </w:pPr>
            <w:r w:rsidRPr="00923237">
              <w:rPr>
                <w:rFonts w:cstheme="minorHAnsi"/>
                <w:sz w:val="20"/>
                <w:szCs w:val="20"/>
              </w:rPr>
              <w:t>0.00</w:t>
            </w:r>
          </w:p>
        </w:tc>
        <w:tc>
          <w:tcPr>
            <w:tcW w:w="497" w:type="pct"/>
            <w:hideMark/>
          </w:tcPr>
          <w:p w14:paraId="71C0BC69" w14:textId="77777777" w:rsidR="00A4606E" w:rsidRPr="00923237" w:rsidRDefault="00A4606E" w:rsidP="00F317EA">
            <w:pPr>
              <w:pStyle w:val="NoSpacing"/>
              <w:rPr>
                <w:rFonts w:cstheme="minorHAnsi"/>
                <w:sz w:val="20"/>
                <w:szCs w:val="20"/>
              </w:rPr>
            </w:pPr>
            <w:r w:rsidRPr="00923237">
              <w:rPr>
                <w:rFonts w:cstheme="minorHAnsi"/>
                <w:sz w:val="20"/>
                <w:szCs w:val="20"/>
              </w:rPr>
              <w:t>0.34</w:t>
            </w:r>
          </w:p>
        </w:tc>
        <w:tc>
          <w:tcPr>
            <w:tcW w:w="485" w:type="pct"/>
            <w:hideMark/>
          </w:tcPr>
          <w:p w14:paraId="0A08F7A4" w14:textId="77777777" w:rsidR="00A4606E" w:rsidRPr="00923237" w:rsidRDefault="00A4606E" w:rsidP="00F317EA">
            <w:pPr>
              <w:pStyle w:val="NoSpacing"/>
              <w:rPr>
                <w:rFonts w:cstheme="minorHAnsi"/>
                <w:sz w:val="20"/>
                <w:szCs w:val="20"/>
              </w:rPr>
            </w:pPr>
            <w:r w:rsidRPr="00923237">
              <w:rPr>
                <w:rFonts w:cstheme="minorHAnsi"/>
                <w:sz w:val="20"/>
                <w:szCs w:val="20"/>
              </w:rPr>
              <w:t>0.00</w:t>
            </w:r>
          </w:p>
        </w:tc>
        <w:tc>
          <w:tcPr>
            <w:tcW w:w="480" w:type="pct"/>
            <w:hideMark/>
          </w:tcPr>
          <w:p w14:paraId="15110CD9" w14:textId="77777777" w:rsidR="00A4606E" w:rsidRPr="00923237" w:rsidRDefault="00A4606E" w:rsidP="00F317EA">
            <w:pPr>
              <w:pStyle w:val="NoSpacing"/>
              <w:rPr>
                <w:rFonts w:cstheme="minorHAnsi"/>
                <w:sz w:val="20"/>
                <w:szCs w:val="20"/>
              </w:rPr>
            </w:pPr>
            <w:r w:rsidRPr="00923237">
              <w:rPr>
                <w:rFonts w:cstheme="minorHAnsi"/>
                <w:sz w:val="20"/>
                <w:szCs w:val="20"/>
              </w:rPr>
              <w:t>0.00</w:t>
            </w:r>
          </w:p>
        </w:tc>
        <w:tc>
          <w:tcPr>
            <w:tcW w:w="627" w:type="pct"/>
            <w:hideMark/>
          </w:tcPr>
          <w:p w14:paraId="4A269222" w14:textId="77777777" w:rsidR="00A4606E" w:rsidRPr="00923237" w:rsidRDefault="00A4606E" w:rsidP="00F317EA">
            <w:pPr>
              <w:pStyle w:val="NoSpacing"/>
              <w:rPr>
                <w:rFonts w:cstheme="minorHAnsi"/>
                <w:sz w:val="20"/>
                <w:szCs w:val="20"/>
              </w:rPr>
            </w:pPr>
            <w:r w:rsidRPr="00923237">
              <w:rPr>
                <w:rFonts w:cstheme="minorHAnsi"/>
                <w:sz w:val="20"/>
                <w:szCs w:val="20"/>
              </w:rPr>
              <w:t>0.05</w:t>
            </w:r>
          </w:p>
        </w:tc>
        <w:tc>
          <w:tcPr>
            <w:tcW w:w="507" w:type="pct"/>
            <w:hideMark/>
          </w:tcPr>
          <w:p w14:paraId="44C1101F" w14:textId="77777777" w:rsidR="00A4606E" w:rsidRPr="00923237" w:rsidRDefault="00A4606E" w:rsidP="00F317EA">
            <w:pPr>
              <w:pStyle w:val="NoSpacing"/>
              <w:rPr>
                <w:rFonts w:cstheme="minorHAnsi"/>
                <w:sz w:val="20"/>
                <w:szCs w:val="20"/>
              </w:rPr>
            </w:pPr>
            <w:r w:rsidRPr="00923237">
              <w:rPr>
                <w:rFonts w:cstheme="minorHAnsi"/>
                <w:sz w:val="20"/>
                <w:szCs w:val="20"/>
              </w:rPr>
              <w:t>0.00</w:t>
            </w:r>
          </w:p>
        </w:tc>
        <w:tc>
          <w:tcPr>
            <w:tcW w:w="525" w:type="pct"/>
            <w:hideMark/>
          </w:tcPr>
          <w:p w14:paraId="3D945313" w14:textId="77777777" w:rsidR="00A4606E" w:rsidRPr="00923237" w:rsidRDefault="00A4606E" w:rsidP="00F317EA">
            <w:pPr>
              <w:pStyle w:val="NoSpacing"/>
              <w:rPr>
                <w:rFonts w:cstheme="minorHAnsi"/>
                <w:sz w:val="20"/>
                <w:szCs w:val="20"/>
              </w:rPr>
            </w:pPr>
            <w:r w:rsidRPr="00923237">
              <w:rPr>
                <w:rFonts w:cstheme="minorHAnsi"/>
                <w:sz w:val="20"/>
                <w:szCs w:val="20"/>
              </w:rPr>
              <w:t>0.00</w:t>
            </w:r>
          </w:p>
        </w:tc>
      </w:tr>
      <w:tr w:rsidR="00A4606E" w:rsidRPr="00923237" w14:paraId="1C42C0E7" w14:textId="77777777" w:rsidTr="00261B5A">
        <w:tc>
          <w:tcPr>
            <w:tcW w:w="338" w:type="pct"/>
            <w:hideMark/>
          </w:tcPr>
          <w:p w14:paraId="08A6C67F" w14:textId="77777777" w:rsidR="00A4606E" w:rsidRPr="00923237" w:rsidRDefault="00A4606E" w:rsidP="00F317EA">
            <w:pPr>
              <w:pStyle w:val="NoSpacing"/>
              <w:rPr>
                <w:rFonts w:cstheme="minorHAnsi"/>
                <w:sz w:val="20"/>
                <w:szCs w:val="20"/>
              </w:rPr>
            </w:pPr>
            <w:r w:rsidRPr="00923237">
              <w:rPr>
                <w:rFonts w:cstheme="minorHAnsi"/>
                <w:sz w:val="20"/>
                <w:szCs w:val="20"/>
              </w:rPr>
              <w:t>Small</w:t>
            </w:r>
          </w:p>
        </w:tc>
        <w:tc>
          <w:tcPr>
            <w:tcW w:w="351" w:type="pct"/>
            <w:hideMark/>
          </w:tcPr>
          <w:p w14:paraId="0119B202" w14:textId="77777777" w:rsidR="00A4606E" w:rsidRPr="00923237" w:rsidRDefault="00A4606E" w:rsidP="00F317EA">
            <w:pPr>
              <w:pStyle w:val="NoSpacing"/>
              <w:rPr>
                <w:rFonts w:cstheme="minorHAnsi"/>
                <w:sz w:val="20"/>
                <w:szCs w:val="20"/>
              </w:rPr>
            </w:pPr>
            <w:r w:rsidRPr="00923237">
              <w:rPr>
                <w:rFonts w:cstheme="minorHAnsi"/>
                <w:sz w:val="20"/>
                <w:szCs w:val="20"/>
              </w:rPr>
              <w:t>Pre-crisis</w:t>
            </w:r>
          </w:p>
        </w:tc>
        <w:tc>
          <w:tcPr>
            <w:tcW w:w="191" w:type="pct"/>
            <w:hideMark/>
          </w:tcPr>
          <w:p w14:paraId="51CEAF39" w14:textId="77777777" w:rsidR="00A4606E" w:rsidRPr="00923237" w:rsidRDefault="00A4606E" w:rsidP="00F317EA">
            <w:pPr>
              <w:pStyle w:val="NoSpacing"/>
              <w:rPr>
                <w:rFonts w:cstheme="minorHAnsi"/>
                <w:sz w:val="20"/>
                <w:szCs w:val="20"/>
              </w:rPr>
            </w:pPr>
            <w:r w:rsidRPr="00923237">
              <w:rPr>
                <w:rFonts w:cstheme="minorHAnsi"/>
                <w:sz w:val="20"/>
                <w:szCs w:val="20"/>
              </w:rPr>
              <w:t>268</w:t>
            </w:r>
          </w:p>
        </w:tc>
        <w:tc>
          <w:tcPr>
            <w:tcW w:w="351" w:type="pct"/>
            <w:hideMark/>
          </w:tcPr>
          <w:p w14:paraId="0124F5E7" w14:textId="77777777" w:rsidR="00A4606E" w:rsidRPr="00923237" w:rsidRDefault="00A4606E" w:rsidP="00F317EA">
            <w:pPr>
              <w:pStyle w:val="NoSpacing"/>
              <w:rPr>
                <w:rFonts w:cstheme="minorHAnsi"/>
                <w:sz w:val="20"/>
                <w:szCs w:val="20"/>
              </w:rPr>
            </w:pPr>
            <w:r w:rsidRPr="00923237">
              <w:rPr>
                <w:rFonts w:cstheme="minorHAnsi"/>
                <w:sz w:val="20"/>
                <w:szCs w:val="20"/>
              </w:rPr>
              <w:t>7.08</w:t>
            </w:r>
          </w:p>
        </w:tc>
        <w:tc>
          <w:tcPr>
            <w:tcW w:w="647" w:type="pct"/>
            <w:hideMark/>
          </w:tcPr>
          <w:p w14:paraId="01FA55D8" w14:textId="77777777" w:rsidR="00A4606E" w:rsidRPr="00923237" w:rsidRDefault="00A4606E" w:rsidP="00F317EA">
            <w:pPr>
              <w:pStyle w:val="NoSpacing"/>
              <w:rPr>
                <w:rFonts w:cstheme="minorHAnsi"/>
                <w:sz w:val="20"/>
                <w:szCs w:val="20"/>
              </w:rPr>
            </w:pPr>
            <w:r w:rsidRPr="00923237">
              <w:rPr>
                <w:rFonts w:cstheme="minorHAnsi"/>
                <w:sz w:val="20"/>
                <w:szCs w:val="20"/>
              </w:rPr>
              <w:t>67.50</w:t>
            </w:r>
          </w:p>
        </w:tc>
        <w:tc>
          <w:tcPr>
            <w:tcW w:w="497" w:type="pct"/>
            <w:hideMark/>
          </w:tcPr>
          <w:p w14:paraId="7BBBF869" w14:textId="77777777" w:rsidR="00A4606E" w:rsidRPr="00923237" w:rsidRDefault="00A4606E" w:rsidP="00F317EA">
            <w:pPr>
              <w:pStyle w:val="NoSpacing"/>
              <w:rPr>
                <w:rFonts w:cstheme="minorHAnsi"/>
                <w:sz w:val="20"/>
                <w:szCs w:val="20"/>
              </w:rPr>
            </w:pPr>
            <w:r w:rsidRPr="00923237">
              <w:rPr>
                <w:rFonts w:cstheme="minorHAnsi"/>
                <w:sz w:val="20"/>
                <w:szCs w:val="20"/>
              </w:rPr>
              <w:t>7.31</w:t>
            </w:r>
          </w:p>
        </w:tc>
        <w:tc>
          <w:tcPr>
            <w:tcW w:w="485" w:type="pct"/>
            <w:hideMark/>
          </w:tcPr>
          <w:p w14:paraId="7535E1A4" w14:textId="77777777" w:rsidR="00A4606E" w:rsidRPr="00923237" w:rsidRDefault="00A4606E" w:rsidP="00F317EA">
            <w:pPr>
              <w:pStyle w:val="NoSpacing"/>
              <w:rPr>
                <w:rFonts w:cstheme="minorHAnsi"/>
                <w:sz w:val="20"/>
                <w:szCs w:val="20"/>
              </w:rPr>
            </w:pPr>
            <w:r w:rsidRPr="00923237">
              <w:rPr>
                <w:rFonts w:cstheme="minorHAnsi"/>
                <w:sz w:val="20"/>
                <w:szCs w:val="20"/>
              </w:rPr>
              <w:t>6.15</w:t>
            </w:r>
          </w:p>
        </w:tc>
        <w:tc>
          <w:tcPr>
            <w:tcW w:w="480" w:type="pct"/>
            <w:hideMark/>
          </w:tcPr>
          <w:p w14:paraId="2F1E4E16" w14:textId="77777777" w:rsidR="00A4606E" w:rsidRPr="00923237" w:rsidRDefault="00A4606E" w:rsidP="00F317EA">
            <w:pPr>
              <w:pStyle w:val="NoSpacing"/>
              <w:rPr>
                <w:rFonts w:cstheme="minorHAnsi"/>
                <w:sz w:val="20"/>
                <w:szCs w:val="20"/>
              </w:rPr>
            </w:pPr>
            <w:r w:rsidRPr="00923237">
              <w:rPr>
                <w:rFonts w:cstheme="minorHAnsi"/>
                <w:sz w:val="20"/>
                <w:szCs w:val="20"/>
              </w:rPr>
              <w:t>2.82</w:t>
            </w:r>
          </w:p>
        </w:tc>
        <w:tc>
          <w:tcPr>
            <w:tcW w:w="627" w:type="pct"/>
            <w:hideMark/>
          </w:tcPr>
          <w:p w14:paraId="38A65F0F" w14:textId="77777777" w:rsidR="00A4606E" w:rsidRPr="00923237" w:rsidRDefault="00A4606E" w:rsidP="00F317EA">
            <w:pPr>
              <w:pStyle w:val="NoSpacing"/>
              <w:rPr>
                <w:rFonts w:cstheme="minorHAnsi"/>
                <w:sz w:val="20"/>
                <w:szCs w:val="20"/>
              </w:rPr>
            </w:pPr>
            <w:r w:rsidRPr="00923237">
              <w:rPr>
                <w:rFonts w:cstheme="minorHAnsi"/>
                <w:sz w:val="20"/>
                <w:szCs w:val="20"/>
              </w:rPr>
              <w:t>1.59</w:t>
            </w:r>
          </w:p>
        </w:tc>
        <w:tc>
          <w:tcPr>
            <w:tcW w:w="507" w:type="pct"/>
            <w:hideMark/>
          </w:tcPr>
          <w:p w14:paraId="61999DB6" w14:textId="77777777" w:rsidR="00A4606E" w:rsidRPr="00923237" w:rsidRDefault="00A4606E" w:rsidP="00F317EA">
            <w:pPr>
              <w:pStyle w:val="NoSpacing"/>
              <w:rPr>
                <w:rFonts w:cstheme="minorHAnsi"/>
                <w:sz w:val="20"/>
                <w:szCs w:val="20"/>
              </w:rPr>
            </w:pPr>
            <w:r w:rsidRPr="00923237">
              <w:rPr>
                <w:rFonts w:cstheme="minorHAnsi"/>
                <w:sz w:val="20"/>
                <w:szCs w:val="20"/>
              </w:rPr>
              <w:t>0.40</w:t>
            </w:r>
          </w:p>
        </w:tc>
        <w:tc>
          <w:tcPr>
            <w:tcW w:w="525" w:type="pct"/>
            <w:hideMark/>
          </w:tcPr>
          <w:p w14:paraId="5D443219" w14:textId="77777777" w:rsidR="00A4606E" w:rsidRPr="00923237" w:rsidRDefault="00A4606E" w:rsidP="00F317EA">
            <w:pPr>
              <w:pStyle w:val="NoSpacing"/>
              <w:rPr>
                <w:rFonts w:cstheme="minorHAnsi"/>
                <w:sz w:val="20"/>
                <w:szCs w:val="20"/>
              </w:rPr>
            </w:pPr>
            <w:r w:rsidRPr="00923237">
              <w:rPr>
                <w:rFonts w:cstheme="minorHAnsi"/>
                <w:sz w:val="20"/>
                <w:szCs w:val="20"/>
              </w:rPr>
              <w:t>22.74</w:t>
            </w:r>
          </w:p>
        </w:tc>
      </w:tr>
      <w:tr w:rsidR="00A4606E" w:rsidRPr="00923237" w14:paraId="448E36A7" w14:textId="77777777" w:rsidTr="00261B5A">
        <w:tc>
          <w:tcPr>
            <w:tcW w:w="338" w:type="pct"/>
            <w:hideMark/>
          </w:tcPr>
          <w:p w14:paraId="47EF0CE6" w14:textId="77777777" w:rsidR="00A4606E" w:rsidRPr="00923237" w:rsidRDefault="00A4606E" w:rsidP="00F317EA">
            <w:pPr>
              <w:pStyle w:val="NoSpacing"/>
              <w:rPr>
                <w:rFonts w:cstheme="minorHAnsi"/>
                <w:sz w:val="20"/>
                <w:szCs w:val="20"/>
              </w:rPr>
            </w:pPr>
          </w:p>
        </w:tc>
        <w:tc>
          <w:tcPr>
            <w:tcW w:w="351" w:type="pct"/>
            <w:hideMark/>
          </w:tcPr>
          <w:p w14:paraId="38CEA920" w14:textId="77777777" w:rsidR="00A4606E" w:rsidRPr="00923237" w:rsidRDefault="00A4606E" w:rsidP="00F317EA">
            <w:pPr>
              <w:pStyle w:val="NoSpacing"/>
              <w:rPr>
                <w:rFonts w:cstheme="minorHAnsi"/>
                <w:sz w:val="20"/>
                <w:szCs w:val="20"/>
              </w:rPr>
            </w:pPr>
            <w:r w:rsidRPr="00923237">
              <w:rPr>
                <w:rFonts w:cstheme="minorHAnsi"/>
                <w:sz w:val="20"/>
                <w:szCs w:val="20"/>
              </w:rPr>
              <w:t>Crisis</w:t>
            </w:r>
          </w:p>
        </w:tc>
        <w:tc>
          <w:tcPr>
            <w:tcW w:w="191" w:type="pct"/>
            <w:hideMark/>
          </w:tcPr>
          <w:p w14:paraId="6B3AF4BC" w14:textId="77777777" w:rsidR="00A4606E" w:rsidRPr="00923237" w:rsidRDefault="00A4606E" w:rsidP="00F317EA">
            <w:pPr>
              <w:pStyle w:val="NoSpacing"/>
              <w:rPr>
                <w:rFonts w:cstheme="minorHAnsi"/>
                <w:sz w:val="20"/>
                <w:szCs w:val="20"/>
              </w:rPr>
            </w:pPr>
            <w:r w:rsidRPr="00923237">
              <w:rPr>
                <w:rFonts w:cstheme="minorHAnsi"/>
                <w:sz w:val="20"/>
                <w:szCs w:val="20"/>
              </w:rPr>
              <w:t>100</w:t>
            </w:r>
          </w:p>
        </w:tc>
        <w:tc>
          <w:tcPr>
            <w:tcW w:w="351" w:type="pct"/>
            <w:hideMark/>
          </w:tcPr>
          <w:p w14:paraId="4FCBAE68" w14:textId="77777777" w:rsidR="00A4606E" w:rsidRPr="00923237" w:rsidRDefault="00A4606E" w:rsidP="00F317EA">
            <w:pPr>
              <w:pStyle w:val="NoSpacing"/>
              <w:rPr>
                <w:rFonts w:cstheme="minorHAnsi"/>
                <w:sz w:val="20"/>
                <w:szCs w:val="20"/>
              </w:rPr>
            </w:pPr>
            <w:r w:rsidRPr="00923237">
              <w:rPr>
                <w:rFonts w:cstheme="minorHAnsi"/>
                <w:sz w:val="20"/>
                <w:szCs w:val="20"/>
              </w:rPr>
              <w:t>6.93</w:t>
            </w:r>
          </w:p>
        </w:tc>
        <w:tc>
          <w:tcPr>
            <w:tcW w:w="647" w:type="pct"/>
            <w:hideMark/>
          </w:tcPr>
          <w:p w14:paraId="53EEAB04" w14:textId="77777777" w:rsidR="00A4606E" w:rsidRPr="00923237" w:rsidRDefault="00A4606E" w:rsidP="00F317EA">
            <w:pPr>
              <w:pStyle w:val="NoSpacing"/>
              <w:rPr>
                <w:rFonts w:cstheme="minorHAnsi"/>
                <w:sz w:val="20"/>
                <w:szCs w:val="20"/>
              </w:rPr>
            </w:pPr>
            <w:r w:rsidRPr="00923237">
              <w:rPr>
                <w:rFonts w:cstheme="minorHAnsi"/>
                <w:sz w:val="20"/>
                <w:szCs w:val="20"/>
              </w:rPr>
              <w:t>67.97</w:t>
            </w:r>
          </w:p>
        </w:tc>
        <w:tc>
          <w:tcPr>
            <w:tcW w:w="497" w:type="pct"/>
            <w:hideMark/>
          </w:tcPr>
          <w:p w14:paraId="06238D20" w14:textId="77777777" w:rsidR="00A4606E" w:rsidRPr="00923237" w:rsidRDefault="00A4606E" w:rsidP="00F317EA">
            <w:pPr>
              <w:pStyle w:val="NoSpacing"/>
              <w:rPr>
                <w:rFonts w:cstheme="minorHAnsi"/>
                <w:sz w:val="20"/>
                <w:szCs w:val="20"/>
              </w:rPr>
            </w:pPr>
            <w:r w:rsidRPr="00923237">
              <w:rPr>
                <w:rFonts w:cstheme="minorHAnsi"/>
                <w:sz w:val="20"/>
                <w:szCs w:val="20"/>
              </w:rPr>
              <w:t>8.10</w:t>
            </w:r>
          </w:p>
        </w:tc>
        <w:tc>
          <w:tcPr>
            <w:tcW w:w="485" w:type="pct"/>
            <w:hideMark/>
          </w:tcPr>
          <w:p w14:paraId="1CE9C1D8" w14:textId="77777777" w:rsidR="00A4606E" w:rsidRPr="00923237" w:rsidRDefault="00A4606E" w:rsidP="00F317EA">
            <w:pPr>
              <w:pStyle w:val="NoSpacing"/>
              <w:rPr>
                <w:rFonts w:cstheme="minorHAnsi"/>
                <w:sz w:val="20"/>
                <w:szCs w:val="20"/>
              </w:rPr>
            </w:pPr>
            <w:r w:rsidRPr="00923237">
              <w:rPr>
                <w:rFonts w:cstheme="minorHAnsi"/>
                <w:sz w:val="20"/>
                <w:szCs w:val="20"/>
              </w:rPr>
              <w:t>6.50</w:t>
            </w:r>
          </w:p>
        </w:tc>
        <w:tc>
          <w:tcPr>
            <w:tcW w:w="480" w:type="pct"/>
            <w:hideMark/>
          </w:tcPr>
          <w:p w14:paraId="4EBE3E4E" w14:textId="77777777" w:rsidR="00A4606E" w:rsidRPr="00923237" w:rsidRDefault="00A4606E" w:rsidP="00F317EA">
            <w:pPr>
              <w:pStyle w:val="NoSpacing"/>
              <w:rPr>
                <w:rFonts w:cstheme="minorHAnsi"/>
                <w:sz w:val="20"/>
                <w:szCs w:val="20"/>
              </w:rPr>
            </w:pPr>
            <w:r w:rsidRPr="00923237">
              <w:rPr>
                <w:rFonts w:cstheme="minorHAnsi"/>
                <w:sz w:val="20"/>
                <w:szCs w:val="20"/>
              </w:rPr>
              <w:t>3.05</w:t>
            </w:r>
          </w:p>
        </w:tc>
        <w:tc>
          <w:tcPr>
            <w:tcW w:w="627" w:type="pct"/>
            <w:hideMark/>
          </w:tcPr>
          <w:p w14:paraId="73691112" w14:textId="77777777" w:rsidR="00A4606E" w:rsidRPr="00923237" w:rsidRDefault="00A4606E" w:rsidP="00F317EA">
            <w:pPr>
              <w:pStyle w:val="NoSpacing"/>
              <w:rPr>
                <w:rFonts w:cstheme="minorHAnsi"/>
                <w:sz w:val="20"/>
                <w:szCs w:val="20"/>
              </w:rPr>
            </w:pPr>
            <w:r w:rsidRPr="00923237">
              <w:rPr>
                <w:rFonts w:cstheme="minorHAnsi"/>
                <w:sz w:val="20"/>
                <w:szCs w:val="20"/>
              </w:rPr>
              <w:t>2.20</w:t>
            </w:r>
          </w:p>
        </w:tc>
        <w:tc>
          <w:tcPr>
            <w:tcW w:w="507" w:type="pct"/>
            <w:hideMark/>
          </w:tcPr>
          <w:p w14:paraId="20C0DE78" w14:textId="77777777" w:rsidR="00A4606E" w:rsidRPr="00923237" w:rsidRDefault="00A4606E" w:rsidP="00F317EA">
            <w:pPr>
              <w:pStyle w:val="NoSpacing"/>
              <w:rPr>
                <w:rFonts w:cstheme="minorHAnsi"/>
                <w:sz w:val="20"/>
                <w:szCs w:val="20"/>
              </w:rPr>
            </w:pPr>
            <w:r w:rsidRPr="00923237">
              <w:rPr>
                <w:rFonts w:cstheme="minorHAnsi"/>
                <w:sz w:val="20"/>
                <w:szCs w:val="20"/>
              </w:rPr>
              <w:t>0.53</w:t>
            </w:r>
          </w:p>
        </w:tc>
        <w:tc>
          <w:tcPr>
            <w:tcW w:w="525" w:type="pct"/>
            <w:hideMark/>
          </w:tcPr>
          <w:p w14:paraId="2223700C" w14:textId="77777777" w:rsidR="00A4606E" w:rsidRPr="00923237" w:rsidRDefault="00A4606E" w:rsidP="00F317EA">
            <w:pPr>
              <w:pStyle w:val="NoSpacing"/>
              <w:rPr>
                <w:rFonts w:cstheme="minorHAnsi"/>
                <w:sz w:val="20"/>
                <w:szCs w:val="20"/>
              </w:rPr>
            </w:pPr>
            <w:r w:rsidRPr="00923237">
              <w:rPr>
                <w:rFonts w:cstheme="minorHAnsi"/>
                <w:sz w:val="20"/>
                <w:szCs w:val="20"/>
              </w:rPr>
              <w:t>−30.34</w:t>
            </w:r>
          </w:p>
        </w:tc>
      </w:tr>
      <w:tr w:rsidR="00A4606E" w:rsidRPr="00923237" w14:paraId="75219789" w14:textId="77777777" w:rsidTr="00261B5A">
        <w:tc>
          <w:tcPr>
            <w:tcW w:w="338" w:type="pct"/>
            <w:hideMark/>
          </w:tcPr>
          <w:p w14:paraId="1ED38AA6" w14:textId="77777777" w:rsidR="00A4606E" w:rsidRPr="00923237" w:rsidRDefault="00A4606E" w:rsidP="00F317EA">
            <w:pPr>
              <w:pStyle w:val="NoSpacing"/>
              <w:rPr>
                <w:rFonts w:cstheme="minorHAnsi"/>
                <w:sz w:val="20"/>
                <w:szCs w:val="20"/>
              </w:rPr>
            </w:pPr>
          </w:p>
        </w:tc>
        <w:tc>
          <w:tcPr>
            <w:tcW w:w="351" w:type="pct"/>
            <w:hideMark/>
          </w:tcPr>
          <w:p w14:paraId="347ABDF3" w14:textId="77777777" w:rsidR="00A4606E" w:rsidRPr="00923237" w:rsidRDefault="00A4606E" w:rsidP="00F317EA">
            <w:pPr>
              <w:pStyle w:val="NoSpacing"/>
              <w:rPr>
                <w:rFonts w:cstheme="minorHAnsi"/>
                <w:sz w:val="20"/>
                <w:szCs w:val="20"/>
              </w:rPr>
            </w:pPr>
            <w:r w:rsidRPr="00923237">
              <w:rPr>
                <w:rFonts w:cstheme="minorHAnsi"/>
                <w:sz w:val="20"/>
                <w:szCs w:val="20"/>
              </w:rPr>
              <w:t>Post-crisis</w:t>
            </w:r>
          </w:p>
        </w:tc>
        <w:tc>
          <w:tcPr>
            <w:tcW w:w="191" w:type="pct"/>
            <w:hideMark/>
          </w:tcPr>
          <w:p w14:paraId="63D5DD3B" w14:textId="77777777" w:rsidR="00A4606E" w:rsidRPr="00923237" w:rsidRDefault="00A4606E" w:rsidP="00F317EA">
            <w:pPr>
              <w:pStyle w:val="NoSpacing"/>
              <w:rPr>
                <w:rFonts w:cstheme="minorHAnsi"/>
                <w:sz w:val="20"/>
                <w:szCs w:val="20"/>
              </w:rPr>
            </w:pPr>
            <w:r w:rsidRPr="00923237">
              <w:rPr>
                <w:rFonts w:cstheme="minorHAnsi"/>
                <w:sz w:val="20"/>
                <w:szCs w:val="20"/>
              </w:rPr>
              <w:t>278</w:t>
            </w:r>
          </w:p>
        </w:tc>
        <w:tc>
          <w:tcPr>
            <w:tcW w:w="351" w:type="pct"/>
            <w:hideMark/>
          </w:tcPr>
          <w:p w14:paraId="1E9504FD" w14:textId="77777777" w:rsidR="00A4606E" w:rsidRPr="00923237" w:rsidRDefault="00A4606E" w:rsidP="00F317EA">
            <w:pPr>
              <w:pStyle w:val="NoSpacing"/>
              <w:rPr>
                <w:rFonts w:cstheme="minorHAnsi"/>
                <w:sz w:val="20"/>
                <w:szCs w:val="20"/>
              </w:rPr>
            </w:pPr>
            <w:r w:rsidRPr="00923237">
              <w:rPr>
                <w:rFonts w:cstheme="minorHAnsi"/>
                <w:sz w:val="20"/>
                <w:szCs w:val="20"/>
              </w:rPr>
              <w:t>7.36</w:t>
            </w:r>
          </w:p>
        </w:tc>
        <w:tc>
          <w:tcPr>
            <w:tcW w:w="647" w:type="pct"/>
            <w:hideMark/>
          </w:tcPr>
          <w:p w14:paraId="55ED2E9B" w14:textId="77777777" w:rsidR="00A4606E" w:rsidRPr="00923237" w:rsidRDefault="00A4606E" w:rsidP="00F317EA">
            <w:pPr>
              <w:pStyle w:val="NoSpacing"/>
              <w:rPr>
                <w:rFonts w:cstheme="minorHAnsi"/>
                <w:sz w:val="20"/>
                <w:szCs w:val="20"/>
              </w:rPr>
            </w:pPr>
            <w:r w:rsidRPr="00923237">
              <w:rPr>
                <w:rFonts w:cstheme="minorHAnsi"/>
                <w:sz w:val="20"/>
                <w:szCs w:val="20"/>
              </w:rPr>
              <w:t>69.06</w:t>
            </w:r>
          </w:p>
        </w:tc>
        <w:tc>
          <w:tcPr>
            <w:tcW w:w="497" w:type="pct"/>
            <w:hideMark/>
          </w:tcPr>
          <w:p w14:paraId="0721E234" w14:textId="77777777" w:rsidR="00A4606E" w:rsidRPr="00923237" w:rsidRDefault="00A4606E" w:rsidP="00F317EA">
            <w:pPr>
              <w:pStyle w:val="NoSpacing"/>
              <w:rPr>
                <w:rFonts w:cstheme="minorHAnsi"/>
                <w:sz w:val="20"/>
                <w:szCs w:val="20"/>
              </w:rPr>
            </w:pPr>
            <w:r w:rsidRPr="00923237">
              <w:rPr>
                <w:rFonts w:cstheme="minorHAnsi"/>
                <w:sz w:val="20"/>
                <w:szCs w:val="20"/>
              </w:rPr>
              <w:t>6.69</w:t>
            </w:r>
          </w:p>
        </w:tc>
        <w:tc>
          <w:tcPr>
            <w:tcW w:w="485" w:type="pct"/>
            <w:hideMark/>
          </w:tcPr>
          <w:p w14:paraId="39EF9BF7" w14:textId="77777777" w:rsidR="00A4606E" w:rsidRPr="00923237" w:rsidRDefault="00A4606E" w:rsidP="00F317EA">
            <w:pPr>
              <w:pStyle w:val="NoSpacing"/>
              <w:rPr>
                <w:rFonts w:cstheme="minorHAnsi"/>
                <w:sz w:val="20"/>
                <w:szCs w:val="20"/>
              </w:rPr>
            </w:pPr>
            <w:r w:rsidRPr="00923237">
              <w:rPr>
                <w:rFonts w:cstheme="minorHAnsi"/>
                <w:sz w:val="20"/>
                <w:szCs w:val="20"/>
              </w:rPr>
              <w:t>5.85</w:t>
            </w:r>
          </w:p>
        </w:tc>
        <w:tc>
          <w:tcPr>
            <w:tcW w:w="480" w:type="pct"/>
            <w:hideMark/>
          </w:tcPr>
          <w:p w14:paraId="383F199D" w14:textId="77777777" w:rsidR="00A4606E" w:rsidRPr="00923237" w:rsidRDefault="00A4606E" w:rsidP="00F317EA">
            <w:pPr>
              <w:pStyle w:val="NoSpacing"/>
              <w:rPr>
                <w:rFonts w:cstheme="minorHAnsi"/>
                <w:sz w:val="20"/>
                <w:szCs w:val="20"/>
              </w:rPr>
            </w:pPr>
            <w:r w:rsidRPr="00923237">
              <w:rPr>
                <w:rFonts w:cstheme="minorHAnsi"/>
                <w:sz w:val="20"/>
                <w:szCs w:val="20"/>
              </w:rPr>
              <w:t>2.76</w:t>
            </w:r>
          </w:p>
        </w:tc>
        <w:tc>
          <w:tcPr>
            <w:tcW w:w="627" w:type="pct"/>
            <w:hideMark/>
          </w:tcPr>
          <w:p w14:paraId="67C66F6E" w14:textId="77777777" w:rsidR="00A4606E" w:rsidRPr="00923237" w:rsidRDefault="00A4606E" w:rsidP="00F317EA">
            <w:pPr>
              <w:pStyle w:val="NoSpacing"/>
              <w:rPr>
                <w:rFonts w:cstheme="minorHAnsi"/>
                <w:sz w:val="20"/>
                <w:szCs w:val="20"/>
              </w:rPr>
            </w:pPr>
            <w:r w:rsidRPr="00923237">
              <w:rPr>
                <w:rFonts w:cstheme="minorHAnsi"/>
                <w:sz w:val="20"/>
                <w:szCs w:val="20"/>
              </w:rPr>
              <w:t>1.94</w:t>
            </w:r>
          </w:p>
        </w:tc>
        <w:tc>
          <w:tcPr>
            <w:tcW w:w="507" w:type="pct"/>
            <w:hideMark/>
          </w:tcPr>
          <w:p w14:paraId="42ADAF2B" w14:textId="77777777" w:rsidR="00A4606E" w:rsidRPr="00923237" w:rsidRDefault="00A4606E" w:rsidP="00F317EA">
            <w:pPr>
              <w:pStyle w:val="NoSpacing"/>
              <w:rPr>
                <w:rFonts w:cstheme="minorHAnsi"/>
                <w:sz w:val="20"/>
                <w:szCs w:val="20"/>
              </w:rPr>
            </w:pPr>
            <w:r w:rsidRPr="00923237">
              <w:rPr>
                <w:rFonts w:cstheme="minorHAnsi"/>
                <w:sz w:val="20"/>
                <w:szCs w:val="20"/>
              </w:rPr>
              <w:t>0.39</w:t>
            </w:r>
          </w:p>
        </w:tc>
        <w:tc>
          <w:tcPr>
            <w:tcW w:w="525" w:type="pct"/>
            <w:hideMark/>
          </w:tcPr>
          <w:p w14:paraId="1C25E728" w14:textId="77777777" w:rsidR="00A4606E" w:rsidRPr="00923237" w:rsidRDefault="00A4606E" w:rsidP="00F317EA">
            <w:pPr>
              <w:pStyle w:val="NoSpacing"/>
              <w:rPr>
                <w:rFonts w:cstheme="minorHAnsi"/>
                <w:sz w:val="20"/>
                <w:szCs w:val="20"/>
              </w:rPr>
            </w:pPr>
            <w:r w:rsidRPr="00923237">
              <w:rPr>
                <w:rFonts w:cstheme="minorHAnsi"/>
                <w:sz w:val="20"/>
                <w:szCs w:val="20"/>
              </w:rPr>
              <w:t>16.36</w:t>
            </w:r>
          </w:p>
        </w:tc>
      </w:tr>
      <w:tr w:rsidR="00A4606E" w:rsidRPr="00923237" w14:paraId="3D3EB37D" w14:textId="77777777" w:rsidTr="00261B5A">
        <w:tc>
          <w:tcPr>
            <w:tcW w:w="338" w:type="pct"/>
            <w:hideMark/>
          </w:tcPr>
          <w:p w14:paraId="24BF50D7" w14:textId="77777777" w:rsidR="00A4606E" w:rsidRPr="00923237" w:rsidRDefault="00A4606E" w:rsidP="00F317EA">
            <w:pPr>
              <w:pStyle w:val="NoSpacing"/>
              <w:rPr>
                <w:rFonts w:cstheme="minorHAnsi"/>
                <w:sz w:val="20"/>
                <w:szCs w:val="20"/>
              </w:rPr>
            </w:pPr>
          </w:p>
        </w:tc>
        <w:tc>
          <w:tcPr>
            <w:tcW w:w="351" w:type="pct"/>
            <w:hideMark/>
          </w:tcPr>
          <w:p w14:paraId="5A8D1B80" w14:textId="77777777" w:rsidR="00A4606E" w:rsidRPr="00923237" w:rsidRDefault="00A4606E" w:rsidP="00F317EA">
            <w:pPr>
              <w:pStyle w:val="NoSpacing"/>
              <w:rPr>
                <w:rFonts w:cstheme="minorHAnsi"/>
                <w:sz w:val="20"/>
                <w:szCs w:val="20"/>
              </w:rPr>
            </w:pPr>
            <w:r w:rsidRPr="00923237">
              <w:rPr>
                <w:rFonts w:cstheme="minorHAnsi"/>
                <w:sz w:val="20"/>
                <w:szCs w:val="20"/>
              </w:rPr>
              <w:t>P-value</w:t>
            </w:r>
          </w:p>
        </w:tc>
        <w:tc>
          <w:tcPr>
            <w:tcW w:w="191" w:type="pct"/>
            <w:hideMark/>
          </w:tcPr>
          <w:p w14:paraId="7264DDB5" w14:textId="77777777" w:rsidR="00A4606E" w:rsidRPr="00923237" w:rsidRDefault="00A4606E" w:rsidP="00F317EA">
            <w:pPr>
              <w:pStyle w:val="NoSpacing"/>
              <w:rPr>
                <w:rFonts w:cstheme="minorHAnsi"/>
                <w:sz w:val="20"/>
                <w:szCs w:val="20"/>
              </w:rPr>
            </w:pPr>
          </w:p>
        </w:tc>
        <w:tc>
          <w:tcPr>
            <w:tcW w:w="351" w:type="pct"/>
            <w:hideMark/>
          </w:tcPr>
          <w:p w14:paraId="229A4B49" w14:textId="77777777" w:rsidR="00A4606E" w:rsidRPr="00923237" w:rsidRDefault="00A4606E" w:rsidP="00F317EA">
            <w:pPr>
              <w:pStyle w:val="NoSpacing"/>
              <w:rPr>
                <w:rFonts w:cstheme="minorHAnsi"/>
                <w:sz w:val="20"/>
                <w:szCs w:val="20"/>
              </w:rPr>
            </w:pPr>
            <w:r w:rsidRPr="00923237">
              <w:rPr>
                <w:rFonts w:cstheme="minorHAnsi"/>
                <w:sz w:val="20"/>
                <w:szCs w:val="20"/>
              </w:rPr>
              <w:t>0.14</w:t>
            </w:r>
          </w:p>
        </w:tc>
        <w:tc>
          <w:tcPr>
            <w:tcW w:w="647" w:type="pct"/>
            <w:hideMark/>
          </w:tcPr>
          <w:p w14:paraId="144703F7" w14:textId="77777777" w:rsidR="00A4606E" w:rsidRPr="00923237" w:rsidRDefault="00A4606E" w:rsidP="00F317EA">
            <w:pPr>
              <w:pStyle w:val="NoSpacing"/>
              <w:rPr>
                <w:rFonts w:cstheme="minorHAnsi"/>
                <w:sz w:val="20"/>
                <w:szCs w:val="20"/>
              </w:rPr>
            </w:pPr>
            <w:r w:rsidRPr="00923237">
              <w:rPr>
                <w:rFonts w:cstheme="minorHAnsi"/>
                <w:sz w:val="20"/>
                <w:szCs w:val="20"/>
              </w:rPr>
              <w:t>0.25</w:t>
            </w:r>
          </w:p>
        </w:tc>
        <w:tc>
          <w:tcPr>
            <w:tcW w:w="497" w:type="pct"/>
            <w:hideMark/>
          </w:tcPr>
          <w:p w14:paraId="036FE969" w14:textId="77777777" w:rsidR="00A4606E" w:rsidRPr="00923237" w:rsidRDefault="00A4606E" w:rsidP="00F317EA">
            <w:pPr>
              <w:pStyle w:val="NoSpacing"/>
              <w:rPr>
                <w:rFonts w:cstheme="minorHAnsi"/>
                <w:sz w:val="20"/>
                <w:szCs w:val="20"/>
              </w:rPr>
            </w:pPr>
            <w:r w:rsidRPr="00923237">
              <w:rPr>
                <w:rFonts w:cstheme="minorHAnsi"/>
                <w:sz w:val="20"/>
                <w:szCs w:val="20"/>
              </w:rPr>
              <w:t>0.01</w:t>
            </w:r>
          </w:p>
        </w:tc>
        <w:tc>
          <w:tcPr>
            <w:tcW w:w="485" w:type="pct"/>
            <w:hideMark/>
          </w:tcPr>
          <w:p w14:paraId="775A09FA" w14:textId="77777777" w:rsidR="00A4606E" w:rsidRPr="00923237" w:rsidRDefault="00A4606E" w:rsidP="00F317EA">
            <w:pPr>
              <w:pStyle w:val="NoSpacing"/>
              <w:rPr>
                <w:rFonts w:cstheme="minorHAnsi"/>
                <w:sz w:val="20"/>
                <w:szCs w:val="20"/>
              </w:rPr>
            </w:pPr>
            <w:r w:rsidRPr="00923237">
              <w:rPr>
                <w:rFonts w:cstheme="minorHAnsi"/>
                <w:sz w:val="20"/>
                <w:szCs w:val="20"/>
              </w:rPr>
              <w:t>0.11</w:t>
            </w:r>
          </w:p>
        </w:tc>
        <w:tc>
          <w:tcPr>
            <w:tcW w:w="480" w:type="pct"/>
            <w:hideMark/>
          </w:tcPr>
          <w:p w14:paraId="543DBBCC" w14:textId="77777777" w:rsidR="00A4606E" w:rsidRPr="00923237" w:rsidRDefault="00A4606E" w:rsidP="00F317EA">
            <w:pPr>
              <w:pStyle w:val="NoSpacing"/>
              <w:rPr>
                <w:rFonts w:cstheme="minorHAnsi"/>
                <w:sz w:val="20"/>
                <w:szCs w:val="20"/>
              </w:rPr>
            </w:pPr>
            <w:r w:rsidRPr="00923237">
              <w:rPr>
                <w:rFonts w:cstheme="minorHAnsi"/>
                <w:sz w:val="20"/>
                <w:szCs w:val="20"/>
              </w:rPr>
              <w:t>0.55</w:t>
            </w:r>
          </w:p>
        </w:tc>
        <w:tc>
          <w:tcPr>
            <w:tcW w:w="627" w:type="pct"/>
            <w:hideMark/>
          </w:tcPr>
          <w:p w14:paraId="5F5A643D" w14:textId="77777777" w:rsidR="00A4606E" w:rsidRPr="00923237" w:rsidRDefault="00A4606E" w:rsidP="00F317EA">
            <w:pPr>
              <w:pStyle w:val="NoSpacing"/>
              <w:rPr>
                <w:rFonts w:cstheme="minorHAnsi"/>
                <w:sz w:val="20"/>
                <w:szCs w:val="20"/>
              </w:rPr>
            </w:pPr>
            <w:r w:rsidRPr="00923237">
              <w:rPr>
                <w:rFonts w:cstheme="minorHAnsi"/>
                <w:sz w:val="20"/>
                <w:szCs w:val="20"/>
              </w:rPr>
              <w:t>0.00</w:t>
            </w:r>
          </w:p>
        </w:tc>
        <w:tc>
          <w:tcPr>
            <w:tcW w:w="507" w:type="pct"/>
            <w:hideMark/>
          </w:tcPr>
          <w:p w14:paraId="29C45DEA" w14:textId="77777777" w:rsidR="00A4606E" w:rsidRPr="00923237" w:rsidRDefault="00A4606E" w:rsidP="00F317EA">
            <w:pPr>
              <w:pStyle w:val="NoSpacing"/>
              <w:rPr>
                <w:rFonts w:cstheme="minorHAnsi"/>
                <w:sz w:val="20"/>
                <w:szCs w:val="20"/>
              </w:rPr>
            </w:pPr>
            <w:r w:rsidRPr="00923237">
              <w:rPr>
                <w:rFonts w:cstheme="minorHAnsi"/>
                <w:sz w:val="20"/>
                <w:szCs w:val="20"/>
              </w:rPr>
              <w:t>0.00</w:t>
            </w:r>
          </w:p>
        </w:tc>
        <w:tc>
          <w:tcPr>
            <w:tcW w:w="525" w:type="pct"/>
            <w:hideMark/>
          </w:tcPr>
          <w:p w14:paraId="6D53A71B" w14:textId="77777777" w:rsidR="00A4606E" w:rsidRPr="00923237" w:rsidRDefault="00A4606E" w:rsidP="00F317EA">
            <w:pPr>
              <w:pStyle w:val="NoSpacing"/>
              <w:rPr>
                <w:rFonts w:cstheme="minorHAnsi"/>
                <w:sz w:val="20"/>
                <w:szCs w:val="20"/>
              </w:rPr>
            </w:pPr>
            <w:r w:rsidRPr="00923237">
              <w:rPr>
                <w:rFonts w:cstheme="minorHAnsi"/>
                <w:sz w:val="20"/>
                <w:szCs w:val="20"/>
              </w:rPr>
              <w:t>0.00</w:t>
            </w:r>
          </w:p>
        </w:tc>
      </w:tr>
    </w:tbl>
    <w:p w14:paraId="6D5FE3A7" w14:textId="77777777" w:rsidR="001062AE" w:rsidRDefault="001062AE" w:rsidP="00F317EA">
      <w:pPr>
        <w:rPr>
          <w:rFonts w:cstheme="minorHAnsi"/>
        </w:rPr>
      </w:pPr>
    </w:p>
    <w:p w14:paraId="7D77F54B" w14:textId="77777777" w:rsidR="00261B5A" w:rsidRDefault="00261B5A">
      <w:pPr>
        <w:rPr>
          <w:rFonts w:cstheme="minorHAnsi"/>
        </w:rPr>
      </w:pPr>
      <w:r>
        <w:rPr>
          <w:rFonts w:cstheme="minorHAnsi"/>
        </w:rPr>
        <w:br w:type="page"/>
      </w:r>
    </w:p>
    <w:p w14:paraId="3CE9BD45" w14:textId="77777777" w:rsidR="00261B5A" w:rsidRDefault="00261B5A" w:rsidP="00F317EA">
      <w:pPr>
        <w:rPr>
          <w:rFonts w:cstheme="minorHAnsi"/>
        </w:rPr>
        <w:sectPr w:rsidR="00261B5A" w:rsidSect="00261B5A">
          <w:pgSz w:w="15840" w:h="12240" w:orient="landscape"/>
          <w:pgMar w:top="1080" w:right="1080" w:bottom="1080" w:left="1080" w:header="720" w:footer="720" w:gutter="0"/>
          <w:cols w:space="720"/>
          <w:docGrid w:linePitch="360"/>
        </w:sectPr>
      </w:pPr>
    </w:p>
    <w:p w14:paraId="2978A5D7" w14:textId="3170513F" w:rsidR="00A4606E" w:rsidRPr="00923237" w:rsidRDefault="00A4606E" w:rsidP="00F317EA">
      <w:pPr>
        <w:rPr>
          <w:rFonts w:cstheme="minorHAnsi"/>
        </w:rPr>
      </w:pPr>
      <w:r w:rsidRPr="00923237">
        <w:rPr>
          <w:rFonts w:cstheme="minorHAnsi"/>
        </w:rPr>
        <w:t>Across all firm size categories, we find that there are changes in board structure pre- and post-crisis. While large- and medium-sized firms seem to reduce their board size post-crisis, small firms increase their board size slightly. In addition, all firms increase board independence after 2008. This is consistent with the focus on board independence by regulators and proponents of </w:t>
      </w:r>
      <w:hyperlink r:id="rId104" w:tooltip="Learn more about Good Governance from ScienceDirect's AI-generated Topic Pages" w:history="1">
        <w:r w:rsidRPr="00923237">
          <w:rPr>
            <w:rStyle w:val="Hyperlink"/>
            <w:rFonts w:eastAsiaTheme="majorEastAsia" w:cstheme="minorHAnsi"/>
            <w:color w:val="0C7DBB"/>
          </w:rPr>
          <w:t>good governance</w:t>
        </w:r>
      </w:hyperlink>
      <w:r w:rsidRPr="00923237">
        <w:rPr>
          <w:rFonts w:cstheme="minorHAnsi"/>
        </w:rPr>
        <w:t xml:space="preserve"> around this time. Focusing on board and committee activity, we find that boards of larger firms met more often during the crisis. For example, during the crisis, on average, boards of large firms had two more meetings than the pre-crisis average (a 25% increase). Post-crisis, the number of board meetings decreased compared to the crisis </w:t>
      </w:r>
      <w:proofErr w:type="gramStart"/>
      <w:r w:rsidRPr="00923237">
        <w:rPr>
          <w:rFonts w:cstheme="minorHAnsi"/>
        </w:rPr>
        <w:t>period, but</w:t>
      </w:r>
      <w:proofErr w:type="gramEnd"/>
      <w:r w:rsidRPr="00923237">
        <w:rPr>
          <w:rFonts w:cstheme="minorHAnsi"/>
        </w:rPr>
        <w:t xml:space="preserve"> remained higher than the number of pre-crisis meetings (12.5% more than pre-crisis period). For small firms, meeting frequency increased for both the board and committees during the </w:t>
      </w:r>
      <w:hyperlink r:id="rId105" w:tooltip="Learn more about Financial Crisis from ScienceDirect's AI-generated Topic Pages" w:history="1">
        <w:r w:rsidRPr="00923237">
          <w:rPr>
            <w:rStyle w:val="Hyperlink"/>
            <w:rFonts w:eastAsiaTheme="majorEastAsia" w:cstheme="minorHAnsi"/>
            <w:color w:val="0C7DBB"/>
          </w:rPr>
          <w:t>financial crisis</w:t>
        </w:r>
      </w:hyperlink>
      <w:r w:rsidRPr="00923237">
        <w:rPr>
          <w:rFonts w:cstheme="minorHAnsi"/>
        </w:rPr>
        <w:t xml:space="preserve">, but the pattern post-crisis is not clear. In addition, for medium firms and the audit and nominating/governance committees of larger firms, meeting frequency did not seem to change significantly during </w:t>
      </w:r>
      <w:proofErr w:type="gramStart"/>
      <w:r w:rsidRPr="00923237">
        <w:rPr>
          <w:rFonts w:cstheme="minorHAnsi"/>
        </w:rPr>
        <w:t>crisis, but</w:t>
      </w:r>
      <w:proofErr w:type="gramEnd"/>
      <w:r w:rsidRPr="00923237">
        <w:rPr>
          <w:rFonts w:cstheme="minorHAnsi"/>
        </w:rPr>
        <w:t xml:space="preserve"> tends to decline post-crisis. A potential explanation for the differences in director activity patterns for large versus small and medium firms is that large firms are more complex and more difficult to monitor which requires more director effort, especially during difficult times. In addition, larger firms are exposed to more external pressures than other firms (e.g., institutional shareholders, media, regulators, etc.) thus directors might want to demonstrate that they are doing their job by meeting more often.</w:t>
      </w:r>
    </w:p>
    <w:p w14:paraId="147F045F" w14:textId="77777777" w:rsidR="00A4606E" w:rsidRPr="00923237" w:rsidRDefault="00A4606E" w:rsidP="00F317EA">
      <w:pPr>
        <w:rPr>
          <w:rFonts w:cstheme="minorHAnsi"/>
        </w:rPr>
      </w:pPr>
      <w:r w:rsidRPr="00923237">
        <w:rPr>
          <w:rFonts w:cstheme="minorHAnsi"/>
        </w:rPr>
        <w:t>With regard to </w:t>
      </w:r>
      <w:hyperlink r:id="rId106" w:tooltip="Learn more about Leverage from ScienceDirect's AI-generated Topic Pages" w:history="1">
        <w:r w:rsidRPr="00923237">
          <w:rPr>
            <w:rStyle w:val="Hyperlink"/>
            <w:rFonts w:eastAsiaTheme="majorEastAsia" w:cstheme="minorHAnsi"/>
            <w:color w:val="0C7DBB"/>
          </w:rPr>
          <w:t>leverage</w:t>
        </w:r>
      </w:hyperlink>
      <w:r w:rsidRPr="00923237">
        <w:rPr>
          <w:rFonts w:cstheme="minorHAnsi"/>
        </w:rPr>
        <w:t>, across all periods, firm size is positively associated with leverage. This is consistent with larger firms having higher debt capacity and borrowing more (e.g. </w:t>
      </w:r>
      <w:hyperlink r:id="rId107" w:anchor="bb0140" w:history="1">
        <w:r w:rsidRPr="00923237">
          <w:rPr>
            <w:rStyle w:val="Hyperlink"/>
            <w:rFonts w:eastAsiaTheme="majorEastAsia" w:cstheme="minorHAnsi"/>
            <w:color w:val="0C7DBB"/>
          </w:rPr>
          <w:t>Harrison et al. (2011)</w:t>
        </w:r>
      </w:hyperlink>
      <w:bookmarkEnd w:id="27"/>
      <w:r w:rsidRPr="00923237">
        <w:rPr>
          <w:rFonts w:cstheme="minorHAnsi"/>
        </w:rPr>
        <w:t>). In addition, across all firm size groups, leverage increases during the financial crisis (primarily because of a </w:t>
      </w:r>
      <w:hyperlink r:id="rId108" w:tooltip="Learn more about Declining Markets from ScienceDirect's AI-generated Topic Pages" w:history="1">
        <w:r w:rsidRPr="00923237">
          <w:rPr>
            <w:rStyle w:val="Hyperlink"/>
            <w:rFonts w:eastAsiaTheme="majorEastAsia" w:cstheme="minorHAnsi"/>
            <w:color w:val="0C7DBB"/>
          </w:rPr>
          <w:t>declining market</w:t>
        </w:r>
      </w:hyperlink>
      <w:r w:rsidRPr="00923237">
        <w:rPr>
          <w:rFonts w:cstheme="minorHAnsi"/>
        </w:rPr>
        <w:t> value of equity) but decreases again in the post-crisis period. We also observe that post-crisis leverage is lower than pre-crisis leverage, especially for larger firms. A similar pattern is observed with annual </w:t>
      </w:r>
      <w:hyperlink r:id="rId109" w:tooltip="Learn more about Capital Market Returns from ScienceDirect's AI-generated Topic Pages" w:history="1">
        <w:r w:rsidRPr="00923237">
          <w:rPr>
            <w:rStyle w:val="Hyperlink"/>
            <w:rFonts w:eastAsiaTheme="majorEastAsia" w:cstheme="minorHAnsi"/>
            <w:color w:val="0C7DBB"/>
          </w:rPr>
          <w:t>stock returns</w:t>
        </w:r>
      </w:hyperlink>
      <w:r w:rsidRPr="00923237">
        <w:rPr>
          <w:rFonts w:cstheme="minorHAnsi"/>
        </w:rPr>
        <w:t>: Across all firm size groups, returns decrease during the financial crisis but bounce back post-crisis, albeit remaining at a lower level post-crisis relative to the pre-crisis period.</w:t>
      </w:r>
    </w:p>
    <w:p w14:paraId="67D76D20" w14:textId="77777777" w:rsidR="00A4606E" w:rsidRPr="00923237" w:rsidRDefault="00A4606E" w:rsidP="00F317EA">
      <w:pPr>
        <w:rPr>
          <w:rFonts w:cstheme="minorHAnsi"/>
        </w:rPr>
      </w:pPr>
      <w:r w:rsidRPr="00923237">
        <w:rPr>
          <w:rFonts w:cstheme="minorHAnsi"/>
        </w:rPr>
        <w:t>Overall, the univariate results indicate that board structure and activity vary with firm characteristics. Moreover, board independence increases through time, and boards are more active during the financial crisis, especially at large firms. These findings are consistent with director activity changing depending on firms' demand for monitoring and advising. In the next section, we examine the association between director activity, leverage, and firm performance in the multivariate setting.</w:t>
      </w:r>
    </w:p>
    <w:p w14:paraId="4E8262CE" w14:textId="77777777" w:rsidR="00A4606E" w:rsidRPr="00923237" w:rsidRDefault="00A4606E" w:rsidP="00F317EA">
      <w:pPr>
        <w:pStyle w:val="Heading1"/>
        <w:rPr>
          <w:rFonts w:asciiTheme="minorHAnsi" w:hAnsiTheme="minorHAnsi" w:cstheme="minorHAnsi"/>
          <w:sz w:val="36"/>
          <w:szCs w:val="36"/>
        </w:rPr>
      </w:pPr>
      <w:r w:rsidRPr="00923237">
        <w:rPr>
          <w:rFonts w:asciiTheme="minorHAnsi" w:hAnsiTheme="minorHAnsi" w:cstheme="minorHAnsi"/>
        </w:rPr>
        <w:t>5. Multivariate results</w:t>
      </w:r>
    </w:p>
    <w:p w14:paraId="7B154E2D" w14:textId="77777777" w:rsidR="00A4606E" w:rsidRPr="00923237" w:rsidRDefault="00A4606E" w:rsidP="00F317EA">
      <w:pPr>
        <w:pStyle w:val="Heading2"/>
        <w:rPr>
          <w:rFonts w:asciiTheme="minorHAnsi" w:hAnsiTheme="minorHAnsi" w:cstheme="minorHAnsi"/>
        </w:rPr>
      </w:pPr>
      <w:r w:rsidRPr="00923237">
        <w:rPr>
          <w:rFonts w:asciiTheme="minorHAnsi" w:hAnsiTheme="minorHAnsi" w:cstheme="minorHAnsi"/>
        </w:rPr>
        <w:t>5.1. Director activity, leverage and firm performance during the financial crisis</w:t>
      </w:r>
    </w:p>
    <w:p w14:paraId="7B651047" w14:textId="77777777" w:rsidR="00A4606E" w:rsidRPr="00923237" w:rsidRDefault="00A4606E" w:rsidP="00F317EA">
      <w:pPr>
        <w:rPr>
          <w:rFonts w:cstheme="minorHAnsi"/>
          <w:color w:val="2E2E2E"/>
        </w:rPr>
      </w:pPr>
      <w:r w:rsidRPr="00923237">
        <w:rPr>
          <w:rFonts w:cstheme="minorHAnsi"/>
          <w:color w:val="2E2E2E"/>
        </w:rPr>
        <w:t>As mentioned earlier, to facilitate the comparison of our findings with those from </w:t>
      </w:r>
      <w:hyperlink r:id="rId110" w:tooltip="Learn more about Bayesian Inference from ScienceDirect's AI-generated Topic Pages" w:history="1">
        <w:r w:rsidRPr="00923237">
          <w:rPr>
            <w:rStyle w:val="Hyperlink"/>
            <w:rFonts w:eastAsiaTheme="majorEastAsia" w:cstheme="minorHAnsi"/>
            <w:color w:val="0C7DBB"/>
          </w:rPr>
          <w:t>prior</w:t>
        </w:r>
      </w:hyperlink>
      <w:r w:rsidRPr="00923237">
        <w:rPr>
          <w:rFonts w:cstheme="minorHAnsi"/>
          <w:color w:val="2E2E2E"/>
        </w:rPr>
        <w:t> work we focus our analysis on the subsample that is comparable to </w:t>
      </w:r>
      <w:hyperlink r:id="rId111" w:anchor="bb0275" w:history="1">
        <w:r w:rsidRPr="00923237">
          <w:rPr>
            <w:rStyle w:val="Hyperlink"/>
            <w:rFonts w:eastAsiaTheme="majorEastAsia" w:cstheme="minorHAnsi"/>
            <w:color w:val="0C7DBB"/>
          </w:rPr>
          <w:t>Sun et al. (2015)</w:t>
        </w:r>
      </w:hyperlink>
      <w:r w:rsidRPr="00923237">
        <w:rPr>
          <w:rFonts w:cstheme="minorHAnsi"/>
          <w:color w:val="2E2E2E"/>
        </w:rPr>
        <w:t>. We first examine board and committee meeting frequency during the </w:t>
      </w:r>
      <w:hyperlink r:id="rId112" w:tooltip="Learn more about Financial Crisis from ScienceDirect's AI-generated Topic Pages" w:history="1">
        <w:r w:rsidRPr="00923237">
          <w:rPr>
            <w:rStyle w:val="Hyperlink"/>
            <w:rFonts w:eastAsiaTheme="majorEastAsia" w:cstheme="minorHAnsi"/>
            <w:color w:val="0C7DBB"/>
          </w:rPr>
          <w:t>financial crisis</w:t>
        </w:r>
      </w:hyperlink>
      <w:r w:rsidRPr="00923237">
        <w:rPr>
          <w:rFonts w:cstheme="minorHAnsi"/>
          <w:color w:val="2E2E2E"/>
        </w:rPr>
        <w:t>. We argue that during this period, the stock price is more volatile, </w:t>
      </w:r>
      <w:hyperlink r:id="rId113" w:tooltip="Learn more about Leverage from ScienceDirect's AI-generated Topic Pages" w:history="1">
        <w:r w:rsidRPr="00923237">
          <w:rPr>
            <w:rStyle w:val="Hyperlink"/>
            <w:rFonts w:eastAsiaTheme="majorEastAsia" w:cstheme="minorHAnsi"/>
            <w:color w:val="0C7DBB"/>
          </w:rPr>
          <w:t>leverage</w:t>
        </w:r>
      </w:hyperlink>
      <w:r w:rsidRPr="00923237">
        <w:rPr>
          <w:rFonts w:cstheme="minorHAnsi"/>
          <w:color w:val="2E2E2E"/>
        </w:rPr>
        <w:t> has a more negative effect on returns, and therefore firms have a higher demand for director monitoring and advising. As a result, boards at firms with high leverage will increase their activity (</w:t>
      </w:r>
      <w:bookmarkStart w:id="75" w:name="ben0005"/>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"en0005" </w:instrText>
      </w:r>
      <w:r w:rsidRPr="00923237">
        <w:rPr>
          <w:rFonts w:cstheme="minorHAnsi"/>
          <w:color w:val="2E2E2E"/>
        </w:rPr>
        <w:fldChar w:fldCharType="separate"/>
      </w:r>
      <w:r w:rsidRPr="00923237">
        <w:rPr>
          <w:rStyle w:val="Hyperlink"/>
          <w:rFonts w:eastAsiaTheme="majorEastAsia" w:cstheme="minorHAnsi"/>
          <w:color w:val="0C7DBB"/>
        </w:rPr>
        <w:t>H1a</w:t>
      </w:r>
      <w:r w:rsidRPr="00923237">
        <w:rPr>
          <w:rFonts w:cstheme="minorHAnsi"/>
          <w:color w:val="2E2E2E"/>
        </w:rPr>
        <w:fldChar w:fldCharType="end"/>
      </w:r>
      <w:bookmarkEnd w:id="75"/>
      <w:r w:rsidRPr="00923237">
        <w:rPr>
          <w:rFonts w:cstheme="minorHAnsi"/>
          <w:color w:val="2E2E2E"/>
        </w:rPr>
        <w:t>).</w:t>
      </w:r>
    </w:p>
    <w:bookmarkStart w:id="76" w:name="bt0020"/>
    <w:p w14:paraId="6F2E5E6A" w14:textId="77777777" w:rsidR="00A4606E" w:rsidRPr="00923237" w:rsidRDefault="00A4606E" w:rsidP="00F317EA">
      <w:pPr>
        <w:rPr>
          <w:rFonts w:cstheme="minorHAnsi"/>
          <w:color w:val="2E2E2E"/>
        </w:rPr>
      </w:pPr>
      <w:r w:rsidRPr="00923237">
        <w:rPr>
          <w:rFonts w:cstheme="minorHAnsi"/>
          <w:color w:val="2E2E2E"/>
        </w:rPr>
        <w:fldChar w:fldCharType="begin"/>
      </w:r>
      <w:r w:rsidRPr="00923237">
        <w:rPr>
          <w:rFonts w:cstheme="minorHAnsi"/>
          <w:color w:val="2E2E2E"/>
        </w:rPr>
        <w:instrText xml:space="preserve"> HYPERLINK "https://0-www-sciencedirect-com.libus.csd.mu.edu/science/article/pii/S0929119917307344" \l "t0020" </w:instrText>
      </w:r>
      <w:r w:rsidRPr="00923237">
        <w:rPr>
          <w:rFonts w:cstheme="minorHAnsi"/>
          <w:color w:val="2E2E2E"/>
        </w:rPr>
        <w:fldChar w:fldCharType="separate"/>
      </w:r>
      <w:r w:rsidRPr="00923237">
        <w:rPr>
          <w:rStyle w:val="Hyperlink"/>
          <w:rFonts w:eastAsiaTheme="majorEastAsia" w:cstheme="minorHAnsi"/>
          <w:color w:val="0C7DBB"/>
        </w:rPr>
        <w:t>Table 4</w:t>
      </w:r>
      <w:r w:rsidRPr="00923237">
        <w:rPr>
          <w:rFonts w:cstheme="minorHAnsi"/>
          <w:color w:val="2E2E2E"/>
        </w:rPr>
        <w:fldChar w:fldCharType="end"/>
      </w:r>
      <w:r w:rsidRPr="00923237">
        <w:rPr>
          <w:rFonts w:cstheme="minorHAnsi"/>
          <w:color w:val="2E2E2E"/>
        </w:rPr>
        <w:t> Panel A reports the results for board activity, while Panel B reports the results for committee activity. To proxy for increased board and committee activity during the financial crisis, we use the sum of the abnormal board (or committee) meetings during 2007 and 2008. The abnormal meetings are measured in a manner similar to </w:t>
      </w:r>
      <w:proofErr w:type="spellStart"/>
      <w:r w:rsidR="00EB1576" w:rsidRPr="00923237">
        <w:fldChar w:fldCharType="begin"/>
      </w:r>
      <w:r w:rsidR="00EB1576" w:rsidRPr="00923237">
        <w:rPr>
          <w:rFonts w:cstheme="minorHAnsi"/>
        </w:rPr>
        <w:instrText xml:space="preserve"> HYPERLINK "https://0-www-sciencedirect-com.libus.csd.mu.edu/science/article/pii/S0929119917307344" \l "bb0280" </w:instrText>
      </w:r>
      <w:r w:rsidR="00EB1576" w:rsidRPr="00923237">
        <w:fldChar w:fldCharType="separate"/>
      </w:r>
      <w:r w:rsidRPr="00923237">
        <w:rPr>
          <w:rStyle w:val="Hyperlink"/>
          <w:rFonts w:eastAsiaTheme="majorEastAsia" w:cstheme="minorHAnsi"/>
          <w:color w:val="0C7DBB"/>
        </w:rPr>
        <w:t>Vafaes</w:t>
      </w:r>
      <w:proofErr w:type="spellEnd"/>
      <w:r w:rsidRPr="00923237">
        <w:rPr>
          <w:rStyle w:val="Hyperlink"/>
          <w:rFonts w:eastAsiaTheme="majorEastAsia" w:cstheme="minorHAnsi"/>
          <w:color w:val="0C7DBB"/>
        </w:rPr>
        <w:t xml:space="preserve"> (1999)</w:t>
      </w:r>
      <w:r w:rsidR="00EB1576" w:rsidRPr="00923237">
        <w:rPr>
          <w:rStyle w:val="Hyperlink"/>
          <w:rFonts w:eastAsiaTheme="majorEastAsia" w:cstheme="minorHAnsi"/>
          <w:color w:val="0C7DBB"/>
        </w:rPr>
        <w:fldChar w:fldCharType="end"/>
      </w:r>
      <w:r w:rsidRPr="00923237">
        <w:rPr>
          <w:rFonts w:cstheme="minorHAnsi"/>
          <w:color w:val="2E2E2E"/>
        </w:rPr>
        <w:t> as the number of meetings above the normal level (where the normal level is measured as the average number of meetings from 2003 to 2006). The explanatory variables we use in the base specification, Model 1, are similar to those in </w:t>
      </w:r>
      <w:hyperlink r:id="rId114" w:anchor="bb0275" w:history="1">
        <w:r w:rsidRPr="00923237">
          <w:rPr>
            <w:rStyle w:val="Hyperlink"/>
            <w:rFonts w:eastAsiaTheme="majorEastAsia" w:cstheme="minorHAnsi"/>
            <w:color w:val="0C7DBB"/>
          </w:rPr>
          <w:t>Sun et al. (2015)</w:t>
        </w:r>
      </w:hyperlink>
      <w:r w:rsidRPr="00923237">
        <w:rPr>
          <w:rFonts w:cstheme="minorHAnsi"/>
          <w:color w:val="2E2E2E"/>
        </w:rPr>
        <w:t xml:space="preserve"> and are measured at the end of 2006. In Model 2, we add several board characteristics including </w:t>
      </w:r>
      <w:proofErr w:type="gramStart"/>
      <w:r w:rsidRPr="00923237">
        <w:rPr>
          <w:rFonts w:cstheme="minorHAnsi"/>
          <w:color w:val="2E2E2E"/>
        </w:rPr>
        <w:t>ln(</w:t>
      </w:r>
      <w:proofErr w:type="gramEnd"/>
      <w:r w:rsidRPr="00923237">
        <w:rPr>
          <w:rStyle w:val="Emphasis"/>
          <w:rFonts w:eastAsiaTheme="majorEastAsia" w:cstheme="minorHAnsi"/>
          <w:color w:val="2E2E2E"/>
        </w:rPr>
        <w:t>Board Size</w:t>
      </w:r>
      <w:r w:rsidRPr="00923237">
        <w:rPr>
          <w:rFonts w:cstheme="minorHAnsi"/>
          <w:color w:val="2E2E2E"/>
        </w:rPr>
        <w:t>), </w:t>
      </w:r>
      <w:r w:rsidRPr="00923237">
        <w:rPr>
          <w:rStyle w:val="Emphasis"/>
          <w:rFonts w:eastAsiaTheme="majorEastAsia" w:cstheme="minorHAnsi"/>
          <w:color w:val="2E2E2E"/>
        </w:rPr>
        <w:t>Board Independence</w:t>
      </w:r>
      <w:r w:rsidRPr="00923237">
        <w:rPr>
          <w:rFonts w:cstheme="minorHAnsi"/>
          <w:color w:val="2E2E2E"/>
        </w:rPr>
        <w:t>, </w:t>
      </w:r>
      <w:r w:rsidRPr="00923237">
        <w:rPr>
          <w:rStyle w:val="Emphasis"/>
          <w:rFonts w:eastAsiaTheme="majorEastAsia" w:cstheme="minorHAnsi"/>
          <w:color w:val="2E2E2E"/>
        </w:rPr>
        <w:t>FIN Experience</w:t>
      </w:r>
      <w:r w:rsidRPr="00923237">
        <w:rPr>
          <w:rFonts w:cstheme="minorHAnsi"/>
          <w:color w:val="2E2E2E"/>
        </w:rPr>
        <w:t>, and </w:t>
      </w:r>
      <w:r w:rsidRPr="00923237">
        <w:rPr>
          <w:rStyle w:val="Emphasis"/>
          <w:rFonts w:eastAsiaTheme="majorEastAsia" w:cstheme="minorHAnsi"/>
          <w:color w:val="2E2E2E"/>
        </w:rPr>
        <w:t>RE Experience</w:t>
      </w:r>
      <w:r w:rsidRPr="00923237">
        <w:rPr>
          <w:rFonts w:cstheme="minorHAnsi"/>
          <w:color w:val="2E2E2E"/>
        </w:rPr>
        <w:t>.</w:t>
      </w:r>
    </w:p>
    <w:p w14:paraId="60E8F4A1" w14:textId="77777777" w:rsidR="00A4606E" w:rsidRPr="00923237" w:rsidRDefault="00A4606E" w:rsidP="00F317EA">
      <w:pPr>
        <w:rPr>
          <w:rFonts w:cstheme="minorHAnsi"/>
          <w:color w:val="323232"/>
        </w:rPr>
      </w:pPr>
      <w:r w:rsidRPr="00923237">
        <w:rPr>
          <w:rStyle w:val="label"/>
          <w:rFonts w:cstheme="minorHAnsi"/>
          <w:color w:val="323232"/>
          <w:sz w:val="21"/>
          <w:szCs w:val="21"/>
        </w:rPr>
        <w:t>Table 4</w:t>
      </w:r>
      <w:r w:rsidRPr="00923237">
        <w:rPr>
          <w:rFonts w:cstheme="minorHAnsi"/>
          <w:color w:val="323232"/>
        </w:rPr>
        <w:t>. Board and committee activity during the </w:t>
      </w:r>
      <w:hyperlink r:id="rId115" w:tooltip="Learn more about Financial Crisis from ScienceDirect's AI-generated Topic Pages" w:history="1">
        <w:r w:rsidRPr="00923237">
          <w:rPr>
            <w:rStyle w:val="Hyperlink"/>
            <w:rFonts w:eastAsiaTheme="majorEastAsia" w:cstheme="minorHAnsi"/>
            <w:color w:val="0C7DBB"/>
          </w:rPr>
          <w:t>financial crisis</w:t>
        </w:r>
      </w:hyperlink>
      <w:r w:rsidRPr="00923237">
        <w:rPr>
          <w:rFonts w:cstheme="minorHAnsi"/>
          <w:color w:val="323232"/>
        </w:rPr>
        <w:t>.</w:t>
      </w:r>
    </w:p>
    <w:p w14:paraId="63FDA285" w14:textId="77777777" w:rsidR="00A4606E" w:rsidRPr="00923237" w:rsidRDefault="00A4606E" w:rsidP="00F317EA">
      <w:pPr>
        <w:ind w:left="720"/>
        <w:rPr>
          <w:rFonts w:cstheme="minorHAnsi"/>
          <w:color w:val="323232"/>
        </w:rPr>
      </w:pPr>
      <w:r w:rsidRPr="00923237">
        <w:rPr>
          <w:rFonts w:cstheme="minorHAnsi"/>
          <w:color w:val="323232"/>
        </w:rPr>
        <w:t>This table models board activity (Panel A) and committee activity (Panel B) during the financial crisis. The dependent variable, </w:t>
      </w:r>
      <w:r w:rsidRPr="00923237">
        <w:rPr>
          <w:rStyle w:val="Emphasis"/>
          <w:rFonts w:eastAsiaTheme="majorEastAsia" w:cstheme="minorHAnsi"/>
          <w:color w:val="323232"/>
        </w:rPr>
        <w:t>Abnormal Board</w:t>
      </w:r>
      <w:r w:rsidRPr="00923237">
        <w:rPr>
          <w:rFonts w:cstheme="minorHAnsi"/>
          <w:color w:val="323232"/>
        </w:rPr>
        <w:t> (</w:t>
      </w:r>
      <w:r w:rsidRPr="00923237">
        <w:rPr>
          <w:rStyle w:val="Emphasis"/>
          <w:rFonts w:eastAsiaTheme="majorEastAsia" w:cstheme="minorHAnsi"/>
          <w:color w:val="323232"/>
        </w:rPr>
        <w:t>Committee</w:t>
      </w:r>
      <w:r w:rsidRPr="00923237">
        <w:rPr>
          <w:rFonts w:cstheme="minorHAnsi"/>
          <w:color w:val="323232"/>
        </w:rPr>
        <w:t>) </w:t>
      </w:r>
      <w:r w:rsidRPr="00923237">
        <w:rPr>
          <w:rStyle w:val="Emphasis"/>
          <w:rFonts w:eastAsiaTheme="majorEastAsia" w:cstheme="minorHAnsi"/>
          <w:color w:val="323232"/>
        </w:rPr>
        <w:t>Meetings</w:t>
      </w:r>
      <w:r w:rsidRPr="00923237">
        <w:rPr>
          <w:rFonts w:cstheme="minorHAnsi"/>
          <w:color w:val="323232"/>
        </w:rPr>
        <w:t> during the financial crisis is measured as the difference between the number of board (committee) meetings during 2007 and 2008 and the average number of board (committee) meetings from 2003 to 2006 (i.e. the pre-crisis period). Market </w:t>
      </w:r>
      <w:hyperlink r:id="rId116" w:tooltip="Learn more about Leverage from ScienceDirect's AI-generated Topic Pages" w:history="1">
        <w:r w:rsidRPr="00923237">
          <w:rPr>
            <w:rStyle w:val="Hyperlink"/>
            <w:rFonts w:eastAsiaTheme="majorEastAsia" w:cstheme="minorHAnsi"/>
            <w:i/>
            <w:iCs/>
            <w:color w:val="0C7DBB"/>
          </w:rPr>
          <w:t>Leverage</w:t>
        </w:r>
      </w:hyperlink>
      <w:r w:rsidRPr="00923237">
        <w:rPr>
          <w:rFonts w:cstheme="minorHAnsi"/>
          <w:color w:val="323232"/>
        </w:rPr>
        <w:t> is defined as the ratio of total debt (the book value of debt due in one year plus long-term debt) to the market value of the firm (total debt plus book value of preferred stock plus market capitalization). </w:t>
      </w:r>
      <w:r w:rsidRPr="00923237">
        <w:rPr>
          <w:rStyle w:val="Emphasis"/>
          <w:rFonts w:eastAsiaTheme="majorEastAsia" w:cstheme="minorHAnsi"/>
          <w:color w:val="323232"/>
        </w:rPr>
        <w:t>High Leverage</w:t>
      </w:r>
      <w:r w:rsidRPr="00923237">
        <w:rPr>
          <w:rFonts w:cstheme="minorHAnsi"/>
          <w:color w:val="323232"/>
        </w:rPr>
        <w:t> is an indicator variable that equals one if the firm's leverage is in the top quartile and zero otherwise (see </w:t>
      </w:r>
      <w:hyperlink r:id="rId117" w:anchor="s0055" w:history="1">
        <w:r w:rsidRPr="00923237">
          <w:rPr>
            <w:rStyle w:val="Hyperlink"/>
            <w:rFonts w:eastAsiaTheme="majorEastAsia" w:cstheme="minorHAnsi"/>
            <w:color w:val="0C7DBB"/>
          </w:rPr>
          <w:t>Appendix 2</w:t>
        </w:r>
      </w:hyperlink>
      <w:r w:rsidRPr="00923237">
        <w:rPr>
          <w:rFonts w:cstheme="minorHAnsi"/>
          <w:color w:val="323232"/>
        </w:rPr>
        <w:t> for other variable definitions). Explanatory variables are measured at the end of 2006 and are standardized at the mean and have unit variance. P-values are reported in brackets. *, **, and *** denote significance at the 10%, 5%, and 1% levels, respectively, in two-tailed tests.</w:t>
      </w:r>
    </w:p>
    <w:tbl>
      <w:tblPr>
        <w:tblStyle w:val="TableGrid"/>
        <w:tblW w:w="5000" w:type="pct"/>
        <w:tblLook w:val="04A0" w:firstRow="1" w:lastRow="0" w:firstColumn="1" w:lastColumn="0" w:noHBand="0" w:noVBand="1"/>
      </w:tblPr>
      <w:tblGrid>
        <w:gridCol w:w="1928"/>
        <w:gridCol w:w="1793"/>
        <w:gridCol w:w="1073"/>
        <w:gridCol w:w="973"/>
        <w:gridCol w:w="1073"/>
        <w:gridCol w:w="2056"/>
        <w:gridCol w:w="1174"/>
      </w:tblGrid>
      <w:tr w:rsidR="00AB2CF4" w:rsidRPr="00923237" w14:paraId="14C579F1" w14:textId="77777777" w:rsidTr="006F5E3B">
        <w:tc>
          <w:tcPr>
            <w:tcW w:w="957" w:type="pct"/>
            <w:hideMark/>
          </w:tcPr>
          <w:p w14:paraId="1450C6F3" w14:textId="77777777" w:rsidR="00AB2CF4" w:rsidRPr="00923237" w:rsidRDefault="00AB2CF4" w:rsidP="00695609">
            <w:pPr>
              <w:pStyle w:val="NoSpacing"/>
              <w:rPr>
                <w:rFonts w:cstheme="minorHAnsi"/>
                <w:sz w:val="20"/>
                <w:szCs w:val="20"/>
              </w:rPr>
            </w:pPr>
            <w:r w:rsidRPr="00923237">
              <w:rPr>
                <w:rFonts w:cstheme="minorHAnsi"/>
                <w:sz w:val="20"/>
                <w:szCs w:val="20"/>
              </w:rPr>
              <w:t>Variable</w:t>
            </w:r>
          </w:p>
        </w:tc>
        <w:tc>
          <w:tcPr>
            <w:tcW w:w="890" w:type="pct"/>
            <w:hideMark/>
          </w:tcPr>
          <w:p w14:paraId="358E646E" w14:textId="77777777" w:rsidR="00AB2CF4" w:rsidRPr="00923237" w:rsidRDefault="00AB2CF4" w:rsidP="00695609">
            <w:pPr>
              <w:pStyle w:val="NoSpacing"/>
              <w:rPr>
                <w:rFonts w:cstheme="minorHAnsi"/>
                <w:sz w:val="20"/>
                <w:szCs w:val="20"/>
              </w:rPr>
            </w:pPr>
            <w:r w:rsidRPr="00923237">
              <w:rPr>
                <w:rFonts w:cstheme="minorHAnsi"/>
                <w:sz w:val="20"/>
                <w:szCs w:val="20"/>
              </w:rPr>
              <w:t>Panel A: abnormal board meetings</w:t>
            </w:r>
          </w:p>
        </w:tc>
        <w:tc>
          <w:tcPr>
            <w:tcW w:w="533" w:type="pct"/>
          </w:tcPr>
          <w:p w14:paraId="32AFA90D" w14:textId="77777777" w:rsidR="00AB2CF4" w:rsidRPr="00923237" w:rsidRDefault="00AB2CF4" w:rsidP="00695609">
            <w:pPr>
              <w:pStyle w:val="NoSpacing"/>
              <w:rPr>
                <w:rFonts w:cstheme="minorHAnsi"/>
                <w:sz w:val="20"/>
                <w:szCs w:val="20"/>
              </w:rPr>
            </w:pPr>
          </w:p>
        </w:tc>
        <w:tc>
          <w:tcPr>
            <w:tcW w:w="483" w:type="pct"/>
          </w:tcPr>
          <w:p w14:paraId="17F53071" w14:textId="77777777" w:rsidR="00AB2CF4" w:rsidRPr="00923237" w:rsidRDefault="00AB2CF4" w:rsidP="00695609">
            <w:pPr>
              <w:pStyle w:val="NoSpacing"/>
              <w:rPr>
                <w:rFonts w:cstheme="minorHAnsi"/>
                <w:sz w:val="20"/>
                <w:szCs w:val="20"/>
              </w:rPr>
            </w:pPr>
          </w:p>
        </w:tc>
        <w:tc>
          <w:tcPr>
            <w:tcW w:w="533" w:type="pct"/>
          </w:tcPr>
          <w:p w14:paraId="79ED0AB3" w14:textId="6C6338FE" w:rsidR="00AB2CF4" w:rsidRPr="00923237" w:rsidRDefault="00AB2CF4" w:rsidP="00695609">
            <w:pPr>
              <w:pStyle w:val="NoSpacing"/>
              <w:rPr>
                <w:rFonts w:cstheme="minorHAnsi"/>
                <w:sz w:val="20"/>
                <w:szCs w:val="20"/>
              </w:rPr>
            </w:pPr>
          </w:p>
        </w:tc>
        <w:tc>
          <w:tcPr>
            <w:tcW w:w="1021" w:type="pct"/>
            <w:hideMark/>
          </w:tcPr>
          <w:p w14:paraId="093C66F1" w14:textId="77777777" w:rsidR="00AB2CF4" w:rsidRPr="00923237" w:rsidRDefault="00AB2CF4" w:rsidP="00695609">
            <w:pPr>
              <w:pStyle w:val="NoSpacing"/>
              <w:rPr>
                <w:rFonts w:cstheme="minorHAnsi"/>
                <w:sz w:val="20"/>
                <w:szCs w:val="20"/>
              </w:rPr>
            </w:pPr>
            <w:r w:rsidRPr="00923237">
              <w:rPr>
                <w:rFonts w:cstheme="minorHAnsi"/>
                <w:sz w:val="20"/>
                <w:szCs w:val="20"/>
              </w:rPr>
              <w:t>Panel B: abnormal committee meetings</w:t>
            </w:r>
          </w:p>
        </w:tc>
        <w:tc>
          <w:tcPr>
            <w:tcW w:w="583" w:type="pct"/>
          </w:tcPr>
          <w:p w14:paraId="15C07E99" w14:textId="15B2D906" w:rsidR="00AB2CF4" w:rsidRPr="00923237" w:rsidRDefault="00AB2CF4" w:rsidP="00695609">
            <w:pPr>
              <w:pStyle w:val="NoSpacing"/>
              <w:rPr>
                <w:rFonts w:cstheme="minorHAnsi"/>
                <w:sz w:val="20"/>
                <w:szCs w:val="20"/>
              </w:rPr>
            </w:pPr>
          </w:p>
        </w:tc>
      </w:tr>
      <w:tr w:rsidR="00F74CAE" w:rsidRPr="00923237" w14:paraId="7634B4D0" w14:textId="77777777" w:rsidTr="006F5E3B">
        <w:tc>
          <w:tcPr>
            <w:tcW w:w="957" w:type="pct"/>
            <w:hideMark/>
          </w:tcPr>
          <w:p w14:paraId="76E3DB87" w14:textId="77777777" w:rsidR="00F74CAE" w:rsidRPr="00923237" w:rsidRDefault="00F74CAE" w:rsidP="00695609">
            <w:pPr>
              <w:pStyle w:val="NoSpacing"/>
              <w:rPr>
                <w:rFonts w:cstheme="minorHAnsi"/>
                <w:sz w:val="20"/>
                <w:szCs w:val="20"/>
              </w:rPr>
            </w:pPr>
          </w:p>
        </w:tc>
        <w:tc>
          <w:tcPr>
            <w:tcW w:w="890" w:type="pct"/>
            <w:hideMark/>
          </w:tcPr>
          <w:p w14:paraId="1E69C71A" w14:textId="77777777" w:rsidR="00F74CAE" w:rsidRPr="00923237" w:rsidRDefault="00F74CAE" w:rsidP="00695609">
            <w:pPr>
              <w:pStyle w:val="NoSpacing"/>
              <w:rPr>
                <w:rFonts w:cstheme="minorHAnsi"/>
                <w:sz w:val="20"/>
                <w:szCs w:val="20"/>
              </w:rPr>
            </w:pPr>
            <w:r w:rsidRPr="00923237">
              <w:rPr>
                <w:rFonts w:cstheme="minorHAnsi"/>
                <w:sz w:val="20"/>
                <w:szCs w:val="20"/>
              </w:rPr>
              <w:t>Model 1</w:t>
            </w:r>
          </w:p>
        </w:tc>
        <w:tc>
          <w:tcPr>
            <w:tcW w:w="533" w:type="pct"/>
            <w:hideMark/>
          </w:tcPr>
          <w:p w14:paraId="5B07EA10" w14:textId="77777777" w:rsidR="00F74CAE" w:rsidRPr="00923237" w:rsidRDefault="00F74CAE" w:rsidP="00695609">
            <w:pPr>
              <w:pStyle w:val="NoSpacing"/>
              <w:rPr>
                <w:rFonts w:cstheme="minorHAnsi"/>
                <w:sz w:val="20"/>
                <w:szCs w:val="20"/>
              </w:rPr>
            </w:pPr>
            <w:r w:rsidRPr="00923237">
              <w:rPr>
                <w:rFonts w:cstheme="minorHAnsi"/>
                <w:sz w:val="20"/>
                <w:szCs w:val="20"/>
              </w:rPr>
              <w:t>Model 2</w:t>
            </w:r>
          </w:p>
        </w:tc>
        <w:tc>
          <w:tcPr>
            <w:tcW w:w="483" w:type="pct"/>
            <w:hideMark/>
          </w:tcPr>
          <w:p w14:paraId="59AB5BCD" w14:textId="77777777" w:rsidR="00F74CAE" w:rsidRPr="00923237" w:rsidRDefault="00F74CAE" w:rsidP="00695609">
            <w:pPr>
              <w:pStyle w:val="NoSpacing"/>
              <w:rPr>
                <w:rFonts w:cstheme="minorHAnsi"/>
                <w:sz w:val="20"/>
                <w:szCs w:val="20"/>
              </w:rPr>
            </w:pPr>
            <w:r w:rsidRPr="00923237">
              <w:rPr>
                <w:rFonts w:cstheme="minorHAnsi"/>
                <w:sz w:val="20"/>
                <w:szCs w:val="20"/>
              </w:rPr>
              <w:t>Model 3</w:t>
            </w:r>
          </w:p>
        </w:tc>
        <w:tc>
          <w:tcPr>
            <w:tcW w:w="533" w:type="pct"/>
            <w:hideMark/>
          </w:tcPr>
          <w:p w14:paraId="1DEDA835" w14:textId="77777777" w:rsidR="00F74CAE" w:rsidRPr="00923237" w:rsidRDefault="00F74CAE" w:rsidP="00695609">
            <w:pPr>
              <w:pStyle w:val="NoSpacing"/>
              <w:rPr>
                <w:rFonts w:cstheme="minorHAnsi"/>
                <w:sz w:val="20"/>
                <w:szCs w:val="20"/>
              </w:rPr>
            </w:pPr>
            <w:r w:rsidRPr="00923237">
              <w:rPr>
                <w:rFonts w:cstheme="minorHAnsi"/>
                <w:sz w:val="20"/>
                <w:szCs w:val="20"/>
              </w:rPr>
              <w:t>Model 4</w:t>
            </w:r>
          </w:p>
        </w:tc>
        <w:tc>
          <w:tcPr>
            <w:tcW w:w="1021" w:type="pct"/>
            <w:hideMark/>
          </w:tcPr>
          <w:p w14:paraId="415ABFD6" w14:textId="77777777" w:rsidR="00F74CAE" w:rsidRPr="00923237" w:rsidRDefault="00F74CAE" w:rsidP="00695609">
            <w:pPr>
              <w:pStyle w:val="NoSpacing"/>
              <w:rPr>
                <w:rFonts w:cstheme="minorHAnsi"/>
                <w:sz w:val="20"/>
                <w:szCs w:val="20"/>
              </w:rPr>
            </w:pPr>
            <w:r w:rsidRPr="00923237">
              <w:rPr>
                <w:rFonts w:cstheme="minorHAnsi"/>
                <w:sz w:val="20"/>
                <w:szCs w:val="20"/>
              </w:rPr>
              <w:t>Model 5</w:t>
            </w:r>
          </w:p>
        </w:tc>
        <w:tc>
          <w:tcPr>
            <w:tcW w:w="583" w:type="pct"/>
            <w:hideMark/>
          </w:tcPr>
          <w:p w14:paraId="517E52A0" w14:textId="77777777" w:rsidR="00F74CAE" w:rsidRPr="00923237" w:rsidRDefault="00F74CAE" w:rsidP="00695609">
            <w:pPr>
              <w:pStyle w:val="NoSpacing"/>
              <w:rPr>
                <w:rFonts w:cstheme="minorHAnsi"/>
                <w:sz w:val="20"/>
                <w:szCs w:val="20"/>
              </w:rPr>
            </w:pPr>
            <w:r w:rsidRPr="00923237">
              <w:rPr>
                <w:rFonts w:cstheme="minorHAnsi"/>
                <w:sz w:val="20"/>
                <w:szCs w:val="20"/>
              </w:rPr>
              <w:t>Model 6</w:t>
            </w:r>
          </w:p>
        </w:tc>
      </w:tr>
      <w:tr w:rsidR="00AB2CF4" w:rsidRPr="00923237" w14:paraId="06CAD5C3" w14:textId="77777777" w:rsidTr="006F5E3B">
        <w:tc>
          <w:tcPr>
            <w:tcW w:w="957" w:type="pct"/>
            <w:hideMark/>
          </w:tcPr>
          <w:p w14:paraId="5F0996F5" w14:textId="77777777" w:rsidR="00AB2CF4" w:rsidRPr="00923237" w:rsidRDefault="00AB2CF4" w:rsidP="00695609">
            <w:pPr>
              <w:pStyle w:val="NoSpacing"/>
              <w:rPr>
                <w:rFonts w:cstheme="minorHAnsi"/>
                <w:sz w:val="20"/>
                <w:szCs w:val="20"/>
              </w:rPr>
            </w:pPr>
            <w:r w:rsidRPr="00923237">
              <w:rPr>
                <w:rFonts w:cstheme="minorHAnsi"/>
                <w:sz w:val="20"/>
                <w:szCs w:val="20"/>
              </w:rPr>
              <w:t>Intercept</w:t>
            </w:r>
          </w:p>
        </w:tc>
        <w:tc>
          <w:tcPr>
            <w:tcW w:w="890" w:type="pct"/>
            <w:hideMark/>
          </w:tcPr>
          <w:p w14:paraId="0DF1178A" w14:textId="77777777" w:rsidR="00AB2CF4" w:rsidRPr="00923237" w:rsidRDefault="00AB2CF4" w:rsidP="00695609">
            <w:pPr>
              <w:pStyle w:val="NoSpacing"/>
              <w:rPr>
                <w:rFonts w:cstheme="minorHAnsi"/>
                <w:sz w:val="20"/>
                <w:szCs w:val="20"/>
              </w:rPr>
            </w:pPr>
            <w:r w:rsidRPr="00923237">
              <w:rPr>
                <w:rFonts w:cstheme="minorHAnsi"/>
                <w:sz w:val="20"/>
                <w:szCs w:val="20"/>
              </w:rPr>
              <w:t>5.2759**</w:t>
            </w:r>
          </w:p>
        </w:tc>
        <w:tc>
          <w:tcPr>
            <w:tcW w:w="533" w:type="pct"/>
            <w:hideMark/>
          </w:tcPr>
          <w:p w14:paraId="7520B723" w14:textId="77777777" w:rsidR="00AB2CF4" w:rsidRPr="00923237" w:rsidRDefault="00AB2CF4" w:rsidP="00695609">
            <w:pPr>
              <w:pStyle w:val="NoSpacing"/>
              <w:rPr>
                <w:rFonts w:cstheme="minorHAnsi"/>
                <w:sz w:val="20"/>
                <w:szCs w:val="20"/>
              </w:rPr>
            </w:pPr>
            <w:r w:rsidRPr="00923237">
              <w:rPr>
                <w:rFonts w:cstheme="minorHAnsi"/>
                <w:sz w:val="20"/>
                <w:szCs w:val="20"/>
              </w:rPr>
              <w:t>5.4452**</w:t>
            </w:r>
          </w:p>
        </w:tc>
        <w:tc>
          <w:tcPr>
            <w:tcW w:w="483" w:type="pct"/>
            <w:hideMark/>
          </w:tcPr>
          <w:p w14:paraId="031EA7CA" w14:textId="77777777" w:rsidR="00AB2CF4" w:rsidRPr="00923237" w:rsidRDefault="00AB2CF4" w:rsidP="00695609">
            <w:pPr>
              <w:pStyle w:val="NoSpacing"/>
              <w:rPr>
                <w:rFonts w:cstheme="minorHAnsi"/>
                <w:sz w:val="20"/>
                <w:szCs w:val="20"/>
              </w:rPr>
            </w:pPr>
            <w:r w:rsidRPr="00923237">
              <w:rPr>
                <w:rFonts w:cstheme="minorHAnsi"/>
                <w:sz w:val="20"/>
                <w:szCs w:val="20"/>
              </w:rPr>
              <w:t>3.2681</w:t>
            </w:r>
          </w:p>
        </w:tc>
        <w:tc>
          <w:tcPr>
            <w:tcW w:w="533" w:type="pct"/>
            <w:hideMark/>
          </w:tcPr>
          <w:p w14:paraId="4A179D6A" w14:textId="77777777" w:rsidR="00AB2CF4" w:rsidRPr="00923237" w:rsidRDefault="00AB2CF4" w:rsidP="00695609">
            <w:pPr>
              <w:pStyle w:val="NoSpacing"/>
              <w:rPr>
                <w:rFonts w:cstheme="minorHAnsi"/>
                <w:sz w:val="20"/>
                <w:szCs w:val="20"/>
              </w:rPr>
            </w:pPr>
            <w:r w:rsidRPr="00923237">
              <w:rPr>
                <w:rFonts w:cstheme="minorHAnsi"/>
                <w:sz w:val="20"/>
                <w:szCs w:val="20"/>
              </w:rPr>
              <w:t>3.8799</w:t>
            </w:r>
          </w:p>
        </w:tc>
        <w:tc>
          <w:tcPr>
            <w:tcW w:w="1021" w:type="pct"/>
            <w:hideMark/>
          </w:tcPr>
          <w:p w14:paraId="06FECBB9" w14:textId="77777777" w:rsidR="00AB2CF4" w:rsidRPr="00923237" w:rsidRDefault="00AB2CF4" w:rsidP="00695609">
            <w:pPr>
              <w:pStyle w:val="NoSpacing"/>
              <w:rPr>
                <w:rFonts w:cstheme="minorHAnsi"/>
                <w:sz w:val="20"/>
                <w:szCs w:val="20"/>
              </w:rPr>
            </w:pPr>
            <w:r w:rsidRPr="00923237">
              <w:rPr>
                <w:rFonts w:cstheme="minorHAnsi"/>
                <w:sz w:val="20"/>
                <w:szCs w:val="20"/>
              </w:rPr>
              <w:t>11.4658***</w:t>
            </w:r>
          </w:p>
        </w:tc>
        <w:tc>
          <w:tcPr>
            <w:tcW w:w="583" w:type="pct"/>
            <w:hideMark/>
          </w:tcPr>
          <w:p w14:paraId="77DA2503" w14:textId="77777777" w:rsidR="00AB2CF4" w:rsidRPr="00923237" w:rsidRDefault="00AB2CF4" w:rsidP="00695609">
            <w:pPr>
              <w:pStyle w:val="NoSpacing"/>
              <w:rPr>
                <w:rFonts w:cstheme="minorHAnsi"/>
                <w:sz w:val="20"/>
                <w:szCs w:val="20"/>
              </w:rPr>
            </w:pPr>
            <w:r w:rsidRPr="00923237">
              <w:rPr>
                <w:rFonts w:cstheme="minorHAnsi"/>
                <w:sz w:val="20"/>
                <w:szCs w:val="20"/>
              </w:rPr>
              <w:t>10.8086***</w:t>
            </w:r>
          </w:p>
        </w:tc>
      </w:tr>
      <w:tr w:rsidR="00AB2CF4" w:rsidRPr="00923237" w14:paraId="2F72440F" w14:textId="77777777" w:rsidTr="006F5E3B">
        <w:tc>
          <w:tcPr>
            <w:tcW w:w="957" w:type="pct"/>
            <w:hideMark/>
          </w:tcPr>
          <w:p w14:paraId="2E773C15" w14:textId="77777777" w:rsidR="00AB2CF4" w:rsidRPr="00923237" w:rsidRDefault="00AB2CF4" w:rsidP="00695609">
            <w:pPr>
              <w:pStyle w:val="NoSpacing"/>
              <w:rPr>
                <w:rFonts w:cstheme="minorHAnsi"/>
                <w:sz w:val="20"/>
                <w:szCs w:val="20"/>
              </w:rPr>
            </w:pPr>
          </w:p>
        </w:tc>
        <w:tc>
          <w:tcPr>
            <w:tcW w:w="890" w:type="pct"/>
            <w:hideMark/>
          </w:tcPr>
          <w:p w14:paraId="2F48CBD8" w14:textId="77777777" w:rsidR="00AB2CF4" w:rsidRPr="00923237" w:rsidRDefault="00AB2CF4" w:rsidP="00695609">
            <w:pPr>
              <w:pStyle w:val="NoSpacing"/>
              <w:rPr>
                <w:rFonts w:cstheme="minorHAnsi"/>
                <w:sz w:val="20"/>
                <w:szCs w:val="20"/>
              </w:rPr>
            </w:pPr>
            <w:r w:rsidRPr="00923237">
              <w:rPr>
                <w:rFonts w:cstheme="minorHAnsi"/>
                <w:sz w:val="20"/>
                <w:szCs w:val="20"/>
              </w:rPr>
              <w:t>[0.025]</w:t>
            </w:r>
          </w:p>
        </w:tc>
        <w:tc>
          <w:tcPr>
            <w:tcW w:w="533" w:type="pct"/>
            <w:hideMark/>
          </w:tcPr>
          <w:p w14:paraId="16C0EB9F" w14:textId="77777777" w:rsidR="00AB2CF4" w:rsidRPr="00923237" w:rsidRDefault="00AB2CF4" w:rsidP="00695609">
            <w:pPr>
              <w:pStyle w:val="NoSpacing"/>
              <w:rPr>
                <w:rFonts w:cstheme="minorHAnsi"/>
                <w:sz w:val="20"/>
                <w:szCs w:val="20"/>
              </w:rPr>
            </w:pPr>
            <w:r w:rsidRPr="00923237">
              <w:rPr>
                <w:rFonts w:cstheme="minorHAnsi"/>
                <w:sz w:val="20"/>
                <w:szCs w:val="20"/>
              </w:rPr>
              <w:t>[0.022]</w:t>
            </w:r>
          </w:p>
        </w:tc>
        <w:tc>
          <w:tcPr>
            <w:tcW w:w="483" w:type="pct"/>
            <w:hideMark/>
          </w:tcPr>
          <w:p w14:paraId="021BF78D" w14:textId="77777777" w:rsidR="00AB2CF4" w:rsidRPr="00923237" w:rsidRDefault="00AB2CF4" w:rsidP="00695609">
            <w:pPr>
              <w:pStyle w:val="NoSpacing"/>
              <w:rPr>
                <w:rFonts w:cstheme="minorHAnsi"/>
                <w:sz w:val="20"/>
                <w:szCs w:val="20"/>
              </w:rPr>
            </w:pPr>
            <w:r w:rsidRPr="00923237">
              <w:rPr>
                <w:rFonts w:cstheme="minorHAnsi"/>
                <w:sz w:val="20"/>
                <w:szCs w:val="20"/>
              </w:rPr>
              <w:t>[0.198]</w:t>
            </w:r>
          </w:p>
        </w:tc>
        <w:tc>
          <w:tcPr>
            <w:tcW w:w="533" w:type="pct"/>
            <w:hideMark/>
          </w:tcPr>
          <w:p w14:paraId="05F485F6" w14:textId="77777777" w:rsidR="00AB2CF4" w:rsidRPr="00923237" w:rsidRDefault="00AB2CF4" w:rsidP="00695609">
            <w:pPr>
              <w:pStyle w:val="NoSpacing"/>
              <w:rPr>
                <w:rFonts w:cstheme="minorHAnsi"/>
                <w:sz w:val="20"/>
                <w:szCs w:val="20"/>
              </w:rPr>
            </w:pPr>
            <w:r w:rsidRPr="00923237">
              <w:rPr>
                <w:rFonts w:cstheme="minorHAnsi"/>
                <w:sz w:val="20"/>
                <w:szCs w:val="20"/>
              </w:rPr>
              <w:t>[0.127]</w:t>
            </w:r>
          </w:p>
        </w:tc>
        <w:tc>
          <w:tcPr>
            <w:tcW w:w="1021" w:type="pct"/>
            <w:hideMark/>
          </w:tcPr>
          <w:p w14:paraId="10C3E884" w14:textId="77777777" w:rsidR="00AB2CF4" w:rsidRPr="00923237" w:rsidRDefault="00AB2CF4" w:rsidP="00695609">
            <w:pPr>
              <w:pStyle w:val="NoSpacing"/>
              <w:rPr>
                <w:rFonts w:cstheme="minorHAnsi"/>
                <w:sz w:val="20"/>
                <w:szCs w:val="20"/>
              </w:rPr>
            </w:pPr>
            <w:r w:rsidRPr="00923237">
              <w:rPr>
                <w:rFonts w:cstheme="minorHAnsi"/>
                <w:sz w:val="20"/>
                <w:szCs w:val="20"/>
              </w:rPr>
              <w:t>[0.001]</w:t>
            </w:r>
          </w:p>
        </w:tc>
        <w:tc>
          <w:tcPr>
            <w:tcW w:w="583" w:type="pct"/>
            <w:hideMark/>
          </w:tcPr>
          <w:p w14:paraId="46BBD8A0" w14:textId="77777777" w:rsidR="00AB2CF4" w:rsidRPr="00923237" w:rsidRDefault="00AB2CF4" w:rsidP="00695609">
            <w:pPr>
              <w:pStyle w:val="NoSpacing"/>
              <w:rPr>
                <w:rFonts w:cstheme="minorHAnsi"/>
                <w:sz w:val="20"/>
                <w:szCs w:val="20"/>
              </w:rPr>
            </w:pPr>
            <w:r w:rsidRPr="00923237">
              <w:rPr>
                <w:rFonts w:cstheme="minorHAnsi"/>
                <w:sz w:val="20"/>
                <w:szCs w:val="20"/>
              </w:rPr>
              <w:t>[0.004]</w:t>
            </w:r>
          </w:p>
        </w:tc>
      </w:tr>
      <w:tr w:rsidR="00A4606E" w:rsidRPr="00923237" w14:paraId="08A622BB" w14:textId="77777777" w:rsidTr="006F5E3B">
        <w:tc>
          <w:tcPr>
            <w:tcW w:w="957" w:type="pct"/>
            <w:hideMark/>
          </w:tcPr>
          <w:p w14:paraId="4DA9D202" w14:textId="77777777" w:rsidR="00A4606E" w:rsidRPr="00923237" w:rsidRDefault="00A4606E" w:rsidP="00695609">
            <w:pPr>
              <w:pStyle w:val="NoSpacing"/>
              <w:rPr>
                <w:rFonts w:cstheme="minorHAnsi"/>
                <w:sz w:val="20"/>
                <w:szCs w:val="20"/>
              </w:rPr>
            </w:pPr>
            <w:r w:rsidRPr="00923237">
              <w:rPr>
                <w:rFonts w:cstheme="minorHAnsi"/>
                <w:sz w:val="20"/>
                <w:szCs w:val="20"/>
              </w:rPr>
              <w:t>Market leverage</w:t>
            </w:r>
          </w:p>
        </w:tc>
        <w:tc>
          <w:tcPr>
            <w:tcW w:w="890" w:type="pct"/>
            <w:hideMark/>
          </w:tcPr>
          <w:p w14:paraId="06EA7969" w14:textId="77777777" w:rsidR="00A4606E" w:rsidRPr="00923237" w:rsidRDefault="00A4606E" w:rsidP="00695609">
            <w:pPr>
              <w:pStyle w:val="NoSpacing"/>
              <w:rPr>
                <w:rFonts w:cstheme="minorHAnsi"/>
                <w:sz w:val="20"/>
                <w:szCs w:val="20"/>
              </w:rPr>
            </w:pPr>
            <w:r w:rsidRPr="00923237">
              <w:rPr>
                <w:rFonts w:cstheme="minorHAnsi"/>
                <w:sz w:val="20"/>
                <w:szCs w:val="20"/>
              </w:rPr>
              <w:t>1.9018*</w:t>
            </w:r>
          </w:p>
        </w:tc>
        <w:tc>
          <w:tcPr>
            <w:tcW w:w="533" w:type="pct"/>
            <w:hideMark/>
          </w:tcPr>
          <w:p w14:paraId="6C406D16" w14:textId="77777777" w:rsidR="00A4606E" w:rsidRPr="00923237" w:rsidRDefault="00A4606E" w:rsidP="00695609">
            <w:pPr>
              <w:pStyle w:val="NoSpacing"/>
              <w:rPr>
                <w:rFonts w:cstheme="minorHAnsi"/>
                <w:sz w:val="20"/>
                <w:szCs w:val="20"/>
              </w:rPr>
            </w:pPr>
            <w:r w:rsidRPr="00923237">
              <w:rPr>
                <w:rFonts w:cstheme="minorHAnsi"/>
                <w:sz w:val="20"/>
                <w:szCs w:val="20"/>
              </w:rPr>
              <w:t>1.9199*</w:t>
            </w:r>
          </w:p>
        </w:tc>
        <w:tc>
          <w:tcPr>
            <w:tcW w:w="483" w:type="pct"/>
            <w:hideMark/>
          </w:tcPr>
          <w:p w14:paraId="7EA5CAD1" w14:textId="77777777" w:rsidR="00A4606E" w:rsidRPr="00923237" w:rsidRDefault="00A4606E" w:rsidP="00695609">
            <w:pPr>
              <w:pStyle w:val="NoSpacing"/>
              <w:rPr>
                <w:rFonts w:cstheme="minorHAnsi"/>
                <w:sz w:val="20"/>
                <w:szCs w:val="20"/>
              </w:rPr>
            </w:pPr>
          </w:p>
        </w:tc>
        <w:tc>
          <w:tcPr>
            <w:tcW w:w="533" w:type="pct"/>
            <w:hideMark/>
          </w:tcPr>
          <w:p w14:paraId="3962AE6F" w14:textId="77777777" w:rsidR="00A4606E" w:rsidRPr="00923237" w:rsidRDefault="00A4606E" w:rsidP="00695609">
            <w:pPr>
              <w:pStyle w:val="NoSpacing"/>
              <w:rPr>
                <w:rFonts w:cstheme="minorHAnsi"/>
                <w:sz w:val="20"/>
                <w:szCs w:val="20"/>
              </w:rPr>
            </w:pPr>
          </w:p>
        </w:tc>
        <w:tc>
          <w:tcPr>
            <w:tcW w:w="1021" w:type="pct"/>
            <w:hideMark/>
          </w:tcPr>
          <w:p w14:paraId="19CAB191" w14:textId="77777777" w:rsidR="00A4606E" w:rsidRPr="00923237" w:rsidRDefault="00A4606E" w:rsidP="00695609">
            <w:pPr>
              <w:pStyle w:val="NoSpacing"/>
              <w:rPr>
                <w:rFonts w:cstheme="minorHAnsi"/>
                <w:sz w:val="20"/>
                <w:szCs w:val="20"/>
              </w:rPr>
            </w:pPr>
            <w:r w:rsidRPr="00923237">
              <w:rPr>
                <w:rFonts w:cstheme="minorHAnsi"/>
                <w:sz w:val="20"/>
                <w:szCs w:val="20"/>
              </w:rPr>
              <w:t>2.2516</w:t>
            </w:r>
          </w:p>
        </w:tc>
        <w:tc>
          <w:tcPr>
            <w:tcW w:w="583" w:type="pct"/>
            <w:hideMark/>
          </w:tcPr>
          <w:p w14:paraId="100AC7F8" w14:textId="77777777" w:rsidR="00A4606E" w:rsidRPr="00923237" w:rsidRDefault="00A4606E" w:rsidP="00695609">
            <w:pPr>
              <w:pStyle w:val="NoSpacing"/>
              <w:rPr>
                <w:rFonts w:cstheme="minorHAnsi"/>
                <w:sz w:val="20"/>
                <w:szCs w:val="20"/>
              </w:rPr>
            </w:pPr>
          </w:p>
        </w:tc>
      </w:tr>
      <w:tr w:rsidR="00A4606E" w:rsidRPr="00923237" w14:paraId="6D3C53F5" w14:textId="77777777" w:rsidTr="006F5E3B">
        <w:tc>
          <w:tcPr>
            <w:tcW w:w="957" w:type="pct"/>
            <w:hideMark/>
          </w:tcPr>
          <w:p w14:paraId="688F04CC" w14:textId="77777777" w:rsidR="00A4606E" w:rsidRPr="00923237" w:rsidRDefault="00A4606E" w:rsidP="00695609">
            <w:pPr>
              <w:pStyle w:val="NoSpacing"/>
              <w:rPr>
                <w:rFonts w:cstheme="minorHAnsi"/>
                <w:sz w:val="20"/>
                <w:szCs w:val="20"/>
              </w:rPr>
            </w:pPr>
          </w:p>
        </w:tc>
        <w:tc>
          <w:tcPr>
            <w:tcW w:w="890" w:type="pct"/>
            <w:hideMark/>
          </w:tcPr>
          <w:p w14:paraId="51B7EE09" w14:textId="77777777" w:rsidR="00A4606E" w:rsidRPr="00923237" w:rsidRDefault="00A4606E" w:rsidP="00695609">
            <w:pPr>
              <w:pStyle w:val="NoSpacing"/>
              <w:rPr>
                <w:rFonts w:cstheme="minorHAnsi"/>
                <w:sz w:val="20"/>
                <w:szCs w:val="20"/>
              </w:rPr>
            </w:pPr>
            <w:r w:rsidRPr="00923237">
              <w:rPr>
                <w:rFonts w:cstheme="minorHAnsi"/>
                <w:sz w:val="20"/>
                <w:szCs w:val="20"/>
              </w:rPr>
              <w:t>[0.09]</w:t>
            </w:r>
          </w:p>
        </w:tc>
        <w:tc>
          <w:tcPr>
            <w:tcW w:w="533" w:type="pct"/>
            <w:hideMark/>
          </w:tcPr>
          <w:p w14:paraId="1833A6A4" w14:textId="77777777" w:rsidR="00A4606E" w:rsidRPr="00923237" w:rsidRDefault="00A4606E" w:rsidP="00695609">
            <w:pPr>
              <w:pStyle w:val="NoSpacing"/>
              <w:rPr>
                <w:rFonts w:cstheme="minorHAnsi"/>
                <w:sz w:val="20"/>
                <w:szCs w:val="20"/>
              </w:rPr>
            </w:pPr>
            <w:r w:rsidRPr="00923237">
              <w:rPr>
                <w:rFonts w:cstheme="minorHAnsi"/>
                <w:sz w:val="20"/>
                <w:szCs w:val="20"/>
              </w:rPr>
              <w:t>[0.090]</w:t>
            </w:r>
          </w:p>
        </w:tc>
        <w:tc>
          <w:tcPr>
            <w:tcW w:w="483" w:type="pct"/>
            <w:hideMark/>
          </w:tcPr>
          <w:p w14:paraId="108C8D1D" w14:textId="77777777" w:rsidR="00A4606E" w:rsidRPr="00923237" w:rsidRDefault="00A4606E" w:rsidP="00695609">
            <w:pPr>
              <w:pStyle w:val="NoSpacing"/>
              <w:rPr>
                <w:rFonts w:cstheme="minorHAnsi"/>
                <w:sz w:val="20"/>
                <w:szCs w:val="20"/>
              </w:rPr>
            </w:pPr>
          </w:p>
        </w:tc>
        <w:tc>
          <w:tcPr>
            <w:tcW w:w="533" w:type="pct"/>
            <w:hideMark/>
          </w:tcPr>
          <w:p w14:paraId="7B0E5977" w14:textId="77777777" w:rsidR="00A4606E" w:rsidRPr="00923237" w:rsidRDefault="00A4606E" w:rsidP="00695609">
            <w:pPr>
              <w:pStyle w:val="NoSpacing"/>
              <w:rPr>
                <w:rFonts w:cstheme="minorHAnsi"/>
                <w:sz w:val="20"/>
                <w:szCs w:val="20"/>
              </w:rPr>
            </w:pPr>
          </w:p>
        </w:tc>
        <w:tc>
          <w:tcPr>
            <w:tcW w:w="1021" w:type="pct"/>
            <w:hideMark/>
          </w:tcPr>
          <w:p w14:paraId="708B1274" w14:textId="77777777" w:rsidR="00A4606E" w:rsidRPr="00923237" w:rsidRDefault="00A4606E" w:rsidP="00695609">
            <w:pPr>
              <w:pStyle w:val="NoSpacing"/>
              <w:rPr>
                <w:rFonts w:cstheme="minorHAnsi"/>
                <w:sz w:val="20"/>
                <w:szCs w:val="20"/>
              </w:rPr>
            </w:pPr>
            <w:r w:rsidRPr="00923237">
              <w:rPr>
                <w:rFonts w:cstheme="minorHAnsi"/>
                <w:sz w:val="20"/>
                <w:szCs w:val="20"/>
              </w:rPr>
              <w:t>[0.171]</w:t>
            </w:r>
          </w:p>
        </w:tc>
        <w:tc>
          <w:tcPr>
            <w:tcW w:w="583" w:type="pct"/>
            <w:hideMark/>
          </w:tcPr>
          <w:p w14:paraId="224FDF75" w14:textId="77777777" w:rsidR="00A4606E" w:rsidRPr="00923237" w:rsidRDefault="00A4606E" w:rsidP="00695609">
            <w:pPr>
              <w:pStyle w:val="NoSpacing"/>
              <w:rPr>
                <w:rFonts w:cstheme="minorHAnsi"/>
                <w:sz w:val="20"/>
                <w:szCs w:val="20"/>
              </w:rPr>
            </w:pPr>
          </w:p>
        </w:tc>
      </w:tr>
      <w:tr w:rsidR="00A4606E" w:rsidRPr="00923237" w14:paraId="5C1CDFDA" w14:textId="77777777" w:rsidTr="006F5E3B">
        <w:tc>
          <w:tcPr>
            <w:tcW w:w="957" w:type="pct"/>
            <w:hideMark/>
          </w:tcPr>
          <w:p w14:paraId="3E6DD0A5" w14:textId="77777777" w:rsidR="00A4606E" w:rsidRPr="00923237" w:rsidRDefault="00A4606E" w:rsidP="00695609">
            <w:pPr>
              <w:pStyle w:val="NoSpacing"/>
              <w:rPr>
                <w:rFonts w:cstheme="minorHAnsi"/>
                <w:sz w:val="20"/>
                <w:szCs w:val="20"/>
              </w:rPr>
            </w:pPr>
            <w:r w:rsidRPr="00923237">
              <w:rPr>
                <w:rFonts w:cstheme="minorHAnsi"/>
                <w:sz w:val="20"/>
                <w:szCs w:val="20"/>
              </w:rPr>
              <w:t>High leverage</w:t>
            </w:r>
          </w:p>
        </w:tc>
        <w:tc>
          <w:tcPr>
            <w:tcW w:w="890" w:type="pct"/>
            <w:hideMark/>
          </w:tcPr>
          <w:p w14:paraId="15EA207D" w14:textId="77777777" w:rsidR="00A4606E" w:rsidRPr="00923237" w:rsidRDefault="00A4606E" w:rsidP="00695609">
            <w:pPr>
              <w:pStyle w:val="NoSpacing"/>
              <w:rPr>
                <w:rFonts w:cstheme="minorHAnsi"/>
                <w:sz w:val="20"/>
                <w:szCs w:val="20"/>
              </w:rPr>
            </w:pPr>
          </w:p>
        </w:tc>
        <w:tc>
          <w:tcPr>
            <w:tcW w:w="533" w:type="pct"/>
            <w:hideMark/>
          </w:tcPr>
          <w:p w14:paraId="51ED0705" w14:textId="77777777" w:rsidR="00A4606E" w:rsidRPr="00923237" w:rsidRDefault="00A4606E" w:rsidP="00695609">
            <w:pPr>
              <w:pStyle w:val="NoSpacing"/>
              <w:rPr>
                <w:rFonts w:cstheme="minorHAnsi"/>
                <w:sz w:val="20"/>
                <w:szCs w:val="20"/>
              </w:rPr>
            </w:pPr>
          </w:p>
        </w:tc>
        <w:tc>
          <w:tcPr>
            <w:tcW w:w="483" w:type="pct"/>
            <w:hideMark/>
          </w:tcPr>
          <w:p w14:paraId="0D3319B8" w14:textId="77777777" w:rsidR="00A4606E" w:rsidRPr="00923237" w:rsidRDefault="00A4606E" w:rsidP="00695609">
            <w:pPr>
              <w:pStyle w:val="NoSpacing"/>
              <w:rPr>
                <w:rFonts w:cstheme="minorHAnsi"/>
                <w:sz w:val="20"/>
                <w:szCs w:val="20"/>
              </w:rPr>
            </w:pPr>
            <w:r w:rsidRPr="00923237">
              <w:rPr>
                <w:rFonts w:cstheme="minorHAnsi"/>
                <w:sz w:val="20"/>
                <w:szCs w:val="20"/>
              </w:rPr>
              <w:t>3.2341**</w:t>
            </w:r>
          </w:p>
        </w:tc>
        <w:tc>
          <w:tcPr>
            <w:tcW w:w="533" w:type="pct"/>
            <w:hideMark/>
          </w:tcPr>
          <w:p w14:paraId="7C6E6595" w14:textId="77777777" w:rsidR="00A4606E" w:rsidRPr="00923237" w:rsidRDefault="00A4606E" w:rsidP="00695609">
            <w:pPr>
              <w:pStyle w:val="NoSpacing"/>
              <w:rPr>
                <w:rFonts w:cstheme="minorHAnsi"/>
                <w:sz w:val="20"/>
                <w:szCs w:val="20"/>
              </w:rPr>
            </w:pPr>
            <w:r w:rsidRPr="00923237">
              <w:rPr>
                <w:rFonts w:cstheme="minorHAnsi"/>
                <w:sz w:val="20"/>
                <w:szCs w:val="20"/>
              </w:rPr>
              <w:t>2.6090</w:t>
            </w:r>
          </w:p>
        </w:tc>
        <w:tc>
          <w:tcPr>
            <w:tcW w:w="1021" w:type="pct"/>
            <w:hideMark/>
          </w:tcPr>
          <w:p w14:paraId="323BF8BF" w14:textId="77777777" w:rsidR="00A4606E" w:rsidRPr="00923237" w:rsidRDefault="00A4606E" w:rsidP="00695609">
            <w:pPr>
              <w:pStyle w:val="NoSpacing"/>
              <w:rPr>
                <w:rFonts w:cstheme="minorHAnsi"/>
                <w:sz w:val="20"/>
                <w:szCs w:val="20"/>
              </w:rPr>
            </w:pPr>
          </w:p>
        </w:tc>
        <w:tc>
          <w:tcPr>
            <w:tcW w:w="583" w:type="pct"/>
            <w:hideMark/>
          </w:tcPr>
          <w:p w14:paraId="41C2755A" w14:textId="77777777" w:rsidR="00A4606E" w:rsidRPr="00923237" w:rsidRDefault="00A4606E" w:rsidP="00695609">
            <w:pPr>
              <w:pStyle w:val="NoSpacing"/>
              <w:rPr>
                <w:rFonts w:cstheme="minorHAnsi"/>
                <w:sz w:val="20"/>
                <w:szCs w:val="20"/>
              </w:rPr>
            </w:pPr>
            <w:r w:rsidRPr="00923237">
              <w:rPr>
                <w:rFonts w:cstheme="minorHAnsi"/>
                <w:sz w:val="20"/>
                <w:szCs w:val="20"/>
              </w:rPr>
              <w:t>1.0077</w:t>
            </w:r>
          </w:p>
        </w:tc>
      </w:tr>
      <w:tr w:rsidR="00A4606E" w:rsidRPr="00923237" w14:paraId="47F28D25" w14:textId="77777777" w:rsidTr="006F5E3B">
        <w:tc>
          <w:tcPr>
            <w:tcW w:w="957" w:type="pct"/>
            <w:hideMark/>
          </w:tcPr>
          <w:p w14:paraId="5AC48616" w14:textId="77777777" w:rsidR="00A4606E" w:rsidRPr="00923237" w:rsidRDefault="00A4606E" w:rsidP="00695609">
            <w:pPr>
              <w:pStyle w:val="NoSpacing"/>
              <w:rPr>
                <w:rFonts w:cstheme="minorHAnsi"/>
                <w:sz w:val="20"/>
                <w:szCs w:val="20"/>
              </w:rPr>
            </w:pPr>
          </w:p>
        </w:tc>
        <w:tc>
          <w:tcPr>
            <w:tcW w:w="890" w:type="pct"/>
            <w:hideMark/>
          </w:tcPr>
          <w:p w14:paraId="4058D64E" w14:textId="77777777" w:rsidR="00A4606E" w:rsidRPr="00923237" w:rsidRDefault="00A4606E" w:rsidP="00695609">
            <w:pPr>
              <w:pStyle w:val="NoSpacing"/>
              <w:rPr>
                <w:rFonts w:cstheme="minorHAnsi"/>
                <w:sz w:val="20"/>
                <w:szCs w:val="20"/>
              </w:rPr>
            </w:pPr>
          </w:p>
        </w:tc>
        <w:tc>
          <w:tcPr>
            <w:tcW w:w="533" w:type="pct"/>
            <w:hideMark/>
          </w:tcPr>
          <w:p w14:paraId="2B223FC9" w14:textId="77777777" w:rsidR="00A4606E" w:rsidRPr="00923237" w:rsidRDefault="00A4606E" w:rsidP="00695609">
            <w:pPr>
              <w:pStyle w:val="NoSpacing"/>
              <w:rPr>
                <w:rFonts w:cstheme="minorHAnsi"/>
                <w:sz w:val="20"/>
                <w:szCs w:val="20"/>
              </w:rPr>
            </w:pPr>
          </w:p>
        </w:tc>
        <w:tc>
          <w:tcPr>
            <w:tcW w:w="483" w:type="pct"/>
            <w:hideMark/>
          </w:tcPr>
          <w:p w14:paraId="5BF5C681" w14:textId="77777777" w:rsidR="00A4606E" w:rsidRPr="00923237" w:rsidRDefault="00A4606E" w:rsidP="00695609">
            <w:pPr>
              <w:pStyle w:val="NoSpacing"/>
              <w:rPr>
                <w:rFonts w:cstheme="minorHAnsi"/>
                <w:sz w:val="20"/>
                <w:szCs w:val="20"/>
              </w:rPr>
            </w:pPr>
            <w:r w:rsidRPr="00923237">
              <w:rPr>
                <w:rFonts w:cstheme="minorHAnsi"/>
                <w:sz w:val="20"/>
                <w:szCs w:val="20"/>
              </w:rPr>
              <w:t>[0.04]</w:t>
            </w:r>
          </w:p>
        </w:tc>
        <w:tc>
          <w:tcPr>
            <w:tcW w:w="533" w:type="pct"/>
            <w:hideMark/>
          </w:tcPr>
          <w:p w14:paraId="7ECD1D73" w14:textId="77777777" w:rsidR="00A4606E" w:rsidRPr="00923237" w:rsidRDefault="00A4606E" w:rsidP="00695609">
            <w:pPr>
              <w:pStyle w:val="NoSpacing"/>
              <w:rPr>
                <w:rFonts w:cstheme="minorHAnsi"/>
                <w:sz w:val="20"/>
                <w:szCs w:val="20"/>
              </w:rPr>
            </w:pPr>
            <w:r w:rsidRPr="00923237">
              <w:rPr>
                <w:rFonts w:cstheme="minorHAnsi"/>
                <w:sz w:val="20"/>
                <w:szCs w:val="20"/>
              </w:rPr>
              <w:t>[0.111]</w:t>
            </w:r>
          </w:p>
        </w:tc>
        <w:tc>
          <w:tcPr>
            <w:tcW w:w="1021" w:type="pct"/>
            <w:hideMark/>
          </w:tcPr>
          <w:p w14:paraId="1DEFB5C6" w14:textId="77777777" w:rsidR="00A4606E" w:rsidRPr="00923237" w:rsidRDefault="00A4606E" w:rsidP="00695609">
            <w:pPr>
              <w:pStyle w:val="NoSpacing"/>
              <w:rPr>
                <w:rFonts w:cstheme="minorHAnsi"/>
                <w:sz w:val="20"/>
                <w:szCs w:val="20"/>
              </w:rPr>
            </w:pPr>
          </w:p>
        </w:tc>
        <w:tc>
          <w:tcPr>
            <w:tcW w:w="583" w:type="pct"/>
            <w:hideMark/>
          </w:tcPr>
          <w:p w14:paraId="101D1D1D" w14:textId="77777777" w:rsidR="00A4606E" w:rsidRPr="00923237" w:rsidRDefault="00A4606E" w:rsidP="00695609">
            <w:pPr>
              <w:pStyle w:val="NoSpacing"/>
              <w:rPr>
                <w:rFonts w:cstheme="minorHAnsi"/>
                <w:sz w:val="20"/>
                <w:szCs w:val="20"/>
              </w:rPr>
            </w:pPr>
            <w:r w:rsidRPr="00923237">
              <w:rPr>
                <w:rFonts w:cstheme="minorHAnsi"/>
                <w:sz w:val="20"/>
                <w:szCs w:val="20"/>
              </w:rPr>
              <w:t>[0.673]</w:t>
            </w:r>
          </w:p>
        </w:tc>
      </w:tr>
      <w:tr w:rsidR="00A4606E" w:rsidRPr="00923237" w14:paraId="0EE979C8" w14:textId="77777777" w:rsidTr="006F5E3B">
        <w:tc>
          <w:tcPr>
            <w:tcW w:w="957" w:type="pct"/>
            <w:hideMark/>
          </w:tcPr>
          <w:p w14:paraId="3F1D9357" w14:textId="77777777" w:rsidR="00A4606E" w:rsidRPr="00923237" w:rsidRDefault="00A4606E" w:rsidP="00695609">
            <w:pPr>
              <w:pStyle w:val="NoSpacing"/>
              <w:rPr>
                <w:rFonts w:cstheme="minorHAnsi"/>
                <w:sz w:val="20"/>
                <w:szCs w:val="20"/>
              </w:rPr>
            </w:pPr>
            <w:proofErr w:type="gramStart"/>
            <w:r w:rsidRPr="00923237">
              <w:rPr>
                <w:rFonts w:cstheme="minorHAnsi"/>
                <w:sz w:val="20"/>
                <w:szCs w:val="20"/>
              </w:rPr>
              <w:t>Ln(</w:t>
            </w:r>
            <w:proofErr w:type="gramEnd"/>
            <w:r w:rsidRPr="00923237">
              <w:rPr>
                <w:rFonts w:cstheme="minorHAnsi"/>
                <w:sz w:val="20"/>
                <w:szCs w:val="20"/>
              </w:rPr>
              <w:t>total assets)</w:t>
            </w:r>
          </w:p>
        </w:tc>
        <w:tc>
          <w:tcPr>
            <w:tcW w:w="890" w:type="pct"/>
            <w:hideMark/>
          </w:tcPr>
          <w:p w14:paraId="6CAA54B5" w14:textId="77777777" w:rsidR="00A4606E" w:rsidRPr="00923237" w:rsidRDefault="00A4606E" w:rsidP="00695609">
            <w:pPr>
              <w:pStyle w:val="NoSpacing"/>
              <w:rPr>
                <w:rFonts w:cstheme="minorHAnsi"/>
                <w:sz w:val="20"/>
                <w:szCs w:val="20"/>
              </w:rPr>
            </w:pPr>
            <w:r w:rsidRPr="00923237">
              <w:rPr>
                <w:rFonts w:cstheme="minorHAnsi"/>
                <w:sz w:val="20"/>
                <w:szCs w:val="20"/>
              </w:rPr>
              <w:t>1.1469</w:t>
            </w:r>
          </w:p>
        </w:tc>
        <w:tc>
          <w:tcPr>
            <w:tcW w:w="533" w:type="pct"/>
            <w:hideMark/>
          </w:tcPr>
          <w:p w14:paraId="5D80975E" w14:textId="77777777" w:rsidR="00A4606E" w:rsidRPr="00923237" w:rsidRDefault="00A4606E" w:rsidP="00695609">
            <w:pPr>
              <w:pStyle w:val="NoSpacing"/>
              <w:rPr>
                <w:rFonts w:cstheme="minorHAnsi"/>
                <w:sz w:val="20"/>
                <w:szCs w:val="20"/>
              </w:rPr>
            </w:pPr>
            <w:r w:rsidRPr="00923237">
              <w:rPr>
                <w:rFonts w:cstheme="minorHAnsi"/>
                <w:sz w:val="20"/>
                <w:szCs w:val="20"/>
              </w:rPr>
              <w:t>1.4366</w:t>
            </w:r>
          </w:p>
        </w:tc>
        <w:tc>
          <w:tcPr>
            <w:tcW w:w="483" w:type="pct"/>
            <w:hideMark/>
          </w:tcPr>
          <w:p w14:paraId="293BD57B" w14:textId="77777777" w:rsidR="00A4606E" w:rsidRPr="00923237" w:rsidRDefault="00A4606E" w:rsidP="00695609">
            <w:pPr>
              <w:pStyle w:val="NoSpacing"/>
              <w:rPr>
                <w:rFonts w:cstheme="minorHAnsi"/>
                <w:sz w:val="20"/>
                <w:szCs w:val="20"/>
              </w:rPr>
            </w:pPr>
            <w:r w:rsidRPr="00923237">
              <w:rPr>
                <w:rFonts w:cstheme="minorHAnsi"/>
                <w:sz w:val="20"/>
                <w:szCs w:val="20"/>
              </w:rPr>
              <w:t>1.4052</w:t>
            </w:r>
          </w:p>
        </w:tc>
        <w:tc>
          <w:tcPr>
            <w:tcW w:w="533" w:type="pct"/>
            <w:hideMark/>
          </w:tcPr>
          <w:p w14:paraId="77798B79" w14:textId="77777777" w:rsidR="00A4606E" w:rsidRPr="00923237" w:rsidRDefault="00A4606E" w:rsidP="00695609">
            <w:pPr>
              <w:pStyle w:val="NoSpacing"/>
              <w:rPr>
                <w:rFonts w:cstheme="minorHAnsi"/>
                <w:sz w:val="20"/>
                <w:szCs w:val="20"/>
              </w:rPr>
            </w:pPr>
            <w:r w:rsidRPr="00923237">
              <w:rPr>
                <w:rFonts w:cstheme="minorHAnsi"/>
                <w:sz w:val="20"/>
                <w:szCs w:val="20"/>
              </w:rPr>
              <w:t>1.7359*</w:t>
            </w:r>
          </w:p>
        </w:tc>
        <w:tc>
          <w:tcPr>
            <w:tcW w:w="1021" w:type="pct"/>
            <w:hideMark/>
          </w:tcPr>
          <w:p w14:paraId="0CE89F37" w14:textId="77777777" w:rsidR="00A4606E" w:rsidRPr="00923237" w:rsidRDefault="00A4606E" w:rsidP="00695609">
            <w:pPr>
              <w:pStyle w:val="NoSpacing"/>
              <w:rPr>
                <w:rFonts w:cstheme="minorHAnsi"/>
                <w:sz w:val="20"/>
                <w:szCs w:val="20"/>
              </w:rPr>
            </w:pPr>
            <w:r w:rsidRPr="00923237">
              <w:rPr>
                <w:rFonts w:cstheme="minorHAnsi"/>
                <w:sz w:val="20"/>
                <w:szCs w:val="20"/>
              </w:rPr>
              <w:t>2.5984*</w:t>
            </w:r>
          </w:p>
        </w:tc>
        <w:tc>
          <w:tcPr>
            <w:tcW w:w="583" w:type="pct"/>
            <w:hideMark/>
          </w:tcPr>
          <w:p w14:paraId="5330B701" w14:textId="77777777" w:rsidR="00A4606E" w:rsidRPr="00923237" w:rsidRDefault="00A4606E" w:rsidP="00695609">
            <w:pPr>
              <w:pStyle w:val="NoSpacing"/>
              <w:rPr>
                <w:rFonts w:cstheme="minorHAnsi"/>
                <w:sz w:val="20"/>
                <w:szCs w:val="20"/>
              </w:rPr>
            </w:pPr>
            <w:r w:rsidRPr="00923237">
              <w:rPr>
                <w:rFonts w:cstheme="minorHAnsi"/>
                <w:sz w:val="20"/>
                <w:szCs w:val="20"/>
              </w:rPr>
              <w:t>2.8956*</w:t>
            </w:r>
          </w:p>
        </w:tc>
      </w:tr>
      <w:tr w:rsidR="00A4606E" w:rsidRPr="00923237" w14:paraId="210411F9" w14:textId="77777777" w:rsidTr="006F5E3B">
        <w:tc>
          <w:tcPr>
            <w:tcW w:w="957" w:type="pct"/>
            <w:hideMark/>
          </w:tcPr>
          <w:p w14:paraId="2DF1AE05" w14:textId="77777777" w:rsidR="00A4606E" w:rsidRPr="00923237" w:rsidRDefault="00A4606E" w:rsidP="00695609">
            <w:pPr>
              <w:pStyle w:val="NoSpacing"/>
              <w:rPr>
                <w:rFonts w:cstheme="minorHAnsi"/>
                <w:sz w:val="20"/>
                <w:szCs w:val="20"/>
              </w:rPr>
            </w:pPr>
          </w:p>
        </w:tc>
        <w:tc>
          <w:tcPr>
            <w:tcW w:w="890" w:type="pct"/>
            <w:hideMark/>
          </w:tcPr>
          <w:p w14:paraId="2BADD0C8" w14:textId="77777777" w:rsidR="00A4606E" w:rsidRPr="00923237" w:rsidRDefault="00A4606E" w:rsidP="00695609">
            <w:pPr>
              <w:pStyle w:val="NoSpacing"/>
              <w:rPr>
                <w:rFonts w:cstheme="minorHAnsi"/>
                <w:sz w:val="20"/>
                <w:szCs w:val="20"/>
              </w:rPr>
            </w:pPr>
            <w:r w:rsidRPr="00923237">
              <w:rPr>
                <w:rFonts w:cstheme="minorHAnsi"/>
                <w:sz w:val="20"/>
                <w:szCs w:val="20"/>
              </w:rPr>
              <w:t>[0.205]</w:t>
            </w:r>
          </w:p>
        </w:tc>
        <w:tc>
          <w:tcPr>
            <w:tcW w:w="533" w:type="pct"/>
            <w:hideMark/>
          </w:tcPr>
          <w:p w14:paraId="462F4FC3" w14:textId="77777777" w:rsidR="00A4606E" w:rsidRPr="00923237" w:rsidRDefault="00A4606E" w:rsidP="00695609">
            <w:pPr>
              <w:pStyle w:val="NoSpacing"/>
              <w:rPr>
                <w:rFonts w:cstheme="minorHAnsi"/>
                <w:sz w:val="20"/>
                <w:szCs w:val="20"/>
              </w:rPr>
            </w:pPr>
            <w:r w:rsidRPr="00923237">
              <w:rPr>
                <w:rFonts w:cstheme="minorHAnsi"/>
                <w:sz w:val="20"/>
                <w:szCs w:val="20"/>
              </w:rPr>
              <w:t>[0.154]</w:t>
            </w:r>
          </w:p>
        </w:tc>
        <w:tc>
          <w:tcPr>
            <w:tcW w:w="483" w:type="pct"/>
            <w:hideMark/>
          </w:tcPr>
          <w:p w14:paraId="2013D424" w14:textId="77777777" w:rsidR="00A4606E" w:rsidRPr="00923237" w:rsidRDefault="00A4606E" w:rsidP="00695609">
            <w:pPr>
              <w:pStyle w:val="NoSpacing"/>
              <w:rPr>
                <w:rFonts w:cstheme="minorHAnsi"/>
                <w:sz w:val="20"/>
                <w:szCs w:val="20"/>
              </w:rPr>
            </w:pPr>
            <w:r w:rsidRPr="00923237">
              <w:rPr>
                <w:rFonts w:cstheme="minorHAnsi"/>
                <w:sz w:val="20"/>
                <w:szCs w:val="20"/>
              </w:rPr>
              <w:t>[0.119]</w:t>
            </w:r>
          </w:p>
        </w:tc>
        <w:tc>
          <w:tcPr>
            <w:tcW w:w="533" w:type="pct"/>
            <w:hideMark/>
          </w:tcPr>
          <w:p w14:paraId="33BE3CED" w14:textId="77777777" w:rsidR="00A4606E" w:rsidRPr="00923237" w:rsidRDefault="00A4606E" w:rsidP="00695609">
            <w:pPr>
              <w:pStyle w:val="NoSpacing"/>
              <w:rPr>
                <w:rFonts w:cstheme="minorHAnsi"/>
                <w:sz w:val="20"/>
                <w:szCs w:val="20"/>
              </w:rPr>
            </w:pPr>
            <w:r w:rsidRPr="00923237">
              <w:rPr>
                <w:rFonts w:cstheme="minorHAnsi"/>
                <w:sz w:val="20"/>
                <w:szCs w:val="20"/>
              </w:rPr>
              <w:t>[0.084]</w:t>
            </w:r>
          </w:p>
        </w:tc>
        <w:tc>
          <w:tcPr>
            <w:tcW w:w="1021" w:type="pct"/>
            <w:hideMark/>
          </w:tcPr>
          <w:p w14:paraId="24340D64" w14:textId="77777777" w:rsidR="00A4606E" w:rsidRPr="00923237" w:rsidRDefault="00A4606E" w:rsidP="00695609">
            <w:pPr>
              <w:pStyle w:val="NoSpacing"/>
              <w:rPr>
                <w:rFonts w:cstheme="minorHAnsi"/>
                <w:sz w:val="20"/>
                <w:szCs w:val="20"/>
              </w:rPr>
            </w:pPr>
            <w:r w:rsidRPr="00923237">
              <w:rPr>
                <w:rFonts w:cstheme="minorHAnsi"/>
                <w:sz w:val="20"/>
                <w:szCs w:val="20"/>
              </w:rPr>
              <w:t>[0.078]</w:t>
            </w:r>
          </w:p>
        </w:tc>
        <w:tc>
          <w:tcPr>
            <w:tcW w:w="583" w:type="pct"/>
            <w:hideMark/>
          </w:tcPr>
          <w:p w14:paraId="7BF27F21" w14:textId="77777777" w:rsidR="00A4606E" w:rsidRPr="00923237" w:rsidRDefault="00A4606E" w:rsidP="00695609">
            <w:pPr>
              <w:pStyle w:val="NoSpacing"/>
              <w:rPr>
                <w:rFonts w:cstheme="minorHAnsi"/>
                <w:sz w:val="20"/>
                <w:szCs w:val="20"/>
              </w:rPr>
            </w:pPr>
            <w:r w:rsidRPr="00923237">
              <w:rPr>
                <w:rFonts w:cstheme="minorHAnsi"/>
                <w:sz w:val="20"/>
                <w:szCs w:val="20"/>
              </w:rPr>
              <w:t>[0.051]</w:t>
            </w:r>
          </w:p>
        </w:tc>
      </w:tr>
      <w:tr w:rsidR="00A4606E" w:rsidRPr="00923237" w14:paraId="473240D3" w14:textId="77777777" w:rsidTr="006F5E3B">
        <w:tc>
          <w:tcPr>
            <w:tcW w:w="957" w:type="pct"/>
            <w:hideMark/>
          </w:tcPr>
          <w:p w14:paraId="34323009" w14:textId="77777777" w:rsidR="00A4606E" w:rsidRPr="00923237" w:rsidRDefault="00A4606E" w:rsidP="00695609">
            <w:pPr>
              <w:pStyle w:val="NoSpacing"/>
              <w:rPr>
                <w:rFonts w:cstheme="minorHAnsi"/>
                <w:sz w:val="20"/>
                <w:szCs w:val="20"/>
              </w:rPr>
            </w:pPr>
            <w:r w:rsidRPr="00923237">
              <w:rPr>
                <w:rFonts w:cstheme="minorHAnsi"/>
                <w:sz w:val="20"/>
                <w:szCs w:val="20"/>
              </w:rPr>
              <w:t>Firm Q</w:t>
            </w:r>
          </w:p>
        </w:tc>
        <w:tc>
          <w:tcPr>
            <w:tcW w:w="890" w:type="pct"/>
            <w:hideMark/>
          </w:tcPr>
          <w:p w14:paraId="0469940D" w14:textId="77777777" w:rsidR="00A4606E" w:rsidRPr="00923237" w:rsidRDefault="00A4606E" w:rsidP="00695609">
            <w:pPr>
              <w:pStyle w:val="NoSpacing"/>
              <w:rPr>
                <w:rFonts w:cstheme="minorHAnsi"/>
                <w:sz w:val="20"/>
                <w:szCs w:val="20"/>
              </w:rPr>
            </w:pPr>
            <w:r w:rsidRPr="00923237">
              <w:rPr>
                <w:rFonts w:cstheme="minorHAnsi"/>
                <w:sz w:val="20"/>
                <w:szCs w:val="20"/>
              </w:rPr>
              <w:t>0.5689</w:t>
            </w:r>
          </w:p>
        </w:tc>
        <w:tc>
          <w:tcPr>
            <w:tcW w:w="533" w:type="pct"/>
            <w:hideMark/>
          </w:tcPr>
          <w:p w14:paraId="616174D6" w14:textId="77777777" w:rsidR="00A4606E" w:rsidRPr="00923237" w:rsidRDefault="00A4606E" w:rsidP="00695609">
            <w:pPr>
              <w:pStyle w:val="NoSpacing"/>
              <w:rPr>
                <w:rFonts w:cstheme="minorHAnsi"/>
                <w:sz w:val="20"/>
                <w:szCs w:val="20"/>
              </w:rPr>
            </w:pPr>
            <w:r w:rsidRPr="00923237">
              <w:rPr>
                <w:rFonts w:cstheme="minorHAnsi"/>
                <w:sz w:val="20"/>
                <w:szCs w:val="20"/>
              </w:rPr>
              <w:t>0.9139</w:t>
            </w:r>
          </w:p>
        </w:tc>
        <w:tc>
          <w:tcPr>
            <w:tcW w:w="483" w:type="pct"/>
            <w:hideMark/>
          </w:tcPr>
          <w:p w14:paraId="72CC25D5" w14:textId="77777777" w:rsidR="00A4606E" w:rsidRPr="00923237" w:rsidRDefault="00A4606E" w:rsidP="00695609">
            <w:pPr>
              <w:pStyle w:val="NoSpacing"/>
              <w:rPr>
                <w:rFonts w:cstheme="minorHAnsi"/>
                <w:sz w:val="20"/>
                <w:szCs w:val="20"/>
              </w:rPr>
            </w:pPr>
            <w:r w:rsidRPr="00923237">
              <w:rPr>
                <w:rFonts w:cstheme="minorHAnsi"/>
                <w:sz w:val="20"/>
                <w:szCs w:val="20"/>
              </w:rPr>
              <w:t>0.2697</w:t>
            </w:r>
          </w:p>
        </w:tc>
        <w:tc>
          <w:tcPr>
            <w:tcW w:w="533" w:type="pct"/>
            <w:hideMark/>
          </w:tcPr>
          <w:p w14:paraId="1CD45265" w14:textId="77777777" w:rsidR="00A4606E" w:rsidRPr="00923237" w:rsidRDefault="00A4606E" w:rsidP="00695609">
            <w:pPr>
              <w:pStyle w:val="NoSpacing"/>
              <w:rPr>
                <w:rFonts w:cstheme="minorHAnsi"/>
                <w:sz w:val="20"/>
                <w:szCs w:val="20"/>
              </w:rPr>
            </w:pPr>
            <w:r w:rsidRPr="00923237">
              <w:rPr>
                <w:rFonts w:cstheme="minorHAnsi"/>
                <w:sz w:val="20"/>
                <w:szCs w:val="20"/>
              </w:rPr>
              <w:t>0.3698</w:t>
            </w:r>
          </w:p>
        </w:tc>
        <w:tc>
          <w:tcPr>
            <w:tcW w:w="1021" w:type="pct"/>
            <w:hideMark/>
          </w:tcPr>
          <w:p w14:paraId="1869A377" w14:textId="77777777" w:rsidR="00A4606E" w:rsidRPr="00923237" w:rsidRDefault="00A4606E" w:rsidP="00695609">
            <w:pPr>
              <w:pStyle w:val="NoSpacing"/>
              <w:rPr>
                <w:rFonts w:cstheme="minorHAnsi"/>
                <w:sz w:val="20"/>
                <w:szCs w:val="20"/>
              </w:rPr>
            </w:pPr>
            <w:r w:rsidRPr="00923237">
              <w:rPr>
                <w:rFonts w:cstheme="minorHAnsi"/>
                <w:sz w:val="20"/>
                <w:szCs w:val="20"/>
              </w:rPr>
              <w:t>1.6982</w:t>
            </w:r>
          </w:p>
        </w:tc>
        <w:tc>
          <w:tcPr>
            <w:tcW w:w="583" w:type="pct"/>
            <w:hideMark/>
          </w:tcPr>
          <w:p w14:paraId="27B0DD9B" w14:textId="77777777" w:rsidR="00A4606E" w:rsidRPr="00923237" w:rsidRDefault="00A4606E" w:rsidP="00695609">
            <w:pPr>
              <w:pStyle w:val="NoSpacing"/>
              <w:rPr>
                <w:rFonts w:cstheme="minorHAnsi"/>
                <w:sz w:val="20"/>
                <w:szCs w:val="20"/>
              </w:rPr>
            </w:pPr>
            <w:r w:rsidRPr="00923237">
              <w:rPr>
                <w:rFonts w:cstheme="minorHAnsi"/>
                <w:sz w:val="20"/>
                <w:szCs w:val="20"/>
              </w:rPr>
              <w:t>0.2775</w:t>
            </w:r>
          </w:p>
        </w:tc>
      </w:tr>
      <w:tr w:rsidR="00A4606E" w:rsidRPr="00923237" w14:paraId="0232D51A" w14:textId="77777777" w:rsidTr="006F5E3B">
        <w:tc>
          <w:tcPr>
            <w:tcW w:w="957" w:type="pct"/>
            <w:hideMark/>
          </w:tcPr>
          <w:p w14:paraId="6DEDBD5C" w14:textId="77777777" w:rsidR="00A4606E" w:rsidRPr="00923237" w:rsidRDefault="00A4606E" w:rsidP="00695609">
            <w:pPr>
              <w:pStyle w:val="NoSpacing"/>
              <w:rPr>
                <w:rFonts w:cstheme="minorHAnsi"/>
                <w:sz w:val="20"/>
                <w:szCs w:val="20"/>
              </w:rPr>
            </w:pPr>
          </w:p>
        </w:tc>
        <w:tc>
          <w:tcPr>
            <w:tcW w:w="890" w:type="pct"/>
            <w:hideMark/>
          </w:tcPr>
          <w:p w14:paraId="5486630A" w14:textId="77777777" w:rsidR="00A4606E" w:rsidRPr="00923237" w:rsidRDefault="00A4606E" w:rsidP="00695609">
            <w:pPr>
              <w:pStyle w:val="NoSpacing"/>
              <w:rPr>
                <w:rFonts w:cstheme="minorHAnsi"/>
                <w:sz w:val="20"/>
                <w:szCs w:val="20"/>
              </w:rPr>
            </w:pPr>
            <w:r w:rsidRPr="00923237">
              <w:rPr>
                <w:rFonts w:cstheme="minorHAnsi"/>
                <w:sz w:val="20"/>
                <w:szCs w:val="20"/>
              </w:rPr>
              <w:t>[0.638]</w:t>
            </w:r>
          </w:p>
        </w:tc>
        <w:tc>
          <w:tcPr>
            <w:tcW w:w="533" w:type="pct"/>
            <w:hideMark/>
          </w:tcPr>
          <w:p w14:paraId="429250C6" w14:textId="77777777" w:rsidR="00A4606E" w:rsidRPr="00923237" w:rsidRDefault="00A4606E" w:rsidP="00695609">
            <w:pPr>
              <w:pStyle w:val="NoSpacing"/>
              <w:rPr>
                <w:rFonts w:cstheme="minorHAnsi"/>
                <w:sz w:val="20"/>
                <w:szCs w:val="20"/>
              </w:rPr>
            </w:pPr>
            <w:r w:rsidRPr="00923237">
              <w:rPr>
                <w:rFonts w:cstheme="minorHAnsi"/>
                <w:sz w:val="20"/>
                <w:szCs w:val="20"/>
              </w:rPr>
              <w:t>[0.460]</w:t>
            </w:r>
          </w:p>
        </w:tc>
        <w:tc>
          <w:tcPr>
            <w:tcW w:w="483" w:type="pct"/>
            <w:hideMark/>
          </w:tcPr>
          <w:p w14:paraId="0231831E" w14:textId="77777777" w:rsidR="00A4606E" w:rsidRPr="00923237" w:rsidRDefault="00A4606E" w:rsidP="00695609">
            <w:pPr>
              <w:pStyle w:val="NoSpacing"/>
              <w:rPr>
                <w:rFonts w:cstheme="minorHAnsi"/>
                <w:sz w:val="20"/>
                <w:szCs w:val="20"/>
              </w:rPr>
            </w:pPr>
            <w:r w:rsidRPr="00923237">
              <w:rPr>
                <w:rFonts w:cstheme="minorHAnsi"/>
                <w:sz w:val="20"/>
                <w:szCs w:val="20"/>
              </w:rPr>
              <w:t>[0.790]</w:t>
            </w:r>
          </w:p>
        </w:tc>
        <w:tc>
          <w:tcPr>
            <w:tcW w:w="533" w:type="pct"/>
            <w:hideMark/>
          </w:tcPr>
          <w:p w14:paraId="407FB871" w14:textId="77777777" w:rsidR="00A4606E" w:rsidRPr="00923237" w:rsidRDefault="00A4606E" w:rsidP="00695609">
            <w:pPr>
              <w:pStyle w:val="NoSpacing"/>
              <w:rPr>
                <w:rFonts w:cstheme="minorHAnsi"/>
                <w:sz w:val="20"/>
                <w:szCs w:val="20"/>
              </w:rPr>
            </w:pPr>
            <w:r w:rsidRPr="00923237">
              <w:rPr>
                <w:rFonts w:cstheme="minorHAnsi"/>
                <w:sz w:val="20"/>
                <w:szCs w:val="20"/>
              </w:rPr>
              <w:t>[0.724]</w:t>
            </w:r>
          </w:p>
        </w:tc>
        <w:tc>
          <w:tcPr>
            <w:tcW w:w="1021" w:type="pct"/>
            <w:hideMark/>
          </w:tcPr>
          <w:p w14:paraId="7ED396C6" w14:textId="77777777" w:rsidR="00A4606E" w:rsidRPr="00923237" w:rsidRDefault="00A4606E" w:rsidP="00695609">
            <w:pPr>
              <w:pStyle w:val="NoSpacing"/>
              <w:rPr>
                <w:rFonts w:cstheme="minorHAnsi"/>
                <w:sz w:val="20"/>
                <w:szCs w:val="20"/>
              </w:rPr>
            </w:pPr>
            <w:r w:rsidRPr="00923237">
              <w:rPr>
                <w:rFonts w:cstheme="minorHAnsi"/>
                <w:sz w:val="20"/>
                <w:szCs w:val="20"/>
              </w:rPr>
              <w:t>[0.34]</w:t>
            </w:r>
          </w:p>
        </w:tc>
        <w:tc>
          <w:tcPr>
            <w:tcW w:w="583" w:type="pct"/>
            <w:hideMark/>
          </w:tcPr>
          <w:p w14:paraId="164C24F7" w14:textId="77777777" w:rsidR="00A4606E" w:rsidRPr="00923237" w:rsidRDefault="00A4606E" w:rsidP="00695609">
            <w:pPr>
              <w:pStyle w:val="NoSpacing"/>
              <w:rPr>
                <w:rFonts w:cstheme="minorHAnsi"/>
                <w:sz w:val="20"/>
                <w:szCs w:val="20"/>
              </w:rPr>
            </w:pPr>
            <w:r w:rsidRPr="00923237">
              <w:rPr>
                <w:rFonts w:cstheme="minorHAnsi"/>
                <w:sz w:val="20"/>
                <w:szCs w:val="20"/>
              </w:rPr>
              <w:t>[0.857]</w:t>
            </w:r>
          </w:p>
        </w:tc>
      </w:tr>
      <w:tr w:rsidR="00A4606E" w:rsidRPr="00923237" w14:paraId="1E670259" w14:textId="77777777" w:rsidTr="006F5E3B">
        <w:tc>
          <w:tcPr>
            <w:tcW w:w="957" w:type="pct"/>
            <w:hideMark/>
          </w:tcPr>
          <w:p w14:paraId="7325F0DA" w14:textId="77777777" w:rsidR="00A4606E" w:rsidRPr="00923237" w:rsidRDefault="00A4606E" w:rsidP="00695609">
            <w:pPr>
              <w:pStyle w:val="NoSpacing"/>
              <w:rPr>
                <w:rFonts w:cstheme="minorHAnsi"/>
                <w:sz w:val="20"/>
                <w:szCs w:val="20"/>
              </w:rPr>
            </w:pPr>
            <w:r w:rsidRPr="00923237">
              <w:rPr>
                <w:rFonts w:cstheme="minorHAnsi"/>
                <w:sz w:val="20"/>
                <w:szCs w:val="20"/>
              </w:rPr>
              <w:t>FFO per share</w:t>
            </w:r>
          </w:p>
        </w:tc>
        <w:tc>
          <w:tcPr>
            <w:tcW w:w="890" w:type="pct"/>
            <w:hideMark/>
          </w:tcPr>
          <w:p w14:paraId="1195D40F" w14:textId="77777777" w:rsidR="00A4606E" w:rsidRPr="00923237" w:rsidRDefault="00A4606E" w:rsidP="00695609">
            <w:pPr>
              <w:pStyle w:val="NoSpacing"/>
              <w:rPr>
                <w:rFonts w:cstheme="minorHAnsi"/>
                <w:sz w:val="20"/>
                <w:szCs w:val="20"/>
              </w:rPr>
            </w:pPr>
            <w:r w:rsidRPr="00923237">
              <w:rPr>
                <w:rFonts w:cstheme="minorHAnsi"/>
                <w:sz w:val="20"/>
                <w:szCs w:val="20"/>
              </w:rPr>
              <w:t>0.2439</w:t>
            </w:r>
          </w:p>
        </w:tc>
        <w:tc>
          <w:tcPr>
            <w:tcW w:w="533" w:type="pct"/>
            <w:hideMark/>
          </w:tcPr>
          <w:p w14:paraId="3BF50D67" w14:textId="77777777" w:rsidR="00A4606E" w:rsidRPr="00923237" w:rsidRDefault="00A4606E" w:rsidP="00695609">
            <w:pPr>
              <w:pStyle w:val="NoSpacing"/>
              <w:rPr>
                <w:rFonts w:cstheme="minorHAnsi"/>
                <w:sz w:val="20"/>
                <w:szCs w:val="20"/>
              </w:rPr>
            </w:pPr>
            <w:r w:rsidRPr="00923237">
              <w:rPr>
                <w:rFonts w:cstheme="minorHAnsi"/>
                <w:sz w:val="20"/>
                <w:szCs w:val="20"/>
              </w:rPr>
              <w:t>0.2893</w:t>
            </w:r>
          </w:p>
        </w:tc>
        <w:tc>
          <w:tcPr>
            <w:tcW w:w="483" w:type="pct"/>
            <w:hideMark/>
          </w:tcPr>
          <w:p w14:paraId="43100CF9" w14:textId="77777777" w:rsidR="00A4606E" w:rsidRPr="00923237" w:rsidRDefault="00A4606E" w:rsidP="00695609">
            <w:pPr>
              <w:pStyle w:val="NoSpacing"/>
              <w:rPr>
                <w:rFonts w:cstheme="minorHAnsi"/>
                <w:sz w:val="20"/>
                <w:szCs w:val="20"/>
              </w:rPr>
            </w:pPr>
            <w:r w:rsidRPr="00923237">
              <w:rPr>
                <w:rFonts w:cstheme="minorHAnsi"/>
                <w:sz w:val="20"/>
                <w:szCs w:val="20"/>
              </w:rPr>
              <w:t>0.3181</w:t>
            </w:r>
          </w:p>
        </w:tc>
        <w:tc>
          <w:tcPr>
            <w:tcW w:w="533" w:type="pct"/>
            <w:hideMark/>
          </w:tcPr>
          <w:p w14:paraId="59CE7D27" w14:textId="77777777" w:rsidR="00A4606E" w:rsidRPr="00923237" w:rsidRDefault="00A4606E" w:rsidP="00695609">
            <w:pPr>
              <w:pStyle w:val="NoSpacing"/>
              <w:rPr>
                <w:rFonts w:cstheme="minorHAnsi"/>
                <w:sz w:val="20"/>
                <w:szCs w:val="20"/>
              </w:rPr>
            </w:pPr>
            <w:r w:rsidRPr="00923237">
              <w:rPr>
                <w:rFonts w:cstheme="minorHAnsi"/>
                <w:sz w:val="20"/>
                <w:szCs w:val="20"/>
              </w:rPr>
              <w:t>0.3635</w:t>
            </w:r>
          </w:p>
        </w:tc>
        <w:tc>
          <w:tcPr>
            <w:tcW w:w="1021" w:type="pct"/>
            <w:hideMark/>
          </w:tcPr>
          <w:p w14:paraId="61A4330F" w14:textId="77777777" w:rsidR="00A4606E" w:rsidRPr="00923237" w:rsidRDefault="00A4606E" w:rsidP="00695609">
            <w:pPr>
              <w:pStyle w:val="NoSpacing"/>
              <w:rPr>
                <w:rFonts w:cstheme="minorHAnsi"/>
                <w:sz w:val="20"/>
                <w:szCs w:val="20"/>
              </w:rPr>
            </w:pPr>
            <w:r w:rsidRPr="00923237">
              <w:rPr>
                <w:rFonts w:cstheme="minorHAnsi"/>
                <w:sz w:val="20"/>
                <w:szCs w:val="20"/>
              </w:rPr>
              <w:t>−0.2383</w:t>
            </w:r>
          </w:p>
        </w:tc>
        <w:tc>
          <w:tcPr>
            <w:tcW w:w="583" w:type="pct"/>
            <w:hideMark/>
          </w:tcPr>
          <w:p w14:paraId="7347A3E2" w14:textId="77777777" w:rsidR="00A4606E" w:rsidRPr="00923237" w:rsidRDefault="00A4606E" w:rsidP="00695609">
            <w:pPr>
              <w:pStyle w:val="NoSpacing"/>
              <w:rPr>
                <w:rFonts w:cstheme="minorHAnsi"/>
                <w:sz w:val="20"/>
                <w:szCs w:val="20"/>
              </w:rPr>
            </w:pPr>
            <w:r w:rsidRPr="00923237">
              <w:rPr>
                <w:rFonts w:cstheme="minorHAnsi"/>
                <w:sz w:val="20"/>
                <w:szCs w:val="20"/>
              </w:rPr>
              <w:t>−0.2096</w:t>
            </w:r>
          </w:p>
        </w:tc>
      </w:tr>
      <w:tr w:rsidR="00A4606E" w:rsidRPr="00923237" w14:paraId="7413BF49" w14:textId="77777777" w:rsidTr="006F5E3B">
        <w:tc>
          <w:tcPr>
            <w:tcW w:w="957" w:type="pct"/>
            <w:hideMark/>
          </w:tcPr>
          <w:p w14:paraId="70D1E3E0" w14:textId="77777777" w:rsidR="00A4606E" w:rsidRPr="00923237" w:rsidRDefault="00A4606E" w:rsidP="00695609">
            <w:pPr>
              <w:pStyle w:val="NoSpacing"/>
              <w:rPr>
                <w:rFonts w:cstheme="minorHAnsi"/>
                <w:sz w:val="20"/>
                <w:szCs w:val="20"/>
              </w:rPr>
            </w:pPr>
          </w:p>
        </w:tc>
        <w:tc>
          <w:tcPr>
            <w:tcW w:w="890" w:type="pct"/>
            <w:hideMark/>
          </w:tcPr>
          <w:p w14:paraId="3F1FF685" w14:textId="77777777" w:rsidR="00A4606E" w:rsidRPr="00923237" w:rsidRDefault="00A4606E" w:rsidP="00695609">
            <w:pPr>
              <w:pStyle w:val="NoSpacing"/>
              <w:rPr>
                <w:rFonts w:cstheme="minorHAnsi"/>
                <w:sz w:val="20"/>
                <w:szCs w:val="20"/>
              </w:rPr>
            </w:pPr>
            <w:r w:rsidRPr="00923237">
              <w:rPr>
                <w:rFonts w:cstheme="minorHAnsi"/>
                <w:sz w:val="20"/>
                <w:szCs w:val="20"/>
              </w:rPr>
              <w:t>[0.671]</w:t>
            </w:r>
          </w:p>
        </w:tc>
        <w:tc>
          <w:tcPr>
            <w:tcW w:w="533" w:type="pct"/>
            <w:hideMark/>
          </w:tcPr>
          <w:p w14:paraId="484126C1" w14:textId="77777777" w:rsidR="00A4606E" w:rsidRPr="00923237" w:rsidRDefault="00A4606E" w:rsidP="00695609">
            <w:pPr>
              <w:pStyle w:val="NoSpacing"/>
              <w:rPr>
                <w:rFonts w:cstheme="minorHAnsi"/>
                <w:sz w:val="20"/>
                <w:szCs w:val="20"/>
              </w:rPr>
            </w:pPr>
            <w:r w:rsidRPr="00923237">
              <w:rPr>
                <w:rFonts w:cstheme="minorHAnsi"/>
                <w:sz w:val="20"/>
                <w:szCs w:val="20"/>
              </w:rPr>
              <w:t>[0.610]</w:t>
            </w:r>
          </w:p>
        </w:tc>
        <w:tc>
          <w:tcPr>
            <w:tcW w:w="483" w:type="pct"/>
            <w:hideMark/>
          </w:tcPr>
          <w:p w14:paraId="06789D2C" w14:textId="77777777" w:rsidR="00A4606E" w:rsidRPr="00923237" w:rsidRDefault="00A4606E" w:rsidP="00695609">
            <w:pPr>
              <w:pStyle w:val="NoSpacing"/>
              <w:rPr>
                <w:rFonts w:cstheme="minorHAnsi"/>
                <w:sz w:val="20"/>
                <w:szCs w:val="20"/>
              </w:rPr>
            </w:pPr>
            <w:r w:rsidRPr="00923237">
              <w:rPr>
                <w:rFonts w:cstheme="minorHAnsi"/>
                <w:sz w:val="20"/>
                <w:szCs w:val="20"/>
              </w:rPr>
              <w:t>[0.579]</w:t>
            </w:r>
          </w:p>
        </w:tc>
        <w:tc>
          <w:tcPr>
            <w:tcW w:w="533" w:type="pct"/>
            <w:hideMark/>
          </w:tcPr>
          <w:p w14:paraId="5C325967" w14:textId="77777777" w:rsidR="00A4606E" w:rsidRPr="00923237" w:rsidRDefault="00A4606E" w:rsidP="00695609">
            <w:pPr>
              <w:pStyle w:val="NoSpacing"/>
              <w:rPr>
                <w:rFonts w:cstheme="minorHAnsi"/>
                <w:sz w:val="20"/>
                <w:szCs w:val="20"/>
              </w:rPr>
            </w:pPr>
            <w:r w:rsidRPr="00923237">
              <w:rPr>
                <w:rFonts w:cstheme="minorHAnsi"/>
                <w:sz w:val="20"/>
                <w:szCs w:val="20"/>
              </w:rPr>
              <w:t>[0.524]</w:t>
            </w:r>
          </w:p>
        </w:tc>
        <w:tc>
          <w:tcPr>
            <w:tcW w:w="1021" w:type="pct"/>
            <w:hideMark/>
          </w:tcPr>
          <w:p w14:paraId="129CBC02" w14:textId="77777777" w:rsidR="00A4606E" w:rsidRPr="00923237" w:rsidRDefault="00A4606E" w:rsidP="00695609">
            <w:pPr>
              <w:pStyle w:val="NoSpacing"/>
              <w:rPr>
                <w:rFonts w:cstheme="minorHAnsi"/>
                <w:sz w:val="20"/>
                <w:szCs w:val="20"/>
              </w:rPr>
            </w:pPr>
            <w:r w:rsidRPr="00923237">
              <w:rPr>
                <w:rFonts w:cstheme="minorHAnsi"/>
                <w:sz w:val="20"/>
                <w:szCs w:val="20"/>
              </w:rPr>
              <w:t>[0.773]</w:t>
            </w:r>
          </w:p>
        </w:tc>
        <w:tc>
          <w:tcPr>
            <w:tcW w:w="583" w:type="pct"/>
            <w:hideMark/>
          </w:tcPr>
          <w:p w14:paraId="21E5484F" w14:textId="77777777" w:rsidR="00A4606E" w:rsidRPr="00923237" w:rsidRDefault="00A4606E" w:rsidP="00695609">
            <w:pPr>
              <w:pStyle w:val="NoSpacing"/>
              <w:rPr>
                <w:rFonts w:cstheme="minorHAnsi"/>
                <w:sz w:val="20"/>
                <w:szCs w:val="20"/>
              </w:rPr>
            </w:pPr>
            <w:r w:rsidRPr="00923237">
              <w:rPr>
                <w:rFonts w:cstheme="minorHAnsi"/>
                <w:sz w:val="20"/>
                <w:szCs w:val="20"/>
              </w:rPr>
              <w:t>[0.803]</w:t>
            </w:r>
          </w:p>
        </w:tc>
      </w:tr>
      <w:tr w:rsidR="00A4606E" w:rsidRPr="00923237" w14:paraId="13FEA181" w14:textId="77777777" w:rsidTr="006F5E3B">
        <w:tc>
          <w:tcPr>
            <w:tcW w:w="957" w:type="pct"/>
            <w:hideMark/>
          </w:tcPr>
          <w:p w14:paraId="349E4363" w14:textId="77777777" w:rsidR="00A4606E" w:rsidRPr="00923237" w:rsidRDefault="00A4606E" w:rsidP="00695609">
            <w:pPr>
              <w:pStyle w:val="NoSpacing"/>
              <w:rPr>
                <w:rFonts w:cstheme="minorHAnsi"/>
                <w:sz w:val="20"/>
                <w:szCs w:val="20"/>
              </w:rPr>
            </w:pPr>
            <w:r w:rsidRPr="00923237">
              <w:rPr>
                <w:rFonts w:cstheme="minorHAnsi"/>
                <w:sz w:val="20"/>
                <w:szCs w:val="20"/>
              </w:rPr>
              <w:t>Cash/total assets</w:t>
            </w:r>
          </w:p>
        </w:tc>
        <w:tc>
          <w:tcPr>
            <w:tcW w:w="890" w:type="pct"/>
            <w:hideMark/>
          </w:tcPr>
          <w:p w14:paraId="368C0E26" w14:textId="77777777" w:rsidR="00A4606E" w:rsidRPr="00923237" w:rsidRDefault="00A4606E" w:rsidP="00695609">
            <w:pPr>
              <w:pStyle w:val="NoSpacing"/>
              <w:rPr>
                <w:rFonts w:cstheme="minorHAnsi"/>
                <w:sz w:val="20"/>
                <w:szCs w:val="20"/>
              </w:rPr>
            </w:pPr>
            <w:r w:rsidRPr="00923237">
              <w:rPr>
                <w:rFonts w:cstheme="minorHAnsi"/>
                <w:sz w:val="20"/>
                <w:szCs w:val="20"/>
              </w:rPr>
              <w:t>0.8965</w:t>
            </w:r>
          </w:p>
        </w:tc>
        <w:tc>
          <w:tcPr>
            <w:tcW w:w="533" w:type="pct"/>
            <w:hideMark/>
          </w:tcPr>
          <w:p w14:paraId="360791D6" w14:textId="77777777" w:rsidR="00A4606E" w:rsidRPr="00923237" w:rsidRDefault="00A4606E" w:rsidP="00695609">
            <w:pPr>
              <w:pStyle w:val="NoSpacing"/>
              <w:rPr>
                <w:rFonts w:cstheme="minorHAnsi"/>
                <w:sz w:val="20"/>
                <w:szCs w:val="20"/>
              </w:rPr>
            </w:pPr>
            <w:r w:rsidRPr="00923237">
              <w:rPr>
                <w:rFonts w:cstheme="minorHAnsi"/>
                <w:sz w:val="20"/>
                <w:szCs w:val="20"/>
              </w:rPr>
              <w:t>−0.0229</w:t>
            </w:r>
          </w:p>
        </w:tc>
        <w:tc>
          <w:tcPr>
            <w:tcW w:w="483" w:type="pct"/>
            <w:hideMark/>
          </w:tcPr>
          <w:p w14:paraId="5B7283E6" w14:textId="77777777" w:rsidR="00A4606E" w:rsidRPr="00923237" w:rsidRDefault="00A4606E" w:rsidP="00695609">
            <w:pPr>
              <w:pStyle w:val="NoSpacing"/>
              <w:rPr>
                <w:rFonts w:cstheme="minorHAnsi"/>
                <w:sz w:val="20"/>
                <w:szCs w:val="20"/>
              </w:rPr>
            </w:pPr>
            <w:r w:rsidRPr="00923237">
              <w:rPr>
                <w:rFonts w:cstheme="minorHAnsi"/>
                <w:sz w:val="20"/>
                <w:szCs w:val="20"/>
              </w:rPr>
              <w:t>0.5576</w:t>
            </w:r>
          </w:p>
        </w:tc>
        <w:tc>
          <w:tcPr>
            <w:tcW w:w="533" w:type="pct"/>
            <w:hideMark/>
          </w:tcPr>
          <w:p w14:paraId="533B017E" w14:textId="77777777" w:rsidR="00A4606E" w:rsidRPr="00923237" w:rsidRDefault="00A4606E" w:rsidP="00695609">
            <w:pPr>
              <w:pStyle w:val="NoSpacing"/>
              <w:rPr>
                <w:rFonts w:cstheme="minorHAnsi"/>
                <w:sz w:val="20"/>
                <w:szCs w:val="20"/>
              </w:rPr>
            </w:pPr>
            <w:r w:rsidRPr="00923237">
              <w:rPr>
                <w:rFonts w:cstheme="minorHAnsi"/>
                <w:sz w:val="20"/>
                <w:szCs w:val="20"/>
              </w:rPr>
              <w:t>−0.2558</w:t>
            </w:r>
          </w:p>
        </w:tc>
        <w:tc>
          <w:tcPr>
            <w:tcW w:w="1021" w:type="pct"/>
            <w:hideMark/>
          </w:tcPr>
          <w:p w14:paraId="19B5310B" w14:textId="77777777" w:rsidR="00A4606E" w:rsidRPr="00923237" w:rsidRDefault="00A4606E" w:rsidP="00695609">
            <w:pPr>
              <w:pStyle w:val="NoSpacing"/>
              <w:rPr>
                <w:rFonts w:cstheme="minorHAnsi"/>
                <w:sz w:val="20"/>
                <w:szCs w:val="20"/>
              </w:rPr>
            </w:pPr>
            <w:r w:rsidRPr="00923237">
              <w:rPr>
                <w:rFonts w:cstheme="minorHAnsi"/>
                <w:sz w:val="20"/>
                <w:szCs w:val="20"/>
              </w:rPr>
              <w:t>1.6814</w:t>
            </w:r>
          </w:p>
        </w:tc>
        <w:tc>
          <w:tcPr>
            <w:tcW w:w="583" w:type="pct"/>
            <w:hideMark/>
          </w:tcPr>
          <w:p w14:paraId="5727268C" w14:textId="77777777" w:rsidR="00A4606E" w:rsidRPr="00923237" w:rsidRDefault="00A4606E" w:rsidP="00695609">
            <w:pPr>
              <w:pStyle w:val="NoSpacing"/>
              <w:rPr>
                <w:rFonts w:cstheme="minorHAnsi"/>
                <w:sz w:val="20"/>
                <w:szCs w:val="20"/>
              </w:rPr>
            </w:pPr>
            <w:r w:rsidRPr="00923237">
              <w:rPr>
                <w:rFonts w:cstheme="minorHAnsi"/>
                <w:sz w:val="20"/>
                <w:szCs w:val="20"/>
              </w:rPr>
              <w:t>1.3401</w:t>
            </w:r>
          </w:p>
        </w:tc>
      </w:tr>
      <w:tr w:rsidR="00A4606E" w:rsidRPr="00923237" w14:paraId="03757C7B" w14:textId="77777777" w:rsidTr="006F5E3B">
        <w:tc>
          <w:tcPr>
            <w:tcW w:w="957" w:type="pct"/>
            <w:hideMark/>
          </w:tcPr>
          <w:p w14:paraId="2A8680C5" w14:textId="77777777" w:rsidR="00A4606E" w:rsidRPr="00923237" w:rsidRDefault="00A4606E" w:rsidP="00695609">
            <w:pPr>
              <w:pStyle w:val="NoSpacing"/>
              <w:rPr>
                <w:rFonts w:cstheme="minorHAnsi"/>
                <w:sz w:val="20"/>
                <w:szCs w:val="20"/>
              </w:rPr>
            </w:pPr>
          </w:p>
        </w:tc>
        <w:tc>
          <w:tcPr>
            <w:tcW w:w="890" w:type="pct"/>
            <w:hideMark/>
          </w:tcPr>
          <w:p w14:paraId="0506D42C" w14:textId="77777777" w:rsidR="00A4606E" w:rsidRPr="00923237" w:rsidRDefault="00A4606E" w:rsidP="00695609">
            <w:pPr>
              <w:pStyle w:val="NoSpacing"/>
              <w:rPr>
                <w:rFonts w:cstheme="minorHAnsi"/>
                <w:sz w:val="20"/>
                <w:szCs w:val="20"/>
              </w:rPr>
            </w:pPr>
            <w:r w:rsidRPr="00923237">
              <w:rPr>
                <w:rFonts w:cstheme="minorHAnsi"/>
                <w:sz w:val="20"/>
                <w:szCs w:val="20"/>
              </w:rPr>
              <w:t>[0.50]</w:t>
            </w:r>
          </w:p>
        </w:tc>
        <w:tc>
          <w:tcPr>
            <w:tcW w:w="533" w:type="pct"/>
            <w:hideMark/>
          </w:tcPr>
          <w:p w14:paraId="72063DD9" w14:textId="77777777" w:rsidR="00A4606E" w:rsidRPr="00923237" w:rsidRDefault="00A4606E" w:rsidP="00695609">
            <w:pPr>
              <w:pStyle w:val="NoSpacing"/>
              <w:rPr>
                <w:rFonts w:cstheme="minorHAnsi"/>
                <w:sz w:val="20"/>
                <w:szCs w:val="20"/>
              </w:rPr>
            </w:pPr>
            <w:r w:rsidRPr="00923237">
              <w:rPr>
                <w:rFonts w:cstheme="minorHAnsi"/>
                <w:sz w:val="20"/>
                <w:szCs w:val="20"/>
              </w:rPr>
              <w:t>[0.986]</w:t>
            </w:r>
          </w:p>
        </w:tc>
        <w:tc>
          <w:tcPr>
            <w:tcW w:w="483" w:type="pct"/>
            <w:hideMark/>
          </w:tcPr>
          <w:p w14:paraId="747FB1EE" w14:textId="77777777" w:rsidR="00A4606E" w:rsidRPr="00923237" w:rsidRDefault="00A4606E" w:rsidP="00695609">
            <w:pPr>
              <w:pStyle w:val="NoSpacing"/>
              <w:rPr>
                <w:rFonts w:cstheme="minorHAnsi"/>
                <w:sz w:val="20"/>
                <w:szCs w:val="20"/>
              </w:rPr>
            </w:pPr>
            <w:r w:rsidRPr="00923237">
              <w:rPr>
                <w:rFonts w:cstheme="minorHAnsi"/>
                <w:sz w:val="20"/>
                <w:szCs w:val="20"/>
              </w:rPr>
              <w:t>[0.676]</w:t>
            </w:r>
          </w:p>
        </w:tc>
        <w:tc>
          <w:tcPr>
            <w:tcW w:w="533" w:type="pct"/>
            <w:hideMark/>
          </w:tcPr>
          <w:p w14:paraId="61D9DA4A" w14:textId="77777777" w:rsidR="00A4606E" w:rsidRPr="00923237" w:rsidRDefault="00A4606E" w:rsidP="00695609">
            <w:pPr>
              <w:pStyle w:val="NoSpacing"/>
              <w:rPr>
                <w:rFonts w:cstheme="minorHAnsi"/>
                <w:sz w:val="20"/>
                <w:szCs w:val="20"/>
              </w:rPr>
            </w:pPr>
            <w:r w:rsidRPr="00923237">
              <w:rPr>
                <w:rFonts w:cstheme="minorHAnsi"/>
                <w:sz w:val="20"/>
                <w:szCs w:val="20"/>
              </w:rPr>
              <w:t>[0.853]</w:t>
            </w:r>
          </w:p>
        </w:tc>
        <w:tc>
          <w:tcPr>
            <w:tcW w:w="1021" w:type="pct"/>
            <w:hideMark/>
          </w:tcPr>
          <w:p w14:paraId="7D983932" w14:textId="77777777" w:rsidR="00A4606E" w:rsidRPr="00923237" w:rsidRDefault="00A4606E" w:rsidP="00695609">
            <w:pPr>
              <w:pStyle w:val="NoSpacing"/>
              <w:rPr>
                <w:rFonts w:cstheme="minorHAnsi"/>
                <w:sz w:val="20"/>
                <w:szCs w:val="20"/>
              </w:rPr>
            </w:pPr>
            <w:r w:rsidRPr="00923237">
              <w:rPr>
                <w:rFonts w:cstheme="minorHAnsi"/>
                <w:sz w:val="20"/>
                <w:szCs w:val="20"/>
              </w:rPr>
              <w:t>[0.40]</w:t>
            </w:r>
          </w:p>
        </w:tc>
        <w:tc>
          <w:tcPr>
            <w:tcW w:w="583" w:type="pct"/>
            <w:hideMark/>
          </w:tcPr>
          <w:p w14:paraId="53D73E15" w14:textId="77777777" w:rsidR="00A4606E" w:rsidRPr="00923237" w:rsidRDefault="00A4606E" w:rsidP="00695609">
            <w:pPr>
              <w:pStyle w:val="NoSpacing"/>
              <w:rPr>
                <w:rFonts w:cstheme="minorHAnsi"/>
                <w:sz w:val="20"/>
                <w:szCs w:val="20"/>
              </w:rPr>
            </w:pPr>
            <w:r w:rsidRPr="00923237">
              <w:rPr>
                <w:rFonts w:cstheme="minorHAnsi"/>
                <w:sz w:val="20"/>
                <w:szCs w:val="20"/>
              </w:rPr>
              <w:t>[0.510]</w:t>
            </w:r>
          </w:p>
        </w:tc>
      </w:tr>
      <w:tr w:rsidR="00A4606E" w:rsidRPr="00923237" w14:paraId="46BD3D27" w14:textId="77777777" w:rsidTr="006F5E3B">
        <w:tc>
          <w:tcPr>
            <w:tcW w:w="957" w:type="pct"/>
            <w:hideMark/>
          </w:tcPr>
          <w:p w14:paraId="4D352DC9" w14:textId="77777777" w:rsidR="00A4606E" w:rsidRPr="00923237" w:rsidRDefault="00A4606E" w:rsidP="00695609">
            <w:pPr>
              <w:pStyle w:val="NoSpacing"/>
              <w:rPr>
                <w:rFonts w:cstheme="minorHAnsi"/>
                <w:sz w:val="20"/>
                <w:szCs w:val="20"/>
              </w:rPr>
            </w:pPr>
            <w:r w:rsidRPr="00923237">
              <w:rPr>
                <w:rFonts w:cstheme="minorHAnsi"/>
                <w:sz w:val="20"/>
                <w:szCs w:val="20"/>
              </w:rPr>
              <w:t>Variable rate debt/total debt</w:t>
            </w:r>
          </w:p>
        </w:tc>
        <w:tc>
          <w:tcPr>
            <w:tcW w:w="890" w:type="pct"/>
            <w:hideMark/>
          </w:tcPr>
          <w:p w14:paraId="0C2A4D37" w14:textId="77777777" w:rsidR="00A4606E" w:rsidRPr="00923237" w:rsidRDefault="00A4606E" w:rsidP="00695609">
            <w:pPr>
              <w:pStyle w:val="NoSpacing"/>
              <w:rPr>
                <w:rFonts w:cstheme="minorHAnsi"/>
                <w:sz w:val="20"/>
                <w:szCs w:val="20"/>
              </w:rPr>
            </w:pPr>
            <w:r w:rsidRPr="00923237">
              <w:rPr>
                <w:rFonts w:cstheme="minorHAnsi"/>
                <w:sz w:val="20"/>
                <w:szCs w:val="20"/>
              </w:rPr>
              <w:t>0.2684</w:t>
            </w:r>
          </w:p>
        </w:tc>
        <w:tc>
          <w:tcPr>
            <w:tcW w:w="533" w:type="pct"/>
            <w:hideMark/>
          </w:tcPr>
          <w:p w14:paraId="4DE0FE9D" w14:textId="77777777" w:rsidR="00A4606E" w:rsidRPr="00923237" w:rsidRDefault="00A4606E" w:rsidP="00695609">
            <w:pPr>
              <w:pStyle w:val="NoSpacing"/>
              <w:rPr>
                <w:rFonts w:cstheme="minorHAnsi"/>
                <w:sz w:val="20"/>
                <w:szCs w:val="20"/>
              </w:rPr>
            </w:pPr>
            <w:r w:rsidRPr="00923237">
              <w:rPr>
                <w:rFonts w:cstheme="minorHAnsi"/>
                <w:sz w:val="20"/>
                <w:szCs w:val="20"/>
              </w:rPr>
              <w:t>0.0518</w:t>
            </w:r>
          </w:p>
        </w:tc>
        <w:tc>
          <w:tcPr>
            <w:tcW w:w="483" w:type="pct"/>
            <w:hideMark/>
          </w:tcPr>
          <w:p w14:paraId="4B949963" w14:textId="77777777" w:rsidR="00A4606E" w:rsidRPr="00923237" w:rsidRDefault="00A4606E" w:rsidP="00695609">
            <w:pPr>
              <w:pStyle w:val="NoSpacing"/>
              <w:rPr>
                <w:rFonts w:cstheme="minorHAnsi"/>
                <w:sz w:val="20"/>
                <w:szCs w:val="20"/>
              </w:rPr>
            </w:pPr>
            <w:r w:rsidRPr="00923237">
              <w:rPr>
                <w:rFonts w:cstheme="minorHAnsi"/>
                <w:sz w:val="20"/>
                <w:szCs w:val="20"/>
              </w:rPr>
              <w:t>0.0704</w:t>
            </w:r>
          </w:p>
        </w:tc>
        <w:tc>
          <w:tcPr>
            <w:tcW w:w="533" w:type="pct"/>
            <w:hideMark/>
          </w:tcPr>
          <w:p w14:paraId="1ECD4854" w14:textId="77777777" w:rsidR="00A4606E" w:rsidRPr="00923237" w:rsidRDefault="00A4606E" w:rsidP="00695609">
            <w:pPr>
              <w:pStyle w:val="NoSpacing"/>
              <w:rPr>
                <w:rFonts w:cstheme="minorHAnsi"/>
                <w:sz w:val="20"/>
                <w:szCs w:val="20"/>
              </w:rPr>
            </w:pPr>
            <w:r w:rsidRPr="00923237">
              <w:rPr>
                <w:rFonts w:cstheme="minorHAnsi"/>
                <w:sz w:val="20"/>
                <w:szCs w:val="20"/>
              </w:rPr>
              <w:t>−0.1109</w:t>
            </w:r>
          </w:p>
        </w:tc>
        <w:tc>
          <w:tcPr>
            <w:tcW w:w="1021" w:type="pct"/>
            <w:hideMark/>
          </w:tcPr>
          <w:p w14:paraId="445C7E6E" w14:textId="77777777" w:rsidR="00A4606E" w:rsidRPr="00923237" w:rsidRDefault="00A4606E" w:rsidP="00695609">
            <w:pPr>
              <w:pStyle w:val="NoSpacing"/>
              <w:rPr>
                <w:rFonts w:cstheme="minorHAnsi"/>
                <w:sz w:val="20"/>
                <w:szCs w:val="20"/>
              </w:rPr>
            </w:pPr>
            <w:r w:rsidRPr="00923237">
              <w:rPr>
                <w:rFonts w:cstheme="minorHAnsi"/>
                <w:sz w:val="20"/>
                <w:szCs w:val="20"/>
              </w:rPr>
              <w:t>0.7051</w:t>
            </w:r>
          </w:p>
        </w:tc>
        <w:tc>
          <w:tcPr>
            <w:tcW w:w="583" w:type="pct"/>
            <w:hideMark/>
          </w:tcPr>
          <w:p w14:paraId="2B6B197B" w14:textId="77777777" w:rsidR="00A4606E" w:rsidRPr="00923237" w:rsidRDefault="00A4606E" w:rsidP="00695609">
            <w:pPr>
              <w:pStyle w:val="NoSpacing"/>
              <w:rPr>
                <w:rFonts w:cstheme="minorHAnsi"/>
                <w:sz w:val="20"/>
                <w:szCs w:val="20"/>
              </w:rPr>
            </w:pPr>
            <w:r w:rsidRPr="00923237">
              <w:rPr>
                <w:rFonts w:cstheme="minorHAnsi"/>
                <w:sz w:val="20"/>
                <w:szCs w:val="20"/>
              </w:rPr>
              <w:t>0.5666</w:t>
            </w:r>
          </w:p>
        </w:tc>
      </w:tr>
      <w:tr w:rsidR="00A4606E" w:rsidRPr="00923237" w14:paraId="562A2D3D" w14:textId="77777777" w:rsidTr="006F5E3B">
        <w:tc>
          <w:tcPr>
            <w:tcW w:w="957" w:type="pct"/>
            <w:hideMark/>
          </w:tcPr>
          <w:p w14:paraId="64DFE738" w14:textId="77777777" w:rsidR="00A4606E" w:rsidRPr="00923237" w:rsidRDefault="00A4606E" w:rsidP="00695609">
            <w:pPr>
              <w:pStyle w:val="NoSpacing"/>
              <w:rPr>
                <w:rFonts w:cstheme="minorHAnsi"/>
                <w:sz w:val="20"/>
                <w:szCs w:val="20"/>
              </w:rPr>
            </w:pPr>
          </w:p>
        </w:tc>
        <w:tc>
          <w:tcPr>
            <w:tcW w:w="890" w:type="pct"/>
            <w:hideMark/>
          </w:tcPr>
          <w:p w14:paraId="7CB63851" w14:textId="77777777" w:rsidR="00A4606E" w:rsidRPr="00923237" w:rsidRDefault="00A4606E" w:rsidP="00695609">
            <w:pPr>
              <w:pStyle w:val="NoSpacing"/>
              <w:rPr>
                <w:rFonts w:cstheme="minorHAnsi"/>
                <w:sz w:val="20"/>
                <w:szCs w:val="20"/>
              </w:rPr>
            </w:pPr>
            <w:r w:rsidRPr="00923237">
              <w:rPr>
                <w:rFonts w:cstheme="minorHAnsi"/>
                <w:sz w:val="20"/>
                <w:szCs w:val="20"/>
              </w:rPr>
              <w:t>[0.65]</w:t>
            </w:r>
          </w:p>
        </w:tc>
        <w:tc>
          <w:tcPr>
            <w:tcW w:w="533" w:type="pct"/>
            <w:hideMark/>
          </w:tcPr>
          <w:p w14:paraId="759B679F" w14:textId="77777777" w:rsidR="00A4606E" w:rsidRPr="00923237" w:rsidRDefault="00A4606E" w:rsidP="00695609">
            <w:pPr>
              <w:pStyle w:val="NoSpacing"/>
              <w:rPr>
                <w:rFonts w:cstheme="minorHAnsi"/>
                <w:sz w:val="20"/>
                <w:szCs w:val="20"/>
              </w:rPr>
            </w:pPr>
            <w:r w:rsidRPr="00923237">
              <w:rPr>
                <w:rFonts w:cstheme="minorHAnsi"/>
                <w:sz w:val="20"/>
                <w:szCs w:val="20"/>
              </w:rPr>
              <w:t>[0.933]</w:t>
            </w:r>
          </w:p>
        </w:tc>
        <w:tc>
          <w:tcPr>
            <w:tcW w:w="483" w:type="pct"/>
            <w:hideMark/>
          </w:tcPr>
          <w:p w14:paraId="65E323B0" w14:textId="77777777" w:rsidR="00A4606E" w:rsidRPr="00923237" w:rsidRDefault="00A4606E" w:rsidP="00695609">
            <w:pPr>
              <w:pStyle w:val="NoSpacing"/>
              <w:rPr>
                <w:rFonts w:cstheme="minorHAnsi"/>
                <w:sz w:val="20"/>
                <w:szCs w:val="20"/>
              </w:rPr>
            </w:pPr>
            <w:r w:rsidRPr="00923237">
              <w:rPr>
                <w:rFonts w:cstheme="minorHAnsi"/>
                <w:sz w:val="20"/>
                <w:szCs w:val="20"/>
              </w:rPr>
              <w:t>[0.907]</w:t>
            </w:r>
          </w:p>
        </w:tc>
        <w:tc>
          <w:tcPr>
            <w:tcW w:w="533" w:type="pct"/>
            <w:hideMark/>
          </w:tcPr>
          <w:p w14:paraId="55DD0A8D" w14:textId="77777777" w:rsidR="00A4606E" w:rsidRPr="00923237" w:rsidRDefault="00A4606E" w:rsidP="00695609">
            <w:pPr>
              <w:pStyle w:val="NoSpacing"/>
              <w:rPr>
                <w:rFonts w:cstheme="minorHAnsi"/>
                <w:sz w:val="20"/>
                <w:szCs w:val="20"/>
              </w:rPr>
            </w:pPr>
            <w:r w:rsidRPr="00923237">
              <w:rPr>
                <w:rFonts w:cstheme="minorHAnsi"/>
                <w:sz w:val="20"/>
                <w:szCs w:val="20"/>
              </w:rPr>
              <w:t>[0.859]</w:t>
            </w:r>
          </w:p>
        </w:tc>
        <w:tc>
          <w:tcPr>
            <w:tcW w:w="1021" w:type="pct"/>
            <w:hideMark/>
          </w:tcPr>
          <w:p w14:paraId="1BEAA77B" w14:textId="77777777" w:rsidR="00A4606E" w:rsidRPr="00923237" w:rsidRDefault="00A4606E" w:rsidP="00695609">
            <w:pPr>
              <w:pStyle w:val="NoSpacing"/>
              <w:rPr>
                <w:rFonts w:cstheme="minorHAnsi"/>
                <w:sz w:val="20"/>
                <w:szCs w:val="20"/>
              </w:rPr>
            </w:pPr>
            <w:r w:rsidRPr="00923237">
              <w:rPr>
                <w:rFonts w:cstheme="minorHAnsi"/>
                <w:sz w:val="20"/>
                <w:szCs w:val="20"/>
              </w:rPr>
              <w:t>[0.440]</w:t>
            </w:r>
          </w:p>
        </w:tc>
        <w:tc>
          <w:tcPr>
            <w:tcW w:w="583" w:type="pct"/>
            <w:hideMark/>
          </w:tcPr>
          <w:p w14:paraId="1427CE83" w14:textId="77777777" w:rsidR="00A4606E" w:rsidRPr="00923237" w:rsidRDefault="00A4606E" w:rsidP="00695609">
            <w:pPr>
              <w:pStyle w:val="NoSpacing"/>
              <w:rPr>
                <w:rFonts w:cstheme="minorHAnsi"/>
                <w:sz w:val="20"/>
                <w:szCs w:val="20"/>
              </w:rPr>
            </w:pPr>
            <w:r w:rsidRPr="00923237">
              <w:rPr>
                <w:rFonts w:cstheme="minorHAnsi"/>
                <w:sz w:val="20"/>
                <w:szCs w:val="20"/>
              </w:rPr>
              <w:t>[0.538]</w:t>
            </w:r>
          </w:p>
        </w:tc>
      </w:tr>
      <w:tr w:rsidR="00A4606E" w:rsidRPr="00923237" w14:paraId="7D553A40" w14:textId="77777777" w:rsidTr="006F5E3B">
        <w:tc>
          <w:tcPr>
            <w:tcW w:w="957" w:type="pct"/>
            <w:hideMark/>
          </w:tcPr>
          <w:p w14:paraId="2B165919" w14:textId="77777777" w:rsidR="00A4606E" w:rsidRPr="00923237" w:rsidRDefault="00A4606E" w:rsidP="00695609">
            <w:pPr>
              <w:pStyle w:val="NoSpacing"/>
              <w:rPr>
                <w:rFonts w:cstheme="minorHAnsi"/>
                <w:sz w:val="20"/>
                <w:szCs w:val="20"/>
              </w:rPr>
            </w:pPr>
            <w:r w:rsidRPr="00923237">
              <w:rPr>
                <w:rFonts w:cstheme="minorHAnsi"/>
                <w:sz w:val="20"/>
                <w:szCs w:val="20"/>
              </w:rPr>
              <w:t>Debt due in 1 year/total debt</w:t>
            </w:r>
          </w:p>
        </w:tc>
        <w:tc>
          <w:tcPr>
            <w:tcW w:w="890" w:type="pct"/>
            <w:hideMark/>
          </w:tcPr>
          <w:p w14:paraId="1364E90E" w14:textId="77777777" w:rsidR="00A4606E" w:rsidRPr="00923237" w:rsidRDefault="00A4606E" w:rsidP="00695609">
            <w:pPr>
              <w:pStyle w:val="NoSpacing"/>
              <w:rPr>
                <w:rFonts w:cstheme="minorHAnsi"/>
                <w:sz w:val="20"/>
                <w:szCs w:val="20"/>
              </w:rPr>
            </w:pPr>
            <w:r w:rsidRPr="00923237">
              <w:rPr>
                <w:rFonts w:cstheme="minorHAnsi"/>
                <w:sz w:val="20"/>
                <w:szCs w:val="20"/>
              </w:rPr>
              <w:t>1.5950</w:t>
            </w:r>
          </w:p>
        </w:tc>
        <w:tc>
          <w:tcPr>
            <w:tcW w:w="533" w:type="pct"/>
            <w:hideMark/>
          </w:tcPr>
          <w:p w14:paraId="214D70D1" w14:textId="77777777" w:rsidR="00A4606E" w:rsidRPr="00923237" w:rsidRDefault="00A4606E" w:rsidP="00695609">
            <w:pPr>
              <w:pStyle w:val="NoSpacing"/>
              <w:rPr>
                <w:rFonts w:cstheme="minorHAnsi"/>
                <w:sz w:val="20"/>
                <w:szCs w:val="20"/>
              </w:rPr>
            </w:pPr>
            <w:r w:rsidRPr="00923237">
              <w:rPr>
                <w:rFonts w:cstheme="minorHAnsi"/>
                <w:sz w:val="20"/>
                <w:szCs w:val="20"/>
              </w:rPr>
              <w:t>3.6357</w:t>
            </w:r>
          </w:p>
        </w:tc>
        <w:tc>
          <w:tcPr>
            <w:tcW w:w="483" w:type="pct"/>
            <w:hideMark/>
          </w:tcPr>
          <w:p w14:paraId="32EDB447" w14:textId="77777777" w:rsidR="00A4606E" w:rsidRPr="00923237" w:rsidRDefault="00A4606E" w:rsidP="00695609">
            <w:pPr>
              <w:pStyle w:val="NoSpacing"/>
              <w:rPr>
                <w:rFonts w:cstheme="minorHAnsi"/>
                <w:sz w:val="20"/>
                <w:szCs w:val="20"/>
              </w:rPr>
            </w:pPr>
            <w:r w:rsidRPr="00923237">
              <w:rPr>
                <w:rFonts w:cstheme="minorHAnsi"/>
                <w:sz w:val="20"/>
                <w:szCs w:val="20"/>
              </w:rPr>
              <w:t>1.2660</w:t>
            </w:r>
          </w:p>
        </w:tc>
        <w:tc>
          <w:tcPr>
            <w:tcW w:w="533" w:type="pct"/>
            <w:hideMark/>
          </w:tcPr>
          <w:p w14:paraId="6429E407" w14:textId="77777777" w:rsidR="00A4606E" w:rsidRPr="00923237" w:rsidRDefault="00A4606E" w:rsidP="00695609">
            <w:pPr>
              <w:pStyle w:val="NoSpacing"/>
              <w:rPr>
                <w:rFonts w:cstheme="minorHAnsi"/>
                <w:sz w:val="20"/>
                <w:szCs w:val="20"/>
              </w:rPr>
            </w:pPr>
            <w:r w:rsidRPr="00923237">
              <w:rPr>
                <w:rFonts w:cstheme="minorHAnsi"/>
                <w:sz w:val="20"/>
                <w:szCs w:val="20"/>
              </w:rPr>
              <w:t>3.4036</w:t>
            </w:r>
          </w:p>
        </w:tc>
        <w:tc>
          <w:tcPr>
            <w:tcW w:w="1021" w:type="pct"/>
            <w:hideMark/>
          </w:tcPr>
          <w:p w14:paraId="361DD163" w14:textId="77777777" w:rsidR="00A4606E" w:rsidRPr="00923237" w:rsidRDefault="00A4606E" w:rsidP="00695609">
            <w:pPr>
              <w:pStyle w:val="NoSpacing"/>
              <w:rPr>
                <w:rFonts w:cstheme="minorHAnsi"/>
                <w:sz w:val="20"/>
                <w:szCs w:val="20"/>
              </w:rPr>
            </w:pPr>
            <w:r w:rsidRPr="00923237">
              <w:rPr>
                <w:rFonts w:cstheme="minorHAnsi"/>
                <w:sz w:val="20"/>
                <w:szCs w:val="20"/>
              </w:rPr>
              <w:t>6.7801</w:t>
            </w:r>
          </w:p>
        </w:tc>
        <w:tc>
          <w:tcPr>
            <w:tcW w:w="583" w:type="pct"/>
            <w:hideMark/>
          </w:tcPr>
          <w:p w14:paraId="30F68B92" w14:textId="77777777" w:rsidR="00A4606E" w:rsidRPr="00923237" w:rsidRDefault="00A4606E" w:rsidP="00695609">
            <w:pPr>
              <w:pStyle w:val="NoSpacing"/>
              <w:rPr>
                <w:rFonts w:cstheme="minorHAnsi"/>
                <w:sz w:val="20"/>
                <w:szCs w:val="20"/>
              </w:rPr>
            </w:pPr>
            <w:r w:rsidRPr="00923237">
              <w:rPr>
                <w:rFonts w:cstheme="minorHAnsi"/>
                <w:sz w:val="20"/>
                <w:szCs w:val="20"/>
              </w:rPr>
              <w:t>6.8406</w:t>
            </w:r>
          </w:p>
        </w:tc>
      </w:tr>
      <w:tr w:rsidR="00A4606E" w:rsidRPr="00923237" w14:paraId="7C984038" w14:textId="77777777" w:rsidTr="006F5E3B">
        <w:tc>
          <w:tcPr>
            <w:tcW w:w="957" w:type="pct"/>
            <w:hideMark/>
          </w:tcPr>
          <w:p w14:paraId="49A89DC3" w14:textId="77777777" w:rsidR="00A4606E" w:rsidRPr="00923237" w:rsidRDefault="00A4606E" w:rsidP="00695609">
            <w:pPr>
              <w:pStyle w:val="NoSpacing"/>
              <w:rPr>
                <w:rFonts w:cstheme="minorHAnsi"/>
                <w:sz w:val="20"/>
                <w:szCs w:val="20"/>
              </w:rPr>
            </w:pPr>
          </w:p>
        </w:tc>
        <w:tc>
          <w:tcPr>
            <w:tcW w:w="890" w:type="pct"/>
            <w:hideMark/>
          </w:tcPr>
          <w:p w14:paraId="64B92D0F" w14:textId="77777777" w:rsidR="00A4606E" w:rsidRPr="00923237" w:rsidRDefault="00A4606E" w:rsidP="00695609">
            <w:pPr>
              <w:pStyle w:val="NoSpacing"/>
              <w:rPr>
                <w:rFonts w:cstheme="minorHAnsi"/>
                <w:sz w:val="20"/>
                <w:szCs w:val="20"/>
              </w:rPr>
            </w:pPr>
            <w:r w:rsidRPr="00923237">
              <w:rPr>
                <w:rFonts w:cstheme="minorHAnsi"/>
                <w:sz w:val="20"/>
                <w:szCs w:val="20"/>
              </w:rPr>
              <w:t>[0.667]</w:t>
            </w:r>
          </w:p>
        </w:tc>
        <w:tc>
          <w:tcPr>
            <w:tcW w:w="533" w:type="pct"/>
            <w:hideMark/>
          </w:tcPr>
          <w:p w14:paraId="2F0295E1" w14:textId="77777777" w:rsidR="00A4606E" w:rsidRPr="00923237" w:rsidRDefault="00A4606E" w:rsidP="00695609">
            <w:pPr>
              <w:pStyle w:val="NoSpacing"/>
              <w:rPr>
                <w:rFonts w:cstheme="minorHAnsi"/>
                <w:sz w:val="20"/>
                <w:szCs w:val="20"/>
              </w:rPr>
            </w:pPr>
            <w:r w:rsidRPr="00923237">
              <w:rPr>
                <w:rFonts w:cstheme="minorHAnsi"/>
                <w:sz w:val="20"/>
                <w:szCs w:val="20"/>
              </w:rPr>
              <w:t>[0.331]</w:t>
            </w:r>
          </w:p>
        </w:tc>
        <w:tc>
          <w:tcPr>
            <w:tcW w:w="483" w:type="pct"/>
            <w:hideMark/>
          </w:tcPr>
          <w:p w14:paraId="113CB521" w14:textId="77777777" w:rsidR="00A4606E" w:rsidRPr="00923237" w:rsidRDefault="00A4606E" w:rsidP="00695609">
            <w:pPr>
              <w:pStyle w:val="NoSpacing"/>
              <w:rPr>
                <w:rFonts w:cstheme="minorHAnsi"/>
                <w:sz w:val="20"/>
                <w:szCs w:val="20"/>
              </w:rPr>
            </w:pPr>
            <w:r w:rsidRPr="00923237">
              <w:rPr>
                <w:rFonts w:cstheme="minorHAnsi"/>
                <w:sz w:val="20"/>
                <w:szCs w:val="20"/>
              </w:rPr>
              <w:t>[0.732]</w:t>
            </w:r>
          </w:p>
        </w:tc>
        <w:tc>
          <w:tcPr>
            <w:tcW w:w="533" w:type="pct"/>
            <w:hideMark/>
          </w:tcPr>
          <w:p w14:paraId="60FD650A" w14:textId="77777777" w:rsidR="00A4606E" w:rsidRPr="00923237" w:rsidRDefault="00A4606E" w:rsidP="00695609">
            <w:pPr>
              <w:pStyle w:val="NoSpacing"/>
              <w:rPr>
                <w:rFonts w:cstheme="minorHAnsi"/>
                <w:sz w:val="20"/>
                <w:szCs w:val="20"/>
              </w:rPr>
            </w:pPr>
            <w:r w:rsidRPr="00923237">
              <w:rPr>
                <w:rFonts w:cstheme="minorHAnsi"/>
                <w:sz w:val="20"/>
                <w:szCs w:val="20"/>
              </w:rPr>
              <w:t>[0.364]</w:t>
            </w:r>
          </w:p>
        </w:tc>
        <w:tc>
          <w:tcPr>
            <w:tcW w:w="1021" w:type="pct"/>
            <w:hideMark/>
          </w:tcPr>
          <w:p w14:paraId="741A175B" w14:textId="77777777" w:rsidR="00A4606E" w:rsidRPr="00923237" w:rsidRDefault="00A4606E" w:rsidP="00695609">
            <w:pPr>
              <w:pStyle w:val="NoSpacing"/>
              <w:rPr>
                <w:rFonts w:cstheme="minorHAnsi"/>
                <w:sz w:val="20"/>
                <w:szCs w:val="20"/>
              </w:rPr>
            </w:pPr>
            <w:r w:rsidRPr="00923237">
              <w:rPr>
                <w:rFonts w:cstheme="minorHAnsi"/>
                <w:sz w:val="20"/>
                <w:szCs w:val="20"/>
              </w:rPr>
              <w:t>[0.214]</w:t>
            </w:r>
          </w:p>
        </w:tc>
        <w:tc>
          <w:tcPr>
            <w:tcW w:w="583" w:type="pct"/>
            <w:hideMark/>
          </w:tcPr>
          <w:p w14:paraId="27FEFF63" w14:textId="77777777" w:rsidR="00A4606E" w:rsidRPr="00923237" w:rsidRDefault="00A4606E" w:rsidP="00695609">
            <w:pPr>
              <w:pStyle w:val="NoSpacing"/>
              <w:rPr>
                <w:rFonts w:cstheme="minorHAnsi"/>
                <w:sz w:val="20"/>
                <w:szCs w:val="20"/>
              </w:rPr>
            </w:pPr>
            <w:r w:rsidRPr="00923237">
              <w:rPr>
                <w:rFonts w:cstheme="minorHAnsi"/>
                <w:sz w:val="20"/>
                <w:szCs w:val="20"/>
              </w:rPr>
              <w:t>[0.217]</w:t>
            </w:r>
          </w:p>
        </w:tc>
      </w:tr>
      <w:tr w:rsidR="00A4606E" w:rsidRPr="00923237" w14:paraId="36822D7B" w14:textId="77777777" w:rsidTr="006F5E3B">
        <w:tc>
          <w:tcPr>
            <w:tcW w:w="957" w:type="pct"/>
            <w:hideMark/>
          </w:tcPr>
          <w:p w14:paraId="77E49A94" w14:textId="77777777" w:rsidR="00A4606E" w:rsidRPr="00923237" w:rsidRDefault="00A4606E" w:rsidP="00695609">
            <w:pPr>
              <w:pStyle w:val="NoSpacing"/>
              <w:rPr>
                <w:rFonts w:cstheme="minorHAnsi"/>
                <w:sz w:val="20"/>
                <w:szCs w:val="20"/>
              </w:rPr>
            </w:pPr>
            <w:r w:rsidRPr="00923237">
              <w:rPr>
                <w:rFonts w:cstheme="minorHAnsi"/>
                <w:sz w:val="20"/>
                <w:szCs w:val="20"/>
              </w:rPr>
              <w:t>Debt due in 2–3 year/total debt</w:t>
            </w:r>
          </w:p>
        </w:tc>
        <w:tc>
          <w:tcPr>
            <w:tcW w:w="890" w:type="pct"/>
            <w:hideMark/>
          </w:tcPr>
          <w:p w14:paraId="180B11E2" w14:textId="77777777" w:rsidR="00A4606E" w:rsidRPr="00923237" w:rsidRDefault="00A4606E" w:rsidP="00695609">
            <w:pPr>
              <w:pStyle w:val="NoSpacing"/>
              <w:rPr>
                <w:rFonts w:cstheme="minorHAnsi"/>
                <w:sz w:val="20"/>
                <w:szCs w:val="20"/>
              </w:rPr>
            </w:pPr>
            <w:r w:rsidRPr="00923237">
              <w:rPr>
                <w:rFonts w:cstheme="minorHAnsi"/>
                <w:sz w:val="20"/>
                <w:szCs w:val="20"/>
              </w:rPr>
              <w:t>−0.5246</w:t>
            </w:r>
          </w:p>
        </w:tc>
        <w:tc>
          <w:tcPr>
            <w:tcW w:w="533" w:type="pct"/>
            <w:hideMark/>
          </w:tcPr>
          <w:p w14:paraId="7BB9D727" w14:textId="77777777" w:rsidR="00A4606E" w:rsidRPr="00923237" w:rsidRDefault="00A4606E" w:rsidP="00695609">
            <w:pPr>
              <w:pStyle w:val="NoSpacing"/>
              <w:rPr>
                <w:rFonts w:cstheme="minorHAnsi"/>
                <w:sz w:val="20"/>
                <w:szCs w:val="20"/>
              </w:rPr>
            </w:pPr>
            <w:r w:rsidRPr="00923237">
              <w:rPr>
                <w:rFonts w:cstheme="minorHAnsi"/>
                <w:sz w:val="20"/>
                <w:szCs w:val="20"/>
              </w:rPr>
              <w:t>−1.4703</w:t>
            </w:r>
          </w:p>
        </w:tc>
        <w:tc>
          <w:tcPr>
            <w:tcW w:w="483" w:type="pct"/>
            <w:hideMark/>
          </w:tcPr>
          <w:p w14:paraId="237FDB05" w14:textId="77777777" w:rsidR="00A4606E" w:rsidRPr="00923237" w:rsidRDefault="00A4606E" w:rsidP="00695609">
            <w:pPr>
              <w:pStyle w:val="NoSpacing"/>
              <w:rPr>
                <w:rFonts w:cstheme="minorHAnsi"/>
                <w:sz w:val="20"/>
                <w:szCs w:val="20"/>
              </w:rPr>
            </w:pPr>
            <w:r w:rsidRPr="00923237">
              <w:rPr>
                <w:rFonts w:cstheme="minorHAnsi"/>
                <w:sz w:val="20"/>
                <w:szCs w:val="20"/>
              </w:rPr>
              <w:t>−0.7020</w:t>
            </w:r>
          </w:p>
        </w:tc>
        <w:tc>
          <w:tcPr>
            <w:tcW w:w="533" w:type="pct"/>
            <w:hideMark/>
          </w:tcPr>
          <w:p w14:paraId="7B021F5C" w14:textId="77777777" w:rsidR="00A4606E" w:rsidRPr="00923237" w:rsidRDefault="00A4606E" w:rsidP="00695609">
            <w:pPr>
              <w:pStyle w:val="NoSpacing"/>
              <w:rPr>
                <w:rFonts w:cstheme="minorHAnsi"/>
                <w:sz w:val="20"/>
                <w:szCs w:val="20"/>
              </w:rPr>
            </w:pPr>
            <w:r w:rsidRPr="00923237">
              <w:rPr>
                <w:rFonts w:cstheme="minorHAnsi"/>
                <w:sz w:val="20"/>
                <w:szCs w:val="20"/>
              </w:rPr>
              <w:t>−1.5327</w:t>
            </w:r>
          </w:p>
        </w:tc>
        <w:tc>
          <w:tcPr>
            <w:tcW w:w="1021" w:type="pct"/>
            <w:hideMark/>
          </w:tcPr>
          <w:p w14:paraId="1B7A16BE" w14:textId="77777777" w:rsidR="00A4606E" w:rsidRPr="00923237" w:rsidRDefault="00A4606E" w:rsidP="00695609">
            <w:pPr>
              <w:pStyle w:val="NoSpacing"/>
              <w:rPr>
                <w:rFonts w:cstheme="minorHAnsi"/>
                <w:sz w:val="20"/>
                <w:szCs w:val="20"/>
              </w:rPr>
            </w:pPr>
            <w:r w:rsidRPr="00923237">
              <w:rPr>
                <w:rFonts w:cstheme="minorHAnsi"/>
                <w:sz w:val="20"/>
                <w:szCs w:val="20"/>
              </w:rPr>
              <w:t>−0.1578</w:t>
            </w:r>
          </w:p>
        </w:tc>
        <w:tc>
          <w:tcPr>
            <w:tcW w:w="583" w:type="pct"/>
            <w:hideMark/>
          </w:tcPr>
          <w:p w14:paraId="35C7367D" w14:textId="77777777" w:rsidR="00A4606E" w:rsidRPr="00923237" w:rsidRDefault="00A4606E" w:rsidP="00695609">
            <w:pPr>
              <w:pStyle w:val="NoSpacing"/>
              <w:rPr>
                <w:rFonts w:cstheme="minorHAnsi"/>
                <w:sz w:val="20"/>
                <w:szCs w:val="20"/>
              </w:rPr>
            </w:pPr>
            <w:r w:rsidRPr="00923237">
              <w:rPr>
                <w:rFonts w:cstheme="minorHAnsi"/>
                <w:sz w:val="20"/>
                <w:szCs w:val="20"/>
              </w:rPr>
              <w:t>−0.2640</w:t>
            </w:r>
          </w:p>
        </w:tc>
      </w:tr>
      <w:tr w:rsidR="00A4606E" w:rsidRPr="00923237" w14:paraId="4E79E13E" w14:textId="77777777" w:rsidTr="006F5E3B">
        <w:tc>
          <w:tcPr>
            <w:tcW w:w="957" w:type="pct"/>
            <w:hideMark/>
          </w:tcPr>
          <w:p w14:paraId="3B1799E1" w14:textId="77777777" w:rsidR="00A4606E" w:rsidRPr="00923237" w:rsidRDefault="00A4606E" w:rsidP="00695609">
            <w:pPr>
              <w:pStyle w:val="NoSpacing"/>
              <w:rPr>
                <w:rFonts w:cstheme="minorHAnsi"/>
                <w:sz w:val="20"/>
                <w:szCs w:val="20"/>
              </w:rPr>
            </w:pPr>
          </w:p>
        </w:tc>
        <w:tc>
          <w:tcPr>
            <w:tcW w:w="890" w:type="pct"/>
            <w:hideMark/>
          </w:tcPr>
          <w:p w14:paraId="1377308C" w14:textId="77777777" w:rsidR="00A4606E" w:rsidRPr="00923237" w:rsidRDefault="00A4606E" w:rsidP="00695609">
            <w:pPr>
              <w:pStyle w:val="NoSpacing"/>
              <w:rPr>
                <w:rFonts w:cstheme="minorHAnsi"/>
                <w:sz w:val="20"/>
                <w:szCs w:val="20"/>
              </w:rPr>
            </w:pPr>
            <w:r w:rsidRPr="00923237">
              <w:rPr>
                <w:rFonts w:cstheme="minorHAnsi"/>
                <w:sz w:val="20"/>
                <w:szCs w:val="20"/>
              </w:rPr>
              <w:t>[0.716]</w:t>
            </w:r>
          </w:p>
        </w:tc>
        <w:tc>
          <w:tcPr>
            <w:tcW w:w="533" w:type="pct"/>
            <w:hideMark/>
          </w:tcPr>
          <w:p w14:paraId="5E8E1C3C" w14:textId="77777777" w:rsidR="00A4606E" w:rsidRPr="00923237" w:rsidRDefault="00A4606E" w:rsidP="00695609">
            <w:pPr>
              <w:pStyle w:val="NoSpacing"/>
              <w:rPr>
                <w:rFonts w:cstheme="minorHAnsi"/>
                <w:sz w:val="20"/>
                <w:szCs w:val="20"/>
              </w:rPr>
            </w:pPr>
            <w:r w:rsidRPr="00923237">
              <w:rPr>
                <w:rFonts w:cstheme="minorHAnsi"/>
                <w:sz w:val="20"/>
                <w:szCs w:val="20"/>
              </w:rPr>
              <w:t>[0.30]</w:t>
            </w:r>
          </w:p>
        </w:tc>
        <w:tc>
          <w:tcPr>
            <w:tcW w:w="483" w:type="pct"/>
            <w:hideMark/>
          </w:tcPr>
          <w:p w14:paraId="0CDE1E8A" w14:textId="77777777" w:rsidR="00A4606E" w:rsidRPr="00923237" w:rsidRDefault="00A4606E" w:rsidP="00695609">
            <w:pPr>
              <w:pStyle w:val="NoSpacing"/>
              <w:rPr>
                <w:rFonts w:cstheme="minorHAnsi"/>
                <w:sz w:val="20"/>
                <w:szCs w:val="20"/>
              </w:rPr>
            </w:pPr>
            <w:r w:rsidRPr="00923237">
              <w:rPr>
                <w:rFonts w:cstheme="minorHAnsi"/>
                <w:sz w:val="20"/>
                <w:szCs w:val="20"/>
              </w:rPr>
              <w:t>[0.623]</w:t>
            </w:r>
          </w:p>
        </w:tc>
        <w:tc>
          <w:tcPr>
            <w:tcW w:w="533" w:type="pct"/>
            <w:hideMark/>
          </w:tcPr>
          <w:p w14:paraId="40464776" w14:textId="77777777" w:rsidR="00A4606E" w:rsidRPr="00923237" w:rsidRDefault="00A4606E" w:rsidP="00695609">
            <w:pPr>
              <w:pStyle w:val="NoSpacing"/>
              <w:rPr>
                <w:rFonts w:cstheme="minorHAnsi"/>
                <w:sz w:val="20"/>
                <w:szCs w:val="20"/>
              </w:rPr>
            </w:pPr>
            <w:r w:rsidRPr="00923237">
              <w:rPr>
                <w:rFonts w:cstheme="minorHAnsi"/>
                <w:sz w:val="20"/>
                <w:szCs w:val="20"/>
              </w:rPr>
              <w:t>[0.287]</w:t>
            </w:r>
          </w:p>
        </w:tc>
        <w:tc>
          <w:tcPr>
            <w:tcW w:w="1021" w:type="pct"/>
            <w:hideMark/>
          </w:tcPr>
          <w:p w14:paraId="63303D9A" w14:textId="77777777" w:rsidR="00A4606E" w:rsidRPr="00923237" w:rsidRDefault="00A4606E" w:rsidP="00695609">
            <w:pPr>
              <w:pStyle w:val="NoSpacing"/>
              <w:rPr>
                <w:rFonts w:cstheme="minorHAnsi"/>
                <w:sz w:val="20"/>
                <w:szCs w:val="20"/>
              </w:rPr>
            </w:pPr>
            <w:r w:rsidRPr="00923237">
              <w:rPr>
                <w:rFonts w:cstheme="minorHAnsi"/>
                <w:sz w:val="20"/>
                <w:szCs w:val="20"/>
              </w:rPr>
              <w:t>[0.939]</w:t>
            </w:r>
          </w:p>
        </w:tc>
        <w:tc>
          <w:tcPr>
            <w:tcW w:w="583" w:type="pct"/>
            <w:hideMark/>
          </w:tcPr>
          <w:p w14:paraId="4CB81E94" w14:textId="77777777" w:rsidR="00A4606E" w:rsidRPr="00923237" w:rsidRDefault="00A4606E" w:rsidP="00695609">
            <w:pPr>
              <w:pStyle w:val="NoSpacing"/>
              <w:rPr>
                <w:rFonts w:cstheme="minorHAnsi"/>
                <w:sz w:val="20"/>
                <w:szCs w:val="20"/>
              </w:rPr>
            </w:pPr>
            <w:r w:rsidRPr="00923237">
              <w:rPr>
                <w:rFonts w:cstheme="minorHAnsi"/>
                <w:sz w:val="20"/>
                <w:szCs w:val="20"/>
              </w:rPr>
              <w:t>[0.900]</w:t>
            </w:r>
          </w:p>
        </w:tc>
      </w:tr>
      <w:tr w:rsidR="00A4606E" w:rsidRPr="00923237" w14:paraId="5536DE43" w14:textId="77777777" w:rsidTr="006F5E3B">
        <w:tc>
          <w:tcPr>
            <w:tcW w:w="957" w:type="pct"/>
            <w:hideMark/>
          </w:tcPr>
          <w:p w14:paraId="34C2DA52" w14:textId="77777777" w:rsidR="00A4606E" w:rsidRPr="00923237" w:rsidRDefault="00A4606E" w:rsidP="00695609">
            <w:pPr>
              <w:pStyle w:val="NoSpacing"/>
              <w:rPr>
                <w:rFonts w:cstheme="minorHAnsi"/>
                <w:sz w:val="20"/>
                <w:szCs w:val="20"/>
              </w:rPr>
            </w:pPr>
            <w:proofErr w:type="gramStart"/>
            <w:r w:rsidRPr="00923237">
              <w:rPr>
                <w:rFonts w:cstheme="minorHAnsi"/>
                <w:sz w:val="20"/>
                <w:szCs w:val="20"/>
              </w:rPr>
              <w:t>Ln(</w:t>
            </w:r>
            <w:proofErr w:type="gramEnd"/>
            <w:r w:rsidRPr="00923237">
              <w:rPr>
                <w:rFonts w:cstheme="minorHAnsi"/>
                <w:sz w:val="20"/>
                <w:szCs w:val="20"/>
              </w:rPr>
              <w:t>board size)</w:t>
            </w:r>
          </w:p>
        </w:tc>
        <w:tc>
          <w:tcPr>
            <w:tcW w:w="890" w:type="pct"/>
            <w:hideMark/>
          </w:tcPr>
          <w:p w14:paraId="323E4A9D" w14:textId="77777777" w:rsidR="00A4606E" w:rsidRPr="00923237" w:rsidRDefault="00A4606E" w:rsidP="00695609">
            <w:pPr>
              <w:pStyle w:val="NoSpacing"/>
              <w:rPr>
                <w:rFonts w:cstheme="minorHAnsi"/>
                <w:sz w:val="20"/>
                <w:szCs w:val="20"/>
              </w:rPr>
            </w:pPr>
          </w:p>
        </w:tc>
        <w:tc>
          <w:tcPr>
            <w:tcW w:w="533" w:type="pct"/>
            <w:hideMark/>
          </w:tcPr>
          <w:p w14:paraId="1AC1462C" w14:textId="77777777" w:rsidR="00A4606E" w:rsidRPr="00923237" w:rsidRDefault="00A4606E" w:rsidP="00695609">
            <w:pPr>
              <w:pStyle w:val="NoSpacing"/>
              <w:rPr>
                <w:rFonts w:cstheme="minorHAnsi"/>
                <w:sz w:val="20"/>
                <w:szCs w:val="20"/>
              </w:rPr>
            </w:pPr>
            <w:r w:rsidRPr="00923237">
              <w:rPr>
                <w:rFonts w:cstheme="minorHAnsi"/>
                <w:sz w:val="20"/>
                <w:szCs w:val="20"/>
              </w:rPr>
              <w:t>−1.2249*</w:t>
            </w:r>
          </w:p>
        </w:tc>
        <w:tc>
          <w:tcPr>
            <w:tcW w:w="483" w:type="pct"/>
            <w:hideMark/>
          </w:tcPr>
          <w:p w14:paraId="03ADD75C" w14:textId="77777777" w:rsidR="00A4606E" w:rsidRPr="00923237" w:rsidRDefault="00A4606E" w:rsidP="00695609">
            <w:pPr>
              <w:pStyle w:val="NoSpacing"/>
              <w:rPr>
                <w:rFonts w:cstheme="minorHAnsi"/>
                <w:sz w:val="20"/>
                <w:szCs w:val="20"/>
              </w:rPr>
            </w:pPr>
          </w:p>
        </w:tc>
        <w:tc>
          <w:tcPr>
            <w:tcW w:w="533" w:type="pct"/>
            <w:hideMark/>
          </w:tcPr>
          <w:p w14:paraId="3F2BA1F0" w14:textId="77777777" w:rsidR="00A4606E" w:rsidRPr="00923237" w:rsidRDefault="00A4606E" w:rsidP="00695609">
            <w:pPr>
              <w:pStyle w:val="NoSpacing"/>
              <w:rPr>
                <w:rFonts w:cstheme="minorHAnsi"/>
                <w:sz w:val="20"/>
                <w:szCs w:val="20"/>
              </w:rPr>
            </w:pPr>
            <w:r w:rsidRPr="00923237">
              <w:rPr>
                <w:rFonts w:cstheme="minorHAnsi"/>
                <w:sz w:val="20"/>
                <w:szCs w:val="20"/>
              </w:rPr>
              <w:t>−1.2473*</w:t>
            </w:r>
          </w:p>
        </w:tc>
        <w:tc>
          <w:tcPr>
            <w:tcW w:w="1021" w:type="pct"/>
            <w:hideMark/>
          </w:tcPr>
          <w:p w14:paraId="07F052E7" w14:textId="77777777" w:rsidR="00A4606E" w:rsidRPr="00923237" w:rsidRDefault="00A4606E" w:rsidP="00695609">
            <w:pPr>
              <w:pStyle w:val="NoSpacing"/>
              <w:rPr>
                <w:rFonts w:cstheme="minorHAnsi"/>
                <w:sz w:val="20"/>
                <w:szCs w:val="20"/>
              </w:rPr>
            </w:pPr>
            <w:r w:rsidRPr="00923237">
              <w:rPr>
                <w:rFonts w:cstheme="minorHAnsi"/>
                <w:sz w:val="20"/>
                <w:szCs w:val="20"/>
              </w:rPr>
              <w:t>−1.8174*</w:t>
            </w:r>
          </w:p>
        </w:tc>
        <w:tc>
          <w:tcPr>
            <w:tcW w:w="583" w:type="pct"/>
            <w:hideMark/>
          </w:tcPr>
          <w:p w14:paraId="29A90BCF" w14:textId="77777777" w:rsidR="00A4606E" w:rsidRPr="00923237" w:rsidRDefault="00A4606E" w:rsidP="00695609">
            <w:pPr>
              <w:pStyle w:val="NoSpacing"/>
              <w:rPr>
                <w:rFonts w:cstheme="minorHAnsi"/>
                <w:sz w:val="20"/>
                <w:szCs w:val="20"/>
              </w:rPr>
            </w:pPr>
            <w:r w:rsidRPr="00923237">
              <w:rPr>
                <w:rFonts w:cstheme="minorHAnsi"/>
                <w:sz w:val="20"/>
                <w:szCs w:val="20"/>
              </w:rPr>
              <w:t>−1.9900*</w:t>
            </w:r>
          </w:p>
        </w:tc>
      </w:tr>
      <w:tr w:rsidR="00A4606E" w:rsidRPr="00923237" w14:paraId="01758A1C" w14:textId="77777777" w:rsidTr="006F5E3B">
        <w:tc>
          <w:tcPr>
            <w:tcW w:w="957" w:type="pct"/>
            <w:hideMark/>
          </w:tcPr>
          <w:p w14:paraId="34F996EB" w14:textId="77777777" w:rsidR="00A4606E" w:rsidRPr="00923237" w:rsidRDefault="00A4606E" w:rsidP="00695609">
            <w:pPr>
              <w:pStyle w:val="NoSpacing"/>
              <w:rPr>
                <w:rFonts w:cstheme="minorHAnsi"/>
                <w:sz w:val="20"/>
                <w:szCs w:val="20"/>
              </w:rPr>
            </w:pPr>
          </w:p>
        </w:tc>
        <w:tc>
          <w:tcPr>
            <w:tcW w:w="890" w:type="pct"/>
            <w:hideMark/>
          </w:tcPr>
          <w:p w14:paraId="661F8265" w14:textId="77777777" w:rsidR="00A4606E" w:rsidRPr="00923237" w:rsidRDefault="00A4606E" w:rsidP="00695609">
            <w:pPr>
              <w:pStyle w:val="NoSpacing"/>
              <w:rPr>
                <w:rFonts w:cstheme="minorHAnsi"/>
                <w:sz w:val="20"/>
                <w:szCs w:val="20"/>
              </w:rPr>
            </w:pPr>
          </w:p>
        </w:tc>
        <w:tc>
          <w:tcPr>
            <w:tcW w:w="533" w:type="pct"/>
            <w:hideMark/>
          </w:tcPr>
          <w:p w14:paraId="61DA5267" w14:textId="77777777" w:rsidR="00A4606E" w:rsidRPr="00923237" w:rsidRDefault="00A4606E" w:rsidP="00695609">
            <w:pPr>
              <w:pStyle w:val="NoSpacing"/>
              <w:rPr>
                <w:rFonts w:cstheme="minorHAnsi"/>
                <w:sz w:val="20"/>
                <w:szCs w:val="20"/>
              </w:rPr>
            </w:pPr>
            <w:r w:rsidRPr="00923237">
              <w:rPr>
                <w:rFonts w:cstheme="minorHAnsi"/>
                <w:sz w:val="20"/>
                <w:szCs w:val="20"/>
              </w:rPr>
              <w:t>[0.077]</w:t>
            </w:r>
          </w:p>
        </w:tc>
        <w:tc>
          <w:tcPr>
            <w:tcW w:w="483" w:type="pct"/>
            <w:hideMark/>
          </w:tcPr>
          <w:p w14:paraId="0F9820F9" w14:textId="77777777" w:rsidR="00A4606E" w:rsidRPr="00923237" w:rsidRDefault="00A4606E" w:rsidP="00695609">
            <w:pPr>
              <w:pStyle w:val="NoSpacing"/>
              <w:rPr>
                <w:rFonts w:cstheme="minorHAnsi"/>
                <w:sz w:val="20"/>
                <w:szCs w:val="20"/>
              </w:rPr>
            </w:pPr>
          </w:p>
        </w:tc>
        <w:tc>
          <w:tcPr>
            <w:tcW w:w="533" w:type="pct"/>
            <w:hideMark/>
          </w:tcPr>
          <w:p w14:paraId="5A35A4FB" w14:textId="77777777" w:rsidR="00A4606E" w:rsidRPr="00923237" w:rsidRDefault="00A4606E" w:rsidP="00695609">
            <w:pPr>
              <w:pStyle w:val="NoSpacing"/>
              <w:rPr>
                <w:rFonts w:cstheme="minorHAnsi"/>
                <w:sz w:val="20"/>
                <w:szCs w:val="20"/>
              </w:rPr>
            </w:pPr>
            <w:r w:rsidRPr="00923237">
              <w:rPr>
                <w:rFonts w:cstheme="minorHAnsi"/>
                <w:sz w:val="20"/>
                <w:szCs w:val="20"/>
              </w:rPr>
              <w:t>[0.072]</w:t>
            </w:r>
          </w:p>
        </w:tc>
        <w:tc>
          <w:tcPr>
            <w:tcW w:w="1021" w:type="pct"/>
            <w:hideMark/>
          </w:tcPr>
          <w:p w14:paraId="570717AF" w14:textId="77777777" w:rsidR="00A4606E" w:rsidRPr="00923237" w:rsidRDefault="00A4606E" w:rsidP="00695609">
            <w:pPr>
              <w:pStyle w:val="NoSpacing"/>
              <w:rPr>
                <w:rFonts w:cstheme="minorHAnsi"/>
                <w:sz w:val="20"/>
                <w:szCs w:val="20"/>
              </w:rPr>
            </w:pPr>
            <w:r w:rsidRPr="00923237">
              <w:rPr>
                <w:rFonts w:cstheme="minorHAnsi"/>
                <w:sz w:val="20"/>
                <w:szCs w:val="20"/>
              </w:rPr>
              <w:t>[0.071]</w:t>
            </w:r>
          </w:p>
        </w:tc>
        <w:tc>
          <w:tcPr>
            <w:tcW w:w="583" w:type="pct"/>
            <w:hideMark/>
          </w:tcPr>
          <w:p w14:paraId="462480FF" w14:textId="77777777" w:rsidR="00A4606E" w:rsidRPr="00923237" w:rsidRDefault="00A4606E" w:rsidP="00695609">
            <w:pPr>
              <w:pStyle w:val="NoSpacing"/>
              <w:rPr>
                <w:rFonts w:cstheme="minorHAnsi"/>
                <w:sz w:val="20"/>
                <w:szCs w:val="20"/>
              </w:rPr>
            </w:pPr>
            <w:r w:rsidRPr="00923237">
              <w:rPr>
                <w:rFonts w:cstheme="minorHAnsi"/>
                <w:sz w:val="20"/>
                <w:szCs w:val="20"/>
              </w:rPr>
              <w:t>[0.051]</w:t>
            </w:r>
          </w:p>
        </w:tc>
      </w:tr>
      <w:tr w:rsidR="00A4606E" w:rsidRPr="00923237" w14:paraId="6114CE28" w14:textId="77777777" w:rsidTr="006F5E3B">
        <w:tc>
          <w:tcPr>
            <w:tcW w:w="957" w:type="pct"/>
            <w:hideMark/>
          </w:tcPr>
          <w:p w14:paraId="154014FD" w14:textId="77777777" w:rsidR="00A4606E" w:rsidRPr="00923237" w:rsidRDefault="00A4606E" w:rsidP="00695609">
            <w:pPr>
              <w:pStyle w:val="NoSpacing"/>
              <w:rPr>
                <w:rFonts w:cstheme="minorHAnsi"/>
                <w:sz w:val="20"/>
                <w:szCs w:val="20"/>
              </w:rPr>
            </w:pPr>
            <w:r w:rsidRPr="00923237">
              <w:rPr>
                <w:rFonts w:cstheme="minorHAnsi"/>
                <w:sz w:val="20"/>
                <w:szCs w:val="20"/>
              </w:rPr>
              <w:t>Board independence</w:t>
            </w:r>
          </w:p>
        </w:tc>
        <w:tc>
          <w:tcPr>
            <w:tcW w:w="890" w:type="pct"/>
            <w:hideMark/>
          </w:tcPr>
          <w:p w14:paraId="5671E5F5" w14:textId="77777777" w:rsidR="00A4606E" w:rsidRPr="00923237" w:rsidRDefault="00A4606E" w:rsidP="00695609">
            <w:pPr>
              <w:pStyle w:val="NoSpacing"/>
              <w:rPr>
                <w:rFonts w:cstheme="minorHAnsi"/>
                <w:sz w:val="20"/>
                <w:szCs w:val="20"/>
              </w:rPr>
            </w:pPr>
          </w:p>
        </w:tc>
        <w:tc>
          <w:tcPr>
            <w:tcW w:w="533" w:type="pct"/>
            <w:hideMark/>
          </w:tcPr>
          <w:p w14:paraId="6A8FC83F" w14:textId="77777777" w:rsidR="00A4606E" w:rsidRPr="00923237" w:rsidRDefault="00A4606E" w:rsidP="00695609">
            <w:pPr>
              <w:pStyle w:val="NoSpacing"/>
              <w:rPr>
                <w:rFonts w:cstheme="minorHAnsi"/>
                <w:sz w:val="20"/>
                <w:szCs w:val="20"/>
              </w:rPr>
            </w:pPr>
            <w:r w:rsidRPr="00923237">
              <w:rPr>
                <w:rFonts w:cstheme="minorHAnsi"/>
                <w:sz w:val="20"/>
                <w:szCs w:val="20"/>
              </w:rPr>
              <w:t>−1.4782**</w:t>
            </w:r>
          </w:p>
        </w:tc>
        <w:tc>
          <w:tcPr>
            <w:tcW w:w="483" w:type="pct"/>
            <w:hideMark/>
          </w:tcPr>
          <w:p w14:paraId="2902121F" w14:textId="77777777" w:rsidR="00A4606E" w:rsidRPr="00923237" w:rsidRDefault="00A4606E" w:rsidP="00695609">
            <w:pPr>
              <w:pStyle w:val="NoSpacing"/>
              <w:rPr>
                <w:rFonts w:cstheme="minorHAnsi"/>
                <w:sz w:val="20"/>
                <w:szCs w:val="20"/>
              </w:rPr>
            </w:pPr>
          </w:p>
        </w:tc>
        <w:tc>
          <w:tcPr>
            <w:tcW w:w="533" w:type="pct"/>
            <w:hideMark/>
          </w:tcPr>
          <w:p w14:paraId="4F7E050E" w14:textId="77777777" w:rsidR="00A4606E" w:rsidRPr="00923237" w:rsidRDefault="00A4606E" w:rsidP="00695609">
            <w:pPr>
              <w:pStyle w:val="NoSpacing"/>
              <w:rPr>
                <w:rFonts w:cstheme="minorHAnsi"/>
                <w:sz w:val="20"/>
                <w:szCs w:val="20"/>
              </w:rPr>
            </w:pPr>
            <w:r w:rsidRPr="00923237">
              <w:rPr>
                <w:rFonts w:cstheme="minorHAnsi"/>
                <w:sz w:val="20"/>
                <w:szCs w:val="20"/>
              </w:rPr>
              <w:t>−1.3826**</w:t>
            </w:r>
          </w:p>
        </w:tc>
        <w:tc>
          <w:tcPr>
            <w:tcW w:w="1021" w:type="pct"/>
            <w:hideMark/>
          </w:tcPr>
          <w:p w14:paraId="3094C31A" w14:textId="77777777" w:rsidR="00A4606E" w:rsidRPr="00923237" w:rsidRDefault="00A4606E" w:rsidP="00695609">
            <w:pPr>
              <w:pStyle w:val="NoSpacing"/>
              <w:rPr>
                <w:rFonts w:cstheme="minorHAnsi"/>
                <w:sz w:val="20"/>
                <w:szCs w:val="20"/>
              </w:rPr>
            </w:pPr>
            <w:r w:rsidRPr="00923237">
              <w:rPr>
                <w:rFonts w:cstheme="minorHAnsi"/>
                <w:sz w:val="20"/>
                <w:szCs w:val="20"/>
              </w:rPr>
              <w:t>−2.1545**</w:t>
            </w:r>
          </w:p>
        </w:tc>
        <w:tc>
          <w:tcPr>
            <w:tcW w:w="583" w:type="pct"/>
            <w:hideMark/>
          </w:tcPr>
          <w:p w14:paraId="560D8E31" w14:textId="77777777" w:rsidR="00A4606E" w:rsidRPr="00923237" w:rsidRDefault="00A4606E" w:rsidP="00695609">
            <w:pPr>
              <w:pStyle w:val="NoSpacing"/>
              <w:rPr>
                <w:rFonts w:cstheme="minorHAnsi"/>
                <w:sz w:val="20"/>
                <w:szCs w:val="20"/>
              </w:rPr>
            </w:pPr>
            <w:r w:rsidRPr="00923237">
              <w:rPr>
                <w:rFonts w:cstheme="minorHAnsi"/>
                <w:sz w:val="20"/>
                <w:szCs w:val="20"/>
              </w:rPr>
              <w:t>−2.0899**</w:t>
            </w:r>
          </w:p>
        </w:tc>
      </w:tr>
      <w:tr w:rsidR="00A4606E" w:rsidRPr="00923237" w14:paraId="1024CAFB" w14:textId="77777777" w:rsidTr="006F5E3B">
        <w:tc>
          <w:tcPr>
            <w:tcW w:w="957" w:type="pct"/>
            <w:hideMark/>
          </w:tcPr>
          <w:p w14:paraId="7635C4FF" w14:textId="77777777" w:rsidR="00A4606E" w:rsidRPr="00923237" w:rsidRDefault="00A4606E" w:rsidP="00695609">
            <w:pPr>
              <w:pStyle w:val="NoSpacing"/>
              <w:rPr>
                <w:rFonts w:cstheme="minorHAnsi"/>
                <w:sz w:val="20"/>
                <w:szCs w:val="20"/>
              </w:rPr>
            </w:pPr>
          </w:p>
        </w:tc>
        <w:tc>
          <w:tcPr>
            <w:tcW w:w="890" w:type="pct"/>
            <w:hideMark/>
          </w:tcPr>
          <w:p w14:paraId="07D35D22" w14:textId="77777777" w:rsidR="00A4606E" w:rsidRPr="00923237" w:rsidRDefault="00A4606E" w:rsidP="00695609">
            <w:pPr>
              <w:pStyle w:val="NoSpacing"/>
              <w:rPr>
                <w:rFonts w:cstheme="minorHAnsi"/>
                <w:sz w:val="20"/>
                <w:szCs w:val="20"/>
              </w:rPr>
            </w:pPr>
          </w:p>
        </w:tc>
        <w:tc>
          <w:tcPr>
            <w:tcW w:w="533" w:type="pct"/>
            <w:hideMark/>
          </w:tcPr>
          <w:p w14:paraId="52A88371" w14:textId="77777777" w:rsidR="00A4606E" w:rsidRPr="00923237" w:rsidRDefault="00A4606E" w:rsidP="00695609">
            <w:pPr>
              <w:pStyle w:val="NoSpacing"/>
              <w:rPr>
                <w:rFonts w:cstheme="minorHAnsi"/>
                <w:sz w:val="20"/>
                <w:szCs w:val="20"/>
              </w:rPr>
            </w:pPr>
            <w:r w:rsidRPr="00923237">
              <w:rPr>
                <w:rFonts w:cstheme="minorHAnsi"/>
                <w:sz w:val="20"/>
                <w:szCs w:val="20"/>
              </w:rPr>
              <w:t>[0.031]</w:t>
            </w:r>
          </w:p>
        </w:tc>
        <w:tc>
          <w:tcPr>
            <w:tcW w:w="483" w:type="pct"/>
            <w:hideMark/>
          </w:tcPr>
          <w:p w14:paraId="25C778B1" w14:textId="77777777" w:rsidR="00A4606E" w:rsidRPr="00923237" w:rsidRDefault="00A4606E" w:rsidP="00695609">
            <w:pPr>
              <w:pStyle w:val="NoSpacing"/>
              <w:rPr>
                <w:rFonts w:cstheme="minorHAnsi"/>
                <w:sz w:val="20"/>
                <w:szCs w:val="20"/>
              </w:rPr>
            </w:pPr>
          </w:p>
        </w:tc>
        <w:tc>
          <w:tcPr>
            <w:tcW w:w="533" w:type="pct"/>
            <w:hideMark/>
          </w:tcPr>
          <w:p w14:paraId="706DF4B1" w14:textId="77777777" w:rsidR="00A4606E" w:rsidRPr="00923237" w:rsidRDefault="00A4606E" w:rsidP="00695609">
            <w:pPr>
              <w:pStyle w:val="NoSpacing"/>
              <w:rPr>
                <w:rFonts w:cstheme="minorHAnsi"/>
                <w:sz w:val="20"/>
                <w:szCs w:val="20"/>
              </w:rPr>
            </w:pPr>
            <w:r w:rsidRPr="00923237">
              <w:rPr>
                <w:rFonts w:cstheme="minorHAnsi"/>
                <w:sz w:val="20"/>
                <w:szCs w:val="20"/>
              </w:rPr>
              <w:t>[0.044]</w:t>
            </w:r>
          </w:p>
        </w:tc>
        <w:tc>
          <w:tcPr>
            <w:tcW w:w="1021" w:type="pct"/>
            <w:hideMark/>
          </w:tcPr>
          <w:p w14:paraId="455114B3" w14:textId="77777777" w:rsidR="00A4606E" w:rsidRPr="00923237" w:rsidRDefault="00A4606E" w:rsidP="00695609">
            <w:pPr>
              <w:pStyle w:val="NoSpacing"/>
              <w:rPr>
                <w:rFonts w:cstheme="minorHAnsi"/>
                <w:sz w:val="20"/>
                <w:szCs w:val="20"/>
              </w:rPr>
            </w:pPr>
            <w:r w:rsidRPr="00923237">
              <w:rPr>
                <w:rFonts w:cstheme="minorHAnsi"/>
                <w:sz w:val="20"/>
                <w:szCs w:val="20"/>
              </w:rPr>
              <w:t>[0.031]</w:t>
            </w:r>
          </w:p>
        </w:tc>
        <w:tc>
          <w:tcPr>
            <w:tcW w:w="583" w:type="pct"/>
            <w:hideMark/>
          </w:tcPr>
          <w:p w14:paraId="5293EE2B" w14:textId="77777777" w:rsidR="00A4606E" w:rsidRPr="00923237" w:rsidRDefault="00A4606E" w:rsidP="00695609">
            <w:pPr>
              <w:pStyle w:val="NoSpacing"/>
              <w:rPr>
                <w:rFonts w:cstheme="minorHAnsi"/>
                <w:sz w:val="20"/>
                <w:szCs w:val="20"/>
              </w:rPr>
            </w:pPr>
            <w:r w:rsidRPr="00923237">
              <w:rPr>
                <w:rFonts w:cstheme="minorHAnsi"/>
                <w:sz w:val="20"/>
                <w:szCs w:val="20"/>
              </w:rPr>
              <w:t>[0.039]</w:t>
            </w:r>
          </w:p>
        </w:tc>
      </w:tr>
      <w:tr w:rsidR="00A4606E" w:rsidRPr="00923237" w14:paraId="446D2788" w14:textId="77777777" w:rsidTr="006F5E3B">
        <w:tc>
          <w:tcPr>
            <w:tcW w:w="957" w:type="pct"/>
            <w:hideMark/>
          </w:tcPr>
          <w:p w14:paraId="6E8BAD1D" w14:textId="77777777" w:rsidR="00A4606E" w:rsidRPr="00923237" w:rsidRDefault="00A4606E" w:rsidP="00695609">
            <w:pPr>
              <w:pStyle w:val="NoSpacing"/>
              <w:rPr>
                <w:rFonts w:cstheme="minorHAnsi"/>
                <w:sz w:val="20"/>
                <w:szCs w:val="20"/>
              </w:rPr>
            </w:pPr>
            <w:r w:rsidRPr="00923237">
              <w:rPr>
                <w:rFonts w:cstheme="minorHAnsi"/>
                <w:sz w:val="20"/>
                <w:szCs w:val="20"/>
              </w:rPr>
              <w:t>FIN experience</w:t>
            </w:r>
          </w:p>
        </w:tc>
        <w:tc>
          <w:tcPr>
            <w:tcW w:w="890" w:type="pct"/>
            <w:hideMark/>
          </w:tcPr>
          <w:p w14:paraId="7F7D18A2" w14:textId="77777777" w:rsidR="00A4606E" w:rsidRPr="00923237" w:rsidRDefault="00A4606E" w:rsidP="00695609">
            <w:pPr>
              <w:pStyle w:val="NoSpacing"/>
              <w:rPr>
                <w:rFonts w:cstheme="minorHAnsi"/>
                <w:sz w:val="20"/>
                <w:szCs w:val="20"/>
              </w:rPr>
            </w:pPr>
          </w:p>
        </w:tc>
        <w:tc>
          <w:tcPr>
            <w:tcW w:w="533" w:type="pct"/>
            <w:hideMark/>
          </w:tcPr>
          <w:p w14:paraId="7D26FCA7" w14:textId="77777777" w:rsidR="00A4606E" w:rsidRPr="00923237" w:rsidRDefault="00A4606E" w:rsidP="00695609">
            <w:pPr>
              <w:pStyle w:val="NoSpacing"/>
              <w:rPr>
                <w:rFonts w:cstheme="minorHAnsi"/>
                <w:sz w:val="20"/>
                <w:szCs w:val="20"/>
              </w:rPr>
            </w:pPr>
            <w:r w:rsidRPr="00923237">
              <w:rPr>
                <w:rFonts w:cstheme="minorHAnsi"/>
                <w:sz w:val="20"/>
                <w:szCs w:val="20"/>
              </w:rPr>
              <w:t>0.9491</w:t>
            </w:r>
          </w:p>
        </w:tc>
        <w:tc>
          <w:tcPr>
            <w:tcW w:w="483" w:type="pct"/>
            <w:hideMark/>
          </w:tcPr>
          <w:p w14:paraId="5BB791F8" w14:textId="77777777" w:rsidR="00A4606E" w:rsidRPr="00923237" w:rsidRDefault="00A4606E" w:rsidP="00695609">
            <w:pPr>
              <w:pStyle w:val="NoSpacing"/>
              <w:rPr>
                <w:rFonts w:cstheme="minorHAnsi"/>
                <w:sz w:val="20"/>
                <w:szCs w:val="20"/>
              </w:rPr>
            </w:pPr>
          </w:p>
        </w:tc>
        <w:tc>
          <w:tcPr>
            <w:tcW w:w="533" w:type="pct"/>
            <w:hideMark/>
          </w:tcPr>
          <w:p w14:paraId="2C67C850" w14:textId="77777777" w:rsidR="00A4606E" w:rsidRPr="00923237" w:rsidRDefault="00A4606E" w:rsidP="00695609">
            <w:pPr>
              <w:pStyle w:val="NoSpacing"/>
              <w:rPr>
                <w:rFonts w:cstheme="minorHAnsi"/>
                <w:sz w:val="20"/>
                <w:szCs w:val="20"/>
              </w:rPr>
            </w:pPr>
            <w:r w:rsidRPr="00923237">
              <w:rPr>
                <w:rFonts w:cstheme="minorHAnsi"/>
                <w:sz w:val="20"/>
                <w:szCs w:val="20"/>
              </w:rPr>
              <w:t>0.7496</w:t>
            </w:r>
          </w:p>
        </w:tc>
        <w:tc>
          <w:tcPr>
            <w:tcW w:w="1021" w:type="pct"/>
            <w:hideMark/>
          </w:tcPr>
          <w:p w14:paraId="247C6A26" w14:textId="77777777" w:rsidR="00A4606E" w:rsidRPr="00923237" w:rsidRDefault="00A4606E" w:rsidP="00695609">
            <w:pPr>
              <w:pStyle w:val="NoSpacing"/>
              <w:rPr>
                <w:rFonts w:cstheme="minorHAnsi"/>
                <w:sz w:val="20"/>
                <w:szCs w:val="20"/>
              </w:rPr>
            </w:pPr>
            <w:r w:rsidRPr="00923237">
              <w:rPr>
                <w:rFonts w:cstheme="minorHAnsi"/>
                <w:sz w:val="20"/>
                <w:szCs w:val="20"/>
              </w:rPr>
              <w:t>−2.0579</w:t>
            </w:r>
          </w:p>
        </w:tc>
        <w:tc>
          <w:tcPr>
            <w:tcW w:w="583" w:type="pct"/>
            <w:hideMark/>
          </w:tcPr>
          <w:p w14:paraId="5400F96A" w14:textId="77777777" w:rsidR="00A4606E" w:rsidRPr="00923237" w:rsidRDefault="00A4606E" w:rsidP="00695609">
            <w:pPr>
              <w:pStyle w:val="NoSpacing"/>
              <w:rPr>
                <w:rFonts w:cstheme="minorHAnsi"/>
                <w:sz w:val="20"/>
                <w:szCs w:val="20"/>
              </w:rPr>
            </w:pPr>
            <w:r w:rsidRPr="00923237">
              <w:rPr>
                <w:rFonts w:cstheme="minorHAnsi"/>
                <w:sz w:val="20"/>
                <w:szCs w:val="20"/>
              </w:rPr>
              <w:t>−2.1744</w:t>
            </w:r>
          </w:p>
        </w:tc>
      </w:tr>
      <w:tr w:rsidR="00A4606E" w:rsidRPr="00923237" w14:paraId="0FC70DA0" w14:textId="77777777" w:rsidTr="006F5E3B">
        <w:tc>
          <w:tcPr>
            <w:tcW w:w="957" w:type="pct"/>
            <w:hideMark/>
          </w:tcPr>
          <w:p w14:paraId="2A9265F2" w14:textId="77777777" w:rsidR="00A4606E" w:rsidRPr="00923237" w:rsidRDefault="00A4606E" w:rsidP="00695609">
            <w:pPr>
              <w:pStyle w:val="NoSpacing"/>
              <w:rPr>
                <w:rFonts w:cstheme="minorHAnsi"/>
                <w:sz w:val="20"/>
                <w:szCs w:val="20"/>
              </w:rPr>
            </w:pPr>
          </w:p>
        </w:tc>
        <w:tc>
          <w:tcPr>
            <w:tcW w:w="890" w:type="pct"/>
            <w:hideMark/>
          </w:tcPr>
          <w:p w14:paraId="4D5DD113" w14:textId="77777777" w:rsidR="00A4606E" w:rsidRPr="00923237" w:rsidRDefault="00A4606E" w:rsidP="00695609">
            <w:pPr>
              <w:pStyle w:val="NoSpacing"/>
              <w:rPr>
                <w:rFonts w:cstheme="minorHAnsi"/>
                <w:sz w:val="20"/>
                <w:szCs w:val="20"/>
              </w:rPr>
            </w:pPr>
          </w:p>
        </w:tc>
        <w:tc>
          <w:tcPr>
            <w:tcW w:w="533" w:type="pct"/>
            <w:hideMark/>
          </w:tcPr>
          <w:p w14:paraId="232AAFC7" w14:textId="77777777" w:rsidR="00A4606E" w:rsidRPr="00923237" w:rsidRDefault="00A4606E" w:rsidP="00695609">
            <w:pPr>
              <w:pStyle w:val="NoSpacing"/>
              <w:rPr>
                <w:rFonts w:cstheme="minorHAnsi"/>
                <w:sz w:val="20"/>
                <w:szCs w:val="20"/>
              </w:rPr>
            </w:pPr>
            <w:r w:rsidRPr="00923237">
              <w:rPr>
                <w:rFonts w:cstheme="minorHAnsi"/>
                <w:sz w:val="20"/>
                <w:szCs w:val="20"/>
              </w:rPr>
              <w:t>[0.32]</w:t>
            </w:r>
          </w:p>
        </w:tc>
        <w:tc>
          <w:tcPr>
            <w:tcW w:w="483" w:type="pct"/>
            <w:hideMark/>
          </w:tcPr>
          <w:p w14:paraId="37A63205" w14:textId="77777777" w:rsidR="00A4606E" w:rsidRPr="00923237" w:rsidRDefault="00A4606E" w:rsidP="00695609">
            <w:pPr>
              <w:pStyle w:val="NoSpacing"/>
              <w:rPr>
                <w:rFonts w:cstheme="minorHAnsi"/>
                <w:sz w:val="20"/>
                <w:szCs w:val="20"/>
              </w:rPr>
            </w:pPr>
          </w:p>
        </w:tc>
        <w:tc>
          <w:tcPr>
            <w:tcW w:w="533" w:type="pct"/>
            <w:hideMark/>
          </w:tcPr>
          <w:p w14:paraId="7DD9C3A7" w14:textId="77777777" w:rsidR="00A4606E" w:rsidRPr="00923237" w:rsidRDefault="00A4606E" w:rsidP="00695609">
            <w:pPr>
              <w:pStyle w:val="NoSpacing"/>
              <w:rPr>
                <w:rFonts w:cstheme="minorHAnsi"/>
                <w:sz w:val="20"/>
                <w:szCs w:val="20"/>
              </w:rPr>
            </w:pPr>
            <w:r w:rsidRPr="00923237">
              <w:rPr>
                <w:rFonts w:cstheme="minorHAnsi"/>
                <w:sz w:val="20"/>
                <w:szCs w:val="20"/>
              </w:rPr>
              <w:t>[0.442]</w:t>
            </w:r>
          </w:p>
        </w:tc>
        <w:tc>
          <w:tcPr>
            <w:tcW w:w="1021" w:type="pct"/>
            <w:hideMark/>
          </w:tcPr>
          <w:p w14:paraId="2633D5B4" w14:textId="77777777" w:rsidR="00A4606E" w:rsidRPr="00923237" w:rsidRDefault="00A4606E" w:rsidP="00695609">
            <w:pPr>
              <w:pStyle w:val="NoSpacing"/>
              <w:rPr>
                <w:rFonts w:cstheme="minorHAnsi"/>
                <w:sz w:val="20"/>
                <w:szCs w:val="20"/>
              </w:rPr>
            </w:pPr>
            <w:r w:rsidRPr="00923237">
              <w:rPr>
                <w:rFonts w:cstheme="minorHAnsi"/>
                <w:sz w:val="20"/>
                <w:szCs w:val="20"/>
              </w:rPr>
              <w:t>[0.147]</w:t>
            </w:r>
          </w:p>
        </w:tc>
        <w:tc>
          <w:tcPr>
            <w:tcW w:w="583" w:type="pct"/>
            <w:hideMark/>
          </w:tcPr>
          <w:p w14:paraId="2D9A33EE" w14:textId="77777777" w:rsidR="00A4606E" w:rsidRPr="00923237" w:rsidRDefault="00A4606E" w:rsidP="00695609">
            <w:pPr>
              <w:pStyle w:val="NoSpacing"/>
              <w:rPr>
                <w:rFonts w:cstheme="minorHAnsi"/>
                <w:sz w:val="20"/>
                <w:szCs w:val="20"/>
              </w:rPr>
            </w:pPr>
            <w:r w:rsidRPr="00923237">
              <w:rPr>
                <w:rFonts w:cstheme="minorHAnsi"/>
                <w:sz w:val="20"/>
                <w:szCs w:val="20"/>
              </w:rPr>
              <w:t>[0.132]</w:t>
            </w:r>
          </w:p>
        </w:tc>
      </w:tr>
      <w:tr w:rsidR="00A4606E" w:rsidRPr="00923237" w14:paraId="09B3D329" w14:textId="77777777" w:rsidTr="006F5E3B">
        <w:tc>
          <w:tcPr>
            <w:tcW w:w="957" w:type="pct"/>
            <w:hideMark/>
          </w:tcPr>
          <w:p w14:paraId="626276A2" w14:textId="77777777" w:rsidR="00A4606E" w:rsidRPr="00923237" w:rsidRDefault="00A4606E" w:rsidP="00695609">
            <w:pPr>
              <w:pStyle w:val="NoSpacing"/>
              <w:rPr>
                <w:rFonts w:cstheme="minorHAnsi"/>
                <w:sz w:val="20"/>
                <w:szCs w:val="20"/>
              </w:rPr>
            </w:pPr>
            <w:r w:rsidRPr="00923237">
              <w:rPr>
                <w:rFonts w:cstheme="minorHAnsi"/>
                <w:sz w:val="20"/>
                <w:szCs w:val="20"/>
              </w:rPr>
              <w:t>RE experience</w:t>
            </w:r>
          </w:p>
        </w:tc>
        <w:tc>
          <w:tcPr>
            <w:tcW w:w="890" w:type="pct"/>
            <w:hideMark/>
          </w:tcPr>
          <w:p w14:paraId="766E17F0" w14:textId="77777777" w:rsidR="00A4606E" w:rsidRPr="00923237" w:rsidRDefault="00A4606E" w:rsidP="00695609">
            <w:pPr>
              <w:pStyle w:val="NoSpacing"/>
              <w:rPr>
                <w:rFonts w:cstheme="minorHAnsi"/>
                <w:sz w:val="20"/>
                <w:szCs w:val="20"/>
              </w:rPr>
            </w:pPr>
          </w:p>
        </w:tc>
        <w:tc>
          <w:tcPr>
            <w:tcW w:w="533" w:type="pct"/>
            <w:hideMark/>
          </w:tcPr>
          <w:p w14:paraId="78995263" w14:textId="77777777" w:rsidR="00A4606E" w:rsidRPr="00923237" w:rsidRDefault="00A4606E" w:rsidP="00695609">
            <w:pPr>
              <w:pStyle w:val="NoSpacing"/>
              <w:rPr>
                <w:rFonts w:cstheme="minorHAnsi"/>
                <w:sz w:val="20"/>
                <w:szCs w:val="20"/>
              </w:rPr>
            </w:pPr>
            <w:r w:rsidRPr="00923237">
              <w:rPr>
                <w:rFonts w:cstheme="minorHAnsi"/>
                <w:sz w:val="20"/>
                <w:szCs w:val="20"/>
              </w:rPr>
              <w:t>−0.2084</w:t>
            </w:r>
          </w:p>
        </w:tc>
        <w:tc>
          <w:tcPr>
            <w:tcW w:w="483" w:type="pct"/>
            <w:hideMark/>
          </w:tcPr>
          <w:p w14:paraId="2CFA9814" w14:textId="77777777" w:rsidR="00A4606E" w:rsidRPr="00923237" w:rsidRDefault="00A4606E" w:rsidP="00695609">
            <w:pPr>
              <w:pStyle w:val="NoSpacing"/>
              <w:rPr>
                <w:rFonts w:cstheme="minorHAnsi"/>
                <w:sz w:val="20"/>
                <w:szCs w:val="20"/>
              </w:rPr>
            </w:pPr>
          </w:p>
        </w:tc>
        <w:tc>
          <w:tcPr>
            <w:tcW w:w="533" w:type="pct"/>
            <w:hideMark/>
          </w:tcPr>
          <w:p w14:paraId="24A8F156" w14:textId="77777777" w:rsidR="00A4606E" w:rsidRPr="00923237" w:rsidRDefault="00A4606E" w:rsidP="00695609">
            <w:pPr>
              <w:pStyle w:val="NoSpacing"/>
              <w:rPr>
                <w:rFonts w:cstheme="minorHAnsi"/>
                <w:sz w:val="20"/>
                <w:szCs w:val="20"/>
              </w:rPr>
            </w:pPr>
            <w:r w:rsidRPr="00923237">
              <w:rPr>
                <w:rFonts w:cstheme="minorHAnsi"/>
                <w:sz w:val="20"/>
                <w:szCs w:val="20"/>
              </w:rPr>
              <w:t>−0.2773</w:t>
            </w:r>
          </w:p>
        </w:tc>
        <w:tc>
          <w:tcPr>
            <w:tcW w:w="1021" w:type="pct"/>
            <w:hideMark/>
          </w:tcPr>
          <w:p w14:paraId="003F4152" w14:textId="77777777" w:rsidR="00A4606E" w:rsidRPr="00923237" w:rsidRDefault="00A4606E" w:rsidP="00695609">
            <w:pPr>
              <w:pStyle w:val="NoSpacing"/>
              <w:rPr>
                <w:rFonts w:cstheme="minorHAnsi"/>
                <w:sz w:val="20"/>
                <w:szCs w:val="20"/>
              </w:rPr>
            </w:pPr>
            <w:r w:rsidRPr="00923237">
              <w:rPr>
                <w:rFonts w:cstheme="minorHAnsi"/>
                <w:sz w:val="20"/>
                <w:szCs w:val="20"/>
              </w:rPr>
              <w:t>−0.5846</w:t>
            </w:r>
          </w:p>
        </w:tc>
        <w:tc>
          <w:tcPr>
            <w:tcW w:w="583" w:type="pct"/>
            <w:hideMark/>
          </w:tcPr>
          <w:p w14:paraId="15B9886F" w14:textId="77777777" w:rsidR="00A4606E" w:rsidRPr="00923237" w:rsidRDefault="00A4606E" w:rsidP="00695609">
            <w:pPr>
              <w:pStyle w:val="NoSpacing"/>
              <w:rPr>
                <w:rFonts w:cstheme="minorHAnsi"/>
                <w:sz w:val="20"/>
                <w:szCs w:val="20"/>
              </w:rPr>
            </w:pPr>
            <w:r w:rsidRPr="00923237">
              <w:rPr>
                <w:rFonts w:cstheme="minorHAnsi"/>
                <w:sz w:val="20"/>
                <w:szCs w:val="20"/>
              </w:rPr>
              <w:t>−0.4741</w:t>
            </w:r>
          </w:p>
        </w:tc>
      </w:tr>
      <w:tr w:rsidR="00A4606E" w:rsidRPr="00923237" w14:paraId="3848AF5B" w14:textId="77777777" w:rsidTr="006F5E3B">
        <w:tc>
          <w:tcPr>
            <w:tcW w:w="957" w:type="pct"/>
            <w:hideMark/>
          </w:tcPr>
          <w:p w14:paraId="52B87CA7" w14:textId="77777777" w:rsidR="00A4606E" w:rsidRPr="00923237" w:rsidRDefault="00A4606E" w:rsidP="00695609">
            <w:pPr>
              <w:pStyle w:val="NoSpacing"/>
              <w:rPr>
                <w:rFonts w:cstheme="minorHAnsi"/>
                <w:sz w:val="20"/>
                <w:szCs w:val="20"/>
              </w:rPr>
            </w:pPr>
          </w:p>
        </w:tc>
        <w:tc>
          <w:tcPr>
            <w:tcW w:w="890" w:type="pct"/>
            <w:hideMark/>
          </w:tcPr>
          <w:p w14:paraId="0A92FDE0" w14:textId="77777777" w:rsidR="00A4606E" w:rsidRPr="00923237" w:rsidRDefault="00A4606E" w:rsidP="00695609">
            <w:pPr>
              <w:pStyle w:val="NoSpacing"/>
              <w:rPr>
                <w:rFonts w:cstheme="minorHAnsi"/>
                <w:sz w:val="20"/>
                <w:szCs w:val="20"/>
              </w:rPr>
            </w:pPr>
          </w:p>
        </w:tc>
        <w:tc>
          <w:tcPr>
            <w:tcW w:w="533" w:type="pct"/>
            <w:hideMark/>
          </w:tcPr>
          <w:p w14:paraId="442232F2" w14:textId="77777777" w:rsidR="00A4606E" w:rsidRPr="00923237" w:rsidRDefault="00A4606E" w:rsidP="00695609">
            <w:pPr>
              <w:pStyle w:val="NoSpacing"/>
              <w:rPr>
                <w:rFonts w:cstheme="minorHAnsi"/>
                <w:sz w:val="20"/>
                <w:szCs w:val="20"/>
              </w:rPr>
            </w:pPr>
            <w:r w:rsidRPr="00923237">
              <w:rPr>
                <w:rFonts w:cstheme="minorHAnsi"/>
                <w:sz w:val="20"/>
                <w:szCs w:val="20"/>
              </w:rPr>
              <w:t>[0.792]</w:t>
            </w:r>
          </w:p>
        </w:tc>
        <w:tc>
          <w:tcPr>
            <w:tcW w:w="483" w:type="pct"/>
            <w:hideMark/>
          </w:tcPr>
          <w:p w14:paraId="6F094D12" w14:textId="77777777" w:rsidR="00A4606E" w:rsidRPr="00923237" w:rsidRDefault="00A4606E" w:rsidP="00695609">
            <w:pPr>
              <w:pStyle w:val="NoSpacing"/>
              <w:rPr>
                <w:rFonts w:cstheme="minorHAnsi"/>
                <w:sz w:val="20"/>
                <w:szCs w:val="20"/>
              </w:rPr>
            </w:pPr>
          </w:p>
        </w:tc>
        <w:tc>
          <w:tcPr>
            <w:tcW w:w="533" w:type="pct"/>
            <w:hideMark/>
          </w:tcPr>
          <w:p w14:paraId="52DE9F9A" w14:textId="77777777" w:rsidR="00A4606E" w:rsidRPr="00923237" w:rsidRDefault="00A4606E" w:rsidP="00695609">
            <w:pPr>
              <w:pStyle w:val="NoSpacing"/>
              <w:rPr>
                <w:rFonts w:cstheme="minorHAnsi"/>
                <w:sz w:val="20"/>
                <w:szCs w:val="20"/>
              </w:rPr>
            </w:pPr>
            <w:r w:rsidRPr="00923237">
              <w:rPr>
                <w:rFonts w:cstheme="minorHAnsi"/>
                <w:sz w:val="20"/>
                <w:szCs w:val="20"/>
              </w:rPr>
              <w:t>[0.729]</w:t>
            </w:r>
          </w:p>
        </w:tc>
        <w:tc>
          <w:tcPr>
            <w:tcW w:w="1021" w:type="pct"/>
            <w:hideMark/>
          </w:tcPr>
          <w:p w14:paraId="419DBEB9" w14:textId="77777777" w:rsidR="00A4606E" w:rsidRPr="00923237" w:rsidRDefault="00A4606E" w:rsidP="00695609">
            <w:pPr>
              <w:pStyle w:val="NoSpacing"/>
              <w:rPr>
                <w:rFonts w:cstheme="minorHAnsi"/>
                <w:sz w:val="20"/>
                <w:szCs w:val="20"/>
              </w:rPr>
            </w:pPr>
            <w:r w:rsidRPr="00923237">
              <w:rPr>
                <w:rFonts w:cstheme="minorHAnsi"/>
                <w:sz w:val="20"/>
                <w:szCs w:val="20"/>
              </w:rPr>
              <w:t>[0.613]</w:t>
            </w:r>
          </w:p>
        </w:tc>
        <w:tc>
          <w:tcPr>
            <w:tcW w:w="583" w:type="pct"/>
            <w:hideMark/>
          </w:tcPr>
          <w:p w14:paraId="5BAA88A3" w14:textId="77777777" w:rsidR="00A4606E" w:rsidRPr="00923237" w:rsidRDefault="00A4606E" w:rsidP="00695609">
            <w:pPr>
              <w:pStyle w:val="NoSpacing"/>
              <w:rPr>
                <w:rFonts w:cstheme="minorHAnsi"/>
                <w:sz w:val="20"/>
                <w:szCs w:val="20"/>
              </w:rPr>
            </w:pPr>
            <w:r w:rsidRPr="00923237">
              <w:rPr>
                <w:rFonts w:cstheme="minorHAnsi"/>
                <w:sz w:val="20"/>
                <w:szCs w:val="20"/>
              </w:rPr>
              <w:t>[0.688]</w:t>
            </w:r>
          </w:p>
        </w:tc>
      </w:tr>
      <w:tr w:rsidR="00A4606E" w:rsidRPr="00923237" w14:paraId="16C6436C" w14:textId="77777777" w:rsidTr="006F5E3B">
        <w:tc>
          <w:tcPr>
            <w:tcW w:w="957" w:type="pct"/>
            <w:hideMark/>
          </w:tcPr>
          <w:p w14:paraId="577BFD3D" w14:textId="77777777" w:rsidR="00A4606E" w:rsidRPr="00923237" w:rsidRDefault="00A4606E" w:rsidP="00695609">
            <w:pPr>
              <w:pStyle w:val="NoSpacing"/>
              <w:rPr>
                <w:rFonts w:cstheme="minorHAnsi"/>
                <w:sz w:val="20"/>
                <w:szCs w:val="20"/>
              </w:rPr>
            </w:pPr>
            <w:r w:rsidRPr="00923237">
              <w:rPr>
                <w:rFonts w:cstheme="minorHAnsi"/>
                <w:sz w:val="20"/>
                <w:szCs w:val="20"/>
              </w:rPr>
              <w:t>REIT types</w:t>
            </w:r>
          </w:p>
        </w:tc>
        <w:tc>
          <w:tcPr>
            <w:tcW w:w="890" w:type="pct"/>
            <w:hideMark/>
          </w:tcPr>
          <w:p w14:paraId="4AAEFC6E" w14:textId="77777777" w:rsidR="00A4606E" w:rsidRPr="00923237" w:rsidRDefault="00A4606E" w:rsidP="00695609">
            <w:pPr>
              <w:pStyle w:val="NoSpacing"/>
              <w:rPr>
                <w:rFonts w:cstheme="minorHAnsi"/>
                <w:sz w:val="20"/>
                <w:szCs w:val="20"/>
              </w:rPr>
            </w:pPr>
            <w:r w:rsidRPr="00923237">
              <w:rPr>
                <w:rFonts w:cstheme="minorHAnsi"/>
                <w:sz w:val="20"/>
                <w:szCs w:val="20"/>
              </w:rPr>
              <w:t>Yes</w:t>
            </w:r>
          </w:p>
        </w:tc>
        <w:tc>
          <w:tcPr>
            <w:tcW w:w="533" w:type="pct"/>
            <w:hideMark/>
          </w:tcPr>
          <w:p w14:paraId="3616D7B0" w14:textId="77777777" w:rsidR="00A4606E" w:rsidRPr="00923237" w:rsidRDefault="00A4606E" w:rsidP="00695609">
            <w:pPr>
              <w:pStyle w:val="NoSpacing"/>
              <w:rPr>
                <w:rFonts w:cstheme="minorHAnsi"/>
                <w:sz w:val="20"/>
                <w:szCs w:val="20"/>
              </w:rPr>
            </w:pPr>
            <w:r w:rsidRPr="00923237">
              <w:rPr>
                <w:rFonts w:cstheme="minorHAnsi"/>
                <w:sz w:val="20"/>
                <w:szCs w:val="20"/>
              </w:rPr>
              <w:t>Yes</w:t>
            </w:r>
          </w:p>
        </w:tc>
        <w:tc>
          <w:tcPr>
            <w:tcW w:w="483" w:type="pct"/>
            <w:hideMark/>
          </w:tcPr>
          <w:p w14:paraId="255D389B" w14:textId="77777777" w:rsidR="00A4606E" w:rsidRPr="00923237" w:rsidRDefault="00A4606E" w:rsidP="00695609">
            <w:pPr>
              <w:pStyle w:val="NoSpacing"/>
              <w:rPr>
                <w:rFonts w:cstheme="minorHAnsi"/>
                <w:sz w:val="20"/>
                <w:szCs w:val="20"/>
              </w:rPr>
            </w:pPr>
            <w:r w:rsidRPr="00923237">
              <w:rPr>
                <w:rFonts w:cstheme="minorHAnsi"/>
                <w:sz w:val="20"/>
                <w:szCs w:val="20"/>
              </w:rPr>
              <w:t>Yes</w:t>
            </w:r>
          </w:p>
        </w:tc>
        <w:tc>
          <w:tcPr>
            <w:tcW w:w="533" w:type="pct"/>
            <w:hideMark/>
          </w:tcPr>
          <w:p w14:paraId="04515898" w14:textId="77777777" w:rsidR="00A4606E" w:rsidRPr="00923237" w:rsidRDefault="00A4606E" w:rsidP="00695609">
            <w:pPr>
              <w:pStyle w:val="NoSpacing"/>
              <w:rPr>
                <w:rFonts w:cstheme="minorHAnsi"/>
                <w:sz w:val="20"/>
                <w:szCs w:val="20"/>
              </w:rPr>
            </w:pPr>
            <w:r w:rsidRPr="00923237">
              <w:rPr>
                <w:rFonts w:cstheme="minorHAnsi"/>
                <w:sz w:val="20"/>
                <w:szCs w:val="20"/>
              </w:rPr>
              <w:t>Yes</w:t>
            </w:r>
          </w:p>
        </w:tc>
        <w:tc>
          <w:tcPr>
            <w:tcW w:w="1021" w:type="pct"/>
            <w:hideMark/>
          </w:tcPr>
          <w:p w14:paraId="3FC0813B" w14:textId="77777777" w:rsidR="00A4606E" w:rsidRPr="00923237" w:rsidRDefault="00A4606E" w:rsidP="00695609">
            <w:pPr>
              <w:pStyle w:val="NoSpacing"/>
              <w:rPr>
                <w:rFonts w:cstheme="minorHAnsi"/>
                <w:sz w:val="20"/>
                <w:szCs w:val="20"/>
              </w:rPr>
            </w:pPr>
            <w:r w:rsidRPr="00923237">
              <w:rPr>
                <w:rFonts w:cstheme="minorHAnsi"/>
                <w:sz w:val="20"/>
                <w:szCs w:val="20"/>
              </w:rPr>
              <w:t>Yes</w:t>
            </w:r>
          </w:p>
        </w:tc>
        <w:tc>
          <w:tcPr>
            <w:tcW w:w="583" w:type="pct"/>
            <w:hideMark/>
          </w:tcPr>
          <w:p w14:paraId="572A8F3F" w14:textId="77777777" w:rsidR="00A4606E" w:rsidRPr="00923237" w:rsidRDefault="00A4606E" w:rsidP="00695609">
            <w:pPr>
              <w:pStyle w:val="NoSpacing"/>
              <w:rPr>
                <w:rFonts w:cstheme="minorHAnsi"/>
                <w:sz w:val="20"/>
                <w:szCs w:val="20"/>
              </w:rPr>
            </w:pPr>
            <w:r w:rsidRPr="00923237">
              <w:rPr>
                <w:rFonts w:cstheme="minorHAnsi"/>
                <w:sz w:val="20"/>
                <w:szCs w:val="20"/>
              </w:rPr>
              <w:t>Yes</w:t>
            </w:r>
          </w:p>
        </w:tc>
      </w:tr>
      <w:tr w:rsidR="00A4606E" w:rsidRPr="00923237" w14:paraId="189792D2" w14:textId="77777777" w:rsidTr="006F5E3B">
        <w:tc>
          <w:tcPr>
            <w:tcW w:w="957" w:type="pct"/>
            <w:hideMark/>
          </w:tcPr>
          <w:p w14:paraId="4F15506A" w14:textId="77777777" w:rsidR="00A4606E" w:rsidRPr="00923237" w:rsidRDefault="00A4606E" w:rsidP="00695609">
            <w:pPr>
              <w:pStyle w:val="NoSpacing"/>
              <w:rPr>
                <w:rFonts w:cstheme="minorHAnsi"/>
                <w:sz w:val="20"/>
                <w:szCs w:val="20"/>
              </w:rPr>
            </w:pPr>
            <w:r w:rsidRPr="00923237">
              <w:rPr>
                <w:rFonts w:cstheme="minorHAnsi"/>
                <w:sz w:val="20"/>
                <w:szCs w:val="20"/>
              </w:rPr>
              <w:t xml:space="preserve">Num of </w:t>
            </w:r>
            <w:proofErr w:type="spellStart"/>
            <w:r w:rsidRPr="00923237">
              <w:rPr>
                <w:rFonts w:cstheme="minorHAnsi"/>
                <w:sz w:val="20"/>
                <w:szCs w:val="20"/>
              </w:rPr>
              <w:t>obs</w:t>
            </w:r>
            <w:proofErr w:type="spellEnd"/>
          </w:p>
        </w:tc>
        <w:tc>
          <w:tcPr>
            <w:tcW w:w="890" w:type="pct"/>
            <w:hideMark/>
          </w:tcPr>
          <w:p w14:paraId="7FBAC59A" w14:textId="77777777" w:rsidR="00A4606E" w:rsidRPr="00923237" w:rsidRDefault="00A4606E" w:rsidP="00695609">
            <w:pPr>
              <w:pStyle w:val="NoSpacing"/>
              <w:rPr>
                <w:rFonts w:cstheme="minorHAnsi"/>
                <w:sz w:val="20"/>
                <w:szCs w:val="20"/>
              </w:rPr>
            </w:pPr>
            <w:r w:rsidRPr="00923237">
              <w:rPr>
                <w:rFonts w:cstheme="minorHAnsi"/>
                <w:sz w:val="20"/>
                <w:szCs w:val="20"/>
              </w:rPr>
              <w:t>92</w:t>
            </w:r>
          </w:p>
        </w:tc>
        <w:tc>
          <w:tcPr>
            <w:tcW w:w="533" w:type="pct"/>
            <w:hideMark/>
          </w:tcPr>
          <w:p w14:paraId="3B3B8FA5" w14:textId="77777777" w:rsidR="00A4606E" w:rsidRPr="00923237" w:rsidRDefault="00A4606E" w:rsidP="00695609">
            <w:pPr>
              <w:pStyle w:val="NoSpacing"/>
              <w:rPr>
                <w:rFonts w:cstheme="minorHAnsi"/>
                <w:sz w:val="20"/>
                <w:szCs w:val="20"/>
              </w:rPr>
            </w:pPr>
            <w:r w:rsidRPr="00923237">
              <w:rPr>
                <w:rFonts w:cstheme="minorHAnsi"/>
                <w:sz w:val="20"/>
                <w:szCs w:val="20"/>
              </w:rPr>
              <w:t>91</w:t>
            </w:r>
          </w:p>
        </w:tc>
        <w:tc>
          <w:tcPr>
            <w:tcW w:w="483" w:type="pct"/>
            <w:hideMark/>
          </w:tcPr>
          <w:p w14:paraId="77027997" w14:textId="77777777" w:rsidR="00A4606E" w:rsidRPr="00923237" w:rsidRDefault="00A4606E" w:rsidP="00695609">
            <w:pPr>
              <w:pStyle w:val="NoSpacing"/>
              <w:rPr>
                <w:rFonts w:cstheme="minorHAnsi"/>
                <w:sz w:val="20"/>
                <w:szCs w:val="20"/>
              </w:rPr>
            </w:pPr>
            <w:r w:rsidRPr="00923237">
              <w:rPr>
                <w:rFonts w:cstheme="minorHAnsi"/>
                <w:sz w:val="20"/>
                <w:szCs w:val="20"/>
              </w:rPr>
              <w:t>92</w:t>
            </w:r>
          </w:p>
        </w:tc>
        <w:tc>
          <w:tcPr>
            <w:tcW w:w="533" w:type="pct"/>
            <w:hideMark/>
          </w:tcPr>
          <w:p w14:paraId="34FF8F17" w14:textId="77777777" w:rsidR="00A4606E" w:rsidRPr="00923237" w:rsidRDefault="00A4606E" w:rsidP="00695609">
            <w:pPr>
              <w:pStyle w:val="NoSpacing"/>
              <w:rPr>
                <w:rFonts w:cstheme="minorHAnsi"/>
                <w:sz w:val="20"/>
                <w:szCs w:val="20"/>
              </w:rPr>
            </w:pPr>
            <w:r w:rsidRPr="00923237">
              <w:rPr>
                <w:rFonts w:cstheme="minorHAnsi"/>
                <w:sz w:val="20"/>
                <w:szCs w:val="20"/>
              </w:rPr>
              <w:t>91</w:t>
            </w:r>
          </w:p>
        </w:tc>
        <w:tc>
          <w:tcPr>
            <w:tcW w:w="1021" w:type="pct"/>
            <w:hideMark/>
          </w:tcPr>
          <w:p w14:paraId="4B213B4C" w14:textId="77777777" w:rsidR="00A4606E" w:rsidRPr="00923237" w:rsidRDefault="00A4606E" w:rsidP="00695609">
            <w:pPr>
              <w:pStyle w:val="NoSpacing"/>
              <w:rPr>
                <w:rFonts w:cstheme="minorHAnsi"/>
                <w:sz w:val="20"/>
                <w:szCs w:val="20"/>
              </w:rPr>
            </w:pPr>
            <w:r w:rsidRPr="00923237">
              <w:rPr>
                <w:rFonts w:cstheme="minorHAnsi"/>
                <w:sz w:val="20"/>
                <w:szCs w:val="20"/>
              </w:rPr>
              <w:t>91</w:t>
            </w:r>
          </w:p>
        </w:tc>
        <w:tc>
          <w:tcPr>
            <w:tcW w:w="583" w:type="pct"/>
            <w:hideMark/>
          </w:tcPr>
          <w:p w14:paraId="54ECB98F" w14:textId="77777777" w:rsidR="00A4606E" w:rsidRPr="00923237" w:rsidRDefault="00A4606E" w:rsidP="00695609">
            <w:pPr>
              <w:pStyle w:val="NoSpacing"/>
              <w:rPr>
                <w:rFonts w:cstheme="minorHAnsi"/>
                <w:sz w:val="20"/>
                <w:szCs w:val="20"/>
              </w:rPr>
            </w:pPr>
            <w:r w:rsidRPr="00923237">
              <w:rPr>
                <w:rFonts w:cstheme="minorHAnsi"/>
                <w:sz w:val="20"/>
                <w:szCs w:val="20"/>
              </w:rPr>
              <w:t>91</w:t>
            </w:r>
          </w:p>
        </w:tc>
      </w:tr>
      <w:tr w:rsidR="00A4606E" w:rsidRPr="00923237" w14:paraId="09849807" w14:textId="77777777" w:rsidTr="006F5E3B">
        <w:tc>
          <w:tcPr>
            <w:tcW w:w="957" w:type="pct"/>
            <w:hideMark/>
          </w:tcPr>
          <w:p w14:paraId="09E83D09" w14:textId="77777777" w:rsidR="00A4606E" w:rsidRPr="00923237" w:rsidRDefault="00A4606E" w:rsidP="00695609">
            <w:pPr>
              <w:pStyle w:val="NoSpacing"/>
              <w:rPr>
                <w:rFonts w:cstheme="minorHAnsi"/>
                <w:sz w:val="20"/>
                <w:szCs w:val="20"/>
              </w:rPr>
            </w:pPr>
            <w:r w:rsidRPr="00923237">
              <w:rPr>
                <w:rFonts w:cstheme="minorHAnsi"/>
                <w:sz w:val="20"/>
                <w:szCs w:val="20"/>
              </w:rPr>
              <w:t>R-square</w:t>
            </w:r>
          </w:p>
        </w:tc>
        <w:tc>
          <w:tcPr>
            <w:tcW w:w="890" w:type="pct"/>
            <w:hideMark/>
          </w:tcPr>
          <w:p w14:paraId="2D7A4555" w14:textId="77777777" w:rsidR="00A4606E" w:rsidRPr="00923237" w:rsidRDefault="00A4606E" w:rsidP="00695609">
            <w:pPr>
              <w:pStyle w:val="NoSpacing"/>
              <w:rPr>
                <w:rFonts w:cstheme="minorHAnsi"/>
                <w:sz w:val="20"/>
                <w:szCs w:val="20"/>
              </w:rPr>
            </w:pPr>
            <w:r w:rsidRPr="00923237">
              <w:rPr>
                <w:rFonts w:cstheme="minorHAnsi"/>
                <w:sz w:val="20"/>
                <w:szCs w:val="20"/>
              </w:rPr>
              <w:t>0.1877</w:t>
            </w:r>
          </w:p>
        </w:tc>
        <w:tc>
          <w:tcPr>
            <w:tcW w:w="533" w:type="pct"/>
            <w:hideMark/>
          </w:tcPr>
          <w:p w14:paraId="46C29729" w14:textId="77777777" w:rsidR="00A4606E" w:rsidRPr="00923237" w:rsidRDefault="00A4606E" w:rsidP="00695609">
            <w:pPr>
              <w:pStyle w:val="NoSpacing"/>
              <w:rPr>
                <w:rFonts w:cstheme="minorHAnsi"/>
                <w:sz w:val="20"/>
                <w:szCs w:val="20"/>
              </w:rPr>
            </w:pPr>
            <w:r w:rsidRPr="00923237">
              <w:rPr>
                <w:rFonts w:cstheme="minorHAnsi"/>
                <w:sz w:val="20"/>
                <w:szCs w:val="20"/>
              </w:rPr>
              <w:t>0.2939</w:t>
            </w:r>
          </w:p>
        </w:tc>
        <w:tc>
          <w:tcPr>
            <w:tcW w:w="483" w:type="pct"/>
            <w:hideMark/>
          </w:tcPr>
          <w:p w14:paraId="322DCC19" w14:textId="77777777" w:rsidR="00A4606E" w:rsidRPr="00923237" w:rsidRDefault="00A4606E" w:rsidP="00695609">
            <w:pPr>
              <w:pStyle w:val="NoSpacing"/>
              <w:rPr>
                <w:rFonts w:cstheme="minorHAnsi"/>
                <w:sz w:val="20"/>
                <w:szCs w:val="20"/>
              </w:rPr>
            </w:pPr>
            <w:r w:rsidRPr="00923237">
              <w:rPr>
                <w:rFonts w:cstheme="minorHAnsi"/>
                <w:sz w:val="20"/>
                <w:szCs w:val="20"/>
              </w:rPr>
              <w:t>0.2000</w:t>
            </w:r>
          </w:p>
        </w:tc>
        <w:tc>
          <w:tcPr>
            <w:tcW w:w="533" w:type="pct"/>
            <w:hideMark/>
          </w:tcPr>
          <w:p w14:paraId="21FBAA82" w14:textId="77777777" w:rsidR="00A4606E" w:rsidRPr="00923237" w:rsidRDefault="00A4606E" w:rsidP="00695609">
            <w:pPr>
              <w:pStyle w:val="NoSpacing"/>
              <w:rPr>
                <w:rFonts w:cstheme="minorHAnsi"/>
                <w:sz w:val="20"/>
                <w:szCs w:val="20"/>
              </w:rPr>
            </w:pPr>
            <w:r w:rsidRPr="00923237">
              <w:rPr>
                <w:rFonts w:cstheme="minorHAnsi"/>
                <w:sz w:val="20"/>
                <w:szCs w:val="20"/>
              </w:rPr>
              <w:t>0.2906</w:t>
            </w:r>
          </w:p>
        </w:tc>
        <w:tc>
          <w:tcPr>
            <w:tcW w:w="1021" w:type="pct"/>
            <w:hideMark/>
          </w:tcPr>
          <w:p w14:paraId="4EC90562" w14:textId="77777777" w:rsidR="00A4606E" w:rsidRPr="00923237" w:rsidRDefault="00A4606E" w:rsidP="00695609">
            <w:pPr>
              <w:pStyle w:val="NoSpacing"/>
              <w:rPr>
                <w:rFonts w:cstheme="minorHAnsi"/>
                <w:sz w:val="20"/>
                <w:szCs w:val="20"/>
              </w:rPr>
            </w:pPr>
            <w:r w:rsidRPr="00923237">
              <w:rPr>
                <w:rFonts w:cstheme="minorHAnsi"/>
                <w:sz w:val="20"/>
                <w:szCs w:val="20"/>
              </w:rPr>
              <w:t>0.2201</w:t>
            </w:r>
          </w:p>
        </w:tc>
        <w:tc>
          <w:tcPr>
            <w:tcW w:w="583" w:type="pct"/>
            <w:hideMark/>
          </w:tcPr>
          <w:p w14:paraId="10E0575F" w14:textId="77777777" w:rsidR="00A4606E" w:rsidRPr="00923237" w:rsidRDefault="00A4606E" w:rsidP="00695609">
            <w:pPr>
              <w:pStyle w:val="NoSpacing"/>
              <w:rPr>
                <w:rFonts w:cstheme="minorHAnsi"/>
                <w:sz w:val="20"/>
                <w:szCs w:val="20"/>
              </w:rPr>
            </w:pPr>
            <w:r w:rsidRPr="00923237">
              <w:rPr>
                <w:rFonts w:cstheme="minorHAnsi"/>
                <w:sz w:val="20"/>
                <w:szCs w:val="20"/>
              </w:rPr>
              <w:t>0.2012</w:t>
            </w:r>
          </w:p>
        </w:tc>
      </w:tr>
    </w:tbl>
    <w:p w14:paraId="3EC90714" w14:textId="77777777" w:rsidR="00A4606E" w:rsidRPr="00923237" w:rsidRDefault="00A4606E" w:rsidP="00695609">
      <w:pPr>
        <w:rPr>
          <w:rFonts w:cstheme="minorHAnsi"/>
        </w:rPr>
      </w:pPr>
      <w:r w:rsidRPr="00923237">
        <w:rPr>
          <w:rFonts w:cstheme="minorHAnsi"/>
        </w:rPr>
        <w:t xml:space="preserve">Models 3 and 4 are </w:t>
      </w:r>
      <w:proofErr w:type="gramStart"/>
      <w:r w:rsidRPr="00923237">
        <w:rPr>
          <w:rFonts w:cstheme="minorHAnsi"/>
        </w:rPr>
        <w:t>similar to</w:t>
      </w:r>
      <w:proofErr w:type="gramEnd"/>
      <w:r w:rsidRPr="00923237">
        <w:rPr>
          <w:rFonts w:cstheme="minorHAnsi"/>
        </w:rPr>
        <w:t xml:space="preserve"> Models 1 and 2 except that in place of </w:t>
      </w:r>
      <w:r w:rsidRPr="00923237">
        <w:rPr>
          <w:rStyle w:val="Emphasis"/>
          <w:rFonts w:eastAsiaTheme="majorEastAsia" w:cstheme="minorHAnsi"/>
          <w:color w:val="2E2E2E"/>
          <w:sz w:val="27"/>
          <w:szCs w:val="27"/>
        </w:rPr>
        <w:t>Market Leverage</w:t>
      </w:r>
      <w:r w:rsidRPr="00923237">
        <w:rPr>
          <w:rFonts w:cstheme="minorHAnsi"/>
        </w:rPr>
        <w:t>, we use an indicator variable (</w:t>
      </w:r>
      <w:r w:rsidRPr="00923237">
        <w:rPr>
          <w:rStyle w:val="Emphasis"/>
          <w:rFonts w:eastAsiaTheme="majorEastAsia" w:cstheme="minorHAnsi"/>
          <w:color w:val="2E2E2E"/>
          <w:sz w:val="27"/>
          <w:szCs w:val="27"/>
        </w:rPr>
        <w:t>High Leverage</w:t>
      </w:r>
      <w:r w:rsidRPr="00923237">
        <w:rPr>
          <w:rFonts w:cstheme="minorHAnsi"/>
        </w:rPr>
        <w:t xml:space="preserve">) to capture highly levered firms, specifically, those whose market leverage is in the top quartile. The rationale is that firms with higher leverage will be affected more during the financial crisis than other firms, and thus the demand for board monitoring and advising will be higher. Models 5 and 6 are </w:t>
      </w:r>
      <w:proofErr w:type="gramStart"/>
      <w:r w:rsidRPr="00923237">
        <w:rPr>
          <w:rFonts w:cstheme="minorHAnsi"/>
        </w:rPr>
        <w:t>similar to</w:t>
      </w:r>
      <w:proofErr w:type="gramEnd"/>
      <w:r w:rsidRPr="00923237">
        <w:rPr>
          <w:rFonts w:cstheme="minorHAnsi"/>
        </w:rPr>
        <w:t xml:space="preserve"> Models 2 and 4, respectively, except that the dependent variable is </w:t>
      </w:r>
      <w:r w:rsidRPr="00923237">
        <w:rPr>
          <w:rStyle w:val="Emphasis"/>
          <w:rFonts w:eastAsiaTheme="majorEastAsia" w:cstheme="minorHAnsi"/>
          <w:color w:val="2E2E2E"/>
          <w:sz w:val="27"/>
          <w:szCs w:val="27"/>
        </w:rPr>
        <w:t>Abnormal Committee Meetings</w:t>
      </w:r>
      <w:r w:rsidRPr="00923237">
        <w:rPr>
          <w:rFonts w:cstheme="minorHAnsi"/>
        </w:rPr>
        <w:t>. All models include indicator variables for different REIT types. For this and subsequent tests, we standardize all continuous variables so that they have zero mean and unit variance. Thus, the coefficient estimates reported correspond to a one </w:t>
      </w:r>
      <w:hyperlink r:id="rId118" w:tooltip="Learn more about Measure of Dispersion from ScienceDirect's AI-generated Topic Pages" w:history="1">
        <w:r w:rsidRPr="00923237">
          <w:rPr>
            <w:rStyle w:val="Hyperlink"/>
            <w:rFonts w:eastAsiaTheme="majorEastAsia" w:cstheme="minorHAnsi"/>
            <w:color w:val="0C7DBB"/>
            <w:sz w:val="27"/>
            <w:szCs w:val="27"/>
          </w:rPr>
          <w:t>standard deviation</w:t>
        </w:r>
      </w:hyperlink>
      <w:r w:rsidRPr="00923237">
        <w:rPr>
          <w:rFonts w:cstheme="minorHAnsi"/>
        </w:rPr>
        <w:t> change in the continuous explanatory variables, or a change from zero to one for indicator variables.</w:t>
      </w:r>
    </w:p>
    <w:p w14:paraId="41216F7E" w14:textId="77777777" w:rsidR="00A4606E" w:rsidRPr="00923237" w:rsidRDefault="00A4606E" w:rsidP="00695609">
      <w:pPr>
        <w:rPr>
          <w:rFonts w:cstheme="minorHAnsi"/>
        </w:rPr>
      </w:pPr>
      <w:r w:rsidRPr="00923237">
        <w:rPr>
          <w:rFonts w:cstheme="minorHAnsi"/>
        </w:rPr>
        <w:t>In </w:t>
      </w:r>
      <w:hyperlink r:id="rId119" w:anchor="t0020" w:history="1">
        <w:r w:rsidRPr="00923237">
          <w:rPr>
            <w:rStyle w:val="Hyperlink"/>
            <w:rFonts w:eastAsiaTheme="majorEastAsia" w:cstheme="minorHAnsi"/>
            <w:color w:val="0C7DBB"/>
            <w:sz w:val="27"/>
            <w:szCs w:val="27"/>
          </w:rPr>
          <w:t>Table 4</w:t>
        </w:r>
      </w:hyperlink>
      <w:r w:rsidRPr="00923237">
        <w:rPr>
          <w:rFonts w:cstheme="minorHAnsi"/>
        </w:rPr>
        <w:t> Models 1 and 2 we find that, consistent with our hypothesis, </w:t>
      </w:r>
      <w:r w:rsidRPr="00923237">
        <w:rPr>
          <w:rStyle w:val="Emphasis"/>
          <w:rFonts w:eastAsiaTheme="majorEastAsia" w:cstheme="minorHAnsi"/>
          <w:color w:val="2E2E2E"/>
          <w:sz w:val="27"/>
          <w:szCs w:val="27"/>
        </w:rPr>
        <w:t>Market Leverage</w:t>
      </w:r>
      <w:r w:rsidRPr="00923237">
        <w:rPr>
          <w:rFonts w:cstheme="minorHAnsi"/>
        </w:rPr>
        <w:t> is positively associated with board activity during the financial crisis. In terms of economic magnitude, a one-standard-deviation increase in leverage is associated with approximately two additional board meetings. This is not only statistically significant, but also economically meaningful given the unconditional number of board meetings is eight. In addition, in Model 2, </w:t>
      </w:r>
      <w:r w:rsidRPr="00923237">
        <w:rPr>
          <w:rStyle w:val="Emphasis"/>
          <w:rFonts w:eastAsiaTheme="majorEastAsia" w:cstheme="minorHAnsi"/>
          <w:color w:val="2E2E2E"/>
          <w:sz w:val="27"/>
          <w:szCs w:val="27"/>
        </w:rPr>
        <w:t>Board Size</w:t>
      </w:r>
      <w:r w:rsidRPr="00923237">
        <w:rPr>
          <w:rFonts w:cstheme="minorHAnsi"/>
        </w:rPr>
        <w:t> and </w:t>
      </w:r>
      <w:r w:rsidRPr="00923237">
        <w:rPr>
          <w:rStyle w:val="Emphasis"/>
          <w:rFonts w:eastAsiaTheme="majorEastAsia" w:cstheme="minorHAnsi"/>
          <w:color w:val="2E2E2E"/>
          <w:sz w:val="27"/>
          <w:szCs w:val="27"/>
        </w:rPr>
        <w:t>Board Independence</w:t>
      </w:r>
      <w:r w:rsidRPr="00923237">
        <w:rPr>
          <w:rFonts w:cstheme="minorHAnsi"/>
        </w:rPr>
        <w:t> are both negatively associated with abnormal board meetings. This finding is consistent with the argument that it is harder to coordinate larger boards and those with more non-employee directors thus these firms have fewer excess meetings. However, neither experience variables (</w:t>
      </w:r>
      <w:r w:rsidRPr="00923237">
        <w:rPr>
          <w:rStyle w:val="Emphasis"/>
          <w:rFonts w:eastAsiaTheme="majorEastAsia" w:cstheme="minorHAnsi"/>
          <w:color w:val="2E2E2E"/>
          <w:sz w:val="27"/>
          <w:szCs w:val="27"/>
        </w:rPr>
        <w:t>FIN Experience</w:t>
      </w:r>
      <w:r w:rsidRPr="00923237">
        <w:rPr>
          <w:rFonts w:cstheme="minorHAnsi"/>
        </w:rPr>
        <w:t> and </w:t>
      </w:r>
      <w:r w:rsidRPr="00923237">
        <w:rPr>
          <w:rStyle w:val="Emphasis"/>
          <w:rFonts w:eastAsiaTheme="majorEastAsia" w:cstheme="minorHAnsi"/>
          <w:color w:val="2E2E2E"/>
          <w:sz w:val="27"/>
          <w:szCs w:val="27"/>
        </w:rPr>
        <w:t>RE Experience</w:t>
      </w:r>
      <w:r w:rsidRPr="00923237">
        <w:rPr>
          <w:rFonts w:cstheme="minorHAnsi"/>
        </w:rPr>
        <w:t>) are significantly associated with excess director activity. When we use the indicator variable </w:t>
      </w:r>
      <w:r w:rsidRPr="00923237">
        <w:rPr>
          <w:rStyle w:val="Emphasis"/>
          <w:rFonts w:eastAsiaTheme="majorEastAsia" w:cstheme="minorHAnsi"/>
          <w:color w:val="2E2E2E"/>
          <w:sz w:val="27"/>
          <w:szCs w:val="27"/>
        </w:rPr>
        <w:t>High Leverage</w:t>
      </w:r>
      <w:r w:rsidRPr="00923237">
        <w:rPr>
          <w:rFonts w:cstheme="minorHAnsi"/>
        </w:rPr>
        <w:t>, we see that firms with leverage in the top quartile have three additional meetings compared to other firms. This is statistically significant at 4% and 11% levels (Models 3 and 4, respectively). These findings are consistent with the univariate results and with our hypothesis that during the crisis, boards of highly levered firms increase their activity to meet the increased demand for monitoring and advising.</w:t>
      </w:r>
    </w:p>
    <w:p w14:paraId="3ABF1DD3" w14:textId="77777777" w:rsidR="00A4606E" w:rsidRPr="00923237" w:rsidRDefault="00A4606E" w:rsidP="00695609">
      <w:pPr>
        <w:rPr>
          <w:rFonts w:cstheme="minorHAnsi"/>
        </w:rPr>
      </w:pPr>
      <w:proofErr w:type="gramStart"/>
      <w:r w:rsidRPr="00923237">
        <w:rPr>
          <w:rFonts w:cstheme="minorHAnsi"/>
        </w:rPr>
        <w:t>In an attempt to</w:t>
      </w:r>
      <w:proofErr w:type="gramEnd"/>
      <w:r w:rsidRPr="00923237">
        <w:rPr>
          <w:rFonts w:cstheme="minorHAnsi"/>
        </w:rPr>
        <w:t xml:space="preserve"> separate the monitoring and advising functions, in Panel B (Models 5 and 6) we focus on the activity of the three monitoring committees. Neither </w:t>
      </w:r>
      <w:r w:rsidRPr="00923237">
        <w:rPr>
          <w:rStyle w:val="Emphasis"/>
          <w:rFonts w:eastAsiaTheme="majorEastAsia" w:cstheme="minorHAnsi"/>
          <w:color w:val="2E2E2E"/>
          <w:sz w:val="27"/>
          <w:szCs w:val="27"/>
        </w:rPr>
        <w:t>Market Leverage</w:t>
      </w:r>
      <w:r w:rsidRPr="00923237">
        <w:rPr>
          <w:rFonts w:cstheme="minorHAnsi"/>
        </w:rPr>
        <w:t> nor </w:t>
      </w:r>
      <w:r w:rsidRPr="00923237">
        <w:rPr>
          <w:rStyle w:val="Emphasis"/>
          <w:rFonts w:eastAsiaTheme="majorEastAsia" w:cstheme="minorHAnsi"/>
          <w:color w:val="2E2E2E"/>
          <w:sz w:val="27"/>
          <w:szCs w:val="27"/>
        </w:rPr>
        <w:t>High Leverage</w:t>
      </w:r>
      <w:r w:rsidRPr="00923237">
        <w:rPr>
          <w:rFonts w:cstheme="minorHAnsi"/>
        </w:rPr>
        <w:t xml:space="preserve"> is significantly associated with abnormal monitoring committee meetings, suggesting that these key committees of highly levered firms did not increase their monitoring activity during the financial crisis more than other firms. Taken together with the results from Panel A, </w:t>
      </w:r>
      <w:proofErr w:type="gramStart"/>
      <w:r w:rsidRPr="00923237">
        <w:rPr>
          <w:rFonts w:cstheme="minorHAnsi"/>
        </w:rPr>
        <w:t>it would seem that during</w:t>
      </w:r>
      <w:proofErr w:type="gramEnd"/>
      <w:r w:rsidRPr="00923237">
        <w:rPr>
          <w:rFonts w:cstheme="minorHAnsi"/>
        </w:rPr>
        <w:t xml:space="preserve"> the financial crisis directors of high levered firms increased their activity via board meetings as a whole rather than via committee meetings.</w:t>
      </w:r>
    </w:p>
    <w:p w14:paraId="50E7F474" w14:textId="77777777" w:rsidR="00A4606E" w:rsidRPr="00923237" w:rsidRDefault="00A4606E" w:rsidP="00695609">
      <w:pPr>
        <w:rPr>
          <w:rFonts w:cstheme="minorHAnsi"/>
        </w:rPr>
      </w:pPr>
      <w:r w:rsidRPr="00923237">
        <w:rPr>
          <w:rFonts w:cstheme="minorHAnsi"/>
        </w:rPr>
        <w:t>Next, we examine the effect of leverage on </w:t>
      </w:r>
      <w:hyperlink r:id="rId120" w:tooltip="Learn more about Capital Market Returns from ScienceDirect's AI-generated Topic Pages" w:history="1">
        <w:r w:rsidRPr="00923237">
          <w:rPr>
            <w:rStyle w:val="Hyperlink"/>
            <w:rFonts w:eastAsiaTheme="majorEastAsia" w:cstheme="minorHAnsi"/>
            <w:color w:val="0C7DBB"/>
            <w:sz w:val="27"/>
            <w:szCs w:val="27"/>
          </w:rPr>
          <w:t>stock returns</w:t>
        </w:r>
      </w:hyperlink>
      <w:r w:rsidRPr="00923237">
        <w:rPr>
          <w:rFonts w:cstheme="minorHAnsi"/>
        </w:rPr>
        <w:t> from January 2007 to February 2009 (</w:t>
      </w:r>
      <w:r w:rsidRPr="00923237">
        <w:rPr>
          <w:rStyle w:val="Emphasis"/>
          <w:rFonts w:eastAsiaTheme="majorEastAsia" w:cstheme="minorHAnsi"/>
          <w:color w:val="2E2E2E"/>
          <w:sz w:val="27"/>
          <w:szCs w:val="27"/>
        </w:rPr>
        <w:t>Cumulative Return 2007</w:t>
      </w:r>
      <w:r w:rsidRPr="00923237">
        <w:rPr>
          <w:rFonts w:cstheme="minorHAnsi"/>
        </w:rPr>
        <w:t>–</w:t>
      </w:r>
      <w:r w:rsidRPr="00923237">
        <w:rPr>
          <w:rStyle w:val="Emphasis"/>
          <w:rFonts w:eastAsiaTheme="majorEastAsia" w:cstheme="minorHAnsi"/>
          <w:color w:val="2E2E2E"/>
          <w:sz w:val="27"/>
          <w:szCs w:val="27"/>
        </w:rPr>
        <w:t>2009</w:t>
      </w:r>
      <w:r w:rsidRPr="00923237">
        <w:rPr>
          <w:rFonts w:cstheme="minorHAnsi"/>
        </w:rPr>
        <w:t>). This captures the heart of the financial crisis period. Panel A report the results from OLS regression, of which Models 1 and 2 we use </w:t>
      </w:r>
      <w:r w:rsidRPr="00923237">
        <w:rPr>
          <w:rStyle w:val="Emphasis"/>
          <w:rFonts w:eastAsiaTheme="majorEastAsia" w:cstheme="minorHAnsi"/>
          <w:color w:val="2E2E2E"/>
          <w:sz w:val="27"/>
          <w:szCs w:val="27"/>
        </w:rPr>
        <w:t>Market Leverage</w:t>
      </w:r>
      <w:r w:rsidRPr="00923237">
        <w:rPr>
          <w:rFonts w:cstheme="minorHAnsi"/>
        </w:rPr>
        <w:t> while in Models 3 and 4 we use the </w:t>
      </w:r>
      <w:r w:rsidRPr="00923237">
        <w:rPr>
          <w:rStyle w:val="Emphasis"/>
          <w:rFonts w:eastAsiaTheme="majorEastAsia" w:cstheme="minorHAnsi"/>
          <w:color w:val="2E2E2E"/>
          <w:sz w:val="27"/>
          <w:szCs w:val="27"/>
        </w:rPr>
        <w:t>High Leverage</w:t>
      </w:r>
      <w:r w:rsidRPr="00923237">
        <w:rPr>
          <w:rFonts w:cstheme="minorHAnsi"/>
        </w:rPr>
        <w:t>. In Panel B, we include FIN &amp; RE experience-weighted abnormal board activity during the financial crisis, board size, and board independence. As noted in the previous section, a potential concern we face when examining the effect of governance on firm value is endogeneity (e.g. </w:t>
      </w:r>
      <w:proofErr w:type="spellStart"/>
      <w:r w:rsidR="00EB1576" w:rsidRPr="00923237">
        <w:fldChar w:fldCharType="begin"/>
      </w:r>
      <w:r w:rsidR="00EB1576" w:rsidRPr="00923237">
        <w:rPr>
          <w:rFonts w:cstheme="minorHAnsi"/>
        </w:rPr>
        <w:instrText xml:space="preserve"> HYPERLINK "https://0-www-sciencedirect-com.libus.csd.mu.edu/science/article/pii/S0929119917307344" \l "bb0165" </w:instrText>
      </w:r>
      <w:r w:rsidR="00EB1576" w:rsidRPr="00923237">
        <w:fldChar w:fldCharType="separate"/>
      </w:r>
      <w:r w:rsidRPr="00923237">
        <w:rPr>
          <w:rStyle w:val="Hyperlink"/>
          <w:rFonts w:eastAsiaTheme="majorEastAsia" w:cstheme="minorHAnsi"/>
          <w:color w:val="0C7DBB"/>
          <w:sz w:val="27"/>
          <w:szCs w:val="27"/>
        </w:rPr>
        <w:t>Hermalin</w:t>
      </w:r>
      <w:proofErr w:type="spellEnd"/>
      <w:r w:rsidRPr="00923237">
        <w:rPr>
          <w:rStyle w:val="Hyperlink"/>
          <w:rFonts w:eastAsiaTheme="majorEastAsia" w:cstheme="minorHAnsi"/>
          <w:color w:val="0C7DBB"/>
          <w:sz w:val="27"/>
          <w:szCs w:val="27"/>
        </w:rPr>
        <w:t xml:space="preserve"> and </w:t>
      </w:r>
      <w:proofErr w:type="spellStart"/>
      <w:r w:rsidRPr="00923237">
        <w:rPr>
          <w:rStyle w:val="Hyperlink"/>
          <w:rFonts w:eastAsiaTheme="majorEastAsia" w:cstheme="minorHAnsi"/>
          <w:color w:val="0C7DBB"/>
          <w:sz w:val="27"/>
          <w:szCs w:val="27"/>
        </w:rPr>
        <w:t>Weisbach</w:t>
      </w:r>
      <w:proofErr w:type="spellEnd"/>
      <w:r w:rsidRPr="00923237">
        <w:rPr>
          <w:rStyle w:val="Hyperlink"/>
          <w:rFonts w:eastAsiaTheme="majorEastAsia" w:cstheme="minorHAnsi"/>
          <w:color w:val="0C7DBB"/>
          <w:sz w:val="27"/>
          <w:szCs w:val="27"/>
        </w:rPr>
        <w:t xml:space="preserve"> (2003)</w:t>
      </w:r>
      <w:r w:rsidR="00EB1576" w:rsidRPr="00923237">
        <w:rPr>
          <w:rStyle w:val="Hyperlink"/>
          <w:rFonts w:eastAsiaTheme="majorEastAsia" w:cstheme="minorHAnsi"/>
          <w:color w:val="0C7DBB"/>
          <w:sz w:val="27"/>
          <w:szCs w:val="27"/>
        </w:rPr>
        <w:fldChar w:fldCharType="end"/>
      </w:r>
      <w:bookmarkEnd w:id="49"/>
      <w:r w:rsidRPr="00923237">
        <w:rPr>
          <w:rFonts w:cstheme="minorHAnsi"/>
        </w:rPr>
        <w:t> and </w:t>
      </w:r>
      <w:hyperlink r:id="rId121" w:anchor="bb0010" w:history="1">
        <w:r w:rsidRPr="00923237">
          <w:rPr>
            <w:rStyle w:val="Hyperlink"/>
            <w:rFonts w:eastAsiaTheme="majorEastAsia" w:cstheme="minorHAnsi"/>
            <w:color w:val="0C7DBB"/>
            <w:sz w:val="27"/>
            <w:szCs w:val="27"/>
          </w:rPr>
          <w:t>Adams et al. (2010)</w:t>
        </w:r>
      </w:hyperlink>
      <w:bookmarkEnd w:id="25"/>
      <w:r w:rsidRPr="00923237">
        <w:rPr>
          <w:rFonts w:cstheme="minorHAnsi"/>
        </w:rPr>
        <w:t>). Thus, we use two-stage OLS regression models to address the potential endogeneity between director activity and firm value. Following </w:t>
      </w:r>
      <w:hyperlink r:id="rId122" w:anchor="bb0225" w:history="1">
        <w:r w:rsidRPr="00923237">
          <w:rPr>
            <w:rStyle w:val="Hyperlink"/>
            <w:rFonts w:eastAsiaTheme="majorEastAsia" w:cstheme="minorHAnsi"/>
            <w:color w:val="0C7DBB"/>
            <w:sz w:val="27"/>
            <w:szCs w:val="27"/>
          </w:rPr>
          <w:t>Nguyen (2014)</w:t>
        </w:r>
      </w:hyperlink>
      <w:r w:rsidRPr="00923237">
        <w:rPr>
          <w:rFonts w:cstheme="minorHAnsi"/>
        </w:rPr>
        <w:t>, our </w:t>
      </w:r>
      <w:hyperlink r:id="rId123" w:tooltip="Learn more about Instrumental Variables from ScienceDirect's AI-generated Topic Pages" w:history="1">
        <w:r w:rsidRPr="00923237">
          <w:rPr>
            <w:rStyle w:val="Hyperlink"/>
            <w:rFonts w:eastAsiaTheme="majorEastAsia" w:cstheme="minorHAnsi"/>
            <w:color w:val="0C7DBB"/>
            <w:sz w:val="27"/>
            <w:szCs w:val="27"/>
          </w:rPr>
          <w:t>instrumental variable</w:t>
        </w:r>
      </w:hyperlink>
      <w:r w:rsidRPr="00923237">
        <w:rPr>
          <w:rFonts w:cstheme="minorHAnsi"/>
        </w:rPr>
        <w:t> in the first stage is the lagged median number of board (or committee) meetings by REIT property type. We report the coefficients from the second stage regressions (Models 5 to 8) in </w:t>
      </w:r>
      <w:bookmarkStart w:id="77" w:name="bt0025"/>
      <w:r w:rsidRPr="00923237">
        <w:rPr>
          <w:rFonts w:cstheme="minorHAnsi"/>
        </w:rPr>
        <w:fldChar w:fldCharType="begin"/>
      </w:r>
      <w:r w:rsidRPr="00923237">
        <w:rPr>
          <w:rFonts w:cstheme="minorHAnsi"/>
        </w:rPr>
        <w:instrText xml:space="preserve"> HYPERLINK "https://0-www-sciencedirect-com.libus.csd.mu.edu/science/article/pii/S0929119917307344" \l "t0025" </w:instrText>
      </w:r>
      <w:r w:rsidRPr="00923237">
        <w:rPr>
          <w:rFonts w:cstheme="minorHAnsi"/>
        </w:rPr>
        <w:fldChar w:fldCharType="separate"/>
      </w:r>
      <w:r w:rsidRPr="00923237">
        <w:rPr>
          <w:rStyle w:val="Hyperlink"/>
          <w:rFonts w:eastAsiaTheme="majorEastAsia" w:cstheme="minorHAnsi"/>
          <w:color w:val="0C7DBB"/>
          <w:sz w:val="27"/>
          <w:szCs w:val="27"/>
        </w:rPr>
        <w:t>Table 5</w:t>
      </w:r>
      <w:r w:rsidRPr="00923237">
        <w:rPr>
          <w:rFonts w:cstheme="minorHAnsi"/>
        </w:rPr>
        <w:fldChar w:fldCharType="end"/>
      </w:r>
      <w:r w:rsidRPr="00923237">
        <w:rPr>
          <w:rFonts w:cstheme="minorHAnsi"/>
        </w:rPr>
        <w:t>.</w:t>
      </w:r>
    </w:p>
    <w:p w14:paraId="0FC04A1D" w14:textId="77777777" w:rsidR="00AB2CF4" w:rsidRPr="00923237" w:rsidRDefault="00AB2CF4">
      <w:pPr>
        <w:rPr>
          <w:rStyle w:val="label"/>
          <w:rFonts w:cstheme="minorHAnsi"/>
          <w:color w:val="323232"/>
        </w:rPr>
      </w:pPr>
      <w:r w:rsidRPr="00923237">
        <w:rPr>
          <w:rStyle w:val="label"/>
          <w:rFonts w:cstheme="minorHAnsi"/>
          <w:color w:val="323232"/>
        </w:rPr>
        <w:br w:type="page"/>
      </w:r>
    </w:p>
    <w:p w14:paraId="029CFB06" w14:textId="77777777" w:rsidR="00AB2CF4" w:rsidRPr="00923237" w:rsidRDefault="00AB2CF4" w:rsidP="00695609">
      <w:pPr>
        <w:rPr>
          <w:rStyle w:val="label"/>
          <w:rFonts w:cstheme="minorHAnsi"/>
          <w:color w:val="323232"/>
        </w:rPr>
        <w:sectPr w:rsidR="00AB2CF4" w:rsidRPr="00923237" w:rsidSect="00261B5A">
          <w:pgSz w:w="12240" w:h="15840"/>
          <w:pgMar w:top="1080" w:right="1080" w:bottom="1080" w:left="1080" w:header="720" w:footer="720" w:gutter="0"/>
          <w:cols w:space="720"/>
          <w:docGrid w:linePitch="360"/>
        </w:sectPr>
      </w:pPr>
    </w:p>
    <w:p w14:paraId="6D99E6F2" w14:textId="5EE7EDDC" w:rsidR="00A4606E" w:rsidRPr="00923237" w:rsidRDefault="00A4606E" w:rsidP="00695609">
      <w:pPr>
        <w:rPr>
          <w:rFonts w:cstheme="minorHAnsi"/>
          <w:color w:val="323232"/>
        </w:rPr>
      </w:pPr>
      <w:r w:rsidRPr="00923237">
        <w:rPr>
          <w:rStyle w:val="label"/>
          <w:rFonts w:cstheme="minorHAnsi"/>
          <w:color w:val="323232"/>
        </w:rPr>
        <w:t>Table 5</w:t>
      </w:r>
      <w:r w:rsidRPr="00923237">
        <w:rPr>
          <w:rFonts w:cstheme="minorHAnsi"/>
          <w:color w:val="323232"/>
        </w:rPr>
        <w:t>. Director activities, </w:t>
      </w:r>
      <w:hyperlink r:id="rId124" w:tooltip="Learn more about Leverage from ScienceDirect's AI-generated Topic Pages" w:history="1">
        <w:r w:rsidRPr="00923237">
          <w:rPr>
            <w:rStyle w:val="Hyperlink"/>
            <w:rFonts w:eastAsiaTheme="majorEastAsia" w:cstheme="minorHAnsi"/>
            <w:color w:val="0C7DBB"/>
          </w:rPr>
          <w:t>leverage</w:t>
        </w:r>
      </w:hyperlink>
      <w:r w:rsidRPr="00923237">
        <w:rPr>
          <w:rFonts w:cstheme="minorHAnsi"/>
          <w:color w:val="323232"/>
        </w:rPr>
        <w:t> and firm performance during the </w:t>
      </w:r>
      <w:hyperlink r:id="rId125" w:tooltip="Learn more about Financial Crisis from ScienceDirect's AI-generated Topic Pages" w:history="1">
        <w:r w:rsidRPr="00923237">
          <w:rPr>
            <w:rStyle w:val="Hyperlink"/>
            <w:rFonts w:eastAsiaTheme="majorEastAsia" w:cstheme="minorHAnsi"/>
            <w:color w:val="0C7DBB"/>
          </w:rPr>
          <w:t>financial crisis</w:t>
        </w:r>
      </w:hyperlink>
      <w:r w:rsidRPr="00923237">
        <w:rPr>
          <w:rFonts w:cstheme="minorHAnsi"/>
          <w:color w:val="323232"/>
        </w:rPr>
        <w:t>.</w:t>
      </w:r>
    </w:p>
    <w:p w14:paraId="443DC5D4" w14:textId="77777777" w:rsidR="00A4606E" w:rsidRPr="00923237" w:rsidRDefault="00A4606E" w:rsidP="00F31DC2">
      <w:pPr>
        <w:ind w:left="720"/>
        <w:rPr>
          <w:rFonts w:cstheme="minorHAnsi"/>
          <w:color w:val="323232"/>
        </w:rPr>
      </w:pPr>
      <w:r w:rsidRPr="00923237">
        <w:rPr>
          <w:rFonts w:cstheme="minorHAnsi"/>
          <w:color w:val="323232"/>
        </w:rPr>
        <w:t>This table reports the association between board activity, leverage, and firm performance during the financial crisis. The dependent variable is cumulative monthly </w:t>
      </w:r>
      <w:hyperlink r:id="rId126" w:tooltip="Learn more about Capital Market Returns from ScienceDirect's AI-generated Topic Pages" w:history="1">
        <w:r w:rsidRPr="00923237">
          <w:rPr>
            <w:rStyle w:val="Hyperlink"/>
            <w:rFonts w:eastAsiaTheme="majorEastAsia" w:cstheme="minorHAnsi"/>
            <w:color w:val="0C7DBB"/>
          </w:rPr>
          <w:t>stock returns</w:t>
        </w:r>
      </w:hyperlink>
      <w:r w:rsidRPr="00923237">
        <w:rPr>
          <w:rFonts w:cstheme="minorHAnsi"/>
          <w:color w:val="323232"/>
        </w:rPr>
        <w:t> between January 2007 and February 2009 (</w:t>
      </w:r>
      <w:r w:rsidRPr="00923237">
        <w:rPr>
          <w:rStyle w:val="Emphasis"/>
          <w:rFonts w:eastAsiaTheme="majorEastAsia" w:cstheme="minorHAnsi"/>
          <w:color w:val="323232"/>
        </w:rPr>
        <w:t>Cumulative Return 2007</w:t>
      </w:r>
      <w:r w:rsidRPr="00923237">
        <w:rPr>
          <w:rFonts w:cstheme="minorHAnsi"/>
          <w:color w:val="323232"/>
        </w:rPr>
        <w:t>–</w:t>
      </w:r>
      <w:r w:rsidRPr="00923237">
        <w:rPr>
          <w:rStyle w:val="Emphasis"/>
          <w:rFonts w:eastAsiaTheme="majorEastAsia" w:cstheme="minorHAnsi"/>
          <w:color w:val="323232"/>
        </w:rPr>
        <w:t>2009</w:t>
      </w:r>
      <w:r w:rsidRPr="00923237">
        <w:rPr>
          <w:rFonts w:cstheme="minorHAnsi"/>
          <w:color w:val="323232"/>
        </w:rPr>
        <w:t>). </w:t>
      </w:r>
      <w:r w:rsidRPr="00923237">
        <w:rPr>
          <w:rStyle w:val="Emphasis"/>
          <w:rFonts w:eastAsiaTheme="majorEastAsia" w:cstheme="minorHAnsi"/>
          <w:color w:val="323232"/>
        </w:rPr>
        <w:t>Market Leverage</w:t>
      </w:r>
      <w:r w:rsidRPr="00923237">
        <w:rPr>
          <w:rFonts w:cstheme="minorHAnsi"/>
          <w:color w:val="323232"/>
        </w:rPr>
        <w:t> is defined as the ratio of total debt (the book value of debt due in one year plus long-term debt) to the market value of the firm (total debt plus book value of preferred stock plus market capitalization). </w:t>
      </w:r>
      <w:r w:rsidRPr="00923237">
        <w:rPr>
          <w:rStyle w:val="Emphasis"/>
          <w:rFonts w:eastAsiaTheme="majorEastAsia" w:cstheme="minorHAnsi"/>
          <w:color w:val="323232"/>
        </w:rPr>
        <w:t>High Leverage</w:t>
      </w:r>
      <w:r w:rsidRPr="00923237">
        <w:rPr>
          <w:rFonts w:cstheme="minorHAnsi"/>
          <w:color w:val="323232"/>
        </w:rPr>
        <w:t> is an indicator variable that equals one if the firm's leverage is in the top quartile and zero otherwise. </w:t>
      </w:r>
      <w:r w:rsidRPr="00923237">
        <w:rPr>
          <w:rStyle w:val="Emphasis"/>
          <w:rFonts w:eastAsiaTheme="majorEastAsia" w:cstheme="minorHAnsi"/>
          <w:color w:val="323232"/>
        </w:rPr>
        <w:t>Exp</w:t>
      </w:r>
      <w:r w:rsidRPr="00923237">
        <w:rPr>
          <w:rFonts w:cstheme="minorHAnsi"/>
          <w:color w:val="323232"/>
        </w:rPr>
        <w:t>. </w:t>
      </w:r>
      <w:r w:rsidRPr="00923237">
        <w:rPr>
          <w:rStyle w:val="Emphasis"/>
          <w:rFonts w:eastAsiaTheme="majorEastAsia" w:cstheme="minorHAnsi"/>
          <w:color w:val="323232"/>
        </w:rPr>
        <w:t>Weighted Abnormal Board Meetings</w:t>
      </w:r>
      <w:r w:rsidRPr="00923237">
        <w:rPr>
          <w:rFonts w:cstheme="minorHAnsi"/>
          <w:color w:val="323232"/>
        </w:rPr>
        <w:t> during the financial crisis is measured as the product of </w:t>
      </w:r>
      <w:r w:rsidRPr="00923237">
        <w:rPr>
          <w:rStyle w:val="Emphasis"/>
          <w:rFonts w:eastAsiaTheme="majorEastAsia" w:cstheme="minorHAnsi"/>
          <w:color w:val="323232"/>
        </w:rPr>
        <w:t>FIN</w:t>
      </w:r>
      <w:r w:rsidRPr="00923237">
        <w:rPr>
          <w:rFonts w:cstheme="minorHAnsi"/>
          <w:color w:val="323232"/>
        </w:rPr>
        <w:t>&amp; </w:t>
      </w:r>
      <w:r w:rsidRPr="00923237">
        <w:rPr>
          <w:rStyle w:val="Emphasis"/>
          <w:rFonts w:eastAsiaTheme="majorEastAsia" w:cstheme="minorHAnsi"/>
          <w:color w:val="323232"/>
        </w:rPr>
        <w:t>RE Experience</w:t>
      </w:r>
      <w:r w:rsidRPr="00923237">
        <w:rPr>
          <w:rFonts w:cstheme="minorHAnsi"/>
          <w:color w:val="323232"/>
        </w:rPr>
        <w:t> and </w:t>
      </w:r>
      <w:r w:rsidRPr="00923237">
        <w:rPr>
          <w:rStyle w:val="Emphasis"/>
          <w:rFonts w:eastAsiaTheme="majorEastAsia" w:cstheme="minorHAnsi"/>
          <w:color w:val="323232"/>
        </w:rPr>
        <w:t>Abnormal Board Meetings</w:t>
      </w:r>
      <w:r w:rsidRPr="00923237">
        <w:rPr>
          <w:rFonts w:cstheme="minorHAnsi"/>
          <w:color w:val="323232"/>
        </w:rPr>
        <w:t> during the financial crisis where </w:t>
      </w:r>
      <w:r w:rsidRPr="00923237">
        <w:rPr>
          <w:rStyle w:val="Emphasis"/>
          <w:rFonts w:eastAsiaTheme="majorEastAsia" w:cstheme="minorHAnsi"/>
          <w:color w:val="323232"/>
        </w:rPr>
        <w:t>FIN</w:t>
      </w:r>
      <w:r w:rsidRPr="00923237">
        <w:rPr>
          <w:rFonts w:cstheme="minorHAnsi"/>
          <w:color w:val="323232"/>
        </w:rPr>
        <w:t>&amp; </w:t>
      </w:r>
      <w:r w:rsidRPr="00923237">
        <w:rPr>
          <w:rStyle w:val="Emphasis"/>
          <w:rFonts w:eastAsiaTheme="majorEastAsia" w:cstheme="minorHAnsi"/>
          <w:color w:val="323232"/>
        </w:rPr>
        <w:t>RE Experience</w:t>
      </w:r>
      <w:r w:rsidRPr="00923237">
        <w:rPr>
          <w:rFonts w:cstheme="minorHAnsi"/>
          <w:color w:val="323232"/>
        </w:rPr>
        <w:t> is measured as the average across the whole board number of years of managerial experience in finance or real estate (see </w:t>
      </w:r>
      <w:hyperlink r:id="rId127" w:anchor="s0055" w:history="1">
        <w:r w:rsidRPr="00923237">
          <w:rPr>
            <w:rStyle w:val="Hyperlink"/>
            <w:rFonts w:eastAsiaTheme="majorEastAsia" w:cstheme="minorHAnsi"/>
            <w:color w:val="0C7DBB"/>
          </w:rPr>
          <w:t>Appendix 2</w:t>
        </w:r>
      </w:hyperlink>
      <w:r w:rsidRPr="00923237">
        <w:rPr>
          <w:rFonts w:cstheme="minorHAnsi"/>
          <w:color w:val="323232"/>
        </w:rPr>
        <w:t> for other variable definitions). Explanatory variables are measured at the end of 2006 and are standardized at the mean and have unit variance. Panel A reports the results from OLS regressions. Panel B reports the results from the second stage regressions. The </w:t>
      </w:r>
      <w:hyperlink r:id="rId128" w:tooltip="Learn more about Instrumental Variables from ScienceDirect's AI-generated Topic Pages" w:history="1">
        <w:r w:rsidRPr="00923237">
          <w:rPr>
            <w:rStyle w:val="Hyperlink"/>
            <w:rFonts w:eastAsiaTheme="majorEastAsia" w:cstheme="minorHAnsi"/>
            <w:color w:val="0C7DBB"/>
          </w:rPr>
          <w:t>instrumental variable</w:t>
        </w:r>
      </w:hyperlink>
      <w:r w:rsidRPr="00923237">
        <w:rPr>
          <w:rFonts w:cstheme="minorHAnsi"/>
          <w:color w:val="323232"/>
        </w:rPr>
        <w:t> used in the first stage is the lagged median property type number of board meetings. P-values are reported in brackets. *, **, and *** denote significance at the 10%, 5%, and 1% levels, respectively, in two-tailed tests.</w:t>
      </w:r>
    </w:p>
    <w:tbl>
      <w:tblPr>
        <w:tblStyle w:val="TableGrid"/>
        <w:tblW w:w="5000" w:type="pct"/>
        <w:tblLook w:val="04A0" w:firstRow="1" w:lastRow="0" w:firstColumn="1" w:lastColumn="0" w:noHBand="0" w:noVBand="1"/>
      </w:tblPr>
      <w:tblGrid>
        <w:gridCol w:w="4036"/>
        <w:gridCol w:w="1245"/>
        <w:gridCol w:w="1182"/>
        <w:gridCol w:w="1182"/>
        <w:gridCol w:w="1182"/>
        <w:gridCol w:w="1300"/>
        <w:gridCol w:w="1181"/>
        <w:gridCol w:w="1181"/>
        <w:gridCol w:w="1181"/>
      </w:tblGrid>
      <w:tr w:rsidR="00AB2CF4" w:rsidRPr="00923237" w14:paraId="1D5942E1" w14:textId="77777777" w:rsidTr="00AB2CF4">
        <w:tc>
          <w:tcPr>
            <w:tcW w:w="1475" w:type="pct"/>
            <w:hideMark/>
          </w:tcPr>
          <w:p w14:paraId="10DB2FDC" w14:textId="77777777" w:rsidR="00AB2CF4" w:rsidRPr="00923237" w:rsidRDefault="00AB2CF4" w:rsidP="00F31DC2">
            <w:pPr>
              <w:pStyle w:val="NoSpacing"/>
              <w:rPr>
                <w:rFonts w:cstheme="minorHAnsi"/>
                <w:sz w:val="20"/>
                <w:szCs w:val="20"/>
              </w:rPr>
            </w:pPr>
            <w:r w:rsidRPr="00923237">
              <w:rPr>
                <w:rFonts w:cstheme="minorHAnsi"/>
                <w:sz w:val="20"/>
                <w:szCs w:val="20"/>
              </w:rPr>
              <w:t>Variable</w:t>
            </w:r>
          </w:p>
        </w:tc>
        <w:tc>
          <w:tcPr>
            <w:tcW w:w="455" w:type="pct"/>
            <w:hideMark/>
          </w:tcPr>
          <w:p w14:paraId="78CECE58" w14:textId="77777777" w:rsidR="00AB2CF4" w:rsidRPr="00923237" w:rsidRDefault="00AB2CF4" w:rsidP="00F31DC2">
            <w:pPr>
              <w:pStyle w:val="NoSpacing"/>
              <w:rPr>
                <w:rFonts w:cstheme="minorHAnsi"/>
                <w:sz w:val="20"/>
                <w:szCs w:val="20"/>
              </w:rPr>
            </w:pPr>
            <w:r w:rsidRPr="00923237">
              <w:rPr>
                <w:rFonts w:cstheme="minorHAnsi"/>
                <w:sz w:val="20"/>
                <w:szCs w:val="20"/>
              </w:rPr>
              <w:t>Panel A: OLS</w:t>
            </w:r>
          </w:p>
        </w:tc>
        <w:tc>
          <w:tcPr>
            <w:tcW w:w="432" w:type="pct"/>
          </w:tcPr>
          <w:p w14:paraId="30CEFED4" w14:textId="77777777" w:rsidR="00AB2CF4" w:rsidRPr="00923237" w:rsidRDefault="00AB2CF4" w:rsidP="00F31DC2">
            <w:pPr>
              <w:pStyle w:val="NoSpacing"/>
              <w:rPr>
                <w:rFonts w:cstheme="minorHAnsi"/>
                <w:sz w:val="20"/>
                <w:szCs w:val="20"/>
              </w:rPr>
            </w:pPr>
          </w:p>
        </w:tc>
        <w:tc>
          <w:tcPr>
            <w:tcW w:w="432" w:type="pct"/>
          </w:tcPr>
          <w:p w14:paraId="1012E469" w14:textId="77777777" w:rsidR="00AB2CF4" w:rsidRPr="00923237" w:rsidRDefault="00AB2CF4" w:rsidP="00F31DC2">
            <w:pPr>
              <w:pStyle w:val="NoSpacing"/>
              <w:rPr>
                <w:rFonts w:cstheme="minorHAnsi"/>
                <w:sz w:val="20"/>
                <w:szCs w:val="20"/>
              </w:rPr>
            </w:pPr>
          </w:p>
        </w:tc>
        <w:tc>
          <w:tcPr>
            <w:tcW w:w="432" w:type="pct"/>
          </w:tcPr>
          <w:p w14:paraId="43C7B63B" w14:textId="39C294AF" w:rsidR="00AB2CF4" w:rsidRPr="00923237" w:rsidRDefault="00AB2CF4" w:rsidP="00F31DC2">
            <w:pPr>
              <w:pStyle w:val="NoSpacing"/>
              <w:rPr>
                <w:rFonts w:cstheme="minorHAnsi"/>
                <w:sz w:val="20"/>
                <w:szCs w:val="20"/>
              </w:rPr>
            </w:pPr>
          </w:p>
        </w:tc>
        <w:tc>
          <w:tcPr>
            <w:tcW w:w="475" w:type="pct"/>
            <w:hideMark/>
          </w:tcPr>
          <w:p w14:paraId="7DFB175D" w14:textId="77777777" w:rsidR="00AB2CF4" w:rsidRPr="00923237" w:rsidRDefault="00AB2CF4" w:rsidP="00F31DC2">
            <w:pPr>
              <w:pStyle w:val="NoSpacing"/>
              <w:rPr>
                <w:rFonts w:cstheme="minorHAnsi"/>
                <w:sz w:val="20"/>
                <w:szCs w:val="20"/>
              </w:rPr>
            </w:pPr>
            <w:r w:rsidRPr="00923237">
              <w:rPr>
                <w:rFonts w:cstheme="minorHAnsi"/>
                <w:sz w:val="20"/>
                <w:szCs w:val="20"/>
              </w:rPr>
              <w:t>Panel B: 2SLS</w:t>
            </w:r>
          </w:p>
        </w:tc>
        <w:tc>
          <w:tcPr>
            <w:tcW w:w="432" w:type="pct"/>
          </w:tcPr>
          <w:p w14:paraId="24BC50C2" w14:textId="77777777" w:rsidR="00AB2CF4" w:rsidRPr="00923237" w:rsidRDefault="00AB2CF4" w:rsidP="00F31DC2">
            <w:pPr>
              <w:pStyle w:val="NoSpacing"/>
              <w:rPr>
                <w:rFonts w:cstheme="minorHAnsi"/>
                <w:sz w:val="20"/>
                <w:szCs w:val="20"/>
              </w:rPr>
            </w:pPr>
          </w:p>
        </w:tc>
        <w:tc>
          <w:tcPr>
            <w:tcW w:w="432" w:type="pct"/>
          </w:tcPr>
          <w:p w14:paraId="6772F39F" w14:textId="77777777" w:rsidR="00AB2CF4" w:rsidRPr="00923237" w:rsidRDefault="00AB2CF4" w:rsidP="00F31DC2">
            <w:pPr>
              <w:pStyle w:val="NoSpacing"/>
              <w:rPr>
                <w:rFonts w:cstheme="minorHAnsi"/>
                <w:sz w:val="20"/>
                <w:szCs w:val="20"/>
              </w:rPr>
            </w:pPr>
          </w:p>
        </w:tc>
        <w:tc>
          <w:tcPr>
            <w:tcW w:w="432" w:type="pct"/>
          </w:tcPr>
          <w:p w14:paraId="5FA6CED2" w14:textId="3E3E7AD5" w:rsidR="00AB2CF4" w:rsidRPr="00923237" w:rsidRDefault="00AB2CF4" w:rsidP="00F31DC2">
            <w:pPr>
              <w:pStyle w:val="NoSpacing"/>
              <w:rPr>
                <w:rFonts w:cstheme="minorHAnsi"/>
                <w:sz w:val="20"/>
                <w:szCs w:val="20"/>
              </w:rPr>
            </w:pPr>
          </w:p>
        </w:tc>
      </w:tr>
      <w:tr w:rsidR="00AB2CF4" w:rsidRPr="00923237" w14:paraId="1C7F3291" w14:textId="77777777" w:rsidTr="00AB2CF4">
        <w:tc>
          <w:tcPr>
            <w:tcW w:w="1475" w:type="pct"/>
            <w:hideMark/>
          </w:tcPr>
          <w:p w14:paraId="04677D7F" w14:textId="77777777" w:rsidR="00AB2CF4" w:rsidRPr="00923237" w:rsidRDefault="00AB2CF4" w:rsidP="00F31DC2">
            <w:pPr>
              <w:pStyle w:val="NoSpacing"/>
              <w:rPr>
                <w:rFonts w:cstheme="minorHAnsi"/>
                <w:sz w:val="20"/>
                <w:szCs w:val="20"/>
              </w:rPr>
            </w:pPr>
          </w:p>
        </w:tc>
        <w:tc>
          <w:tcPr>
            <w:tcW w:w="455" w:type="pct"/>
            <w:hideMark/>
          </w:tcPr>
          <w:p w14:paraId="114616C1" w14:textId="77777777" w:rsidR="00AB2CF4" w:rsidRPr="00923237" w:rsidRDefault="00AB2CF4" w:rsidP="00F31DC2">
            <w:pPr>
              <w:pStyle w:val="NoSpacing"/>
              <w:rPr>
                <w:rFonts w:cstheme="minorHAnsi"/>
                <w:sz w:val="20"/>
                <w:szCs w:val="20"/>
              </w:rPr>
            </w:pPr>
            <w:r w:rsidRPr="00923237">
              <w:rPr>
                <w:rFonts w:cstheme="minorHAnsi"/>
                <w:sz w:val="20"/>
                <w:szCs w:val="20"/>
              </w:rPr>
              <w:t>Model 1</w:t>
            </w:r>
          </w:p>
        </w:tc>
        <w:tc>
          <w:tcPr>
            <w:tcW w:w="432" w:type="pct"/>
            <w:hideMark/>
          </w:tcPr>
          <w:p w14:paraId="48E3A4A2" w14:textId="77777777" w:rsidR="00AB2CF4" w:rsidRPr="00923237" w:rsidRDefault="00AB2CF4" w:rsidP="00F31DC2">
            <w:pPr>
              <w:pStyle w:val="NoSpacing"/>
              <w:rPr>
                <w:rFonts w:cstheme="minorHAnsi"/>
                <w:sz w:val="20"/>
                <w:szCs w:val="20"/>
              </w:rPr>
            </w:pPr>
            <w:r w:rsidRPr="00923237">
              <w:rPr>
                <w:rFonts w:cstheme="minorHAnsi"/>
                <w:sz w:val="20"/>
                <w:szCs w:val="20"/>
              </w:rPr>
              <w:t>Model 2</w:t>
            </w:r>
          </w:p>
        </w:tc>
        <w:tc>
          <w:tcPr>
            <w:tcW w:w="432" w:type="pct"/>
            <w:hideMark/>
          </w:tcPr>
          <w:p w14:paraId="602FAF5E" w14:textId="77777777" w:rsidR="00AB2CF4" w:rsidRPr="00923237" w:rsidRDefault="00AB2CF4" w:rsidP="00F31DC2">
            <w:pPr>
              <w:pStyle w:val="NoSpacing"/>
              <w:rPr>
                <w:rFonts w:cstheme="minorHAnsi"/>
                <w:sz w:val="20"/>
                <w:szCs w:val="20"/>
              </w:rPr>
            </w:pPr>
            <w:r w:rsidRPr="00923237">
              <w:rPr>
                <w:rFonts w:cstheme="minorHAnsi"/>
                <w:sz w:val="20"/>
                <w:szCs w:val="20"/>
              </w:rPr>
              <w:t>Model 3</w:t>
            </w:r>
          </w:p>
        </w:tc>
        <w:tc>
          <w:tcPr>
            <w:tcW w:w="432" w:type="pct"/>
            <w:hideMark/>
          </w:tcPr>
          <w:p w14:paraId="2067A528" w14:textId="77777777" w:rsidR="00AB2CF4" w:rsidRPr="00923237" w:rsidRDefault="00AB2CF4" w:rsidP="00F31DC2">
            <w:pPr>
              <w:pStyle w:val="NoSpacing"/>
              <w:rPr>
                <w:rFonts w:cstheme="minorHAnsi"/>
                <w:sz w:val="20"/>
                <w:szCs w:val="20"/>
              </w:rPr>
            </w:pPr>
            <w:r w:rsidRPr="00923237">
              <w:rPr>
                <w:rFonts w:cstheme="minorHAnsi"/>
                <w:sz w:val="20"/>
                <w:szCs w:val="20"/>
              </w:rPr>
              <w:t>Model 4</w:t>
            </w:r>
          </w:p>
        </w:tc>
        <w:tc>
          <w:tcPr>
            <w:tcW w:w="475" w:type="pct"/>
            <w:hideMark/>
          </w:tcPr>
          <w:p w14:paraId="4337BA9C" w14:textId="77777777" w:rsidR="00AB2CF4" w:rsidRPr="00923237" w:rsidRDefault="00AB2CF4" w:rsidP="00F31DC2">
            <w:pPr>
              <w:pStyle w:val="NoSpacing"/>
              <w:rPr>
                <w:rFonts w:cstheme="minorHAnsi"/>
                <w:sz w:val="20"/>
                <w:szCs w:val="20"/>
              </w:rPr>
            </w:pPr>
            <w:r w:rsidRPr="00923237">
              <w:rPr>
                <w:rFonts w:cstheme="minorHAnsi"/>
                <w:sz w:val="20"/>
                <w:szCs w:val="20"/>
              </w:rPr>
              <w:t>Model 5</w:t>
            </w:r>
          </w:p>
        </w:tc>
        <w:tc>
          <w:tcPr>
            <w:tcW w:w="432" w:type="pct"/>
            <w:hideMark/>
          </w:tcPr>
          <w:p w14:paraId="4BFECCA9" w14:textId="77777777" w:rsidR="00AB2CF4" w:rsidRPr="00923237" w:rsidRDefault="00AB2CF4" w:rsidP="00F31DC2">
            <w:pPr>
              <w:pStyle w:val="NoSpacing"/>
              <w:rPr>
                <w:rFonts w:cstheme="minorHAnsi"/>
                <w:sz w:val="20"/>
                <w:szCs w:val="20"/>
              </w:rPr>
            </w:pPr>
            <w:r w:rsidRPr="00923237">
              <w:rPr>
                <w:rFonts w:cstheme="minorHAnsi"/>
                <w:sz w:val="20"/>
                <w:szCs w:val="20"/>
              </w:rPr>
              <w:t>Model 6</w:t>
            </w:r>
          </w:p>
        </w:tc>
        <w:tc>
          <w:tcPr>
            <w:tcW w:w="432" w:type="pct"/>
            <w:hideMark/>
          </w:tcPr>
          <w:p w14:paraId="08FE4F02" w14:textId="77777777" w:rsidR="00AB2CF4" w:rsidRPr="00923237" w:rsidRDefault="00AB2CF4" w:rsidP="00F31DC2">
            <w:pPr>
              <w:pStyle w:val="NoSpacing"/>
              <w:rPr>
                <w:rFonts w:cstheme="minorHAnsi"/>
                <w:sz w:val="20"/>
                <w:szCs w:val="20"/>
              </w:rPr>
            </w:pPr>
            <w:r w:rsidRPr="00923237">
              <w:rPr>
                <w:rFonts w:cstheme="minorHAnsi"/>
                <w:sz w:val="20"/>
                <w:szCs w:val="20"/>
              </w:rPr>
              <w:t>Model 7</w:t>
            </w:r>
          </w:p>
        </w:tc>
        <w:tc>
          <w:tcPr>
            <w:tcW w:w="432" w:type="pct"/>
            <w:hideMark/>
          </w:tcPr>
          <w:p w14:paraId="1F29AA83" w14:textId="77777777" w:rsidR="00AB2CF4" w:rsidRPr="00923237" w:rsidRDefault="00AB2CF4" w:rsidP="00F31DC2">
            <w:pPr>
              <w:pStyle w:val="NoSpacing"/>
              <w:rPr>
                <w:rFonts w:cstheme="minorHAnsi"/>
                <w:sz w:val="20"/>
                <w:szCs w:val="20"/>
              </w:rPr>
            </w:pPr>
            <w:r w:rsidRPr="00923237">
              <w:rPr>
                <w:rFonts w:cstheme="minorHAnsi"/>
                <w:sz w:val="20"/>
                <w:szCs w:val="20"/>
              </w:rPr>
              <w:t>Model 8</w:t>
            </w:r>
          </w:p>
        </w:tc>
      </w:tr>
      <w:tr w:rsidR="00A4606E" w:rsidRPr="00923237" w14:paraId="3B5D7D10" w14:textId="77777777" w:rsidTr="00AB2CF4">
        <w:tc>
          <w:tcPr>
            <w:tcW w:w="1475" w:type="pct"/>
            <w:hideMark/>
          </w:tcPr>
          <w:p w14:paraId="56C3A962" w14:textId="77777777" w:rsidR="00A4606E" w:rsidRPr="00923237" w:rsidRDefault="00A4606E" w:rsidP="00F31DC2">
            <w:pPr>
              <w:pStyle w:val="NoSpacing"/>
              <w:rPr>
                <w:rFonts w:cstheme="minorHAnsi"/>
                <w:sz w:val="20"/>
                <w:szCs w:val="20"/>
              </w:rPr>
            </w:pPr>
            <w:r w:rsidRPr="00923237">
              <w:rPr>
                <w:rFonts w:cstheme="minorHAnsi"/>
                <w:sz w:val="20"/>
                <w:szCs w:val="20"/>
              </w:rPr>
              <w:t>Intercept</w:t>
            </w:r>
          </w:p>
        </w:tc>
        <w:tc>
          <w:tcPr>
            <w:tcW w:w="455" w:type="pct"/>
            <w:hideMark/>
          </w:tcPr>
          <w:p w14:paraId="2B460419" w14:textId="77777777" w:rsidR="00A4606E" w:rsidRPr="00923237" w:rsidRDefault="00A4606E" w:rsidP="00F31DC2">
            <w:pPr>
              <w:pStyle w:val="NoSpacing"/>
              <w:rPr>
                <w:rFonts w:cstheme="minorHAnsi"/>
                <w:sz w:val="20"/>
                <w:szCs w:val="20"/>
              </w:rPr>
            </w:pPr>
            <w:r w:rsidRPr="00923237">
              <w:rPr>
                <w:rFonts w:cstheme="minorHAnsi"/>
                <w:sz w:val="20"/>
                <w:szCs w:val="20"/>
              </w:rPr>
              <w:t>−0.6365***</w:t>
            </w:r>
          </w:p>
        </w:tc>
        <w:tc>
          <w:tcPr>
            <w:tcW w:w="432" w:type="pct"/>
            <w:hideMark/>
          </w:tcPr>
          <w:p w14:paraId="3817F159" w14:textId="77777777" w:rsidR="00A4606E" w:rsidRPr="00923237" w:rsidRDefault="00A4606E" w:rsidP="00F31DC2">
            <w:pPr>
              <w:pStyle w:val="NoSpacing"/>
              <w:rPr>
                <w:rFonts w:cstheme="minorHAnsi"/>
                <w:sz w:val="20"/>
                <w:szCs w:val="20"/>
              </w:rPr>
            </w:pPr>
            <w:r w:rsidRPr="00923237">
              <w:rPr>
                <w:rFonts w:cstheme="minorHAnsi"/>
                <w:sz w:val="20"/>
                <w:szCs w:val="20"/>
              </w:rPr>
              <w:t>−0.6912***</w:t>
            </w:r>
          </w:p>
        </w:tc>
        <w:tc>
          <w:tcPr>
            <w:tcW w:w="432" w:type="pct"/>
            <w:hideMark/>
          </w:tcPr>
          <w:p w14:paraId="0992BB00" w14:textId="77777777" w:rsidR="00A4606E" w:rsidRPr="00923237" w:rsidRDefault="00A4606E" w:rsidP="00F31DC2">
            <w:pPr>
              <w:pStyle w:val="NoSpacing"/>
              <w:rPr>
                <w:rFonts w:cstheme="minorHAnsi"/>
                <w:sz w:val="20"/>
                <w:szCs w:val="20"/>
              </w:rPr>
            </w:pPr>
            <w:r w:rsidRPr="00923237">
              <w:rPr>
                <w:rFonts w:cstheme="minorHAnsi"/>
                <w:sz w:val="20"/>
                <w:szCs w:val="20"/>
              </w:rPr>
              <w:t>−0.5697***</w:t>
            </w:r>
          </w:p>
        </w:tc>
        <w:tc>
          <w:tcPr>
            <w:tcW w:w="432" w:type="pct"/>
            <w:hideMark/>
          </w:tcPr>
          <w:p w14:paraId="5D1CB668" w14:textId="77777777" w:rsidR="00A4606E" w:rsidRPr="00923237" w:rsidRDefault="00A4606E" w:rsidP="00F31DC2">
            <w:pPr>
              <w:pStyle w:val="NoSpacing"/>
              <w:rPr>
                <w:rFonts w:cstheme="minorHAnsi"/>
                <w:sz w:val="20"/>
                <w:szCs w:val="20"/>
              </w:rPr>
            </w:pPr>
            <w:r w:rsidRPr="00923237">
              <w:rPr>
                <w:rFonts w:cstheme="minorHAnsi"/>
                <w:sz w:val="20"/>
                <w:szCs w:val="20"/>
              </w:rPr>
              <w:t>−0.6208***</w:t>
            </w:r>
          </w:p>
        </w:tc>
        <w:tc>
          <w:tcPr>
            <w:tcW w:w="475" w:type="pct"/>
            <w:hideMark/>
          </w:tcPr>
          <w:p w14:paraId="318E9198" w14:textId="77777777" w:rsidR="00A4606E" w:rsidRPr="00923237" w:rsidRDefault="00A4606E" w:rsidP="00F31DC2">
            <w:pPr>
              <w:pStyle w:val="NoSpacing"/>
              <w:rPr>
                <w:rFonts w:cstheme="minorHAnsi"/>
                <w:sz w:val="20"/>
                <w:szCs w:val="20"/>
              </w:rPr>
            </w:pPr>
            <w:r w:rsidRPr="00923237">
              <w:rPr>
                <w:rFonts w:cstheme="minorHAnsi"/>
                <w:sz w:val="20"/>
                <w:szCs w:val="20"/>
              </w:rPr>
              <w:t>−0.6863***</w:t>
            </w:r>
          </w:p>
        </w:tc>
        <w:tc>
          <w:tcPr>
            <w:tcW w:w="432" w:type="pct"/>
            <w:hideMark/>
          </w:tcPr>
          <w:p w14:paraId="45743794" w14:textId="77777777" w:rsidR="00A4606E" w:rsidRPr="00923237" w:rsidRDefault="00A4606E" w:rsidP="00F31DC2">
            <w:pPr>
              <w:pStyle w:val="NoSpacing"/>
              <w:rPr>
                <w:rFonts w:cstheme="minorHAnsi"/>
                <w:sz w:val="20"/>
                <w:szCs w:val="20"/>
              </w:rPr>
            </w:pPr>
            <w:r w:rsidRPr="00923237">
              <w:rPr>
                <w:rFonts w:cstheme="minorHAnsi"/>
                <w:sz w:val="20"/>
                <w:szCs w:val="20"/>
              </w:rPr>
              <w:t>−0.7012***</w:t>
            </w:r>
          </w:p>
        </w:tc>
        <w:tc>
          <w:tcPr>
            <w:tcW w:w="432" w:type="pct"/>
            <w:hideMark/>
          </w:tcPr>
          <w:p w14:paraId="16850DEC" w14:textId="77777777" w:rsidR="00A4606E" w:rsidRPr="00923237" w:rsidRDefault="00A4606E" w:rsidP="00F31DC2">
            <w:pPr>
              <w:pStyle w:val="NoSpacing"/>
              <w:rPr>
                <w:rFonts w:cstheme="minorHAnsi"/>
                <w:sz w:val="20"/>
                <w:szCs w:val="20"/>
              </w:rPr>
            </w:pPr>
            <w:r w:rsidRPr="00923237">
              <w:rPr>
                <w:rFonts w:cstheme="minorHAnsi"/>
                <w:sz w:val="20"/>
                <w:szCs w:val="20"/>
              </w:rPr>
              <w:t>−0.6509***</w:t>
            </w:r>
          </w:p>
        </w:tc>
        <w:tc>
          <w:tcPr>
            <w:tcW w:w="432" w:type="pct"/>
            <w:hideMark/>
          </w:tcPr>
          <w:p w14:paraId="0973D275" w14:textId="77777777" w:rsidR="00A4606E" w:rsidRPr="00923237" w:rsidRDefault="00A4606E" w:rsidP="00F31DC2">
            <w:pPr>
              <w:pStyle w:val="NoSpacing"/>
              <w:rPr>
                <w:rFonts w:cstheme="minorHAnsi"/>
                <w:sz w:val="20"/>
                <w:szCs w:val="20"/>
              </w:rPr>
            </w:pPr>
            <w:r w:rsidRPr="00923237">
              <w:rPr>
                <w:rFonts w:cstheme="minorHAnsi"/>
                <w:sz w:val="20"/>
                <w:szCs w:val="20"/>
              </w:rPr>
              <w:t>−0.6516***</w:t>
            </w:r>
          </w:p>
        </w:tc>
      </w:tr>
      <w:tr w:rsidR="00A4606E" w:rsidRPr="00923237" w14:paraId="3D56200E" w14:textId="77777777" w:rsidTr="00AB2CF4">
        <w:tc>
          <w:tcPr>
            <w:tcW w:w="1475" w:type="pct"/>
            <w:hideMark/>
          </w:tcPr>
          <w:p w14:paraId="0C93AF40" w14:textId="77777777" w:rsidR="00A4606E" w:rsidRPr="00923237" w:rsidRDefault="00A4606E" w:rsidP="00F31DC2">
            <w:pPr>
              <w:pStyle w:val="NoSpacing"/>
              <w:rPr>
                <w:rFonts w:cstheme="minorHAnsi"/>
                <w:sz w:val="20"/>
                <w:szCs w:val="20"/>
              </w:rPr>
            </w:pPr>
          </w:p>
        </w:tc>
        <w:tc>
          <w:tcPr>
            <w:tcW w:w="455" w:type="pct"/>
            <w:hideMark/>
          </w:tcPr>
          <w:p w14:paraId="18B6D4F6" w14:textId="77777777" w:rsidR="00A4606E" w:rsidRPr="00923237" w:rsidRDefault="00A4606E" w:rsidP="00F31DC2">
            <w:pPr>
              <w:pStyle w:val="NoSpacing"/>
              <w:rPr>
                <w:rFonts w:cstheme="minorHAnsi"/>
                <w:sz w:val="20"/>
                <w:szCs w:val="20"/>
              </w:rPr>
            </w:pPr>
            <w:r w:rsidRPr="00923237">
              <w:rPr>
                <w:rFonts w:cstheme="minorHAnsi"/>
                <w:sz w:val="20"/>
                <w:szCs w:val="20"/>
              </w:rPr>
              <w:t>[&lt;0.0001]</w:t>
            </w:r>
          </w:p>
        </w:tc>
        <w:tc>
          <w:tcPr>
            <w:tcW w:w="432" w:type="pct"/>
            <w:hideMark/>
          </w:tcPr>
          <w:p w14:paraId="3914A960" w14:textId="77777777" w:rsidR="00A4606E" w:rsidRPr="00923237" w:rsidRDefault="00A4606E" w:rsidP="00F31DC2">
            <w:pPr>
              <w:pStyle w:val="NoSpacing"/>
              <w:rPr>
                <w:rFonts w:cstheme="minorHAnsi"/>
                <w:sz w:val="20"/>
                <w:szCs w:val="20"/>
              </w:rPr>
            </w:pPr>
            <w:r w:rsidRPr="00923237">
              <w:rPr>
                <w:rFonts w:cstheme="minorHAnsi"/>
                <w:sz w:val="20"/>
                <w:szCs w:val="20"/>
              </w:rPr>
              <w:t>[&lt;0.0001]</w:t>
            </w:r>
          </w:p>
        </w:tc>
        <w:tc>
          <w:tcPr>
            <w:tcW w:w="432" w:type="pct"/>
            <w:hideMark/>
          </w:tcPr>
          <w:p w14:paraId="68B290B4" w14:textId="77777777" w:rsidR="00A4606E" w:rsidRPr="00923237" w:rsidRDefault="00A4606E" w:rsidP="00F31DC2">
            <w:pPr>
              <w:pStyle w:val="NoSpacing"/>
              <w:rPr>
                <w:rFonts w:cstheme="minorHAnsi"/>
                <w:sz w:val="20"/>
                <w:szCs w:val="20"/>
              </w:rPr>
            </w:pPr>
            <w:r w:rsidRPr="00923237">
              <w:rPr>
                <w:rFonts w:cstheme="minorHAnsi"/>
                <w:sz w:val="20"/>
                <w:szCs w:val="20"/>
              </w:rPr>
              <w:t>[&lt;0.0001]</w:t>
            </w:r>
          </w:p>
        </w:tc>
        <w:tc>
          <w:tcPr>
            <w:tcW w:w="432" w:type="pct"/>
            <w:hideMark/>
          </w:tcPr>
          <w:p w14:paraId="25663883" w14:textId="77777777" w:rsidR="00A4606E" w:rsidRPr="00923237" w:rsidRDefault="00A4606E" w:rsidP="00F31DC2">
            <w:pPr>
              <w:pStyle w:val="NoSpacing"/>
              <w:rPr>
                <w:rFonts w:cstheme="minorHAnsi"/>
                <w:sz w:val="20"/>
                <w:szCs w:val="20"/>
              </w:rPr>
            </w:pPr>
            <w:r w:rsidRPr="00923237">
              <w:rPr>
                <w:rFonts w:cstheme="minorHAnsi"/>
                <w:sz w:val="20"/>
                <w:szCs w:val="20"/>
              </w:rPr>
              <w:t>[&lt;0.0001]</w:t>
            </w:r>
          </w:p>
        </w:tc>
        <w:tc>
          <w:tcPr>
            <w:tcW w:w="475" w:type="pct"/>
            <w:hideMark/>
          </w:tcPr>
          <w:p w14:paraId="5D92BB60" w14:textId="77777777" w:rsidR="00A4606E" w:rsidRPr="00923237" w:rsidRDefault="00A4606E" w:rsidP="00F31DC2">
            <w:pPr>
              <w:pStyle w:val="NoSpacing"/>
              <w:rPr>
                <w:rFonts w:cstheme="minorHAnsi"/>
                <w:sz w:val="20"/>
                <w:szCs w:val="20"/>
              </w:rPr>
            </w:pPr>
            <w:r w:rsidRPr="00923237">
              <w:rPr>
                <w:rFonts w:cstheme="minorHAnsi"/>
                <w:sz w:val="20"/>
                <w:szCs w:val="20"/>
              </w:rPr>
              <w:t>[&lt;0.0001]</w:t>
            </w:r>
          </w:p>
        </w:tc>
        <w:tc>
          <w:tcPr>
            <w:tcW w:w="432" w:type="pct"/>
            <w:hideMark/>
          </w:tcPr>
          <w:p w14:paraId="612B3E25" w14:textId="77777777" w:rsidR="00A4606E" w:rsidRPr="00923237" w:rsidRDefault="00A4606E" w:rsidP="00F31DC2">
            <w:pPr>
              <w:pStyle w:val="NoSpacing"/>
              <w:rPr>
                <w:rFonts w:cstheme="minorHAnsi"/>
                <w:sz w:val="20"/>
                <w:szCs w:val="20"/>
              </w:rPr>
            </w:pPr>
            <w:r w:rsidRPr="00923237">
              <w:rPr>
                <w:rFonts w:cstheme="minorHAnsi"/>
                <w:sz w:val="20"/>
                <w:szCs w:val="20"/>
              </w:rPr>
              <w:t>[&lt;0.0001]</w:t>
            </w:r>
          </w:p>
        </w:tc>
        <w:tc>
          <w:tcPr>
            <w:tcW w:w="432" w:type="pct"/>
            <w:hideMark/>
          </w:tcPr>
          <w:p w14:paraId="52FBFD56" w14:textId="77777777" w:rsidR="00A4606E" w:rsidRPr="00923237" w:rsidRDefault="00A4606E" w:rsidP="00F31DC2">
            <w:pPr>
              <w:pStyle w:val="NoSpacing"/>
              <w:rPr>
                <w:rFonts w:cstheme="minorHAnsi"/>
                <w:sz w:val="20"/>
                <w:szCs w:val="20"/>
              </w:rPr>
            </w:pPr>
            <w:r w:rsidRPr="00923237">
              <w:rPr>
                <w:rFonts w:cstheme="minorHAnsi"/>
                <w:sz w:val="20"/>
                <w:szCs w:val="20"/>
              </w:rPr>
              <w:t>[&lt;0.0001]</w:t>
            </w:r>
          </w:p>
        </w:tc>
        <w:tc>
          <w:tcPr>
            <w:tcW w:w="432" w:type="pct"/>
            <w:hideMark/>
          </w:tcPr>
          <w:p w14:paraId="2832BBAA" w14:textId="77777777" w:rsidR="00A4606E" w:rsidRPr="00923237" w:rsidRDefault="00A4606E" w:rsidP="00F31DC2">
            <w:pPr>
              <w:pStyle w:val="NoSpacing"/>
              <w:rPr>
                <w:rFonts w:cstheme="minorHAnsi"/>
                <w:sz w:val="20"/>
                <w:szCs w:val="20"/>
              </w:rPr>
            </w:pPr>
            <w:r w:rsidRPr="00923237">
              <w:rPr>
                <w:rFonts w:cstheme="minorHAnsi"/>
                <w:sz w:val="20"/>
                <w:szCs w:val="20"/>
              </w:rPr>
              <w:t>[&lt;0.0001]</w:t>
            </w:r>
          </w:p>
        </w:tc>
      </w:tr>
      <w:tr w:rsidR="00A4606E" w:rsidRPr="00923237" w14:paraId="3F3D6621" w14:textId="77777777" w:rsidTr="00AB2CF4">
        <w:tc>
          <w:tcPr>
            <w:tcW w:w="1475" w:type="pct"/>
            <w:hideMark/>
          </w:tcPr>
          <w:p w14:paraId="2C1894E0" w14:textId="77777777" w:rsidR="00A4606E" w:rsidRPr="00923237" w:rsidRDefault="00A4606E" w:rsidP="00F31DC2">
            <w:pPr>
              <w:pStyle w:val="NoSpacing"/>
              <w:rPr>
                <w:rFonts w:cstheme="minorHAnsi"/>
                <w:sz w:val="20"/>
                <w:szCs w:val="20"/>
              </w:rPr>
            </w:pPr>
            <w:r w:rsidRPr="00923237">
              <w:rPr>
                <w:rFonts w:cstheme="minorHAnsi"/>
                <w:sz w:val="20"/>
                <w:szCs w:val="20"/>
              </w:rPr>
              <w:t>Market leverage</w:t>
            </w:r>
          </w:p>
        </w:tc>
        <w:tc>
          <w:tcPr>
            <w:tcW w:w="455" w:type="pct"/>
            <w:hideMark/>
          </w:tcPr>
          <w:p w14:paraId="46141C68" w14:textId="77777777" w:rsidR="00A4606E" w:rsidRPr="00923237" w:rsidRDefault="00A4606E" w:rsidP="00F31DC2">
            <w:pPr>
              <w:pStyle w:val="NoSpacing"/>
              <w:rPr>
                <w:rFonts w:cstheme="minorHAnsi"/>
                <w:sz w:val="20"/>
                <w:szCs w:val="20"/>
              </w:rPr>
            </w:pPr>
            <w:r w:rsidRPr="00923237">
              <w:rPr>
                <w:rFonts w:cstheme="minorHAnsi"/>
                <w:sz w:val="20"/>
                <w:szCs w:val="20"/>
              </w:rPr>
              <w:t>−0.0986**</w:t>
            </w:r>
          </w:p>
        </w:tc>
        <w:tc>
          <w:tcPr>
            <w:tcW w:w="432" w:type="pct"/>
            <w:hideMark/>
          </w:tcPr>
          <w:p w14:paraId="0C92A31E" w14:textId="77777777" w:rsidR="00A4606E" w:rsidRPr="00923237" w:rsidRDefault="00A4606E" w:rsidP="00F31DC2">
            <w:pPr>
              <w:pStyle w:val="NoSpacing"/>
              <w:rPr>
                <w:rFonts w:cstheme="minorHAnsi"/>
                <w:sz w:val="20"/>
                <w:szCs w:val="20"/>
              </w:rPr>
            </w:pPr>
            <w:r w:rsidRPr="00923237">
              <w:rPr>
                <w:rFonts w:cstheme="minorHAnsi"/>
                <w:sz w:val="20"/>
                <w:szCs w:val="20"/>
              </w:rPr>
              <w:t>−0.0924**</w:t>
            </w:r>
          </w:p>
        </w:tc>
        <w:tc>
          <w:tcPr>
            <w:tcW w:w="432" w:type="pct"/>
            <w:hideMark/>
          </w:tcPr>
          <w:p w14:paraId="70886780" w14:textId="77777777" w:rsidR="00A4606E" w:rsidRPr="00923237" w:rsidRDefault="00A4606E" w:rsidP="00F31DC2">
            <w:pPr>
              <w:pStyle w:val="NoSpacing"/>
              <w:rPr>
                <w:rFonts w:cstheme="minorHAnsi"/>
                <w:sz w:val="20"/>
                <w:szCs w:val="20"/>
              </w:rPr>
            </w:pPr>
          </w:p>
        </w:tc>
        <w:tc>
          <w:tcPr>
            <w:tcW w:w="432" w:type="pct"/>
            <w:hideMark/>
          </w:tcPr>
          <w:p w14:paraId="3BF77CC8" w14:textId="77777777" w:rsidR="00A4606E" w:rsidRPr="00923237" w:rsidRDefault="00A4606E" w:rsidP="00F31DC2">
            <w:pPr>
              <w:pStyle w:val="NoSpacing"/>
              <w:rPr>
                <w:rFonts w:cstheme="minorHAnsi"/>
                <w:sz w:val="20"/>
                <w:szCs w:val="20"/>
              </w:rPr>
            </w:pPr>
          </w:p>
        </w:tc>
        <w:tc>
          <w:tcPr>
            <w:tcW w:w="475" w:type="pct"/>
            <w:hideMark/>
          </w:tcPr>
          <w:p w14:paraId="207AD20F" w14:textId="77777777" w:rsidR="00A4606E" w:rsidRPr="00923237" w:rsidRDefault="00A4606E" w:rsidP="00F31DC2">
            <w:pPr>
              <w:pStyle w:val="NoSpacing"/>
              <w:rPr>
                <w:rFonts w:cstheme="minorHAnsi"/>
                <w:sz w:val="20"/>
                <w:szCs w:val="20"/>
              </w:rPr>
            </w:pPr>
            <w:r w:rsidRPr="00923237">
              <w:rPr>
                <w:rFonts w:cstheme="minorHAnsi"/>
                <w:sz w:val="20"/>
                <w:szCs w:val="20"/>
              </w:rPr>
              <w:t>−0.0482</w:t>
            </w:r>
          </w:p>
        </w:tc>
        <w:tc>
          <w:tcPr>
            <w:tcW w:w="432" w:type="pct"/>
            <w:hideMark/>
          </w:tcPr>
          <w:p w14:paraId="22D95547" w14:textId="77777777" w:rsidR="00A4606E" w:rsidRPr="00923237" w:rsidRDefault="00A4606E" w:rsidP="00F31DC2">
            <w:pPr>
              <w:pStyle w:val="NoSpacing"/>
              <w:rPr>
                <w:rFonts w:cstheme="minorHAnsi"/>
                <w:sz w:val="20"/>
                <w:szCs w:val="20"/>
              </w:rPr>
            </w:pPr>
            <w:r w:rsidRPr="00923237">
              <w:rPr>
                <w:rFonts w:cstheme="minorHAnsi"/>
                <w:sz w:val="20"/>
                <w:szCs w:val="20"/>
              </w:rPr>
              <w:t>−0.0766</w:t>
            </w:r>
          </w:p>
        </w:tc>
        <w:tc>
          <w:tcPr>
            <w:tcW w:w="432" w:type="pct"/>
            <w:hideMark/>
          </w:tcPr>
          <w:p w14:paraId="06A957BE" w14:textId="77777777" w:rsidR="00A4606E" w:rsidRPr="00923237" w:rsidRDefault="00A4606E" w:rsidP="00F31DC2">
            <w:pPr>
              <w:pStyle w:val="NoSpacing"/>
              <w:rPr>
                <w:rFonts w:cstheme="minorHAnsi"/>
                <w:sz w:val="20"/>
                <w:szCs w:val="20"/>
              </w:rPr>
            </w:pPr>
          </w:p>
        </w:tc>
        <w:tc>
          <w:tcPr>
            <w:tcW w:w="432" w:type="pct"/>
            <w:hideMark/>
          </w:tcPr>
          <w:p w14:paraId="2997CA6C" w14:textId="77777777" w:rsidR="00A4606E" w:rsidRPr="00923237" w:rsidRDefault="00A4606E" w:rsidP="00F31DC2">
            <w:pPr>
              <w:pStyle w:val="NoSpacing"/>
              <w:rPr>
                <w:rFonts w:cstheme="minorHAnsi"/>
                <w:sz w:val="20"/>
                <w:szCs w:val="20"/>
              </w:rPr>
            </w:pPr>
          </w:p>
        </w:tc>
      </w:tr>
      <w:tr w:rsidR="00A4606E" w:rsidRPr="00923237" w14:paraId="29CE9C6E" w14:textId="77777777" w:rsidTr="00AB2CF4">
        <w:tc>
          <w:tcPr>
            <w:tcW w:w="1475" w:type="pct"/>
            <w:hideMark/>
          </w:tcPr>
          <w:p w14:paraId="3183D21C" w14:textId="77777777" w:rsidR="00A4606E" w:rsidRPr="00923237" w:rsidRDefault="00A4606E" w:rsidP="00F31DC2">
            <w:pPr>
              <w:pStyle w:val="NoSpacing"/>
              <w:rPr>
                <w:rFonts w:cstheme="minorHAnsi"/>
                <w:sz w:val="20"/>
                <w:szCs w:val="20"/>
              </w:rPr>
            </w:pPr>
          </w:p>
        </w:tc>
        <w:tc>
          <w:tcPr>
            <w:tcW w:w="455" w:type="pct"/>
            <w:hideMark/>
          </w:tcPr>
          <w:p w14:paraId="29205902" w14:textId="77777777" w:rsidR="00A4606E" w:rsidRPr="00923237" w:rsidRDefault="00A4606E" w:rsidP="00F31DC2">
            <w:pPr>
              <w:pStyle w:val="NoSpacing"/>
              <w:rPr>
                <w:rFonts w:cstheme="minorHAnsi"/>
                <w:sz w:val="20"/>
                <w:szCs w:val="20"/>
              </w:rPr>
            </w:pPr>
            <w:r w:rsidRPr="00923237">
              <w:rPr>
                <w:rFonts w:cstheme="minorHAnsi"/>
                <w:sz w:val="20"/>
                <w:szCs w:val="20"/>
              </w:rPr>
              <w:t>[0.014]</w:t>
            </w:r>
          </w:p>
        </w:tc>
        <w:tc>
          <w:tcPr>
            <w:tcW w:w="432" w:type="pct"/>
            <w:hideMark/>
          </w:tcPr>
          <w:p w14:paraId="59037D96" w14:textId="77777777" w:rsidR="00A4606E" w:rsidRPr="00923237" w:rsidRDefault="00A4606E" w:rsidP="00F31DC2">
            <w:pPr>
              <w:pStyle w:val="NoSpacing"/>
              <w:rPr>
                <w:rFonts w:cstheme="minorHAnsi"/>
                <w:sz w:val="20"/>
                <w:szCs w:val="20"/>
              </w:rPr>
            </w:pPr>
            <w:r w:rsidRPr="00923237">
              <w:rPr>
                <w:rFonts w:cstheme="minorHAnsi"/>
                <w:sz w:val="20"/>
                <w:szCs w:val="20"/>
              </w:rPr>
              <w:t>[0.018]</w:t>
            </w:r>
          </w:p>
        </w:tc>
        <w:tc>
          <w:tcPr>
            <w:tcW w:w="432" w:type="pct"/>
            <w:hideMark/>
          </w:tcPr>
          <w:p w14:paraId="75F5D7DA" w14:textId="77777777" w:rsidR="00A4606E" w:rsidRPr="00923237" w:rsidRDefault="00A4606E" w:rsidP="00F31DC2">
            <w:pPr>
              <w:pStyle w:val="NoSpacing"/>
              <w:rPr>
                <w:rFonts w:cstheme="minorHAnsi"/>
                <w:sz w:val="20"/>
                <w:szCs w:val="20"/>
              </w:rPr>
            </w:pPr>
          </w:p>
        </w:tc>
        <w:tc>
          <w:tcPr>
            <w:tcW w:w="432" w:type="pct"/>
            <w:hideMark/>
          </w:tcPr>
          <w:p w14:paraId="7366C9C4" w14:textId="77777777" w:rsidR="00A4606E" w:rsidRPr="00923237" w:rsidRDefault="00A4606E" w:rsidP="00F31DC2">
            <w:pPr>
              <w:pStyle w:val="NoSpacing"/>
              <w:rPr>
                <w:rFonts w:cstheme="minorHAnsi"/>
                <w:sz w:val="20"/>
                <w:szCs w:val="20"/>
              </w:rPr>
            </w:pPr>
          </w:p>
        </w:tc>
        <w:tc>
          <w:tcPr>
            <w:tcW w:w="475" w:type="pct"/>
            <w:hideMark/>
          </w:tcPr>
          <w:p w14:paraId="495762E8" w14:textId="77777777" w:rsidR="00A4606E" w:rsidRPr="00923237" w:rsidRDefault="00A4606E" w:rsidP="00F31DC2">
            <w:pPr>
              <w:pStyle w:val="NoSpacing"/>
              <w:rPr>
                <w:rFonts w:cstheme="minorHAnsi"/>
                <w:sz w:val="20"/>
                <w:szCs w:val="20"/>
              </w:rPr>
            </w:pPr>
            <w:r w:rsidRPr="00923237">
              <w:rPr>
                <w:rFonts w:cstheme="minorHAnsi"/>
                <w:sz w:val="20"/>
                <w:szCs w:val="20"/>
              </w:rPr>
              <w:t>[0.371]</w:t>
            </w:r>
          </w:p>
        </w:tc>
        <w:tc>
          <w:tcPr>
            <w:tcW w:w="432" w:type="pct"/>
            <w:hideMark/>
          </w:tcPr>
          <w:p w14:paraId="387A3E1E" w14:textId="77777777" w:rsidR="00A4606E" w:rsidRPr="00923237" w:rsidRDefault="00A4606E" w:rsidP="00F31DC2">
            <w:pPr>
              <w:pStyle w:val="NoSpacing"/>
              <w:rPr>
                <w:rFonts w:cstheme="minorHAnsi"/>
                <w:sz w:val="20"/>
                <w:szCs w:val="20"/>
              </w:rPr>
            </w:pPr>
            <w:r w:rsidRPr="00923237">
              <w:rPr>
                <w:rFonts w:cstheme="minorHAnsi"/>
                <w:sz w:val="20"/>
                <w:szCs w:val="20"/>
              </w:rPr>
              <w:t>[0.11]</w:t>
            </w:r>
          </w:p>
        </w:tc>
        <w:tc>
          <w:tcPr>
            <w:tcW w:w="432" w:type="pct"/>
            <w:hideMark/>
          </w:tcPr>
          <w:p w14:paraId="44ADC496" w14:textId="77777777" w:rsidR="00A4606E" w:rsidRPr="00923237" w:rsidRDefault="00A4606E" w:rsidP="00F31DC2">
            <w:pPr>
              <w:pStyle w:val="NoSpacing"/>
              <w:rPr>
                <w:rFonts w:cstheme="minorHAnsi"/>
                <w:sz w:val="20"/>
                <w:szCs w:val="20"/>
              </w:rPr>
            </w:pPr>
          </w:p>
        </w:tc>
        <w:tc>
          <w:tcPr>
            <w:tcW w:w="432" w:type="pct"/>
            <w:hideMark/>
          </w:tcPr>
          <w:p w14:paraId="595B9777" w14:textId="77777777" w:rsidR="00A4606E" w:rsidRPr="00923237" w:rsidRDefault="00A4606E" w:rsidP="00F31DC2">
            <w:pPr>
              <w:pStyle w:val="NoSpacing"/>
              <w:rPr>
                <w:rFonts w:cstheme="minorHAnsi"/>
                <w:sz w:val="20"/>
                <w:szCs w:val="20"/>
              </w:rPr>
            </w:pPr>
          </w:p>
        </w:tc>
      </w:tr>
      <w:tr w:rsidR="00A4606E" w:rsidRPr="00923237" w14:paraId="70A2F475" w14:textId="77777777" w:rsidTr="00AB2CF4">
        <w:tc>
          <w:tcPr>
            <w:tcW w:w="1475" w:type="pct"/>
            <w:hideMark/>
          </w:tcPr>
          <w:p w14:paraId="7653E686" w14:textId="77777777" w:rsidR="00A4606E" w:rsidRPr="00923237" w:rsidRDefault="00A4606E" w:rsidP="00F31DC2">
            <w:pPr>
              <w:pStyle w:val="NoSpacing"/>
              <w:rPr>
                <w:rFonts w:cstheme="minorHAnsi"/>
                <w:sz w:val="20"/>
                <w:szCs w:val="20"/>
              </w:rPr>
            </w:pPr>
            <w:r w:rsidRPr="00923237">
              <w:rPr>
                <w:rFonts w:cstheme="minorHAnsi"/>
                <w:sz w:val="20"/>
                <w:szCs w:val="20"/>
              </w:rPr>
              <w:t>High leverage</w:t>
            </w:r>
          </w:p>
        </w:tc>
        <w:tc>
          <w:tcPr>
            <w:tcW w:w="455" w:type="pct"/>
            <w:hideMark/>
          </w:tcPr>
          <w:p w14:paraId="0BBF9639" w14:textId="77777777" w:rsidR="00A4606E" w:rsidRPr="00923237" w:rsidRDefault="00A4606E" w:rsidP="00F31DC2">
            <w:pPr>
              <w:pStyle w:val="NoSpacing"/>
              <w:rPr>
                <w:rFonts w:cstheme="minorHAnsi"/>
                <w:sz w:val="20"/>
                <w:szCs w:val="20"/>
              </w:rPr>
            </w:pPr>
          </w:p>
        </w:tc>
        <w:tc>
          <w:tcPr>
            <w:tcW w:w="432" w:type="pct"/>
            <w:hideMark/>
          </w:tcPr>
          <w:p w14:paraId="4FF2BFC7" w14:textId="77777777" w:rsidR="00A4606E" w:rsidRPr="00923237" w:rsidRDefault="00A4606E" w:rsidP="00F31DC2">
            <w:pPr>
              <w:pStyle w:val="NoSpacing"/>
              <w:rPr>
                <w:rFonts w:cstheme="minorHAnsi"/>
                <w:sz w:val="20"/>
                <w:szCs w:val="20"/>
              </w:rPr>
            </w:pPr>
          </w:p>
        </w:tc>
        <w:tc>
          <w:tcPr>
            <w:tcW w:w="432" w:type="pct"/>
            <w:hideMark/>
          </w:tcPr>
          <w:p w14:paraId="2EB4228A" w14:textId="77777777" w:rsidR="00A4606E" w:rsidRPr="00923237" w:rsidRDefault="00A4606E" w:rsidP="00F31DC2">
            <w:pPr>
              <w:pStyle w:val="NoSpacing"/>
              <w:rPr>
                <w:rFonts w:cstheme="minorHAnsi"/>
                <w:sz w:val="20"/>
                <w:szCs w:val="20"/>
              </w:rPr>
            </w:pPr>
            <w:r w:rsidRPr="00923237">
              <w:rPr>
                <w:rFonts w:cstheme="minorHAnsi"/>
                <w:sz w:val="20"/>
                <w:szCs w:val="20"/>
              </w:rPr>
              <w:t>−0.1217**</w:t>
            </w:r>
          </w:p>
        </w:tc>
        <w:tc>
          <w:tcPr>
            <w:tcW w:w="432" w:type="pct"/>
            <w:hideMark/>
          </w:tcPr>
          <w:p w14:paraId="4F9DDB87" w14:textId="77777777" w:rsidR="00A4606E" w:rsidRPr="00923237" w:rsidRDefault="00A4606E" w:rsidP="00F31DC2">
            <w:pPr>
              <w:pStyle w:val="NoSpacing"/>
              <w:rPr>
                <w:rFonts w:cstheme="minorHAnsi"/>
                <w:sz w:val="20"/>
                <w:szCs w:val="20"/>
              </w:rPr>
            </w:pPr>
            <w:r w:rsidRPr="00923237">
              <w:rPr>
                <w:rFonts w:cstheme="minorHAnsi"/>
                <w:sz w:val="20"/>
                <w:szCs w:val="20"/>
              </w:rPr>
              <w:t>−0.1155**</w:t>
            </w:r>
          </w:p>
        </w:tc>
        <w:tc>
          <w:tcPr>
            <w:tcW w:w="475" w:type="pct"/>
            <w:hideMark/>
          </w:tcPr>
          <w:p w14:paraId="75FBAA3F" w14:textId="77777777" w:rsidR="00A4606E" w:rsidRPr="00923237" w:rsidRDefault="00A4606E" w:rsidP="00F31DC2">
            <w:pPr>
              <w:pStyle w:val="NoSpacing"/>
              <w:rPr>
                <w:rFonts w:cstheme="minorHAnsi"/>
                <w:sz w:val="20"/>
                <w:szCs w:val="20"/>
              </w:rPr>
            </w:pPr>
          </w:p>
        </w:tc>
        <w:tc>
          <w:tcPr>
            <w:tcW w:w="432" w:type="pct"/>
            <w:hideMark/>
          </w:tcPr>
          <w:p w14:paraId="52BF3BC8" w14:textId="77777777" w:rsidR="00A4606E" w:rsidRPr="00923237" w:rsidRDefault="00A4606E" w:rsidP="00F31DC2">
            <w:pPr>
              <w:pStyle w:val="NoSpacing"/>
              <w:rPr>
                <w:rFonts w:cstheme="minorHAnsi"/>
                <w:sz w:val="20"/>
                <w:szCs w:val="20"/>
              </w:rPr>
            </w:pPr>
          </w:p>
        </w:tc>
        <w:tc>
          <w:tcPr>
            <w:tcW w:w="432" w:type="pct"/>
            <w:hideMark/>
          </w:tcPr>
          <w:p w14:paraId="0D653C1B" w14:textId="77777777" w:rsidR="00A4606E" w:rsidRPr="00923237" w:rsidRDefault="00A4606E" w:rsidP="00F31DC2">
            <w:pPr>
              <w:pStyle w:val="NoSpacing"/>
              <w:rPr>
                <w:rFonts w:cstheme="minorHAnsi"/>
                <w:sz w:val="20"/>
                <w:szCs w:val="20"/>
              </w:rPr>
            </w:pPr>
            <w:r w:rsidRPr="00923237">
              <w:rPr>
                <w:rFonts w:cstheme="minorHAnsi"/>
                <w:sz w:val="20"/>
                <w:szCs w:val="20"/>
              </w:rPr>
              <w:t>−0.0292</w:t>
            </w:r>
          </w:p>
        </w:tc>
        <w:tc>
          <w:tcPr>
            <w:tcW w:w="432" w:type="pct"/>
            <w:hideMark/>
          </w:tcPr>
          <w:p w14:paraId="7FBF801E" w14:textId="77777777" w:rsidR="00A4606E" w:rsidRPr="00923237" w:rsidRDefault="00A4606E" w:rsidP="00F31DC2">
            <w:pPr>
              <w:pStyle w:val="NoSpacing"/>
              <w:rPr>
                <w:rFonts w:cstheme="minorHAnsi"/>
                <w:sz w:val="20"/>
                <w:szCs w:val="20"/>
              </w:rPr>
            </w:pPr>
            <w:r w:rsidRPr="00923237">
              <w:rPr>
                <w:rFonts w:cstheme="minorHAnsi"/>
                <w:sz w:val="20"/>
                <w:szCs w:val="20"/>
              </w:rPr>
              <w:t>−0.0601</w:t>
            </w:r>
          </w:p>
        </w:tc>
      </w:tr>
      <w:tr w:rsidR="00A4606E" w:rsidRPr="00923237" w14:paraId="1B3730D0" w14:textId="77777777" w:rsidTr="00AB2CF4">
        <w:tc>
          <w:tcPr>
            <w:tcW w:w="1475" w:type="pct"/>
            <w:hideMark/>
          </w:tcPr>
          <w:p w14:paraId="36892C8F" w14:textId="77777777" w:rsidR="00A4606E" w:rsidRPr="00923237" w:rsidRDefault="00A4606E" w:rsidP="00F31DC2">
            <w:pPr>
              <w:pStyle w:val="NoSpacing"/>
              <w:rPr>
                <w:rFonts w:cstheme="minorHAnsi"/>
                <w:sz w:val="20"/>
                <w:szCs w:val="20"/>
              </w:rPr>
            </w:pPr>
          </w:p>
        </w:tc>
        <w:tc>
          <w:tcPr>
            <w:tcW w:w="455" w:type="pct"/>
            <w:hideMark/>
          </w:tcPr>
          <w:p w14:paraId="477F2DC2" w14:textId="77777777" w:rsidR="00A4606E" w:rsidRPr="00923237" w:rsidRDefault="00A4606E" w:rsidP="00F31DC2">
            <w:pPr>
              <w:pStyle w:val="NoSpacing"/>
              <w:rPr>
                <w:rFonts w:cstheme="minorHAnsi"/>
                <w:sz w:val="20"/>
                <w:szCs w:val="20"/>
              </w:rPr>
            </w:pPr>
          </w:p>
        </w:tc>
        <w:tc>
          <w:tcPr>
            <w:tcW w:w="432" w:type="pct"/>
            <w:hideMark/>
          </w:tcPr>
          <w:p w14:paraId="750B5413" w14:textId="77777777" w:rsidR="00A4606E" w:rsidRPr="00923237" w:rsidRDefault="00A4606E" w:rsidP="00F31DC2">
            <w:pPr>
              <w:pStyle w:val="NoSpacing"/>
              <w:rPr>
                <w:rFonts w:cstheme="minorHAnsi"/>
                <w:sz w:val="20"/>
                <w:szCs w:val="20"/>
              </w:rPr>
            </w:pPr>
          </w:p>
        </w:tc>
        <w:tc>
          <w:tcPr>
            <w:tcW w:w="432" w:type="pct"/>
            <w:hideMark/>
          </w:tcPr>
          <w:p w14:paraId="4EA54C9F" w14:textId="77777777" w:rsidR="00A4606E" w:rsidRPr="00923237" w:rsidRDefault="00A4606E" w:rsidP="00F31DC2">
            <w:pPr>
              <w:pStyle w:val="NoSpacing"/>
              <w:rPr>
                <w:rFonts w:cstheme="minorHAnsi"/>
                <w:sz w:val="20"/>
                <w:szCs w:val="20"/>
              </w:rPr>
            </w:pPr>
            <w:r w:rsidRPr="00923237">
              <w:rPr>
                <w:rFonts w:cstheme="minorHAnsi"/>
                <w:sz w:val="20"/>
                <w:szCs w:val="20"/>
              </w:rPr>
              <w:t>[0.035]</w:t>
            </w:r>
          </w:p>
        </w:tc>
        <w:tc>
          <w:tcPr>
            <w:tcW w:w="432" w:type="pct"/>
            <w:hideMark/>
          </w:tcPr>
          <w:p w14:paraId="36794302" w14:textId="77777777" w:rsidR="00A4606E" w:rsidRPr="00923237" w:rsidRDefault="00A4606E" w:rsidP="00F31DC2">
            <w:pPr>
              <w:pStyle w:val="NoSpacing"/>
              <w:rPr>
                <w:rFonts w:cstheme="minorHAnsi"/>
                <w:sz w:val="20"/>
                <w:szCs w:val="20"/>
              </w:rPr>
            </w:pPr>
            <w:r w:rsidRPr="00923237">
              <w:rPr>
                <w:rFonts w:cstheme="minorHAnsi"/>
                <w:sz w:val="20"/>
                <w:szCs w:val="20"/>
              </w:rPr>
              <w:t>[0.041]</w:t>
            </w:r>
          </w:p>
        </w:tc>
        <w:tc>
          <w:tcPr>
            <w:tcW w:w="475" w:type="pct"/>
            <w:hideMark/>
          </w:tcPr>
          <w:p w14:paraId="650C75FF" w14:textId="77777777" w:rsidR="00A4606E" w:rsidRPr="00923237" w:rsidRDefault="00A4606E" w:rsidP="00F31DC2">
            <w:pPr>
              <w:pStyle w:val="NoSpacing"/>
              <w:rPr>
                <w:rFonts w:cstheme="minorHAnsi"/>
                <w:sz w:val="20"/>
                <w:szCs w:val="20"/>
              </w:rPr>
            </w:pPr>
          </w:p>
        </w:tc>
        <w:tc>
          <w:tcPr>
            <w:tcW w:w="432" w:type="pct"/>
            <w:hideMark/>
          </w:tcPr>
          <w:p w14:paraId="2A17A269" w14:textId="77777777" w:rsidR="00A4606E" w:rsidRPr="00923237" w:rsidRDefault="00A4606E" w:rsidP="00F31DC2">
            <w:pPr>
              <w:pStyle w:val="NoSpacing"/>
              <w:rPr>
                <w:rFonts w:cstheme="minorHAnsi"/>
                <w:sz w:val="20"/>
                <w:szCs w:val="20"/>
              </w:rPr>
            </w:pPr>
          </w:p>
        </w:tc>
        <w:tc>
          <w:tcPr>
            <w:tcW w:w="432" w:type="pct"/>
            <w:hideMark/>
          </w:tcPr>
          <w:p w14:paraId="67BE69C3" w14:textId="77777777" w:rsidR="00A4606E" w:rsidRPr="00923237" w:rsidRDefault="00A4606E" w:rsidP="00F31DC2">
            <w:pPr>
              <w:pStyle w:val="NoSpacing"/>
              <w:rPr>
                <w:rFonts w:cstheme="minorHAnsi"/>
                <w:sz w:val="20"/>
                <w:szCs w:val="20"/>
              </w:rPr>
            </w:pPr>
            <w:r w:rsidRPr="00923237">
              <w:rPr>
                <w:rFonts w:cstheme="minorHAnsi"/>
                <w:sz w:val="20"/>
                <w:szCs w:val="20"/>
              </w:rPr>
              <w:t>[0.741]</w:t>
            </w:r>
          </w:p>
        </w:tc>
        <w:tc>
          <w:tcPr>
            <w:tcW w:w="432" w:type="pct"/>
            <w:hideMark/>
          </w:tcPr>
          <w:p w14:paraId="0EEC52F5" w14:textId="77777777" w:rsidR="00A4606E" w:rsidRPr="00923237" w:rsidRDefault="00A4606E" w:rsidP="00F31DC2">
            <w:pPr>
              <w:pStyle w:val="NoSpacing"/>
              <w:rPr>
                <w:rFonts w:cstheme="minorHAnsi"/>
                <w:sz w:val="20"/>
                <w:szCs w:val="20"/>
              </w:rPr>
            </w:pPr>
            <w:r w:rsidRPr="00923237">
              <w:rPr>
                <w:rFonts w:cstheme="minorHAnsi"/>
                <w:sz w:val="20"/>
                <w:szCs w:val="20"/>
              </w:rPr>
              <w:t>[0.453]</w:t>
            </w:r>
          </w:p>
        </w:tc>
      </w:tr>
      <w:tr w:rsidR="00A4606E" w:rsidRPr="00923237" w14:paraId="024C88FD" w14:textId="77777777" w:rsidTr="00AB2CF4">
        <w:tc>
          <w:tcPr>
            <w:tcW w:w="1475" w:type="pct"/>
            <w:hideMark/>
          </w:tcPr>
          <w:p w14:paraId="2F584AB2" w14:textId="77777777" w:rsidR="00A4606E" w:rsidRPr="00923237" w:rsidRDefault="00A4606E" w:rsidP="00F31DC2">
            <w:pPr>
              <w:pStyle w:val="NoSpacing"/>
              <w:rPr>
                <w:rFonts w:cstheme="minorHAnsi"/>
                <w:sz w:val="20"/>
                <w:szCs w:val="20"/>
              </w:rPr>
            </w:pPr>
            <w:r w:rsidRPr="00923237">
              <w:rPr>
                <w:rFonts w:cstheme="minorHAnsi"/>
                <w:sz w:val="20"/>
                <w:szCs w:val="20"/>
              </w:rPr>
              <w:t>Exp. weighted ab. board meetings during crisis</w:t>
            </w:r>
          </w:p>
        </w:tc>
        <w:tc>
          <w:tcPr>
            <w:tcW w:w="455" w:type="pct"/>
            <w:hideMark/>
          </w:tcPr>
          <w:p w14:paraId="69364BCE" w14:textId="77777777" w:rsidR="00A4606E" w:rsidRPr="00923237" w:rsidRDefault="00A4606E" w:rsidP="00F31DC2">
            <w:pPr>
              <w:pStyle w:val="NoSpacing"/>
              <w:rPr>
                <w:rFonts w:cstheme="minorHAnsi"/>
                <w:sz w:val="20"/>
                <w:szCs w:val="20"/>
              </w:rPr>
            </w:pPr>
          </w:p>
        </w:tc>
        <w:tc>
          <w:tcPr>
            <w:tcW w:w="432" w:type="pct"/>
            <w:hideMark/>
          </w:tcPr>
          <w:p w14:paraId="63070011" w14:textId="77777777" w:rsidR="00A4606E" w:rsidRPr="00923237" w:rsidRDefault="00A4606E" w:rsidP="00F31DC2">
            <w:pPr>
              <w:pStyle w:val="NoSpacing"/>
              <w:rPr>
                <w:rFonts w:cstheme="minorHAnsi"/>
                <w:sz w:val="20"/>
                <w:szCs w:val="20"/>
              </w:rPr>
            </w:pPr>
          </w:p>
        </w:tc>
        <w:tc>
          <w:tcPr>
            <w:tcW w:w="432" w:type="pct"/>
            <w:hideMark/>
          </w:tcPr>
          <w:p w14:paraId="1E9A6B0A" w14:textId="77777777" w:rsidR="00A4606E" w:rsidRPr="00923237" w:rsidRDefault="00A4606E" w:rsidP="00F31DC2">
            <w:pPr>
              <w:pStyle w:val="NoSpacing"/>
              <w:rPr>
                <w:rFonts w:cstheme="minorHAnsi"/>
                <w:sz w:val="20"/>
                <w:szCs w:val="20"/>
              </w:rPr>
            </w:pPr>
          </w:p>
        </w:tc>
        <w:tc>
          <w:tcPr>
            <w:tcW w:w="432" w:type="pct"/>
            <w:hideMark/>
          </w:tcPr>
          <w:p w14:paraId="25091076" w14:textId="77777777" w:rsidR="00A4606E" w:rsidRPr="00923237" w:rsidRDefault="00A4606E" w:rsidP="00F31DC2">
            <w:pPr>
              <w:pStyle w:val="NoSpacing"/>
              <w:rPr>
                <w:rFonts w:cstheme="minorHAnsi"/>
                <w:sz w:val="20"/>
                <w:szCs w:val="20"/>
              </w:rPr>
            </w:pPr>
          </w:p>
        </w:tc>
        <w:tc>
          <w:tcPr>
            <w:tcW w:w="475" w:type="pct"/>
            <w:hideMark/>
          </w:tcPr>
          <w:p w14:paraId="67C950B0" w14:textId="77777777" w:rsidR="00A4606E" w:rsidRPr="00923237" w:rsidRDefault="00A4606E" w:rsidP="00F31DC2">
            <w:pPr>
              <w:pStyle w:val="NoSpacing"/>
              <w:rPr>
                <w:rFonts w:cstheme="minorHAnsi"/>
                <w:sz w:val="20"/>
                <w:szCs w:val="20"/>
              </w:rPr>
            </w:pPr>
            <w:r w:rsidRPr="00923237">
              <w:rPr>
                <w:rFonts w:cstheme="minorHAnsi"/>
                <w:sz w:val="20"/>
                <w:szCs w:val="20"/>
              </w:rPr>
              <w:t>−0.0155</w:t>
            </w:r>
          </w:p>
        </w:tc>
        <w:tc>
          <w:tcPr>
            <w:tcW w:w="432" w:type="pct"/>
            <w:hideMark/>
          </w:tcPr>
          <w:p w14:paraId="31295744" w14:textId="77777777" w:rsidR="00A4606E" w:rsidRPr="00923237" w:rsidRDefault="00A4606E" w:rsidP="00F31DC2">
            <w:pPr>
              <w:pStyle w:val="NoSpacing"/>
              <w:rPr>
                <w:rFonts w:cstheme="minorHAnsi"/>
                <w:sz w:val="20"/>
                <w:szCs w:val="20"/>
              </w:rPr>
            </w:pPr>
            <w:r w:rsidRPr="00923237">
              <w:rPr>
                <w:rFonts w:cstheme="minorHAnsi"/>
                <w:sz w:val="20"/>
                <w:szCs w:val="20"/>
              </w:rPr>
              <w:t>−0.0136</w:t>
            </w:r>
          </w:p>
        </w:tc>
        <w:tc>
          <w:tcPr>
            <w:tcW w:w="432" w:type="pct"/>
            <w:hideMark/>
          </w:tcPr>
          <w:p w14:paraId="1A0591B0" w14:textId="77777777" w:rsidR="00A4606E" w:rsidRPr="00923237" w:rsidRDefault="00A4606E" w:rsidP="00F31DC2">
            <w:pPr>
              <w:pStyle w:val="NoSpacing"/>
              <w:rPr>
                <w:rFonts w:cstheme="minorHAnsi"/>
                <w:sz w:val="20"/>
                <w:szCs w:val="20"/>
              </w:rPr>
            </w:pPr>
            <w:r w:rsidRPr="00923237">
              <w:rPr>
                <w:rFonts w:cstheme="minorHAnsi"/>
                <w:sz w:val="20"/>
                <w:szCs w:val="20"/>
              </w:rPr>
              <w:t>−0.0173</w:t>
            </w:r>
          </w:p>
        </w:tc>
        <w:tc>
          <w:tcPr>
            <w:tcW w:w="432" w:type="pct"/>
            <w:hideMark/>
          </w:tcPr>
          <w:p w14:paraId="62B2D970" w14:textId="77777777" w:rsidR="00A4606E" w:rsidRPr="00923237" w:rsidRDefault="00A4606E" w:rsidP="00F31DC2">
            <w:pPr>
              <w:pStyle w:val="NoSpacing"/>
              <w:rPr>
                <w:rFonts w:cstheme="minorHAnsi"/>
                <w:sz w:val="20"/>
                <w:szCs w:val="20"/>
              </w:rPr>
            </w:pPr>
            <w:r w:rsidRPr="00923237">
              <w:rPr>
                <w:rFonts w:cstheme="minorHAnsi"/>
                <w:sz w:val="20"/>
                <w:szCs w:val="20"/>
              </w:rPr>
              <w:t>−0.0168</w:t>
            </w:r>
          </w:p>
        </w:tc>
      </w:tr>
      <w:tr w:rsidR="00A4606E" w:rsidRPr="00923237" w14:paraId="568C1AF0" w14:textId="77777777" w:rsidTr="00AB2CF4">
        <w:tc>
          <w:tcPr>
            <w:tcW w:w="1475" w:type="pct"/>
            <w:hideMark/>
          </w:tcPr>
          <w:p w14:paraId="4D300995" w14:textId="77777777" w:rsidR="00A4606E" w:rsidRPr="00923237" w:rsidRDefault="00A4606E" w:rsidP="00F31DC2">
            <w:pPr>
              <w:pStyle w:val="NoSpacing"/>
              <w:rPr>
                <w:rFonts w:cstheme="minorHAnsi"/>
                <w:sz w:val="20"/>
                <w:szCs w:val="20"/>
              </w:rPr>
            </w:pPr>
          </w:p>
        </w:tc>
        <w:tc>
          <w:tcPr>
            <w:tcW w:w="455" w:type="pct"/>
            <w:hideMark/>
          </w:tcPr>
          <w:p w14:paraId="46EC7166" w14:textId="77777777" w:rsidR="00A4606E" w:rsidRPr="00923237" w:rsidRDefault="00A4606E" w:rsidP="00F31DC2">
            <w:pPr>
              <w:pStyle w:val="NoSpacing"/>
              <w:rPr>
                <w:rFonts w:cstheme="minorHAnsi"/>
                <w:sz w:val="20"/>
                <w:szCs w:val="20"/>
              </w:rPr>
            </w:pPr>
          </w:p>
        </w:tc>
        <w:tc>
          <w:tcPr>
            <w:tcW w:w="432" w:type="pct"/>
            <w:hideMark/>
          </w:tcPr>
          <w:p w14:paraId="77C71F7B" w14:textId="77777777" w:rsidR="00A4606E" w:rsidRPr="00923237" w:rsidRDefault="00A4606E" w:rsidP="00F31DC2">
            <w:pPr>
              <w:pStyle w:val="NoSpacing"/>
              <w:rPr>
                <w:rFonts w:cstheme="minorHAnsi"/>
                <w:sz w:val="20"/>
                <w:szCs w:val="20"/>
              </w:rPr>
            </w:pPr>
          </w:p>
        </w:tc>
        <w:tc>
          <w:tcPr>
            <w:tcW w:w="432" w:type="pct"/>
            <w:hideMark/>
          </w:tcPr>
          <w:p w14:paraId="2D0FB230" w14:textId="77777777" w:rsidR="00A4606E" w:rsidRPr="00923237" w:rsidRDefault="00A4606E" w:rsidP="00F31DC2">
            <w:pPr>
              <w:pStyle w:val="NoSpacing"/>
              <w:rPr>
                <w:rFonts w:cstheme="minorHAnsi"/>
                <w:sz w:val="20"/>
                <w:szCs w:val="20"/>
              </w:rPr>
            </w:pPr>
          </w:p>
        </w:tc>
        <w:tc>
          <w:tcPr>
            <w:tcW w:w="432" w:type="pct"/>
            <w:hideMark/>
          </w:tcPr>
          <w:p w14:paraId="4E33A2B2" w14:textId="77777777" w:rsidR="00A4606E" w:rsidRPr="00923237" w:rsidRDefault="00A4606E" w:rsidP="00F31DC2">
            <w:pPr>
              <w:pStyle w:val="NoSpacing"/>
              <w:rPr>
                <w:rFonts w:cstheme="minorHAnsi"/>
                <w:sz w:val="20"/>
                <w:szCs w:val="20"/>
              </w:rPr>
            </w:pPr>
          </w:p>
        </w:tc>
        <w:tc>
          <w:tcPr>
            <w:tcW w:w="475" w:type="pct"/>
            <w:hideMark/>
          </w:tcPr>
          <w:p w14:paraId="2DF5568A" w14:textId="77777777" w:rsidR="00A4606E" w:rsidRPr="00923237" w:rsidRDefault="00A4606E" w:rsidP="00F31DC2">
            <w:pPr>
              <w:pStyle w:val="NoSpacing"/>
              <w:rPr>
                <w:rFonts w:cstheme="minorHAnsi"/>
                <w:sz w:val="20"/>
                <w:szCs w:val="20"/>
              </w:rPr>
            </w:pPr>
            <w:r w:rsidRPr="00923237">
              <w:rPr>
                <w:rFonts w:cstheme="minorHAnsi"/>
                <w:sz w:val="20"/>
                <w:szCs w:val="20"/>
              </w:rPr>
              <w:t>[0.233]</w:t>
            </w:r>
          </w:p>
        </w:tc>
        <w:tc>
          <w:tcPr>
            <w:tcW w:w="432" w:type="pct"/>
            <w:hideMark/>
          </w:tcPr>
          <w:p w14:paraId="3805B7BC" w14:textId="77777777" w:rsidR="00A4606E" w:rsidRPr="00923237" w:rsidRDefault="00A4606E" w:rsidP="00F31DC2">
            <w:pPr>
              <w:pStyle w:val="NoSpacing"/>
              <w:rPr>
                <w:rFonts w:cstheme="minorHAnsi"/>
                <w:sz w:val="20"/>
                <w:szCs w:val="20"/>
              </w:rPr>
            </w:pPr>
            <w:r w:rsidRPr="00923237">
              <w:rPr>
                <w:rFonts w:cstheme="minorHAnsi"/>
                <w:sz w:val="20"/>
                <w:szCs w:val="20"/>
              </w:rPr>
              <w:t>[0.356]</w:t>
            </w:r>
          </w:p>
        </w:tc>
        <w:tc>
          <w:tcPr>
            <w:tcW w:w="432" w:type="pct"/>
            <w:hideMark/>
          </w:tcPr>
          <w:p w14:paraId="4E668BB3" w14:textId="77777777" w:rsidR="00A4606E" w:rsidRPr="00923237" w:rsidRDefault="00A4606E" w:rsidP="00F31DC2">
            <w:pPr>
              <w:pStyle w:val="NoSpacing"/>
              <w:rPr>
                <w:rFonts w:cstheme="minorHAnsi"/>
                <w:sz w:val="20"/>
                <w:szCs w:val="20"/>
              </w:rPr>
            </w:pPr>
            <w:r w:rsidRPr="00923237">
              <w:rPr>
                <w:rFonts w:cstheme="minorHAnsi"/>
                <w:sz w:val="20"/>
                <w:szCs w:val="20"/>
              </w:rPr>
              <w:t>[0.192]</w:t>
            </w:r>
          </w:p>
        </w:tc>
        <w:tc>
          <w:tcPr>
            <w:tcW w:w="432" w:type="pct"/>
            <w:hideMark/>
          </w:tcPr>
          <w:p w14:paraId="4F0A3B27" w14:textId="77777777" w:rsidR="00A4606E" w:rsidRPr="00923237" w:rsidRDefault="00A4606E" w:rsidP="00F31DC2">
            <w:pPr>
              <w:pStyle w:val="NoSpacing"/>
              <w:rPr>
                <w:rFonts w:cstheme="minorHAnsi"/>
                <w:sz w:val="20"/>
                <w:szCs w:val="20"/>
              </w:rPr>
            </w:pPr>
            <w:r w:rsidRPr="00923237">
              <w:rPr>
                <w:rFonts w:cstheme="minorHAnsi"/>
                <w:sz w:val="20"/>
                <w:szCs w:val="20"/>
              </w:rPr>
              <w:t>[0.288]</w:t>
            </w:r>
          </w:p>
        </w:tc>
      </w:tr>
      <w:tr w:rsidR="00A4606E" w:rsidRPr="00923237" w14:paraId="7F629128" w14:textId="77777777" w:rsidTr="00AB2CF4">
        <w:tc>
          <w:tcPr>
            <w:tcW w:w="1475" w:type="pct"/>
            <w:hideMark/>
          </w:tcPr>
          <w:p w14:paraId="57F245DF" w14:textId="77777777" w:rsidR="00A4606E" w:rsidRPr="00923237" w:rsidRDefault="00A4606E" w:rsidP="00F31DC2">
            <w:pPr>
              <w:pStyle w:val="NoSpacing"/>
              <w:rPr>
                <w:rFonts w:cstheme="minorHAnsi"/>
                <w:sz w:val="20"/>
                <w:szCs w:val="20"/>
              </w:rPr>
            </w:pPr>
            <w:proofErr w:type="gramStart"/>
            <w:r w:rsidRPr="00923237">
              <w:rPr>
                <w:rFonts w:cstheme="minorHAnsi"/>
                <w:sz w:val="20"/>
                <w:szCs w:val="20"/>
              </w:rPr>
              <w:t>Ln(</w:t>
            </w:r>
            <w:proofErr w:type="gramEnd"/>
            <w:r w:rsidRPr="00923237">
              <w:rPr>
                <w:rFonts w:cstheme="minorHAnsi"/>
                <w:sz w:val="20"/>
                <w:szCs w:val="20"/>
              </w:rPr>
              <w:t>total assets)</w:t>
            </w:r>
          </w:p>
        </w:tc>
        <w:tc>
          <w:tcPr>
            <w:tcW w:w="455" w:type="pct"/>
            <w:hideMark/>
          </w:tcPr>
          <w:p w14:paraId="046F704E" w14:textId="77777777" w:rsidR="00A4606E" w:rsidRPr="00923237" w:rsidRDefault="00A4606E" w:rsidP="00F31DC2">
            <w:pPr>
              <w:pStyle w:val="NoSpacing"/>
              <w:rPr>
                <w:rFonts w:cstheme="minorHAnsi"/>
                <w:sz w:val="20"/>
                <w:szCs w:val="20"/>
              </w:rPr>
            </w:pPr>
            <w:r w:rsidRPr="00923237">
              <w:rPr>
                <w:rFonts w:cstheme="minorHAnsi"/>
                <w:sz w:val="20"/>
                <w:szCs w:val="20"/>
              </w:rPr>
              <w:t>−0.0823**</w:t>
            </w:r>
          </w:p>
        </w:tc>
        <w:tc>
          <w:tcPr>
            <w:tcW w:w="432" w:type="pct"/>
            <w:hideMark/>
          </w:tcPr>
          <w:p w14:paraId="42341037" w14:textId="77777777" w:rsidR="00A4606E" w:rsidRPr="00923237" w:rsidRDefault="00A4606E" w:rsidP="00F31DC2">
            <w:pPr>
              <w:pStyle w:val="NoSpacing"/>
              <w:rPr>
                <w:rFonts w:cstheme="minorHAnsi"/>
                <w:sz w:val="20"/>
                <w:szCs w:val="20"/>
              </w:rPr>
            </w:pPr>
            <w:r w:rsidRPr="00923237">
              <w:rPr>
                <w:rFonts w:cstheme="minorHAnsi"/>
                <w:sz w:val="20"/>
                <w:szCs w:val="20"/>
              </w:rPr>
              <w:t>−0.0746**</w:t>
            </w:r>
          </w:p>
        </w:tc>
        <w:tc>
          <w:tcPr>
            <w:tcW w:w="432" w:type="pct"/>
            <w:hideMark/>
          </w:tcPr>
          <w:p w14:paraId="625EEA71" w14:textId="77777777" w:rsidR="00A4606E" w:rsidRPr="00923237" w:rsidRDefault="00A4606E" w:rsidP="00F31DC2">
            <w:pPr>
              <w:pStyle w:val="NoSpacing"/>
              <w:rPr>
                <w:rFonts w:cstheme="minorHAnsi"/>
                <w:sz w:val="20"/>
                <w:szCs w:val="20"/>
              </w:rPr>
            </w:pPr>
            <w:r w:rsidRPr="00923237">
              <w:rPr>
                <w:rFonts w:cstheme="minorHAnsi"/>
                <w:sz w:val="20"/>
                <w:szCs w:val="20"/>
              </w:rPr>
              <w:t>−0.094***</w:t>
            </w:r>
          </w:p>
        </w:tc>
        <w:tc>
          <w:tcPr>
            <w:tcW w:w="432" w:type="pct"/>
            <w:hideMark/>
          </w:tcPr>
          <w:p w14:paraId="6E54D06F" w14:textId="77777777" w:rsidR="00A4606E" w:rsidRPr="00923237" w:rsidRDefault="00A4606E" w:rsidP="00F31DC2">
            <w:pPr>
              <w:pStyle w:val="NoSpacing"/>
              <w:rPr>
                <w:rFonts w:cstheme="minorHAnsi"/>
                <w:sz w:val="20"/>
                <w:szCs w:val="20"/>
              </w:rPr>
            </w:pPr>
            <w:r w:rsidRPr="00923237">
              <w:rPr>
                <w:rFonts w:cstheme="minorHAnsi"/>
                <w:sz w:val="20"/>
                <w:szCs w:val="20"/>
              </w:rPr>
              <w:t>−0.085***</w:t>
            </w:r>
          </w:p>
        </w:tc>
        <w:tc>
          <w:tcPr>
            <w:tcW w:w="475" w:type="pct"/>
            <w:hideMark/>
          </w:tcPr>
          <w:p w14:paraId="46CD14EE" w14:textId="77777777" w:rsidR="00A4606E" w:rsidRPr="00923237" w:rsidRDefault="00A4606E" w:rsidP="00F31DC2">
            <w:pPr>
              <w:pStyle w:val="NoSpacing"/>
              <w:rPr>
                <w:rFonts w:cstheme="minorHAnsi"/>
                <w:sz w:val="20"/>
                <w:szCs w:val="20"/>
              </w:rPr>
            </w:pPr>
            <w:r w:rsidRPr="00923237">
              <w:rPr>
                <w:rFonts w:cstheme="minorHAnsi"/>
                <w:sz w:val="20"/>
                <w:szCs w:val="20"/>
              </w:rPr>
              <w:t>−0.0565</w:t>
            </w:r>
          </w:p>
        </w:tc>
        <w:tc>
          <w:tcPr>
            <w:tcW w:w="432" w:type="pct"/>
            <w:hideMark/>
          </w:tcPr>
          <w:p w14:paraId="44A8C9CC" w14:textId="77777777" w:rsidR="00A4606E" w:rsidRPr="00923237" w:rsidRDefault="00A4606E" w:rsidP="00F31DC2">
            <w:pPr>
              <w:pStyle w:val="NoSpacing"/>
              <w:rPr>
                <w:rFonts w:cstheme="minorHAnsi"/>
                <w:sz w:val="20"/>
                <w:szCs w:val="20"/>
              </w:rPr>
            </w:pPr>
            <w:r w:rsidRPr="00923237">
              <w:rPr>
                <w:rFonts w:cstheme="minorHAnsi"/>
                <w:sz w:val="20"/>
                <w:szCs w:val="20"/>
              </w:rPr>
              <w:t>−0.0236</w:t>
            </w:r>
          </w:p>
        </w:tc>
        <w:tc>
          <w:tcPr>
            <w:tcW w:w="432" w:type="pct"/>
            <w:hideMark/>
          </w:tcPr>
          <w:p w14:paraId="1A528110" w14:textId="77777777" w:rsidR="00A4606E" w:rsidRPr="00923237" w:rsidRDefault="00A4606E" w:rsidP="00F31DC2">
            <w:pPr>
              <w:pStyle w:val="NoSpacing"/>
              <w:rPr>
                <w:rFonts w:cstheme="minorHAnsi"/>
                <w:sz w:val="20"/>
                <w:szCs w:val="20"/>
              </w:rPr>
            </w:pPr>
            <w:r w:rsidRPr="00923237">
              <w:rPr>
                <w:rFonts w:cstheme="minorHAnsi"/>
                <w:sz w:val="20"/>
                <w:szCs w:val="20"/>
              </w:rPr>
              <w:t>−0.0588</w:t>
            </w:r>
          </w:p>
        </w:tc>
        <w:tc>
          <w:tcPr>
            <w:tcW w:w="432" w:type="pct"/>
            <w:hideMark/>
          </w:tcPr>
          <w:p w14:paraId="6A2DF024" w14:textId="77777777" w:rsidR="00A4606E" w:rsidRPr="00923237" w:rsidRDefault="00A4606E" w:rsidP="00F31DC2">
            <w:pPr>
              <w:pStyle w:val="NoSpacing"/>
              <w:rPr>
                <w:rFonts w:cstheme="minorHAnsi"/>
                <w:sz w:val="20"/>
                <w:szCs w:val="20"/>
              </w:rPr>
            </w:pPr>
            <w:r w:rsidRPr="00923237">
              <w:rPr>
                <w:rFonts w:cstheme="minorHAnsi"/>
                <w:sz w:val="20"/>
                <w:szCs w:val="20"/>
              </w:rPr>
              <w:t>−0.0239</w:t>
            </w:r>
          </w:p>
        </w:tc>
      </w:tr>
      <w:tr w:rsidR="00A4606E" w:rsidRPr="00923237" w14:paraId="76DAA3D3" w14:textId="77777777" w:rsidTr="00AB2CF4">
        <w:tc>
          <w:tcPr>
            <w:tcW w:w="1475" w:type="pct"/>
            <w:hideMark/>
          </w:tcPr>
          <w:p w14:paraId="0367A3F2" w14:textId="77777777" w:rsidR="00A4606E" w:rsidRPr="00923237" w:rsidRDefault="00A4606E" w:rsidP="00F31DC2">
            <w:pPr>
              <w:pStyle w:val="NoSpacing"/>
              <w:rPr>
                <w:rFonts w:cstheme="minorHAnsi"/>
                <w:sz w:val="20"/>
                <w:szCs w:val="20"/>
              </w:rPr>
            </w:pPr>
          </w:p>
        </w:tc>
        <w:tc>
          <w:tcPr>
            <w:tcW w:w="455" w:type="pct"/>
            <w:hideMark/>
          </w:tcPr>
          <w:p w14:paraId="3A092A7F" w14:textId="77777777" w:rsidR="00A4606E" w:rsidRPr="00923237" w:rsidRDefault="00A4606E" w:rsidP="00F31DC2">
            <w:pPr>
              <w:pStyle w:val="NoSpacing"/>
              <w:rPr>
                <w:rFonts w:cstheme="minorHAnsi"/>
                <w:sz w:val="20"/>
                <w:szCs w:val="20"/>
              </w:rPr>
            </w:pPr>
            <w:r w:rsidRPr="00923237">
              <w:rPr>
                <w:rFonts w:cstheme="minorHAnsi"/>
                <w:sz w:val="20"/>
                <w:szCs w:val="20"/>
              </w:rPr>
              <w:t>[0.010]</w:t>
            </w:r>
          </w:p>
        </w:tc>
        <w:tc>
          <w:tcPr>
            <w:tcW w:w="432" w:type="pct"/>
            <w:hideMark/>
          </w:tcPr>
          <w:p w14:paraId="0CB00ABA" w14:textId="77777777" w:rsidR="00A4606E" w:rsidRPr="00923237" w:rsidRDefault="00A4606E" w:rsidP="00F31DC2">
            <w:pPr>
              <w:pStyle w:val="NoSpacing"/>
              <w:rPr>
                <w:rFonts w:cstheme="minorHAnsi"/>
                <w:sz w:val="20"/>
                <w:szCs w:val="20"/>
              </w:rPr>
            </w:pPr>
            <w:r w:rsidRPr="00923237">
              <w:rPr>
                <w:rFonts w:cstheme="minorHAnsi"/>
                <w:sz w:val="20"/>
                <w:szCs w:val="20"/>
              </w:rPr>
              <w:t>[0.017]</w:t>
            </w:r>
          </w:p>
        </w:tc>
        <w:tc>
          <w:tcPr>
            <w:tcW w:w="432" w:type="pct"/>
            <w:hideMark/>
          </w:tcPr>
          <w:p w14:paraId="58984B13" w14:textId="77777777" w:rsidR="00A4606E" w:rsidRPr="00923237" w:rsidRDefault="00A4606E" w:rsidP="00F31DC2">
            <w:pPr>
              <w:pStyle w:val="NoSpacing"/>
              <w:rPr>
                <w:rFonts w:cstheme="minorHAnsi"/>
                <w:sz w:val="20"/>
                <w:szCs w:val="20"/>
              </w:rPr>
            </w:pPr>
            <w:r w:rsidRPr="00923237">
              <w:rPr>
                <w:rFonts w:cstheme="minorHAnsi"/>
                <w:sz w:val="20"/>
                <w:szCs w:val="20"/>
              </w:rPr>
              <w:t>[0.004]</w:t>
            </w:r>
          </w:p>
        </w:tc>
        <w:tc>
          <w:tcPr>
            <w:tcW w:w="432" w:type="pct"/>
            <w:hideMark/>
          </w:tcPr>
          <w:p w14:paraId="6584F902" w14:textId="77777777" w:rsidR="00A4606E" w:rsidRPr="00923237" w:rsidRDefault="00A4606E" w:rsidP="00F31DC2">
            <w:pPr>
              <w:pStyle w:val="NoSpacing"/>
              <w:rPr>
                <w:rFonts w:cstheme="minorHAnsi"/>
                <w:sz w:val="20"/>
                <w:szCs w:val="20"/>
              </w:rPr>
            </w:pPr>
            <w:r w:rsidRPr="00923237">
              <w:rPr>
                <w:rFonts w:cstheme="minorHAnsi"/>
                <w:sz w:val="20"/>
                <w:szCs w:val="20"/>
              </w:rPr>
              <w:t>[0.007]</w:t>
            </w:r>
          </w:p>
        </w:tc>
        <w:tc>
          <w:tcPr>
            <w:tcW w:w="475" w:type="pct"/>
            <w:hideMark/>
          </w:tcPr>
          <w:p w14:paraId="3951AB27" w14:textId="77777777" w:rsidR="00A4606E" w:rsidRPr="00923237" w:rsidRDefault="00A4606E" w:rsidP="00F31DC2">
            <w:pPr>
              <w:pStyle w:val="NoSpacing"/>
              <w:rPr>
                <w:rFonts w:cstheme="minorHAnsi"/>
                <w:sz w:val="20"/>
                <w:szCs w:val="20"/>
              </w:rPr>
            </w:pPr>
            <w:r w:rsidRPr="00923237">
              <w:rPr>
                <w:rFonts w:cstheme="minorHAnsi"/>
                <w:sz w:val="20"/>
                <w:szCs w:val="20"/>
              </w:rPr>
              <w:t>[0.146]</w:t>
            </w:r>
          </w:p>
        </w:tc>
        <w:tc>
          <w:tcPr>
            <w:tcW w:w="432" w:type="pct"/>
            <w:hideMark/>
          </w:tcPr>
          <w:p w14:paraId="0D1FC074" w14:textId="77777777" w:rsidR="00A4606E" w:rsidRPr="00923237" w:rsidRDefault="00A4606E" w:rsidP="00F31DC2">
            <w:pPr>
              <w:pStyle w:val="NoSpacing"/>
              <w:rPr>
                <w:rFonts w:cstheme="minorHAnsi"/>
                <w:sz w:val="20"/>
                <w:szCs w:val="20"/>
              </w:rPr>
            </w:pPr>
            <w:r w:rsidRPr="00923237">
              <w:rPr>
                <w:rFonts w:cstheme="minorHAnsi"/>
                <w:sz w:val="20"/>
                <w:szCs w:val="20"/>
              </w:rPr>
              <w:t>[0.704]</w:t>
            </w:r>
          </w:p>
        </w:tc>
        <w:tc>
          <w:tcPr>
            <w:tcW w:w="432" w:type="pct"/>
            <w:hideMark/>
          </w:tcPr>
          <w:p w14:paraId="1626C7FB" w14:textId="77777777" w:rsidR="00A4606E" w:rsidRPr="00923237" w:rsidRDefault="00A4606E" w:rsidP="00F31DC2">
            <w:pPr>
              <w:pStyle w:val="NoSpacing"/>
              <w:rPr>
                <w:rFonts w:cstheme="minorHAnsi"/>
                <w:sz w:val="20"/>
                <w:szCs w:val="20"/>
              </w:rPr>
            </w:pPr>
            <w:r w:rsidRPr="00923237">
              <w:rPr>
                <w:rFonts w:cstheme="minorHAnsi"/>
                <w:sz w:val="20"/>
                <w:szCs w:val="20"/>
              </w:rPr>
              <w:t>[0.167]</w:t>
            </w:r>
          </w:p>
        </w:tc>
        <w:tc>
          <w:tcPr>
            <w:tcW w:w="432" w:type="pct"/>
            <w:hideMark/>
          </w:tcPr>
          <w:p w14:paraId="68D2B79B" w14:textId="77777777" w:rsidR="00A4606E" w:rsidRPr="00923237" w:rsidRDefault="00A4606E" w:rsidP="00F31DC2">
            <w:pPr>
              <w:pStyle w:val="NoSpacing"/>
              <w:rPr>
                <w:rFonts w:cstheme="minorHAnsi"/>
                <w:sz w:val="20"/>
                <w:szCs w:val="20"/>
              </w:rPr>
            </w:pPr>
            <w:r w:rsidRPr="00923237">
              <w:rPr>
                <w:rFonts w:cstheme="minorHAnsi"/>
                <w:sz w:val="20"/>
                <w:szCs w:val="20"/>
              </w:rPr>
              <w:t>[0.724]</w:t>
            </w:r>
          </w:p>
        </w:tc>
      </w:tr>
      <w:tr w:rsidR="00A4606E" w:rsidRPr="00923237" w14:paraId="2844A53A" w14:textId="77777777" w:rsidTr="00AB2CF4">
        <w:tc>
          <w:tcPr>
            <w:tcW w:w="1475" w:type="pct"/>
            <w:hideMark/>
          </w:tcPr>
          <w:p w14:paraId="3CCBD2C8" w14:textId="77777777" w:rsidR="00A4606E" w:rsidRPr="00923237" w:rsidRDefault="00A4606E" w:rsidP="00F31DC2">
            <w:pPr>
              <w:pStyle w:val="NoSpacing"/>
              <w:rPr>
                <w:rFonts w:cstheme="minorHAnsi"/>
                <w:sz w:val="20"/>
                <w:szCs w:val="20"/>
              </w:rPr>
            </w:pPr>
            <w:r w:rsidRPr="00923237">
              <w:rPr>
                <w:rFonts w:cstheme="minorHAnsi"/>
                <w:sz w:val="20"/>
                <w:szCs w:val="20"/>
              </w:rPr>
              <w:t>Firm Q</w:t>
            </w:r>
          </w:p>
        </w:tc>
        <w:tc>
          <w:tcPr>
            <w:tcW w:w="455" w:type="pct"/>
            <w:hideMark/>
          </w:tcPr>
          <w:p w14:paraId="726229AE" w14:textId="77777777" w:rsidR="00A4606E" w:rsidRPr="00923237" w:rsidRDefault="00A4606E" w:rsidP="00F31DC2">
            <w:pPr>
              <w:pStyle w:val="NoSpacing"/>
              <w:rPr>
                <w:rFonts w:cstheme="minorHAnsi"/>
                <w:sz w:val="20"/>
                <w:szCs w:val="20"/>
              </w:rPr>
            </w:pPr>
            <w:r w:rsidRPr="00923237">
              <w:rPr>
                <w:rFonts w:cstheme="minorHAnsi"/>
                <w:sz w:val="20"/>
                <w:szCs w:val="20"/>
              </w:rPr>
              <w:t>0.0142*</w:t>
            </w:r>
          </w:p>
        </w:tc>
        <w:tc>
          <w:tcPr>
            <w:tcW w:w="432" w:type="pct"/>
            <w:hideMark/>
          </w:tcPr>
          <w:p w14:paraId="3AE5EF0C" w14:textId="77777777" w:rsidR="00A4606E" w:rsidRPr="00923237" w:rsidRDefault="00A4606E" w:rsidP="00F31DC2">
            <w:pPr>
              <w:pStyle w:val="NoSpacing"/>
              <w:rPr>
                <w:rFonts w:cstheme="minorHAnsi"/>
                <w:sz w:val="20"/>
                <w:szCs w:val="20"/>
              </w:rPr>
            </w:pPr>
            <w:r w:rsidRPr="00923237">
              <w:rPr>
                <w:rFonts w:cstheme="minorHAnsi"/>
                <w:sz w:val="20"/>
                <w:szCs w:val="20"/>
              </w:rPr>
              <w:t>0.0218</w:t>
            </w:r>
          </w:p>
        </w:tc>
        <w:tc>
          <w:tcPr>
            <w:tcW w:w="432" w:type="pct"/>
            <w:hideMark/>
          </w:tcPr>
          <w:p w14:paraId="22107C7F" w14:textId="77777777" w:rsidR="00A4606E" w:rsidRPr="00923237" w:rsidRDefault="00A4606E" w:rsidP="00F31DC2">
            <w:pPr>
              <w:pStyle w:val="NoSpacing"/>
              <w:rPr>
                <w:rFonts w:cstheme="minorHAnsi"/>
                <w:sz w:val="20"/>
                <w:szCs w:val="20"/>
              </w:rPr>
            </w:pPr>
            <w:r w:rsidRPr="00923237">
              <w:rPr>
                <w:rFonts w:cstheme="minorHAnsi"/>
                <w:sz w:val="20"/>
                <w:szCs w:val="20"/>
              </w:rPr>
              <w:t>0.047</w:t>
            </w:r>
          </w:p>
        </w:tc>
        <w:tc>
          <w:tcPr>
            <w:tcW w:w="432" w:type="pct"/>
            <w:hideMark/>
          </w:tcPr>
          <w:p w14:paraId="6D84E582" w14:textId="77777777" w:rsidR="00A4606E" w:rsidRPr="00923237" w:rsidRDefault="00A4606E" w:rsidP="00F31DC2">
            <w:pPr>
              <w:pStyle w:val="NoSpacing"/>
              <w:rPr>
                <w:rFonts w:cstheme="minorHAnsi"/>
                <w:sz w:val="20"/>
                <w:szCs w:val="20"/>
              </w:rPr>
            </w:pPr>
            <w:r w:rsidRPr="00923237">
              <w:rPr>
                <w:rFonts w:cstheme="minorHAnsi"/>
                <w:sz w:val="20"/>
                <w:szCs w:val="20"/>
              </w:rPr>
              <w:t>0.0516</w:t>
            </w:r>
          </w:p>
        </w:tc>
        <w:tc>
          <w:tcPr>
            <w:tcW w:w="475" w:type="pct"/>
            <w:hideMark/>
          </w:tcPr>
          <w:p w14:paraId="1E65901C" w14:textId="77777777" w:rsidR="00A4606E" w:rsidRPr="00923237" w:rsidRDefault="00A4606E" w:rsidP="00F31DC2">
            <w:pPr>
              <w:pStyle w:val="NoSpacing"/>
              <w:rPr>
                <w:rFonts w:cstheme="minorHAnsi"/>
                <w:sz w:val="20"/>
                <w:szCs w:val="20"/>
              </w:rPr>
            </w:pPr>
            <w:r w:rsidRPr="00923237">
              <w:rPr>
                <w:rFonts w:cstheme="minorHAnsi"/>
                <w:sz w:val="20"/>
                <w:szCs w:val="20"/>
              </w:rPr>
              <w:t>0.0293</w:t>
            </w:r>
          </w:p>
        </w:tc>
        <w:tc>
          <w:tcPr>
            <w:tcW w:w="432" w:type="pct"/>
            <w:hideMark/>
          </w:tcPr>
          <w:p w14:paraId="39563A98" w14:textId="77777777" w:rsidR="00A4606E" w:rsidRPr="00923237" w:rsidRDefault="00A4606E" w:rsidP="00F31DC2">
            <w:pPr>
              <w:pStyle w:val="NoSpacing"/>
              <w:rPr>
                <w:rFonts w:cstheme="minorHAnsi"/>
                <w:sz w:val="20"/>
                <w:szCs w:val="20"/>
              </w:rPr>
            </w:pPr>
            <w:r w:rsidRPr="00923237">
              <w:rPr>
                <w:rFonts w:cstheme="minorHAnsi"/>
                <w:sz w:val="20"/>
                <w:szCs w:val="20"/>
              </w:rPr>
              <w:t>0.0103</w:t>
            </w:r>
          </w:p>
        </w:tc>
        <w:tc>
          <w:tcPr>
            <w:tcW w:w="432" w:type="pct"/>
            <w:hideMark/>
          </w:tcPr>
          <w:p w14:paraId="3C12AA71" w14:textId="77777777" w:rsidR="00A4606E" w:rsidRPr="00923237" w:rsidRDefault="00A4606E" w:rsidP="00F31DC2">
            <w:pPr>
              <w:pStyle w:val="NoSpacing"/>
              <w:rPr>
                <w:rFonts w:cstheme="minorHAnsi"/>
                <w:sz w:val="20"/>
                <w:szCs w:val="20"/>
              </w:rPr>
            </w:pPr>
            <w:r w:rsidRPr="00923237">
              <w:rPr>
                <w:rFonts w:cstheme="minorHAnsi"/>
                <w:sz w:val="20"/>
                <w:szCs w:val="20"/>
              </w:rPr>
              <w:t>0.0524</w:t>
            </w:r>
          </w:p>
        </w:tc>
        <w:tc>
          <w:tcPr>
            <w:tcW w:w="432" w:type="pct"/>
            <w:hideMark/>
          </w:tcPr>
          <w:p w14:paraId="332186FF" w14:textId="77777777" w:rsidR="00A4606E" w:rsidRPr="00923237" w:rsidRDefault="00A4606E" w:rsidP="00F31DC2">
            <w:pPr>
              <w:pStyle w:val="NoSpacing"/>
              <w:rPr>
                <w:rFonts w:cstheme="minorHAnsi"/>
                <w:sz w:val="20"/>
                <w:szCs w:val="20"/>
              </w:rPr>
            </w:pPr>
            <w:r w:rsidRPr="00923237">
              <w:rPr>
                <w:rFonts w:cstheme="minorHAnsi"/>
                <w:sz w:val="20"/>
                <w:szCs w:val="20"/>
              </w:rPr>
              <w:t>0.0442</w:t>
            </w:r>
          </w:p>
        </w:tc>
      </w:tr>
      <w:tr w:rsidR="00A4606E" w:rsidRPr="00923237" w14:paraId="5C1BE52C" w14:textId="77777777" w:rsidTr="00AB2CF4">
        <w:tc>
          <w:tcPr>
            <w:tcW w:w="1475" w:type="pct"/>
            <w:hideMark/>
          </w:tcPr>
          <w:p w14:paraId="6C836B93" w14:textId="77777777" w:rsidR="00A4606E" w:rsidRPr="00923237" w:rsidRDefault="00A4606E" w:rsidP="00F31DC2">
            <w:pPr>
              <w:pStyle w:val="NoSpacing"/>
              <w:rPr>
                <w:rFonts w:cstheme="minorHAnsi"/>
                <w:sz w:val="20"/>
                <w:szCs w:val="20"/>
              </w:rPr>
            </w:pPr>
          </w:p>
        </w:tc>
        <w:tc>
          <w:tcPr>
            <w:tcW w:w="455" w:type="pct"/>
            <w:hideMark/>
          </w:tcPr>
          <w:p w14:paraId="08C2C783" w14:textId="77777777" w:rsidR="00A4606E" w:rsidRPr="00923237" w:rsidRDefault="00A4606E" w:rsidP="00F31DC2">
            <w:pPr>
              <w:pStyle w:val="NoSpacing"/>
              <w:rPr>
                <w:rFonts w:cstheme="minorHAnsi"/>
                <w:sz w:val="20"/>
                <w:szCs w:val="20"/>
              </w:rPr>
            </w:pPr>
            <w:r w:rsidRPr="00923237">
              <w:rPr>
                <w:rFonts w:cstheme="minorHAnsi"/>
                <w:sz w:val="20"/>
                <w:szCs w:val="20"/>
              </w:rPr>
              <w:t>[0.737]</w:t>
            </w:r>
          </w:p>
        </w:tc>
        <w:tc>
          <w:tcPr>
            <w:tcW w:w="432" w:type="pct"/>
            <w:hideMark/>
          </w:tcPr>
          <w:p w14:paraId="336CAFA7" w14:textId="77777777" w:rsidR="00A4606E" w:rsidRPr="00923237" w:rsidRDefault="00A4606E" w:rsidP="00F31DC2">
            <w:pPr>
              <w:pStyle w:val="NoSpacing"/>
              <w:rPr>
                <w:rFonts w:cstheme="minorHAnsi"/>
                <w:sz w:val="20"/>
                <w:szCs w:val="20"/>
              </w:rPr>
            </w:pPr>
            <w:r w:rsidRPr="00923237">
              <w:rPr>
                <w:rFonts w:cstheme="minorHAnsi"/>
                <w:sz w:val="20"/>
                <w:szCs w:val="20"/>
              </w:rPr>
              <w:t>[0.597]</w:t>
            </w:r>
          </w:p>
        </w:tc>
        <w:tc>
          <w:tcPr>
            <w:tcW w:w="432" w:type="pct"/>
            <w:hideMark/>
          </w:tcPr>
          <w:p w14:paraId="6B9B62F2" w14:textId="77777777" w:rsidR="00A4606E" w:rsidRPr="00923237" w:rsidRDefault="00A4606E" w:rsidP="00F31DC2">
            <w:pPr>
              <w:pStyle w:val="NoSpacing"/>
              <w:rPr>
                <w:rFonts w:cstheme="minorHAnsi"/>
                <w:sz w:val="20"/>
                <w:szCs w:val="20"/>
              </w:rPr>
            </w:pPr>
            <w:r w:rsidRPr="00923237">
              <w:rPr>
                <w:rFonts w:cstheme="minorHAnsi"/>
                <w:sz w:val="20"/>
                <w:szCs w:val="20"/>
              </w:rPr>
              <w:t>[0.195]</w:t>
            </w:r>
          </w:p>
        </w:tc>
        <w:tc>
          <w:tcPr>
            <w:tcW w:w="432" w:type="pct"/>
            <w:hideMark/>
          </w:tcPr>
          <w:p w14:paraId="432FD07B" w14:textId="77777777" w:rsidR="00A4606E" w:rsidRPr="00923237" w:rsidRDefault="00A4606E" w:rsidP="00F31DC2">
            <w:pPr>
              <w:pStyle w:val="NoSpacing"/>
              <w:rPr>
                <w:rFonts w:cstheme="minorHAnsi"/>
                <w:sz w:val="20"/>
                <w:szCs w:val="20"/>
              </w:rPr>
            </w:pPr>
            <w:r w:rsidRPr="00923237">
              <w:rPr>
                <w:rFonts w:cstheme="minorHAnsi"/>
                <w:sz w:val="20"/>
                <w:szCs w:val="20"/>
              </w:rPr>
              <w:t>[0.146]</w:t>
            </w:r>
          </w:p>
        </w:tc>
        <w:tc>
          <w:tcPr>
            <w:tcW w:w="475" w:type="pct"/>
            <w:hideMark/>
          </w:tcPr>
          <w:p w14:paraId="1C5DCE2F" w14:textId="77777777" w:rsidR="00A4606E" w:rsidRPr="00923237" w:rsidRDefault="00A4606E" w:rsidP="00F31DC2">
            <w:pPr>
              <w:pStyle w:val="NoSpacing"/>
              <w:rPr>
                <w:rFonts w:cstheme="minorHAnsi"/>
                <w:sz w:val="20"/>
                <w:szCs w:val="20"/>
              </w:rPr>
            </w:pPr>
            <w:r w:rsidRPr="00923237">
              <w:rPr>
                <w:rFonts w:cstheme="minorHAnsi"/>
                <w:sz w:val="20"/>
                <w:szCs w:val="20"/>
              </w:rPr>
              <w:t>[0.528]</w:t>
            </w:r>
          </w:p>
        </w:tc>
        <w:tc>
          <w:tcPr>
            <w:tcW w:w="432" w:type="pct"/>
            <w:hideMark/>
          </w:tcPr>
          <w:p w14:paraId="55BBB033" w14:textId="77777777" w:rsidR="00A4606E" w:rsidRPr="00923237" w:rsidRDefault="00A4606E" w:rsidP="00F31DC2">
            <w:pPr>
              <w:pStyle w:val="NoSpacing"/>
              <w:rPr>
                <w:rFonts w:cstheme="minorHAnsi"/>
                <w:sz w:val="20"/>
                <w:szCs w:val="20"/>
              </w:rPr>
            </w:pPr>
            <w:r w:rsidRPr="00923237">
              <w:rPr>
                <w:rFonts w:cstheme="minorHAnsi"/>
                <w:sz w:val="20"/>
                <w:szCs w:val="20"/>
              </w:rPr>
              <w:t>[0.822]</w:t>
            </w:r>
          </w:p>
        </w:tc>
        <w:tc>
          <w:tcPr>
            <w:tcW w:w="432" w:type="pct"/>
            <w:hideMark/>
          </w:tcPr>
          <w:p w14:paraId="1C63672D" w14:textId="77777777" w:rsidR="00A4606E" w:rsidRPr="00923237" w:rsidRDefault="00A4606E" w:rsidP="00F31DC2">
            <w:pPr>
              <w:pStyle w:val="NoSpacing"/>
              <w:rPr>
                <w:rFonts w:cstheme="minorHAnsi"/>
                <w:sz w:val="20"/>
                <w:szCs w:val="20"/>
              </w:rPr>
            </w:pPr>
            <w:r w:rsidRPr="00923237">
              <w:rPr>
                <w:rFonts w:cstheme="minorHAnsi"/>
                <w:sz w:val="20"/>
                <w:szCs w:val="20"/>
              </w:rPr>
              <w:t>[0.198]</w:t>
            </w:r>
          </w:p>
        </w:tc>
        <w:tc>
          <w:tcPr>
            <w:tcW w:w="432" w:type="pct"/>
            <w:hideMark/>
          </w:tcPr>
          <w:p w14:paraId="2C79EA3D" w14:textId="77777777" w:rsidR="00A4606E" w:rsidRPr="00923237" w:rsidRDefault="00A4606E" w:rsidP="00F31DC2">
            <w:pPr>
              <w:pStyle w:val="NoSpacing"/>
              <w:rPr>
                <w:rFonts w:cstheme="minorHAnsi"/>
                <w:sz w:val="20"/>
                <w:szCs w:val="20"/>
              </w:rPr>
            </w:pPr>
            <w:r w:rsidRPr="00923237">
              <w:rPr>
                <w:rFonts w:cstheme="minorHAnsi"/>
                <w:sz w:val="20"/>
                <w:szCs w:val="20"/>
              </w:rPr>
              <w:t>[0.278]</w:t>
            </w:r>
          </w:p>
        </w:tc>
      </w:tr>
      <w:tr w:rsidR="00A4606E" w:rsidRPr="00923237" w14:paraId="699D22D7" w14:textId="77777777" w:rsidTr="00AB2CF4">
        <w:tc>
          <w:tcPr>
            <w:tcW w:w="1475" w:type="pct"/>
            <w:hideMark/>
          </w:tcPr>
          <w:p w14:paraId="3533BFF9" w14:textId="77777777" w:rsidR="00A4606E" w:rsidRPr="00923237" w:rsidRDefault="00A4606E" w:rsidP="00F31DC2">
            <w:pPr>
              <w:pStyle w:val="NoSpacing"/>
              <w:rPr>
                <w:rFonts w:cstheme="minorHAnsi"/>
                <w:sz w:val="20"/>
                <w:szCs w:val="20"/>
              </w:rPr>
            </w:pPr>
            <w:r w:rsidRPr="00923237">
              <w:rPr>
                <w:rFonts w:cstheme="minorHAnsi"/>
                <w:sz w:val="20"/>
                <w:szCs w:val="20"/>
              </w:rPr>
              <w:t>FFO per share</w:t>
            </w:r>
          </w:p>
        </w:tc>
        <w:tc>
          <w:tcPr>
            <w:tcW w:w="455" w:type="pct"/>
            <w:hideMark/>
          </w:tcPr>
          <w:p w14:paraId="1D587805" w14:textId="77777777" w:rsidR="00A4606E" w:rsidRPr="00923237" w:rsidRDefault="00A4606E" w:rsidP="00F31DC2">
            <w:pPr>
              <w:pStyle w:val="NoSpacing"/>
              <w:rPr>
                <w:rFonts w:cstheme="minorHAnsi"/>
                <w:sz w:val="20"/>
                <w:szCs w:val="20"/>
              </w:rPr>
            </w:pPr>
            <w:r w:rsidRPr="00923237">
              <w:rPr>
                <w:rFonts w:cstheme="minorHAnsi"/>
                <w:sz w:val="20"/>
                <w:szCs w:val="20"/>
              </w:rPr>
              <w:t>−0.0074</w:t>
            </w:r>
          </w:p>
        </w:tc>
        <w:tc>
          <w:tcPr>
            <w:tcW w:w="432" w:type="pct"/>
            <w:hideMark/>
          </w:tcPr>
          <w:p w14:paraId="66011302" w14:textId="77777777" w:rsidR="00A4606E" w:rsidRPr="00923237" w:rsidRDefault="00A4606E" w:rsidP="00F31DC2">
            <w:pPr>
              <w:pStyle w:val="NoSpacing"/>
              <w:rPr>
                <w:rFonts w:cstheme="minorHAnsi"/>
                <w:sz w:val="20"/>
                <w:szCs w:val="20"/>
              </w:rPr>
            </w:pPr>
            <w:r w:rsidRPr="00923237">
              <w:rPr>
                <w:rFonts w:cstheme="minorHAnsi"/>
                <w:sz w:val="20"/>
                <w:szCs w:val="20"/>
              </w:rPr>
              <w:t>−0.0014</w:t>
            </w:r>
          </w:p>
        </w:tc>
        <w:tc>
          <w:tcPr>
            <w:tcW w:w="432" w:type="pct"/>
            <w:hideMark/>
          </w:tcPr>
          <w:p w14:paraId="52432099" w14:textId="77777777" w:rsidR="00A4606E" w:rsidRPr="00923237" w:rsidRDefault="00A4606E" w:rsidP="00F31DC2">
            <w:pPr>
              <w:pStyle w:val="NoSpacing"/>
              <w:rPr>
                <w:rFonts w:cstheme="minorHAnsi"/>
                <w:sz w:val="20"/>
                <w:szCs w:val="20"/>
              </w:rPr>
            </w:pPr>
            <w:r w:rsidRPr="00923237">
              <w:rPr>
                <w:rFonts w:cstheme="minorHAnsi"/>
                <w:sz w:val="20"/>
                <w:szCs w:val="20"/>
              </w:rPr>
              <w:t>−0.0096</w:t>
            </w:r>
          </w:p>
        </w:tc>
        <w:tc>
          <w:tcPr>
            <w:tcW w:w="432" w:type="pct"/>
            <w:hideMark/>
          </w:tcPr>
          <w:p w14:paraId="7446647F" w14:textId="77777777" w:rsidR="00A4606E" w:rsidRPr="00923237" w:rsidRDefault="00A4606E" w:rsidP="00F31DC2">
            <w:pPr>
              <w:pStyle w:val="NoSpacing"/>
              <w:rPr>
                <w:rFonts w:cstheme="minorHAnsi"/>
                <w:sz w:val="20"/>
                <w:szCs w:val="20"/>
              </w:rPr>
            </w:pPr>
            <w:r w:rsidRPr="00923237">
              <w:rPr>
                <w:rFonts w:cstheme="minorHAnsi"/>
                <w:sz w:val="20"/>
                <w:szCs w:val="20"/>
              </w:rPr>
              <w:t>−0.0035</w:t>
            </w:r>
          </w:p>
        </w:tc>
        <w:tc>
          <w:tcPr>
            <w:tcW w:w="475" w:type="pct"/>
            <w:hideMark/>
          </w:tcPr>
          <w:p w14:paraId="4B8A50F3" w14:textId="77777777" w:rsidR="00A4606E" w:rsidRPr="00923237" w:rsidRDefault="00A4606E" w:rsidP="00F31DC2">
            <w:pPr>
              <w:pStyle w:val="NoSpacing"/>
              <w:rPr>
                <w:rFonts w:cstheme="minorHAnsi"/>
                <w:sz w:val="20"/>
                <w:szCs w:val="20"/>
              </w:rPr>
            </w:pPr>
            <w:r w:rsidRPr="00923237">
              <w:rPr>
                <w:rFonts w:cstheme="minorHAnsi"/>
                <w:sz w:val="20"/>
                <w:szCs w:val="20"/>
              </w:rPr>
              <w:t>0.0054</w:t>
            </w:r>
          </w:p>
        </w:tc>
        <w:tc>
          <w:tcPr>
            <w:tcW w:w="432" w:type="pct"/>
            <w:hideMark/>
          </w:tcPr>
          <w:p w14:paraId="14505B03" w14:textId="77777777" w:rsidR="00A4606E" w:rsidRPr="00923237" w:rsidRDefault="00A4606E" w:rsidP="00F31DC2">
            <w:pPr>
              <w:pStyle w:val="NoSpacing"/>
              <w:rPr>
                <w:rFonts w:cstheme="minorHAnsi"/>
                <w:sz w:val="20"/>
                <w:szCs w:val="20"/>
              </w:rPr>
            </w:pPr>
            <w:r w:rsidRPr="00923237">
              <w:rPr>
                <w:rFonts w:cstheme="minorHAnsi"/>
                <w:sz w:val="20"/>
                <w:szCs w:val="20"/>
              </w:rPr>
              <w:t>0.0124</w:t>
            </w:r>
          </w:p>
        </w:tc>
        <w:tc>
          <w:tcPr>
            <w:tcW w:w="432" w:type="pct"/>
            <w:hideMark/>
          </w:tcPr>
          <w:p w14:paraId="69C048AC" w14:textId="77777777" w:rsidR="00A4606E" w:rsidRPr="00923237" w:rsidRDefault="00A4606E" w:rsidP="00F31DC2">
            <w:pPr>
              <w:pStyle w:val="NoSpacing"/>
              <w:rPr>
                <w:rFonts w:cstheme="minorHAnsi"/>
                <w:sz w:val="20"/>
                <w:szCs w:val="20"/>
              </w:rPr>
            </w:pPr>
            <w:r w:rsidRPr="00923237">
              <w:rPr>
                <w:rFonts w:cstheme="minorHAnsi"/>
                <w:sz w:val="20"/>
                <w:szCs w:val="20"/>
              </w:rPr>
              <w:t>0.0072</w:t>
            </w:r>
          </w:p>
        </w:tc>
        <w:tc>
          <w:tcPr>
            <w:tcW w:w="432" w:type="pct"/>
            <w:hideMark/>
          </w:tcPr>
          <w:p w14:paraId="10B0CC5F" w14:textId="77777777" w:rsidR="00A4606E" w:rsidRPr="00923237" w:rsidRDefault="00A4606E" w:rsidP="00F31DC2">
            <w:pPr>
              <w:pStyle w:val="NoSpacing"/>
              <w:rPr>
                <w:rFonts w:cstheme="minorHAnsi"/>
                <w:sz w:val="20"/>
                <w:szCs w:val="20"/>
              </w:rPr>
            </w:pPr>
            <w:r w:rsidRPr="00923237">
              <w:rPr>
                <w:rFonts w:cstheme="minorHAnsi"/>
                <w:sz w:val="20"/>
                <w:szCs w:val="20"/>
              </w:rPr>
              <w:t>0.0142</w:t>
            </w:r>
          </w:p>
        </w:tc>
      </w:tr>
      <w:tr w:rsidR="00A4606E" w:rsidRPr="00923237" w14:paraId="4577DB49" w14:textId="77777777" w:rsidTr="00AB2CF4">
        <w:tc>
          <w:tcPr>
            <w:tcW w:w="1475" w:type="pct"/>
            <w:hideMark/>
          </w:tcPr>
          <w:p w14:paraId="4C4E7323" w14:textId="77777777" w:rsidR="00A4606E" w:rsidRPr="00923237" w:rsidRDefault="00A4606E" w:rsidP="00F31DC2">
            <w:pPr>
              <w:pStyle w:val="NoSpacing"/>
              <w:rPr>
                <w:rFonts w:cstheme="minorHAnsi"/>
                <w:sz w:val="20"/>
                <w:szCs w:val="20"/>
              </w:rPr>
            </w:pPr>
          </w:p>
        </w:tc>
        <w:tc>
          <w:tcPr>
            <w:tcW w:w="455" w:type="pct"/>
            <w:hideMark/>
          </w:tcPr>
          <w:p w14:paraId="78A3E82B" w14:textId="77777777" w:rsidR="00A4606E" w:rsidRPr="00923237" w:rsidRDefault="00A4606E" w:rsidP="00F31DC2">
            <w:pPr>
              <w:pStyle w:val="NoSpacing"/>
              <w:rPr>
                <w:rFonts w:cstheme="minorHAnsi"/>
                <w:sz w:val="20"/>
                <w:szCs w:val="20"/>
              </w:rPr>
            </w:pPr>
            <w:r w:rsidRPr="00923237">
              <w:rPr>
                <w:rFonts w:cstheme="minorHAnsi"/>
                <w:sz w:val="20"/>
                <w:szCs w:val="20"/>
              </w:rPr>
              <w:t>[0.714]</w:t>
            </w:r>
          </w:p>
        </w:tc>
        <w:tc>
          <w:tcPr>
            <w:tcW w:w="432" w:type="pct"/>
            <w:hideMark/>
          </w:tcPr>
          <w:p w14:paraId="430EAD63" w14:textId="77777777" w:rsidR="00A4606E" w:rsidRPr="00923237" w:rsidRDefault="00A4606E" w:rsidP="00F31DC2">
            <w:pPr>
              <w:pStyle w:val="NoSpacing"/>
              <w:rPr>
                <w:rFonts w:cstheme="minorHAnsi"/>
                <w:sz w:val="20"/>
                <w:szCs w:val="20"/>
              </w:rPr>
            </w:pPr>
            <w:r w:rsidRPr="00923237">
              <w:rPr>
                <w:rFonts w:cstheme="minorHAnsi"/>
                <w:sz w:val="20"/>
                <w:szCs w:val="20"/>
              </w:rPr>
              <w:t>[0.942]</w:t>
            </w:r>
          </w:p>
        </w:tc>
        <w:tc>
          <w:tcPr>
            <w:tcW w:w="432" w:type="pct"/>
            <w:hideMark/>
          </w:tcPr>
          <w:p w14:paraId="251E7ADF" w14:textId="77777777" w:rsidR="00A4606E" w:rsidRPr="00923237" w:rsidRDefault="00A4606E" w:rsidP="00F31DC2">
            <w:pPr>
              <w:pStyle w:val="NoSpacing"/>
              <w:rPr>
                <w:rFonts w:cstheme="minorHAnsi"/>
                <w:sz w:val="20"/>
                <w:szCs w:val="20"/>
              </w:rPr>
            </w:pPr>
            <w:r w:rsidRPr="00923237">
              <w:rPr>
                <w:rFonts w:cstheme="minorHAnsi"/>
                <w:sz w:val="20"/>
                <w:szCs w:val="20"/>
              </w:rPr>
              <w:t>[0.63]</w:t>
            </w:r>
          </w:p>
        </w:tc>
        <w:tc>
          <w:tcPr>
            <w:tcW w:w="432" w:type="pct"/>
            <w:hideMark/>
          </w:tcPr>
          <w:p w14:paraId="1D5C7091" w14:textId="77777777" w:rsidR="00A4606E" w:rsidRPr="00923237" w:rsidRDefault="00A4606E" w:rsidP="00F31DC2">
            <w:pPr>
              <w:pStyle w:val="NoSpacing"/>
              <w:rPr>
                <w:rFonts w:cstheme="minorHAnsi"/>
                <w:sz w:val="20"/>
                <w:szCs w:val="20"/>
              </w:rPr>
            </w:pPr>
            <w:r w:rsidRPr="00923237">
              <w:rPr>
                <w:rFonts w:cstheme="minorHAnsi"/>
                <w:sz w:val="20"/>
                <w:szCs w:val="20"/>
              </w:rPr>
              <w:t>[0.859]</w:t>
            </w:r>
          </w:p>
        </w:tc>
        <w:tc>
          <w:tcPr>
            <w:tcW w:w="475" w:type="pct"/>
            <w:hideMark/>
          </w:tcPr>
          <w:p w14:paraId="7E571CF3" w14:textId="77777777" w:rsidR="00A4606E" w:rsidRPr="00923237" w:rsidRDefault="00A4606E" w:rsidP="00F31DC2">
            <w:pPr>
              <w:pStyle w:val="NoSpacing"/>
              <w:rPr>
                <w:rFonts w:cstheme="minorHAnsi"/>
                <w:sz w:val="20"/>
                <w:szCs w:val="20"/>
              </w:rPr>
            </w:pPr>
            <w:r w:rsidRPr="00923237">
              <w:rPr>
                <w:rFonts w:cstheme="minorHAnsi"/>
                <w:sz w:val="20"/>
                <w:szCs w:val="20"/>
              </w:rPr>
              <w:t>[0.808]</w:t>
            </w:r>
          </w:p>
        </w:tc>
        <w:tc>
          <w:tcPr>
            <w:tcW w:w="432" w:type="pct"/>
            <w:hideMark/>
          </w:tcPr>
          <w:p w14:paraId="6EFE91E8" w14:textId="77777777" w:rsidR="00A4606E" w:rsidRPr="00923237" w:rsidRDefault="00A4606E" w:rsidP="00F31DC2">
            <w:pPr>
              <w:pStyle w:val="NoSpacing"/>
              <w:rPr>
                <w:rFonts w:cstheme="minorHAnsi"/>
                <w:sz w:val="20"/>
                <w:szCs w:val="20"/>
              </w:rPr>
            </w:pPr>
            <w:r w:rsidRPr="00923237">
              <w:rPr>
                <w:rFonts w:cstheme="minorHAnsi"/>
                <w:sz w:val="20"/>
                <w:szCs w:val="20"/>
              </w:rPr>
              <w:t>[0.603]</w:t>
            </w:r>
          </w:p>
        </w:tc>
        <w:tc>
          <w:tcPr>
            <w:tcW w:w="432" w:type="pct"/>
            <w:hideMark/>
          </w:tcPr>
          <w:p w14:paraId="37306665" w14:textId="77777777" w:rsidR="00A4606E" w:rsidRPr="00923237" w:rsidRDefault="00A4606E" w:rsidP="00F31DC2">
            <w:pPr>
              <w:pStyle w:val="NoSpacing"/>
              <w:rPr>
                <w:rFonts w:cstheme="minorHAnsi"/>
                <w:sz w:val="20"/>
                <w:szCs w:val="20"/>
              </w:rPr>
            </w:pPr>
            <w:r w:rsidRPr="00923237">
              <w:rPr>
                <w:rFonts w:cstheme="minorHAnsi"/>
                <w:sz w:val="20"/>
                <w:szCs w:val="20"/>
              </w:rPr>
              <w:t>[0.759]</w:t>
            </w:r>
          </w:p>
        </w:tc>
        <w:tc>
          <w:tcPr>
            <w:tcW w:w="432" w:type="pct"/>
            <w:hideMark/>
          </w:tcPr>
          <w:p w14:paraId="56D506EF" w14:textId="77777777" w:rsidR="00A4606E" w:rsidRPr="00923237" w:rsidRDefault="00A4606E" w:rsidP="00F31DC2">
            <w:pPr>
              <w:pStyle w:val="NoSpacing"/>
              <w:rPr>
                <w:rFonts w:cstheme="minorHAnsi"/>
                <w:sz w:val="20"/>
                <w:szCs w:val="20"/>
              </w:rPr>
            </w:pPr>
            <w:r w:rsidRPr="00923237">
              <w:rPr>
                <w:rFonts w:cstheme="minorHAnsi"/>
                <w:sz w:val="20"/>
                <w:szCs w:val="20"/>
              </w:rPr>
              <w:t>[0.586]</w:t>
            </w:r>
          </w:p>
        </w:tc>
      </w:tr>
      <w:tr w:rsidR="00A4606E" w:rsidRPr="00923237" w14:paraId="2469B1DB" w14:textId="77777777" w:rsidTr="00AB2CF4">
        <w:tc>
          <w:tcPr>
            <w:tcW w:w="1475" w:type="pct"/>
            <w:hideMark/>
          </w:tcPr>
          <w:p w14:paraId="22245EE8" w14:textId="77777777" w:rsidR="00A4606E" w:rsidRPr="00923237" w:rsidRDefault="00A4606E" w:rsidP="00F31DC2">
            <w:pPr>
              <w:pStyle w:val="NoSpacing"/>
              <w:rPr>
                <w:rFonts w:cstheme="minorHAnsi"/>
                <w:sz w:val="20"/>
                <w:szCs w:val="20"/>
              </w:rPr>
            </w:pPr>
            <w:r w:rsidRPr="00923237">
              <w:rPr>
                <w:rFonts w:cstheme="minorHAnsi"/>
                <w:sz w:val="20"/>
                <w:szCs w:val="20"/>
              </w:rPr>
              <w:t>Cash/total assets</w:t>
            </w:r>
          </w:p>
        </w:tc>
        <w:tc>
          <w:tcPr>
            <w:tcW w:w="455" w:type="pct"/>
            <w:hideMark/>
          </w:tcPr>
          <w:p w14:paraId="6859A685" w14:textId="77777777" w:rsidR="00A4606E" w:rsidRPr="00923237" w:rsidRDefault="00A4606E" w:rsidP="00F31DC2">
            <w:pPr>
              <w:pStyle w:val="NoSpacing"/>
              <w:rPr>
                <w:rFonts w:cstheme="minorHAnsi"/>
                <w:sz w:val="20"/>
                <w:szCs w:val="20"/>
              </w:rPr>
            </w:pPr>
            <w:r w:rsidRPr="00923237">
              <w:rPr>
                <w:rFonts w:cstheme="minorHAnsi"/>
                <w:sz w:val="20"/>
                <w:szCs w:val="20"/>
              </w:rPr>
              <w:t>0.0076</w:t>
            </w:r>
          </w:p>
        </w:tc>
        <w:tc>
          <w:tcPr>
            <w:tcW w:w="432" w:type="pct"/>
            <w:hideMark/>
          </w:tcPr>
          <w:p w14:paraId="52563E04" w14:textId="77777777" w:rsidR="00A4606E" w:rsidRPr="00923237" w:rsidRDefault="00A4606E" w:rsidP="00F31DC2">
            <w:pPr>
              <w:pStyle w:val="NoSpacing"/>
              <w:rPr>
                <w:rFonts w:cstheme="minorHAnsi"/>
                <w:sz w:val="20"/>
                <w:szCs w:val="20"/>
              </w:rPr>
            </w:pPr>
            <w:r w:rsidRPr="00923237">
              <w:rPr>
                <w:rFonts w:cstheme="minorHAnsi"/>
                <w:sz w:val="20"/>
                <w:szCs w:val="20"/>
              </w:rPr>
              <w:t>0.0084</w:t>
            </w:r>
          </w:p>
        </w:tc>
        <w:tc>
          <w:tcPr>
            <w:tcW w:w="432" w:type="pct"/>
            <w:hideMark/>
          </w:tcPr>
          <w:p w14:paraId="51960967" w14:textId="77777777" w:rsidR="00A4606E" w:rsidRPr="00923237" w:rsidRDefault="00A4606E" w:rsidP="00F31DC2">
            <w:pPr>
              <w:pStyle w:val="NoSpacing"/>
              <w:rPr>
                <w:rFonts w:cstheme="minorHAnsi"/>
                <w:sz w:val="20"/>
                <w:szCs w:val="20"/>
              </w:rPr>
            </w:pPr>
            <w:r w:rsidRPr="00923237">
              <w:rPr>
                <w:rFonts w:cstheme="minorHAnsi"/>
                <w:sz w:val="20"/>
                <w:szCs w:val="20"/>
              </w:rPr>
              <w:t>0.0256</w:t>
            </w:r>
          </w:p>
        </w:tc>
        <w:tc>
          <w:tcPr>
            <w:tcW w:w="432" w:type="pct"/>
            <w:hideMark/>
          </w:tcPr>
          <w:p w14:paraId="03F3881E" w14:textId="77777777" w:rsidR="00A4606E" w:rsidRPr="00923237" w:rsidRDefault="00A4606E" w:rsidP="00F31DC2">
            <w:pPr>
              <w:pStyle w:val="NoSpacing"/>
              <w:rPr>
                <w:rFonts w:cstheme="minorHAnsi"/>
                <w:sz w:val="20"/>
                <w:szCs w:val="20"/>
              </w:rPr>
            </w:pPr>
            <w:r w:rsidRPr="00923237">
              <w:rPr>
                <w:rFonts w:cstheme="minorHAnsi"/>
                <w:sz w:val="20"/>
                <w:szCs w:val="20"/>
              </w:rPr>
              <w:t>0.0242</w:t>
            </w:r>
          </w:p>
        </w:tc>
        <w:tc>
          <w:tcPr>
            <w:tcW w:w="475" w:type="pct"/>
            <w:hideMark/>
          </w:tcPr>
          <w:p w14:paraId="30B99641" w14:textId="77777777" w:rsidR="00A4606E" w:rsidRPr="00923237" w:rsidRDefault="00A4606E" w:rsidP="00F31DC2">
            <w:pPr>
              <w:pStyle w:val="NoSpacing"/>
              <w:rPr>
                <w:rFonts w:cstheme="minorHAnsi"/>
                <w:sz w:val="20"/>
                <w:szCs w:val="20"/>
              </w:rPr>
            </w:pPr>
            <w:r w:rsidRPr="00923237">
              <w:rPr>
                <w:rFonts w:cstheme="minorHAnsi"/>
                <w:sz w:val="20"/>
                <w:szCs w:val="20"/>
              </w:rPr>
              <w:t>0.0096</w:t>
            </w:r>
          </w:p>
        </w:tc>
        <w:tc>
          <w:tcPr>
            <w:tcW w:w="432" w:type="pct"/>
            <w:hideMark/>
          </w:tcPr>
          <w:p w14:paraId="5AC60DA9" w14:textId="77777777" w:rsidR="00A4606E" w:rsidRPr="00923237" w:rsidRDefault="00A4606E" w:rsidP="00F31DC2">
            <w:pPr>
              <w:pStyle w:val="NoSpacing"/>
              <w:rPr>
                <w:rFonts w:cstheme="minorHAnsi"/>
                <w:sz w:val="20"/>
                <w:szCs w:val="20"/>
              </w:rPr>
            </w:pPr>
            <w:r w:rsidRPr="00923237">
              <w:rPr>
                <w:rFonts w:cstheme="minorHAnsi"/>
                <w:sz w:val="20"/>
                <w:szCs w:val="20"/>
              </w:rPr>
              <w:t>−0.0039</w:t>
            </w:r>
          </w:p>
        </w:tc>
        <w:tc>
          <w:tcPr>
            <w:tcW w:w="432" w:type="pct"/>
            <w:hideMark/>
          </w:tcPr>
          <w:p w14:paraId="7B06E242" w14:textId="77777777" w:rsidR="00A4606E" w:rsidRPr="00923237" w:rsidRDefault="00A4606E" w:rsidP="00F31DC2">
            <w:pPr>
              <w:pStyle w:val="NoSpacing"/>
              <w:rPr>
                <w:rFonts w:cstheme="minorHAnsi"/>
                <w:sz w:val="20"/>
                <w:szCs w:val="20"/>
              </w:rPr>
            </w:pPr>
            <w:r w:rsidRPr="00923237">
              <w:rPr>
                <w:rFonts w:cstheme="minorHAnsi"/>
                <w:sz w:val="20"/>
                <w:szCs w:val="20"/>
              </w:rPr>
              <w:t>0.0158</w:t>
            </w:r>
          </w:p>
        </w:tc>
        <w:tc>
          <w:tcPr>
            <w:tcW w:w="432" w:type="pct"/>
            <w:hideMark/>
          </w:tcPr>
          <w:p w14:paraId="52230452" w14:textId="77777777" w:rsidR="00A4606E" w:rsidRPr="00923237" w:rsidRDefault="00A4606E" w:rsidP="00F31DC2">
            <w:pPr>
              <w:pStyle w:val="NoSpacing"/>
              <w:rPr>
                <w:rFonts w:cstheme="minorHAnsi"/>
                <w:sz w:val="20"/>
                <w:szCs w:val="20"/>
              </w:rPr>
            </w:pPr>
            <w:r w:rsidRPr="00923237">
              <w:rPr>
                <w:rFonts w:cstheme="minorHAnsi"/>
                <w:sz w:val="20"/>
                <w:szCs w:val="20"/>
              </w:rPr>
              <w:t>0.0035</w:t>
            </w:r>
          </w:p>
        </w:tc>
      </w:tr>
      <w:tr w:rsidR="00A4606E" w:rsidRPr="00923237" w14:paraId="33D57F7B" w14:textId="77777777" w:rsidTr="00AB2CF4">
        <w:tc>
          <w:tcPr>
            <w:tcW w:w="1475" w:type="pct"/>
            <w:hideMark/>
          </w:tcPr>
          <w:p w14:paraId="05D8DFE6" w14:textId="77777777" w:rsidR="00A4606E" w:rsidRPr="00923237" w:rsidRDefault="00A4606E" w:rsidP="00F31DC2">
            <w:pPr>
              <w:pStyle w:val="NoSpacing"/>
              <w:rPr>
                <w:rFonts w:cstheme="minorHAnsi"/>
                <w:sz w:val="20"/>
                <w:szCs w:val="20"/>
              </w:rPr>
            </w:pPr>
          </w:p>
        </w:tc>
        <w:tc>
          <w:tcPr>
            <w:tcW w:w="455" w:type="pct"/>
            <w:hideMark/>
          </w:tcPr>
          <w:p w14:paraId="6C123D04" w14:textId="77777777" w:rsidR="00A4606E" w:rsidRPr="00923237" w:rsidRDefault="00A4606E" w:rsidP="00F31DC2">
            <w:pPr>
              <w:pStyle w:val="NoSpacing"/>
              <w:rPr>
                <w:rFonts w:cstheme="minorHAnsi"/>
                <w:sz w:val="20"/>
                <w:szCs w:val="20"/>
              </w:rPr>
            </w:pPr>
            <w:r w:rsidRPr="00923237">
              <w:rPr>
                <w:rFonts w:cstheme="minorHAnsi"/>
                <w:sz w:val="20"/>
                <w:szCs w:val="20"/>
              </w:rPr>
              <w:t>[0.87]</w:t>
            </w:r>
          </w:p>
        </w:tc>
        <w:tc>
          <w:tcPr>
            <w:tcW w:w="432" w:type="pct"/>
            <w:hideMark/>
          </w:tcPr>
          <w:p w14:paraId="12BBA0B7" w14:textId="77777777" w:rsidR="00A4606E" w:rsidRPr="00923237" w:rsidRDefault="00A4606E" w:rsidP="00F31DC2">
            <w:pPr>
              <w:pStyle w:val="NoSpacing"/>
              <w:rPr>
                <w:rFonts w:cstheme="minorHAnsi"/>
                <w:sz w:val="20"/>
                <w:szCs w:val="20"/>
              </w:rPr>
            </w:pPr>
            <w:r w:rsidRPr="00923237">
              <w:rPr>
                <w:rFonts w:cstheme="minorHAnsi"/>
                <w:sz w:val="20"/>
                <w:szCs w:val="20"/>
              </w:rPr>
              <w:t>[0.855]</w:t>
            </w:r>
          </w:p>
        </w:tc>
        <w:tc>
          <w:tcPr>
            <w:tcW w:w="432" w:type="pct"/>
            <w:hideMark/>
          </w:tcPr>
          <w:p w14:paraId="43115370" w14:textId="77777777" w:rsidR="00A4606E" w:rsidRPr="00923237" w:rsidRDefault="00A4606E" w:rsidP="00F31DC2">
            <w:pPr>
              <w:pStyle w:val="NoSpacing"/>
              <w:rPr>
                <w:rFonts w:cstheme="minorHAnsi"/>
                <w:sz w:val="20"/>
                <w:szCs w:val="20"/>
              </w:rPr>
            </w:pPr>
            <w:r w:rsidRPr="00923237">
              <w:rPr>
                <w:rFonts w:cstheme="minorHAnsi"/>
                <w:sz w:val="20"/>
                <w:szCs w:val="20"/>
              </w:rPr>
              <w:t>[0.590]</w:t>
            </w:r>
          </w:p>
        </w:tc>
        <w:tc>
          <w:tcPr>
            <w:tcW w:w="432" w:type="pct"/>
            <w:hideMark/>
          </w:tcPr>
          <w:p w14:paraId="0ABACA0E" w14:textId="77777777" w:rsidR="00A4606E" w:rsidRPr="00923237" w:rsidRDefault="00A4606E" w:rsidP="00F31DC2">
            <w:pPr>
              <w:pStyle w:val="NoSpacing"/>
              <w:rPr>
                <w:rFonts w:cstheme="minorHAnsi"/>
                <w:sz w:val="20"/>
                <w:szCs w:val="20"/>
              </w:rPr>
            </w:pPr>
            <w:r w:rsidRPr="00923237">
              <w:rPr>
                <w:rFonts w:cstheme="minorHAnsi"/>
                <w:sz w:val="20"/>
                <w:szCs w:val="20"/>
              </w:rPr>
              <w:t>[0.60]</w:t>
            </w:r>
          </w:p>
        </w:tc>
        <w:tc>
          <w:tcPr>
            <w:tcW w:w="475" w:type="pct"/>
            <w:hideMark/>
          </w:tcPr>
          <w:p w14:paraId="3AE630CF" w14:textId="77777777" w:rsidR="00A4606E" w:rsidRPr="00923237" w:rsidRDefault="00A4606E" w:rsidP="00F31DC2">
            <w:pPr>
              <w:pStyle w:val="NoSpacing"/>
              <w:rPr>
                <w:rFonts w:cstheme="minorHAnsi"/>
                <w:sz w:val="20"/>
                <w:szCs w:val="20"/>
              </w:rPr>
            </w:pPr>
            <w:r w:rsidRPr="00923237">
              <w:rPr>
                <w:rFonts w:cstheme="minorHAnsi"/>
                <w:sz w:val="20"/>
                <w:szCs w:val="20"/>
              </w:rPr>
              <w:t>[0.858]</w:t>
            </w:r>
          </w:p>
        </w:tc>
        <w:tc>
          <w:tcPr>
            <w:tcW w:w="432" w:type="pct"/>
            <w:hideMark/>
          </w:tcPr>
          <w:p w14:paraId="2BEB581B" w14:textId="77777777" w:rsidR="00A4606E" w:rsidRPr="00923237" w:rsidRDefault="00A4606E" w:rsidP="00F31DC2">
            <w:pPr>
              <w:pStyle w:val="NoSpacing"/>
              <w:rPr>
                <w:rFonts w:cstheme="minorHAnsi"/>
                <w:sz w:val="20"/>
                <w:szCs w:val="20"/>
              </w:rPr>
            </w:pPr>
            <w:r w:rsidRPr="00923237">
              <w:rPr>
                <w:rFonts w:cstheme="minorHAnsi"/>
                <w:sz w:val="20"/>
                <w:szCs w:val="20"/>
              </w:rPr>
              <w:t>[0.940]</w:t>
            </w:r>
          </w:p>
        </w:tc>
        <w:tc>
          <w:tcPr>
            <w:tcW w:w="432" w:type="pct"/>
            <w:hideMark/>
          </w:tcPr>
          <w:p w14:paraId="7E9FD4A7" w14:textId="77777777" w:rsidR="00A4606E" w:rsidRPr="00923237" w:rsidRDefault="00A4606E" w:rsidP="00F31DC2">
            <w:pPr>
              <w:pStyle w:val="NoSpacing"/>
              <w:rPr>
                <w:rFonts w:cstheme="minorHAnsi"/>
                <w:sz w:val="20"/>
                <w:szCs w:val="20"/>
              </w:rPr>
            </w:pPr>
            <w:r w:rsidRPr="00923237">
              <w:rPr>
                <w:rFonts w:cstheme="minorHAnsi"/>
                <w:sz w:val="20"/>
                <w:szCs w:val="20"/>
              </w:rPr>
              <w:t>[0.774]</w:t>
            </w:r>
          </w:p>
        </w:tc>
        <w:tc>
          <w:tcPr>
            <w:tcW w:w="432" w:type="pct"/>
            <w:hideMark/>
          </w:tcPr>
          <w:p w14:paraId="54AE0A7F" w14:textId="77777777" w:rsidR="00A4606E" w:rsidRPr="00923237" w:rsidRDefault="00A4606E" w:rsidP="00F31DC2">
            <w:pPr>
              <w:pStyle w:val="NoSpacing"/>
              <w:rPr>
                <w:rFonts w:cstheme="minorHAnsi"/>
                <w:sz w:val="20"/>
                <w:szCs w:val="20"/>
              </w:rPr>
            </w:pPr>
            <w:r w:rsidRPr="00923237">
              <w:rPr>
                <w:rFonts w:cstheme="minorHAnsi"/>
                <w:sz w:val="20"/>
                <w:szCs w:val="20"/>
              </w:rPr>
              <w:t>[0.949]</w:t>
            </w:r>
          </w:p>
        </w:tc>
      </w:tr>
      <w:tr w:rsidR="00A4606E" w:rsidRPr="00923237" w14:paraId="2DE6BDE1" w14:textId="77777777" w:rsidTr="00AB2CF4">
        <w:tc>
          <w:tcPr>
            <w:tcW w:w="1475" w:type="pct"/>
            <w:hideMark/>
          </w:tcPr>
          <w:p w14:paraId="20886741" w14:textId="77777777" w:rsidR="00A4606E" w:rsidRPr="00923237" w:rsidRDefault="00A4606E" w:rsidP="00F31DC2">
            <w:pPr>
              <w:pStyle w:val="NoSpacing"/>
              <w:rPr>
                <w:rFonts w:cstheme="minorHAnsi"/>
                <w:sz w:val="20"/>
                <w:szCs w:val="20"/>
              </w:rPr>
            </w:pPr>
            <w:r w:rsidRPr="00923237">
              <w:rPr>
                <w:rFonts w:cstheme="minorHAnsi"/>
                <w:sz w:val="20"/>
                <w:szCs w:val="20"/>
              </w:rPr>
              <w:t>Variable rate debt/total debt</w:t>
            </w:r>
          </w:p>
        </w:tc>
        <w:tc>
          <w:tcPr>
            <w:tcW w:w="455" w:type="pct"/>
            <w:hideMark/>
          </w:tcPr>
          <w:p w14:paraId="2BEDECBA" w14:textId="77777777" w:rsidR="00A4606E" w:rsidRPr="00923237" w:rsidRDefault="00A4606E" w:rsidP="00F31DC2">
            <w:pPr>
              <w:pStyle w:val="NoSpacing"/>
              <w:rPr>
                <w:rFonts w:cstheme="minorHAnsi"/>
                <w:sz w:val="20"/>
                <w:szCs w:val="20"/>
              </w:rPr>
            </w:pPr>
            <w:r w:rsidRPr="00923237">
              <w:rPr>
                <w:rFonts w:cstheme="minorHAnsi"/>
                <w:sz w:val="20"/>
                <w:szCs w:val="20"/>
              </w:rPr>
              <w:t>−0.0374*</w:t>
            </w:r>
          </w:p>
        </w:tc>
        <w:tc>
          <w:tcPr>
            <w:tcW w:w="432" w:type="pct"/>
            <w:hideMark/>
          </w:tcPr>
          <w:p w14:paraId="619F5351" w14:textId="77777777" w:rsidR="00A4606E" w:rsidRPr="00923237" w:rsidRDefault="00A4606E" w:rsidP="00F31DC2">
            <w:pPr>
              <w:pStyle w:val="NoSpacing"/>
              <w:rPr>
                <w:rFonts w:cstheme="minorHAnsi"/>
                <w:sz w:val="20"/>
                <w:szCs w:val="20"/>
              </w:rPr>
            </w:pPr>
            <w:r w:rsidRPr="00923237">
              <w:rPr>
                <w:rFonts w:cstheme="minorHAnsi"/>
                <w:sz w:val="20"/>
                <w:szCs w:val="20"/>
              </w:rPr>
              <w:t>−0.0429**</w:t>
            </w:r>
          </w:p>
        </w:tc>
        <w:tc>
          <w:tcPr>
            <w:tcW w:w="432" w:type="pct"/>
            <w:hideMark/>
          </w:tcPr>
          <w:p w14:paraId="384C29A9" w14:textId="77777777" w:rsidR="00A4606E" w:rsidRPr="00923237" w:rsidRDefault="00A4606E" w:rsidP="00F31DC2">
            <w:pPr>
              <w:pStyle w:val="NoSpacing"/>
              <w:rPr>
                <w:rFonts w:cstheme="minorHAnsi"/>
                <w:sz w:val="20"/>
                <w:szCs w:val="20"/>
              </w:rPr>
            </w:pPr>
            <w:r w:rsidRPr="00923237">
              <w:rPr>
                <w:rFonts w:cstheme="minorHAnsi"/>
                <w:sz w:val="20"/>
                <w:szCs w:val="20"/>
              </w:rPr>
              <w:t>−0.0304</w:t>
            </w:r>
          </w:p>
        </w:tc>
        <w:tc>
          <w:tcPr>
            <w:tcW w:w="432" w:type="pct"/>
            <w:hideMark/>
          </w:tcPr>
          <w:p w14:paraId="5CE70D10" w14:textId="77777777" w:rsidR="00A4606E" w:rsidRPr="00923237" w:rsidRDefault="00A4606E" w:rsidP="00F31DC2">
            <w:pPr>
              <w:pStyle w:val="NoSpacing"/>
              <w:rPr>
                <w:rFonts w:cstheme="minorHAnsi"/>
                <w:sz w:val="20"/>
                <w:szCs w:val="20"/>
              </w:rPr>
            </w:pPr>
            <w:r w:rsidRPr="00923237">
              <w:rPr>
                <w:rFonts w:cstheme="minorHAnsi"/>
                <w:sz w:val="20"/>
                <w:szCs w:val="20"/>
              </w:rPr>
              <w:t>−0.0355*</w:t>
            </w:r>
          </w:p>
        </w:tc>
        <w:tc>
          <w:tcPr>
            <w:tcW w:w="475" w:type="pct"/>
            <w:hideMark/>
          </w:tcPr>
          <w:p w14:paraId="26ED0265" w14:textId="77777777" w:rsidR="00A4606E" w:rsidRPr="00923237" w:rsidRDefault="00A4606E" w:rsidP="00F31DC2">
            <w:pPr>
              <w:pStyle w:val="NoSpacing"/>
              <w:rPr>
                <w:rFonts w:cstheme="minorHAnsi"/>
                <w:sz w:val="20"/>
                <w:szCs w:val="20"/>
              </w:rPr>
            </w:pPr>
            <w:r w:rsidRPr="00923237">
              <w:rPr>
                <w:rFonts w:cstheme="minorHAnsi"/>
                <w:sz w:val="20"/>
                <w:szCs w:val="20"/>
              </w:rPr>
              <w:t>−0.0263</w:t>
            </w:r>
          </w:p>
        </w:tc>
        <w:tc>
          <w:tcPr>
            <w:tcW w:w="432" w:type="pct"/>
            <w:hideMark/>
          </w:tcPr>
          <w:p w14:paraId="6D819F86" w14:textId="77777777" w:rsidR="00A4606E" w:rsidRPr="00923237" w:rsidRDefault="00A4606E" w:rsidP="00F31DC2">
            <w:pPr>
              <w:pStyle w:val="NoSpacing"/>
              <w:rPr>
                <w:rFonts w:cstheme="minorHAnsi"/>
                <w:sz w:val="20"/>
                <w:szCs w:val="20"/>
              </w:rPr>
            </w:pPr>
            <w:r w:rsidRPr="00923237">
              <w:rPr>
                <w:rFonts w:cstheme="minorHAnsi"/>
                <w:sz w:val="20"/>
                <w:szCs w:val="20"/>
              </w:rPr>
              <w:t>−0.0401*</w:t>
            </w:r>
          </w:p>
        </w:tc>
        <w:tc>
          <w:tcPr>
            <w:tcW w:w="432" w:type="pct"/>
            <w:hideMark/>
          </w:tcPr>
          <w:p w14:paraId="20D1D8C9" w14:textId="77777777" w:rsidR="00A4606E" w:rsidRPr="00923237" w:rsidRDefault="00A4606E" w:rsidP="00F31DC2">
            <w:pPr>
              <w:pStyle w:val="NoSpacing"/>
              <w:rPr>
                <w:rFonts w:cstheme="minorHAnsi"/>
                <w:sz w:val="20"/>
                <w:szCs w:val="20"/>
              </w:rPr>
            </w:pPr>
            <w:r w:rsidRPr="00923237">
              <w:rPr>
                <w:rFonts w:cstheme="minorHAnsi"/>
                <w:sz w:val="20"/>
                <w:szCs w:val="20"/>
              </w:rPr>
              <w:t>−0.0231</w:t>
            </w:r>
          </w:p>
        </w:tc>
        <w:tc>
          <w:tcPr>
            <w:tcW w:w="432" w:type="pct"/>
            <w:hideMark/>
          </w:tcPr>
          <w:p w14:paraId="2D76494C" w14:textId="77777777" w:rsidR="00A4606E" w:rsidRPr="00923237" w:rsidRDefault="00A4606E" w:rsidP="00F31DC2">
            <w:pPr>
              <w:pStyle w:val="NoSpacing"/>
              <w:rPr>
                <w:rFonts w:cstheme="minorHAnsi"/>
                <w:sz w:val="20"/>
                <w:szCs w:val="20"/>
              </w:rPr>
            </w:pPr>
            <w:r w:rsidRPr="00923237">
              <w:rPr>
                <w:rFonts w:cstheme="minorHAnsi"/>
                <w:sz w:val="20"/>
                <w:szCs w:val="20"/>
              </w:rPr>
              <w:t>−0.0342</w:t>
            </w:r>
          </w:p>
        </w:tc>
      </w:tr>
      <w:tr w:rsidR="00A4606E" w:rsidRPr="00923237" w14:paraId="7B2E6984" w14:textId="77777777" w:rsidTr="00AB2CF4">
        <w:tc>
          <w:tcPr>
            <w:tcW w:w="1475" w:type="pct"/>
            <w:hideMark/>
          </w:tcPr>
          <w:p w14:paraId="080F2F58" w14:textId="77777777" w:rsidR="00A4606E" w:rsidRPr="00923237" w:rsidRDefault="00A4606E" w:rsidP="00F31DC2">
            <w:pPr>
              <w:pStyle w:val="NoSpacing"/>
              <w:rPr>
                <w:rFonts w:cstheme="minorHAnsi"/>
                <w:sz w:val="20"/>
                <w:szCs w:val="20"/>
              </w:rPr>
            </w:pPr>
          </w:p>
        </w:tc>
        <w:tc>
          <w:tcPr>
            <w:tcW w:w="455" w:type="pct"/>
            <w:hideMark/>
          </w:tcPr>
          <w:p w14:paraId="4997E4D6" w14:textId="77777777" w:rsidR="00A4606E" w:rsidRPr="00923237" w:rsidRDefault="00A4606E" w:rsidP="00F31DC2">
            <w:pPr>
              <w:pStyle w:val="NoSpacing"/>
              <w:rPr>
                <w:rFonts w:cstheme="minorHAnsi"/>
                <w:sz w:val="20"/>
                <w:szCs w:val="20"/>
              </w:rPr>
            </w:pPr>
            <w:r w:rsidRPr="00923237">
              <w:rPr>
                <w:rFonts w:cstheme="minorHAnsi"/>
                <w:sz w:val="20"/>
                <w:szCs w:val="20"/>
              </w:rPr>
              <w:t>[0.078]</w:t>
            </w:r>
          </w:p>
        </w:tc>
        <w:tc>
          <w:tcPr>
            <w:tcW w:w="432" w:type="pct"/>
            <w:hideMark/>
          </w:tcPr>
          <w:p w14:paraId="6332C37A" w14:textId="77777777" w:rsidR="00A4606E" w:rsidRPr="00923237" w:rsidRDefault="00A4606E" w:rsidP="00F31DC2">
            <w:pPr>
              <w:pStyle w:val="NoSpacing"/>
              <w:rPr>
                <w:rFonts w:cstheme="minorHAnsi"/>
                <w:sz w:val="20"/>
                <w:szCs w:val="20"/>
              </w:rPr>
            </w:pPr>
            <w:r w:rsidRPr="00923237">
              <w:rPr>
                <w:rFonts w:cstheme="minorHAnsi"/>
                <w:sz w:val="20"/>
                <w:szCs w:val="20"/>
              </w:rPr>
              <w:t>[0.04]</w:t>
            </w:r>
          </w:p>
        </w:tc>
        <w:tc>
          <w:tcPr>
            <w:tcW w:w="432" w:type="pct"/>
            <w:hideMark/>
          </w:tcPr>
          <w:p w14:paraId="2D820214" w14:textId="77777777" w:rsidR="00A4606E" w:rsidRPr="00923237" w:rsidRDefault="00A4606E" w:rsidP="00F31DC2">
            <w:pPr>
              <w:pStyle w:val="NoSpacing"/>
              <w:rPr>
                <w:rFonts w:cstheme="minorHAnsi"/>
                <w:sz w:val="20"/>
                <w:szCs w:val="20"/>
              </w:rPr>
            </w:pPr>
            <w:r w:rsidRPr="00923237">
              <w:rPr>
                <w:rFonts w:cstheme="minorHAnsi"/>
                <w:sz w:val="20"/>
                <w:szCs w:val="20"/>
              </w:rPr>
              <w:t>[0.157]</w:t>
            </w:r>
          </w:p>
        </w:tc>
        <w:tc>
          <w:tcPr>
            <w:tcW w:w="432" w:type="pct"/>
            <w:hideMark/>
          </w:tcPr>
          <w:p w14:paraId="6F967C2D" w14:textId="77777777" w:rsidR="00A4606E" w:rsidRPr="00923237" w:rsidRDefault="00A4606E" w:rsidP="00F31DC2">
            <w:pPr>
              <w:pStyle w:val="NoSpacing"/>
              <w:rPr>
                <w:rFonts w:cstheme="minorHAnsi"/>
                <w:sz w:val="20"/>
                <w:szCs w:val="20"/>
              </w:rPr>
            </w:pPr>
            <w:r w:rsidRPr="00923237">
              <w:rPr>
                <w:rFonts w:cstheme="minorHAnsi"/>
                <w:sz w:val="20"/>
                <w:szCs w:val="20"/>
              </w:rPr>
              <w:t>[0.096]</w:t>
            </w:r>
          </w:p>
        </w:tc>
        <w:tc>
          <w:tcPr>
            <w:tcW w:w="475" w:type="pct"/>
            <w:hideMark/>
          </w:tcPr>
          <w:p w14:paraId="7B26AC0D" w14:textId="77777777" w:rsidR="00A4606E" w:rsidRPr="00923237" w:rsidRDefault="00A4606E" w:rsidP="00F31DC2">
            <w:pPr>
              <w:pStyle w:val="NoSpacing"/>
              <w:rPr>
                <w:rFonts w:cstheme="minorHAnsi"/>
                <w:sz w:val="20"/>
                <w:szCs w:val="20"/>
              </w:rPr>
            </w:pPr>
            <w:r w:rsidRPr="00923237">
              <w:rPr>
                <w:rFonts w:cstheme="minorHAnsi"/>
                <w:sz w:val="20"/>
                <w:szCs w:val="20"/>
              </w:rPr>
              <w:t>[0.321]</w:t>
            </w:r>
          </w:p>
        </w:tc>
        <w:tc>
          <w:tcPr>
            <w:tcW w:w="432" w:type="pct"/>
            <w:hideMark/>
          </w:tcPr>
          <w:p w14:paraId="15A36988" w14:textId="77777777" w:rsidR="00A4606E" w:rsidRPr="00923237" w:rsidRDefault="00A4606E" w:rsidP="00F31DC2">
            <w:pPr>
              <w:pStyle w:val="NoSpacing"/>
              <w:rPr>
                <w:rFonts w:cstheme="minorHAnsi"/>
                <w:sz w:val="20"/>
                <w:szCs w:val="20"/>
              </w:rPr>
            </w:pPr>
            <w:r w:rsidRPr="00923237">
              <w:rPr>
                <w:rFonts w:cstheme="minorHAnsi"/>
                <w:sz w:val="20"/>
                <w:szCs w:val="20"/>
              </w:rPr>
              <w:t>[0.088]</w:t>
            </w:r>
          </w:p>
        </w:tc>
        <w:tc>
          <w:tcPr>
            <w:tcW w:w="432" w:type="pct"/>
            <w:hideMark/>
          </w:tcPr>
          <w:p w14:paraId="39145528" w14:textId="77777777" w:rsidR="00A4606E" w:rsidRPr="00923237" w:rsidRDefault="00A4606E" w:rsidP="00F31DC2">
            <w:pPr>
              <w:pStyle w:val="NoSpacing"/>
              <w:rPr>
                <w:rFonts w:cstheme="minorHAnsi"/>
                <w:sz w:val="20"/>
                <w:szCs w:val="20"/>
              </w:rPr>
            </w:pPr>
            <w:r w:rsidRPr="00923237">
              <w:rPr>
                <w:rFonts w:cstheme="minorHAnsi"/>
                <w:sz w:val="20"/>
                <w:szCs w:val="20"/>
              </w:rPr>
              <w:t>[0.363]</w:t>
            </w:r>
          </w:p>
        </w:tc>
        <w:tc>
          <w:tcPr>
            <w:tcW w:w="432" w:type="pct"/>
            <w:hideMark/>
          </w:tcPr>
          <w:p w14:paraId="5C13B5B3" w14:textId="77777777" w:rsidR="00A4606E" w:rsidRPr="00923237" w:rsidRDefault="00A4606E" w:rsidP="00F31DC2">
            <w:pPr>
              <w:pStyle w:val="NoSpacing"/>
              <w:rPr>
                <w:rFonts w:cstheme="minorHAnsi"/>
                <w:sz w:val="20"/>
                <w:szCs w:val="20"/>
              </w:rPr>
            </w:pPr>
            <w:r w:rsidRPr="00923237">
              <w:rPr>
                <w:rFonts w:cstheme="minorHAnsi"/>
                <w:sz w:val="20"/>
                <w:szCs w:val="20"/>
              </w:rPr>
              <w:t>[0.160]</w:t>
            </w:r>
          </w:p>
        </w:tc>
      </w:tr>
      <w:tr w:rsidR="00A4606E" w:rsidRPr="00923237" w14:paraId="0125EA8A" w14:textId="77777777" w:rsidTr="00AB2CF4">
        <w:tc>
          <w:tcPr>
            <w:tcW w:w="1475" w:type="pct"/>
            <w:hideMark/>
          </w:tcPr>
          <w:p w14:paraId="3E92F6D2" w14:textId="77777777" w:rsidR="00A4606E" w:rsidRPr="00923237" w:rsidRDefault="00A4606E" w:rsidP="00F31DC2">
            <w:pPr>
              <w:pStyle w:val="NoSpacing"/>
              <w:rPr>
                <w:rFonts w:cstheme="minorHAnsi"/>
                <w:sz w:val="20"/>
                <w:szCs w:val="20"/>
              </w:rPr>
            </w:pPr>
            <w:r w:rsidRPr="00923237">
              <w:rPr>
                <w:rFonts w:cstheme="minorHAnsi"/>
                <w:sz w:val="20"/>
                <w:szCs w:val="20"/>
              </w:rPr>
              <w:t>Debt due in 1 year/total debt</w:t>
            </w:r>
          </w:p>
        </w:tc>
        <w:tc>
          <w:tcPr>
            <w:tcW w:w="455" w:type="pct"/>
            <w:hideMark/>
          </w:tcPr>
          <w:p w14:paraId="2713B886" w14:textId="77777777" w:rsidR="00A4606E" w:rsidRPr="00923237" w:rsidRDefault="00A4606E" w:rsidP="00F31DC2">
            <w:pPr>
              <w:pStyle w:val="NoSpacing"/>
              <w:rPr>
                <w:rFonts w:cstheme="minorHAnsi"/>
                <w:sz w:val="20"/>
                <w:szCs w:val="20"/>
              </w:rPr>
            </w:pPr>
          </w:p>
        </w:tc>
        <w:tc>
          <w:tcPr>
            <w:tcW w:w="432" w:type="pct"/>
            <w:hideMark/>
          </w:tcPr>
          <w:p w14:paraId="3A9AA52D" w14:textId="77777777" w:rsidR="00A4606E" w:rsidRPr="00923237" w:rsidRDefault="00A4606E" w:rsidP="00F31DC2">
            <w:pPr>
              <w:pStyle w:val="NoSpacing"/>
              <w:rPr>
                <w:rFonts w:cstheme="minorHAnsi"/>
                <w:sz w:val="20"/>
                <w:szCs w:val="20"/>
              </w:rPr>
            </w:pPr>
            <w:r w:rsidRPr="00923237">
              <w:rPr>
                <w:rFonts w:cstheme="minorHAnsi"/>
                <w:sz w:val="20"/>
                <w:szCs w:val="20"/>
              </w:rPr>
              <w:t>−0.3177**</w:t>
            </w:r>
          </w:p>
        </w:tc>
        <w:tc>
          <w:tcPr>
            <w:tcW w:w="432" w:type="pct"/>
            <w:hideMark/>
          </w:tcPr>
          <w:p w14:paraId="59BF8789" w14:textId="77777777" w:rsidR="00A4606E" w:rsidRPr="00923237" w:rsidRDefault="00A4606E" w:rsidP="00F31DC2">
            <w:pPr>
              <w:pStyle w:val="NoSpacing"/>
              <w:rPr>
                <w:rFonts w:cstheme="minorHAnsi"/>
                <w:sz w:val="20"/>
                <w:szCs w:val="20"/>
              </w:rPr>
            </w:pPr>
          </w:p>
        </w:tc>
        <w:tc>
          <w:tcPr>
            <w:tcW w:w="432" w:type="pct"/>
            <w:hideMark/>
          </w:tcPr>
          <w:p w14:paraId="23BF8AF5" w14:textId="77777777" w:rsidR="00A4606E" w:rsidRPr="00923237" w:rsidRDefault="00A4606E" w:rsidP="00F31DC2">
            <w:pPr>
              <w:pStyle w:val="NoSpacing"/>
              <w:rPr>
                <w:rFonts w:cstheme="minorHAnsi"/>
                <w:sz w:val="20"/>
                <w:szCs w:val="20"/>
              </w:rPr>
            </w:pPr>
            <w:r w:rsidRPr="00923237">
              <w:rPr>
                <w:rFonts w:cstheme="minorHAnsi"/>
                <w:sz w:val="20"/>
                <w:szCs w:val="20"/>
              </w:rPr>
              <w:t>−0.3104**</w:t>
            </w:r>
          </w:p>
        </w:tc>
        <w:tc>
          <w:tcPr>
            <w:tcW w:w="475" w:type="pct"/>
            <w:hideMark/>
          </w:tcPr>
          <w:p w14:paraId="064299F8" w14:textId="77777777" w:rsidR="00A4606E" w:rsidRPr="00923237" w:rsidRDefault="00A4606E" w:rsidP="00F31DC2">
            <w:pPr>
              <w:pStyle w:val="NoSpacing"/>
              <w:rPr>
                <w:rFonts w:cstheme="minorHAnsi"/>
                <w:sz w:val="20"/>
                <w:szCs w:val="20"/>
              </w:rPr>
            </w:pPr>
            <w:r w:rsidRPr="00923237">
              <w:rPr>
                <w:rFonts w:cstheme="minorHAnsi"/>
                <w:sz w:val="20"/>
                <w:szCs w:val="20"/>
              </w:rPr>
              <w:t>−0.2828*</w:t>
            </w:r>
          </w:p>
        </w:tc>
        <w:tc>
          <w:tcPr>
            <w:tcW w:w="432" w:type="pct"/>
            <w:hideMark/>
          </w:tcPr>
          <w:p w14:paraId="44198514" w14:textId="77777777" w:rsidR="00A4606E" w:rsidRPr="00923237" w:rsidRDefault="00A4606E" w:rsidP="00F31DC2">
            <w:pPr>
              <w:pStyle w:val="NoSpacing"/>
              <w:rPr>
                <w:rFonts w:cstheme="minorHAnsi"/>
                <w:sz w:val="20"/>
                <w:szCs w:val="20"/>
              </w:rPr>
            </w:pPr>
            <w:r w:rsidRPr="00923237">
              <w:rPr>
                <w:rFonts w:cstheme="minorHAnsi"/>
                <w:sz w:val="20"/>
                <w:szCs w:val="20"/>
              </w:rPr>
              <w:t>−0.2478</w:t>
            </w:r>
          </w:p>
        </w:tc>
        <w:tc>
          <w:tcPr>
            <w:tcW w:w="432" w:type="pct"/>
            <w:hideMark/>
          </w:tcPr>
          <w:p w14:paraId="22131CC5" w14:textId="77777777" w:rsidR="00A4606E" w:rsidRPr="00923237" w:rsidRDefault="00A4606E" w:rsidP="00F31DC2">
            <w:pPr>
              <w:pStyle w:val="NoSpacing"/>
              <w:rPr>
                <w:rFonts w:cstheme="minorHAnsi"/>
                <w:sz w:val="20"/>
                <w:szCs w:val="20"/>
              </w:rPr>
            </w:pPr>
            <w:r w:rsidRPr="00923237">
              <w:rPr>
                <w:rFonts w:cstheme="minorHAnsi"/>
                <w:sz w:val="20"/>
                <w:szCs w:val="20"/>
              </w:rPr>
              <w:t>−0.2893**</w:t>
            </w:r>
          </w:p>
        </w:tc>
        <w:tc>
          <w:tcPr>
            <w:tcW w:w="432" w:type="pct"/>
            <w:hideMark/>
          </w:tcPr>
          <w:p w14:paraId="52437680" w14:textId="77777777" w:rsidR="00A4606E" w:rsidRPr="00923237" w:rsidRDefault="00A4606E" w:rsidP="00F31DC2">
            <w:pPr>
              <w:pStyle w:val="NoSpacing"/>
              <w:rPr>
                <w:rFonts w:cstheme="minorHAnsi"/>
                <w:sz w:val="20"/>
                <w:szCs w:val="20"/>
              </w:rPr>
            </w:pPr>
            <w:r w:rsidRPr="00923237">
              <w:rPr>
                <w:rFonts w:cstheme="minorHAnsi"/>
                <w:sz w:val="20"/>
                <w:szCs w:val="20"/>
              </w:rPr>
              <w:t>−0.2413</w:t>
            </w:r>
          </w:p>
        </w:tc>
      </w:tr>
      <w:tr w:rsidR="00A4606E" w:rsidRPr="00923237" w14:paraId="5E8519C7" w14:textId="77777777" w:rsidTr="00AB2CF4">
        <w:tc>
          <w:tcPr>
            <w:tcW w:w="1475" w:type="pct"/>
            <w:hideMark/>
          </w:tcPr>
          <w:p w14:paraId="26A36209" w14:textId="77777777" w:rsidR="00A4606E" w:rsidRPr="00923237" w:rsidRDefault="00A4606E" w:rsidP="00F31DC2">
            <w:pPr>
              <w:pStyle w:val="NoSpacing"/>
              <w:rPr>
                <w:rFonts w:cstheme="minorHAnsi"/>
                <w:sz w:val="20"/>
                <w:szCs w:val="20"/>
              </w:rPr>
            </w:pPr>
          </w:p>
        </w:tc>
        <w:tc>
          <w:tcPr>
            <w:tcW w:w="455" w:type="pct"/>
            <w:hideMark/>
          </w:tcPr>
          <w:p w14:paraId="64F4CC0F" w14:textId="77777777" w:rsidR="00A4606E" w:rsidRPr="00923237" w:rsidRDefault="00A4606E" w:rsidP="00F31DC2">
            <w:pPr>
              <w:pStyle w:val="NoSpacing"/>
              <w:rPr>
                <w:rFonts w:cstheme="minorHAnsi"/>
                <w:sz w:val="20"/>
                <w:szCs w:val="20"/>
              </w:rPr>
            </w:pPr>
          </w:p>
        </w:tc>
        <w:tc>
          <w:tcPr>
            <w:tcW w:w="432" w:type="pct"/>
            <w:hideMark/>
          </w:tcPr>
          <w:p w14:paraId="1E454A28" w14:textId="77777777" w:rsidR="00A4606E" w:rsidRPr="00923237" w:rsidRDefault="00A4606E" w:rsidP="00F31DC2">
            <w:pPr>
              <w:pStyle w:val="NoSpacing"/>
              <w:rPr>
                <w:rFonts w:cstheme="minorHAnsi"/>
                <w:sz w:val="20"/>
                <w:szCs w:val="20"/>
              </w:rPr>
            </w:pPr>
            <w:r w:rsidRPr="00923237">
              <w:rPr>
                <w:rFonts w:cstheme="minorHAnsi"/>
                <w:sz w:val="20"/>
                <w:szCs w:val="20"/>
              </w:rPr>
              <w:t>[0.014]</w:t>
            </w:r>
          </w:p>
        </w:tc>
        <w:tc>
          <w:tcPr>
            <w:tcW w:w="432" w:type="pct"/>
            <w:hideMark/>
          </w:tcPr>
          <w:p w14:paraId="633AB580" w14:textId="77777777" w:rsidR="00A4606E" w:rsidRPr="00923237" w:rsidRDefault="00A4606E" w:rsidP="00F31DC2">
            <w:pPr>
              <w:pStyle w:val="NoSpacing"/>
              <w:rPr>
                <w:rFonts w:cstheme="minorHAnsi"/>
                <w:sz w:val="20"/>
                <w:szCs w:val="20"/>
              </w:rPr>
            </w:pPr>
          </w:p>
        </w:tc>
        <w:tc>
          <w:tcPr>
            <w:tcW w:w="432" w:type="pct"/>
            <w:hideMark/>
          </w:tcPr>
          <w:p w14:paraId="5E51C897" w14:textId="77777777" w:rsidR="00A4606E" w:rsidRPr="00923237" w:rsidRDefault="00A4606E" w:rsidP="00F31DC2">
            <w:pPr>
              <w:pStyle w:val="NoSpacing"/>
              <w:rPr>
                <w:rFonts w:cstheme="minorHAnsi"/>
                <w:sz w:val="20"/>
                <w:szCs w:val="20"/>
              </w:rPr>
            </w:pPr>
            <w:r w:rsidRPr="00923237">
              <w:rPr>
                <w:rFonts w:cstheme="minorHAnsi"/>
                <w:sz w:val="20"/>
                <w:szCs w:val="20"/>
              </w:rPr>
              <w:t>[0.017]</w:t>
            </w:r>
          </w:p>
        </w:tc>
        <w:tc>
          <w:tcPr>
            <w:tcW w:w="475" w:type="pct"/>
            <w:hideMark/>
          </w:tcPr>
          <w:p w14:paraId="02892193" w14:textId="77777777" w:rsidR="00A4606E" w:rsidRPr="00923237" w:rsidRDefault="00A4606E" w:rsidP="00F31DC2">
            <w:pPr>
              <w:pStyle w:val="NoSpacing"/>
              <w:rPr>
                <w:rFonts w:cstheme="minorHAnsi"/>
                <w:sz w:val="20"/>
                <w:szCs w:val="20"/>
              </w:rPr>
            </w:pPr>
            <w:r w:rsidRPr="00923237">
              <w:rPr>
                <w:rFonts w:cstheme="minorHAnsi"/>
                <w:sz w:val="20"/>
                <w:szCs w:val="20"/>
              </w:rPr>
              <w:t>[0.050]</w:t>
            </w:r>
          </w:p>
        </w:tc>
        <w:tc>
          <w:tcPr>
            <w:tcW w:w="432" w:type="pct"/>
            <w:hideMark/>
          </w:tcPr>
          <w:p w14:paraId="61D9BA46" w14:textId="77777777" w:rsidR="00A4606E" w:rsidRPr="00923237" w:rsidRDefault="00A4606E" w:rsidP="00F31DC2">
            <w:pPr>
              <w:pStyle w:val="NoSpacing"/>
              <w:rPr>
                <w:rFonts w:cstheme="minorHAnsi"/>
                <w:sz w:val="20"/>
                <w:szCs w:val="20"/>
              </w:rPr>
            </w:pPr>
            <w:r w:rsidRPr="00923237">
              <w:rPr>
                <w:rFonts w:cstheme="minorHAnsi"/>
                <w:sz w:val="20"/>
                <w:szCs w:val="20"/>
              </w:rPr>
              <w:t>[0.101]</w:t>
            </w:r>
          </w:p>
        </w:tc>
        <w:tc>
          <w:tcPr>
            <w:tcW w:w="432" w:type="pct"/>
            <w:hideMark/>
          </w:tcPr>
          <w:p w14:paraId="78CC0045" w14:textId="77777777" w:rsidR="00A4606E" w:rsidRPr="00923237" w:rsidRDefault="00A4606E" w:rsidP="00F31DC2">
            <w:pPr>
              <w:pStyle w:val="NoSpacing"/>
              <w:rPr>
                <w:rFonts w:cstheme="minorHAnsi"/>
                <w:sz w:val="20"/>
                <w:szCs w:val="20"/>
              </w:rPr>
            </w:pPr>
            <w:r w:rsidRPr="00923237">
              <w:rPr>
                <w:rFonts w:cstheme="minorHAnsi"/>
                <w:sz w:val="20"/>
                <w:szCs w:val="20"/>
              </w:rPr>
              <w:t>[0.049]</w:t>
            </w:r>
          </w:p>
        </w:tc>
        <w:tc>
          <w:tcPr>
            <w:tcW w:w="432" w:type="pct"/>
            <w:hideMark/>
          </w:tcPr>
          <w:p w14:paraId="45335D0A" w14:textId="77777777" w:rsidR="00A4606E" w:rsidRPr="00923237" w:rsidRDefault="00A4606E" w:rsidP="00F31DC2">
            <w:pPr>
              <w:pStyle w:val="NoSpacing"/>
              <w:rPr>
                <w:rFonts w:cstheme="minorHAnsi"/>
                <w:sz w:val="20"/>
                <w:szCs w:val="20"/>
              </w:rPr>
            </w:pPr>
            <w:r w:rsidRPr="00923237">
              <w:rPr>
                <w:rFonts w:cstheme="minorHAnsi"/>
                <w:sz w:val="20"/>
                <w:szCs w:val="20"/>
              </w:rPr>
              <w:t>[0.121]</w:t>
            </w:r>
          </w:p>
        </w:tc>
      </w:tr>
      <w:tr w:rsidR="00A4606E" w:rsidRPr="00923237" w14:paraId="37D744F5" w14:textId="77777777" w:rsidTr="00AB2CF4">
        <w:tc>
          <w:tcPr>
            <w:tcW w:w="1475" w:type="pct"/>
            <w:hideMark/>
          </w:tcPr>
          <w:p w14:paraId="333ADCA2" w14:textId="77777777" w:rsidR="00A4606E" w:rsidRPr="00923237" w:rsidRDefault="00A4606E" w:rsidP="00F31DC2">
            <w:pPr>
              <w:pStyle w:val="NoSpacing"/>
              <w:rPr>
                <w:rFonts w:cstheme="minorHAnsi"/>
                <w:sz w:val="20"/>
                <w:szCs w:val="20"/>
              </w:rPr>
            </w:pPr>
            <w:r w:rsidRPr="00923237">
              <w:rPr>
                <w:rFonts w:cstheme="minorHAnsi"/>
                <w:sz w:val="20"/>
                <w:szCs w:val="20"/>
              </w:rPr>
              <w:t>Debt due in 2–3 year/total debt</w:t>
            </w:r>
          </w:p>
        </w:tc>
        <w:tc>
          <w:tcPr>
            <w:tcW w:w="455" w:type="pct"/>
            <w:hideMark/>
          </w:tcPr>
          <w:p w14:paraId="742EF78F" w14:textId="77777777" w:rsidR="00A4606E" w:rsidRPr="00923237" w:rsidRDefault="00A4606E" w:rsidP="00F31DC2">
            <w:pPr>
              <w:pStyle w:val="NoSpacing"/>
              <w:rPr>
                <w:rFonts w:cstheme="minorHAnsi"/>
                <w:sz w:val="20"/>
                <w:szCs w:val="20"/>
              </w:rPr>
            </w:pPr>
          </w:p>
        </w:tc>
        <w:tc>
          <w:tcPr>
            <w:tcW w:w="432" w:type="pct"/>
            <w:hideMark/>
          </w:tcPr>
          <w:p w14:paraId="48DC1871" w14:textId="77777777" w:rsidR="00A4606E" w:rsidRPr="00923237" w:rsidRDefault="00A4606E" w:rsidP="00F31DC2">
            <w:pPr>
              <w:pStyle w:val="NoSpacing"/>
              <w:rPr>
                <w:rFonts w:cstheme="minorHAnsi"/>
                <w:sz w:val="20"/>
                <w:szCs w:val="20"/>
              </w:rPr>
            </w:pPr>
            <w:r w:rsidRPr="00923237">
              <w:rPr>
                <w:rFonts w:cstheme="minorHAnsi"/>
                <w:sz w:val="20"/>
                <w:szCs w:val="20"/>
              </w:rPr>
              <w:t>0.1106**</w:t>
            </w:r>
          </w:p>
        </w:tc>
        <w:tc>
          <w:tcPr>
            <w:tcW w:w="432" w:type="pct"/>
            <w:hideMark/>
          </w:tcPr>
          <w:p w14:paraId="3EA28BAE" w14:textId="77777777" w:rsidR="00A4606E" w:rsidRPr="00923237" w:rsidRDefault="00A4606E" w:rsidP="00F31DC2">
            <w:pPr>
              <w:pStyle w:val="NoSpacing"/>
              <w:rPr>
                <w:rFonts w:cstheme="minorHAnsi"/>
                <w:sz w:val="20"/>
                <w:szCs w:val="20"/>
              </w:rPr>
            </w:pPr>
          </w:p>
        </w:tc>
        <w:tc>
          <w:tcPr>
            <w:tcW w:w="432" w:type="pct"/>
            <w:hideMark/>
          </w:tcPr>
          <w:p w14:paraId="7CD569E0" w14:textId="77777777" w:rsidR="00A4606E" w:rsidRPr="00923237" w:rsidRDefault="00A4606E" w:rsidP="00F31DC2">
            <w:pPr>
              <w:pStyle w:val="NoSpacing"/>
              <w:rPr>
                <w:rFonts w:cstheme="minorHAnsi"/>
                <w:sz w:val="20"/>
                <w:szCs w:val="20"/>
              </w:rPr>
            </w:pPr>
            <w:r w:rsidRPr="00923237">
              <w:rPr>
                <w:rFonts w:cstheme="minorHAnsi"/>
                <w:sz w:val="20"/>
                <w:szCs w:val="20"/>
              </w:rPr>
              <w:t>0.1187**</w:t>
            </w:r>
          </w:p>
        </w:tc>
        <w:tc>
          <w:tcPr>
            <w:tcW w:w="475" w:type="pct"/>
            <w:hideMark/>
          </w:tcPr>
          <w:p w14:paraId="224BA426" w14:textId="77777777" w:rsidR="00A4606E" w:rsidRPr="00923237" w:rsidRDefault="00A4606E" w:rsidP="00F31DC2">
            <w:pPr>
              <w:pStyle w:val="NoSpacing"/>
              <w:rPr>
                <w:rFonts w:cstheme="minorHAnsi"/>
                <w:sz w:val="20"/>
                <w:szCs w:val="20"/>
              </w:rPr>
            </w:pPr>
            <w:r w:rsidRPr="00923237">
              <w:rPr>
                <w:rFonts w:cstheme="minorHAnsi"/>
                <w:sz w:val="20"/>
                <w:szCs w:val="20"/>
              </w:rPr>
              <w:t>0.0904</w:t>
            </w:r>
          </w:p>
        </w:tc>
        <w:tc>
          <w:tcPr>
            <w:tcW w:w="432" w:type="pct"/>
            <w:hideMark/>
          </w:tcPr>
          <w:p w14:paraId="4AE4FD54" w14:textId="77777777" w:rsidR="00A4606E" w:rsidRPr="00923237" w:rsidRDefault="00A4606E" w:rsidP="00F31DC2">
            <w:pPr>
              <w:pStyle w:val="NoSpacing"/>
              <w:rPr>
                <w:rFonts w:cstheme="minorHAnsi"/>
                <w:sz w:val="20"/>
                <w:szCs w:val="20"/>
              </w:rPr>
            </w:pPr>
            <w:r w:rsidRPr="00923237">
              <w:rPr>
                <w:rFonts w:cstheme="minorHAnsi"/>
                <w:sz w:val="20"/>
                <w:szCs w:val="20"/>
              </w:rPr>
              <w:t>0.0852</w:t>
            </w:r>
          </w:p>
        </w:tc>
        <w:tc>
          <w:tcPr>
            <w:tcW w:w="432" w:type="pct"/>
            <w:hideMark/>
          </w:tcPr>
          <w:p w14:paraId="4DD749D8" w14:textId="77777777" w:rsidR="00A4606E" w:rsidRPr="00923237" w:rsidRDefault="00A4606E" w:rsidP="00F31DC2">
            <w:pPr>
              <w:pStyle w:val="NoSpacing"/>
              <w:rPr>
                <w:rFonts w:cstheme="minorHAnsi"/>
                <w:sz w:val="20"/>
                <w:szCs w:val="20"/>
              </w:rPr>
            </w:pPr>
            <w:r w:rsidRPr="00923237">
              <w:rPr>
                <w:rFonts w:cstheme="minorHAnsi"/>
                <w:sz w:val="20"/>
                <w:szCs w:val="20"/>
              </w:rPr>
              <w:t>0.0954</w:t>
            </w:r>
          </w:p>
        </w:tc>
        <w:tc>
          <w:tcPr>
            <w:tcW w:w="432" w:type="pct"/>
            <w:hideMark/>
          </w:tcPr>
          <w:p w14:paraId="5738C480" w14:textId="77777777" w:rsidR="00A4606E" w:rsidRPr="00923237" w:rsidRDefault="00A4606E" w:rsidP="00F31DC2">
            <w:pPr>
              <w:pStyle w:val="NoSpacing"/>
              <w:rPr>
                <w:rFonts w:cstheme="minorHAnsi"/>
                <w:sz w:val="20"/>
                <w:szCs w:val="20"/>
              </w:rPr>
            </w:pPr>
            <w:r w:rsidRPr="00923237">
              <w:rPr>
                <w:rFonts w:cstheme="minorHAnsi"/>
                <w:sz w:val="20"/>
                <w:szCs w:val="20"/>
              </w:rPr>
              <w:t>0.0858</w:t>
            </w:r>
          </w:p>
        </w:tc>
      </w:tr>
      <w:tr w:rsidR="00A4606E" w:rsidRPr="00923237" w14:paraId="2131051F" w14:textId="77777777" w:rsidTr="00AB2CF4">
        <w:tc>
          <w:tcPr>
            <w:tcW w:w="1475" w:type="pct"/>
            <w:hideMark/>
          </w:tcPr>
          <w:p w14:paraId="587D3867" w14:textId="77777777" w:rsidR="00A4606E" w:rsidRPr="00923237" w:rsidRDefault="00A4606E" w:rsidP="00F31DC2">
            <w:pPr>
              <w:pStyle w:val="NoSpacing"/>
              <w:rPr>
                <w:rFonts w:cstheme="minorHAnsi"/>
                <w:sz w:val="20"/>
                <w:szCs w:val="20"/>
              </w:rPr>
            </w:pPr>
          </w:p>
        </w:tc>
        <w:tc>
          <w:tcPr>
            <w:tcW w:w="455" w:type="pct"/>
            <w:hideMark/>
          </w:tcPr>
          <w:p w14:paraId="56E9B99C" w14:textId="77777777" w:rsidR="00A4606E" w:rsidRPr="00923237" w:rsidRDefault="00A4606E" w:rsidP="00F31DC2">
            <w:pPr>
              <w:pStyle w:val="NoSpacing"/>
              <w:rPr>
                <w:rFonts w:cstheme="minorHAnsi"/>
                <w:sz w:val="20"/>
                <w:szCs w:val="20"/>
              </w:rPr>
            </w:pPr>
          </w:p>
        </w:tc>
        <w:tc>
          <w:tcPr>
            <w:tcW w:w="432" w:type="pct"/>
            <w:hideMark/>
          </w:tcPr>
          <w:p w14:paraId="5F82689E" w14:textId="77777777" w:rsidR="00A4606E" w:rsidRPr="00923237" w:rsidRDefault="00A4606E" w:rsidP="00F31DC2">
            <w:pPr>
              <w:pStyle w:val="NoSpacing"/>
              <w:rPr>
                <w:rFonts w:cstheme="minorHAnsi"/>
                <w:sz w:val="20"/>
                <w:szCs w:val="20"/>
              </w:rPr>
            </w:pPr>
            <w:r w:rsidRPr="00923237">
              <w:rPr>
                <w:rFonts w:cstheme="minorHAnsi"/>
                <w:sz w:val="20"/>
                <w:szCs w:val="20"/>
              </w:rPr>
              <w:t>[0.027]</w:t>
            </w:r>
          </w:p>
        </w:tc>
        <w:tc>
          <w:tcPr>
            <w:tcW w:w="432" w:type="pct"/>
            <w:hideMark/>
          </w:tcPr>
          <w:p w14:paraId="28F45229" w14:textId="77777777" w:rsidR="00A4606E" w:rsidRPr="00923237" w:rsidRDefault="00A4606E" w:rsidP="00F31DC2">
            <w:pPr>
              <w:pStyle w:val="NoSpacing"/>
              <w:rPr>
                <w:rFonts w:cstheme="minorHAnsi"/>
                <w:sz w:val="20"/>
                <w:szCs w:val="20"/>
              </w:rPr>
            </w:pPr>
          </w:p>
        </w:tc>
        <w:tc>
          <w:tcPr>
            <w:tcW w:w="432" w:type="pct"/>
            <w:hideMark/>
          </w:tcPr>
          <w:p w14:paraId="4000C3CA" w14:textId="77777777" w:rsidR="00A4606E" w:rsidRPr="00923237" w:rsidRDefault="00A4606E" w:rsidP="00F31DC2">
            <w:pPr>
              <w:pStyle w:val="NoSpacing"/>
              <w:rPr>
                <w:rFonts w:cstheme="minorHAnsi"/>
                <w:sz w:val="20"/>
                <w:szCs w:val="20"/>
              </w:rPr>
            </w:pPr>
            <w:r w:rsidRPr="00923237">
              <w:rPr>
                <w:rFonts w:cstheme="minorHAnsi"/>
                <w:sz w:val="20"/>
                <w:szCs w:val="20"/>
              </w:rPr>
              <w:t>[0.018]</w:t>
            </w:r>
          </w:p>
        </w:tc>
        <w:tc>
          <w:tcPr>
            <w:tcW w:w="475" w:type="pct"/>
            <w:hideMark/>
          </w:tcPr>
          <w:p w14:paraId="7863EE80" w14:textId="77777777" w:rsidR="00A4606E" w:rsidRPr="00923237" w:rsidRDefault="00A4606E" w:rsidP="00F31DC2">
            <w:pPr>
              <w:pStyle w:val="NoSpacing"/>
              <w:rPr>
                <w:rFonts w:cstheme="minorHAnsi"/>
                <w:sz w:val="20"/>
                <w:szCs w:val="20"/>
              </w:rPr>
            </w:pPr>
            <w:r w:rsidRPr="00923237">
              <w:rPr>
                <w:rFonts w:cstheme="minorHAnsi"/>
                <w:sz w:val="20"/>
                <w:szCs w:val="20"/>
              </w:rPr>
              <w:t>[0.124]</w:t>
            </w:r>
          </w:p>
        </w:tc>
        <w:tc>
          <w:tcPr>
            <w:tcW w:w="432" w:type="pct"/>
            <w:hideMark/>
          </w:tcPr>
          <w:p w14:paraId="2CC1A7B3" w14:textId="77777777" w:rsidR="00A4606E" w:rsidRPr="00923237" w:rsidRDefault="00A4606E" w:rsidP="00F31DC2">
            <w:pPr>
              <w:pStyle w:val="NoSpacing"/>
              <w:rPr>
                <w:rFonts w:cstheme="minorHAnsi"/>
                <w:sz w:val="20"/>
                <w:szCs w:val="20"/>
              </w:rPr>
            </w:pPr>
            <w:r w:rsidRPr="00923237">
              <w:rPr>
                <w:rFonts w:cstheme="minorHAnsi"/>
                <w:sz w:val="20"/>
                <w:szCs w:val="20"/>
              </w:rPr>
              <w:t>[0.205]</w:t>
            </w:r>
          </w:p>
        </w:tc>
        <w:tc>
          <w:tcPr>
            <w:tcW w:w="432" w:type="pct"/>
            <w:hideMark/>
          </w:tcPr>
          <w:p w14:paraId="1C4B59F8" w14:textId="77777777" w:rsidR="00A4606E" w:rsidRPr="00923237" w:rsidRDefault="00A4606E" w:rsidP="00F31DC2">
            <w:pPr>
              <w:pStyle w:val="NoSpacing"/>
              <w:rPr>
                <w:rFonts w:cstheme="minorHAnsi"/>
                <w:sz w:val="20"/>
                <w:szCs w:val="20"/>
              </w:rPr>
            </w:pPr>
            <w:r w:rsidRPr="00923237">
              <w:rPr>
                <w:rFonts w:cstheme="minorHAnsi"/>
                <w:sz w:val="20"/>
                <w:szCs w:val="20"/>
              </w:rPr>
              <w:t>[0.117]</w:t>
            </w:r>
          </w:p>
        </w:tc>
        <w:tc>
          <w:tcPr>
            <w:tcW w:w="432" w:type="pct"/>
            <w:hideMark/>
          </w:tcPr>
          <w:p w14:paraId="11C72DB4" w14:textId="77777777" w:rsidR="00A4606E" w:rsidRPr="00923237" w:rsidRDefault="00A4606E" w:rsidP="00F31DC2">
            <w:pPr>
              <w:pStyle w:val="NoSpacing"/>
              <w:rPr>
                <w:rFonts w:cstheme="minorHAnsi"/>
                <w:sz w:val="20"/>
                <w:szCs w:val="20"/>
              </w:rPr>
            </w:pPr>
            <w:r w:rsidRPr="00923237">
              <w:rPr>
                <w:rFonts w:cstheme="minorHAnsi"/>
                <w:sz w:val="20"/>
                <w:szCs w:val="20"/>
              </w:rPr>
              <w:t>[0.229]</w:t>
            </w:r>
          </w:p>
        </w:tc>
      </w:tr>
      <w:tr w:rsidR="00A4606E" w:rsidRPr="00923237" w14:paraId="6E43600E" w14:textId="77777777" w:rsidTr="00AB2CF4">
        <w:tc>
          <w:tcPr>
            <w:tcW w:w="1475" w:type="pct"/>
            <w:hideMark/>
          </w:tcPr>
          <w:p w14:paraId="709E289C" w14:textId="77777777" w:rsidR="00A4606E" w:rsidRPr="00923237" w:rsidRDefault="00A4606E" w:rsidP="00F31DC2">
            <w:pPr>
              <w:pStyle w:val="NoSpacing"/>
              <w:rPr>
                <w:rFonts w:cstheme="minorHAnsi"/>
                <w:sz w:val="20"/>
                <w:szCs w:val="20"/>
              </w:rPr>
            </w:pPr>
            <w:proofErr w:type="gramStart"/>
            <w:r w:rsidRPr="00923237">
              <w:rPr>
                <w:rFonts w:cstheme="minorHAnsi"/>
                <w:sz w:val="20"/>
                <w:szCs w:val="20"/>
              </w:rPr>
              <w:t>Ln(</w:t>
            </w:r>
            <w:proofErr w:type="gramEnd"/>
            <w:r w:rsidRPr="00923237">
              <w:rPr>
                <w:rFonts w:cstheme="minorHAnsi"/>
                <w:sz w:val="20"/>
                <w:szCs w:val="20"/>
              </w:rPr>
              <w:t>board size)</w:t>
            </w:r>
          </w:p>
        </w:tc>
        <w:tc>
          <w:tcPr>
            <w:tcW w:w="455" w:type="pct"/>
            <w:hideMark/>
          </w:tcPr>
          <w:p w14:paraId="7E88EB45" w14:textId="77777777" w:rsidR="00A4606E" w:rsidRPr="00923237" w:rsidRDefault="00A4606E" w:rsidP="00F31DC2">
            <w:pPr>
              <w:pStyle w:val="NoSpacing"/>
              <w:rPr>
                <w:rFonts w:cstheme="minorHAnsi"/>
                <w:sz w:val="20"/>
                <w:szCs w:val="20"/>
              </w:rPr>
            </w:pPr>
          </w:p>
        </w:tc>
        <w:tc>
          <w:tcPr>
            <w:tcW w:w="432" w:type="pct"/>
            <w:hideMark/>
          </w:tcPr>
          <w:p w14:paraId="65B6A6FB" w14:textId="77777777" w:rsidR="00A4606E" w:rsidRPr="00923237" w:rsidRDefault="00A4606E" w:rsidP="00F31DC2">
            <w:pPr>
              <w:pStyle w:val="NoSpacing"/>
              <w:rPr>
                <w:rFonts w:cstheme="minorHAnsi"/>
                <w:sz w:val="20"/>
                <w:szCs w:val="20"/>
              </w:rPr>
            </w:pPr>
          </w:p>
        </w:tc>
        <w:tc>
          <w:tcPr>
            <w:tcW w:w="432" w:type="pct"/>
            <w:hideMark/>
          </w:tcPr>
          <w:p w14:paraId="2B30E132" w14:textId="77777777" w:rsidR="00A4606E" w:rsidRPr="00923237" w:rsidRDefault="00A4606E" w:rsidP="00F31DC2">
            <w:pPr>
              <w:pStyle w:val="NoSpacing"/>
              <w:rPr>
                <w:rFonts w:cstheme="minorHAnsi"/>
                <w:sz w:val="20"/>
                <w:szCs w:val="20"/>
              </w:rPr>
            </w:pPr>
          </w:p>
        </w:tc>
        <w:tc>
          <w:tcPr>
            <w:tcW w:w="432" w:type="pct"/>
            <w:hideMark/>
          </w:tcPr>
          <w:p w14:paraId="0D3C183A" w14:textId="77777777" w:rsidR="00A4606E" w:rsidRPr="00923237" w:rsidRDefault="00A4606E" w:rsidP="00F31DC2">
            <w:pPr>
              <w:pStyle w:val="NoSpacing"/>
              <w:rPr>
                <w:rFonts w:cstheme="minorHAnsi"/>
                <w:sz w:val="20"/>
                <w:szCs w:val="20"/>
              </w:rPr>
            </w:pPr>
          </w:p>
        </w:tc>
        <w:tc>
          <w:tcPr>
            <w:tcW w:w="475" w:type="pct"/>
            <w:hideMark/>
          </w:tcPr>
          <w:p w14:paraId="557A3379" w14:textId="77777777" w:rsidR="00A4606E" w:rsidRPr="00923237" w:rsidRDefault="00A4606E" w:rsidP="00F31DC2">
            <w:pPr>
              <w:pStyle w:val="NoSpacing"/>
              <w:rPr>
                <w:rFonts w:cstheme="minorHAnsi"/>
                <w:sz w:val="20"/>
                <w:szCs w:val="20"/>
              </w:rPr>
            </w:pPr>
          </w:p>
        </w:tc>
        <w:tc>
          <w:tcPr>
            <w:tcW w:w="432" w:type="pct"/>
            <w:hideMark/>
          </w:tcPr>
          <w:p w14:paraId="4C1590F5" w14:textId="77777777" w:rsidR="00A4606E" w:rsidRPr="00923237" w:rsidRDefault="00A4606E" w:rsidP="00F31DC2">
            <w:pPr>
              <w:pStyle w:val="NoSpacing"/>
              <w:rPr>
                <w:rFonts w:cstheme="minorHAnsi"/>
                <w:sz w:val="20"/>
                <w:szCs w:val="20"/>
              </w:rPr>
            </w:pPr>
            <w:r w:rsidRPr="00923237">
              <w:rPr>
                <w:rFonts w:cstheme="minorHAnsi"/>
                <w:sz w:val="20"/>
                <w:szCs w:val="20"/>
              </w:rPr>
              <w:t>−0.0598</w:t>
            </w:r>
          </w:p>
        </w:tc>
        <w:tc>
          <w:tcPr>
            <w:tcW w:w="432" w:type="pct"/>
            <w:hideMark/>
          </w:tcPr>
          <w:p w14:paraId="7266E556" w14:textId="77777777" w:rsidR="00A4606E" w:rsidRPr="00923237" w:rsidRDefault="00A4606E" w:rsidP="00F31DC2">
            <w:pPr>
              <w:pStyle w:val="NoSpacing"/>
              <w:rPr>
                <w:rFonts w:cstheme="minorHAnsi"/>
                <w:sz w:val="20"/>
                <w:szCs w:val="20"/>
              </w:rPr>
            </w:pPr>
          </w:p>
        </w:tc>
        <w:tc>
          <w:tcPr>
            <w:tcW w:w="432" w:type="pct"/>
            <w:hideMark/>
          </w:tcPr>
          <w:p w14:paraId="70790861" w14:textId="77777777" w:rsidR="00A4606E" w:rsidRPr="00923237" w:rsidRDefault="00A4606E" w:rsidP="00F31DC2">
            <w:pPr>
              <w:pStyle w:val="NoSpacing"/>
              <w:rPr>
                <w:rFonts w:cstheme="minorHAnsi"/>
                <w:sz w:val="20"/>
                <w:szCs w:val="20"/>
              </w:rPr>
            </w:pPr>
            <w:r w:rsidRPr="00923237">
              <w:rPr>
                <w:rFonts w:cstheme="minorHAnsi"/>
                <w:sz w:val="20"/>
                <w:szCs w:val="20"/>
              </w:rPr>
              <w:t>−0.0638</w:t>
            </w:r>
          </w:p>
        </w:tc>
      </w:tr>
      <w:tr w:rsidR="00A4606E" w:rsidRPr="00923237" w14:paraId="296FCAD5" w14:textId="77777777" w:rsidTr="00AB2CF4">
        <w:tc>
          <w:tcPr>
            <w:tcW w:w="1475" w:type="pct"/>
            <w:hideMark/>
          </w:tcPr>
          <w:p w14:paraId="29C8EBCE" w14:textId="77777777" w:rsidR="00A4606E" w:rsidRPr="00923237" w:rsidRDefault="00A4606E" w:rsidP="00F31DC2">
            <w:pPr>
              <w:pStyle w:val="NoSpacing"/>
              <w:rPr>
                <w:rFonts w:cstheme="minorHAnsi"/>
                <w:sz w:val="20"/>
                <w:szCs w:val="20"/>
              </w:rPr>
            </w:pPr>
          </w:p>
        </w:tc>
        <w:tc>
          <w:tcPr>
            <w:tcW w:w="455" w:type="pct"/>
            <w:hideMark/>
          </w:tcPr>
          <w:p w14:paraId="1C0AF4E9" w14:textId="77777777" w:rsidR="00A4606E" w:rsidRPr="00923237" w:rsidRDefault="00A4606E" w:rsidP="00F31DC2">
            <w:pPr>
              <w:pStyle w:val="NoSpacing"/>
              <w:rPr>
                <w:rFonts w:cstheme="minorHAnsi"/>
                <w:sz w:val="20"/>
                <w:szCs w:val="20"/>
              </w:rPr>
            </w:pPr>
          </w:p>
        </w:tc>
        <w:tc>
          <w:tcPr>
            <w:tcW w:w="432" w:type="pct"/>
            <w:hideMark/>
          </w:tcPr>
          <w:p w14:paraId="6B625586" w14:textId="77777777" w:rsidR="00A4606E" w:rsidRPr="00923237" w:rsidRDefault="00A4606E" w:rsidP="00F31DC2">
            <w:pPr>
              <w:pStyle w:val="NoSpacing"/>
              <w:rPr>
                <w:rFonts w:cstheme="minorHAnsi"/>
                <w:sz w:val="20"/>
                <w:szCs w:val="20"/>
              </w:rPr>
            </w:pPr>
          </w:p>
        </w:tc>
        <w:tc>
          <w:tcPr>
            <w:tcW w:w="432" w:type="pct"/>
            <w:hideMark/>
          </w:tcPr>
          <w:p w14:paraId="3677EF70" w14:textId="77777777" w:rsidR="00A4606E" w:rsidRPr="00923237" w:rsidRDefault="00A4606E" w:rsidP="00F31DC2">
            <w:pPr>
              <w:pStyle w:val="NoSpacing"/>
              <w:rPr>
                <w:rFonts w:cstheme="minorHAnsi"/>
                <w:sz w:val="20"/>
                <w:szCs w:val="20"/>
              </w:rPr>
            </w:pPr>
          </w:p>
        </w:tc>
        <w:tc>
          <w:tcPr>
            <w:tcW w:w="432" w:type="pct"/>
            <w:hideMark/>
          </w:tcPr>
          <w:p w14:paraId="32297BF9" w14:textId="77777777" w:rsidR="00A4606E" w:rsidRPr="00923237" w:rsidRDefault="00A4606E" w:rsidP="00F31DC2">
            <w:pPr>
              <w:pStyle w:val="NoSpacing"/>
              <w:rPr>
                <w:rFonts w:cstheme="minorHAnsi"/>
                <w:sz w:val="20"/>
                <w:szCs w:val="20"/>
              </w:rPr>
            </w:pPr>
          </w:p>
        </w:tc>
        <w:tc>
          <w:tcPr>
            <w:tcW w:w="475" w:type="pct"/>
            <w:hideMark/>
          </w:tcPr>
          <w:p w14:paraId="7C85C297" w14:textId="77777777" w:rsidR="00A4606E" w:rsidRPr="00923237" w:rsidRDefault="00A4606E" w:rsidP="00F31DC2">
            <w:pPr>
              <w:pStyle w:val="NoSpacing"/>
              <w:rPr>
                <w:rFonts w:cstheme="minorHAnsi"/>
                <w:sz w:val="20"/>
                <w:szCs w:val="20"/>
              </w:rPr>
            </w:pPr>
          </w:p>
        </w:tc>
        <w:tc>
          <w:tcPr>
            <w:tcW w:w="432" w:type="pct"/>
            <w:hideMark/>
          </w:tcPr>
          <w:p w14:paraId="32871178" w14:textId="77777777" w:rsidR="00A4606E" w:rsidRPr="00923237" w:rsidRDefault="00A4606E" w:rsidP="00F31DC2">
            <w:pPr>
              <w:pStyle w:val="NoSpacing"/>
              <w:rPr>
                <w:rFonts w:cstheme="minorHAnsi"/>
                <w:sz w:val="20"/>
                <w:szCs w:val="20"/>
              </w:rPr>
            </w:pPr>
            <w:r w:rsidRPr="00923237">
              <w:rPr>
                <w:rFonts w:cstheme="minorHAnsi"/>
                <w:sz w:val="20"/>
                <w:szCs w:val="20"/>
              </w:rPr>
              <w:t>[0.267]</w:t>
            </w:r>
          </w:p>
        </w:tc>
        <w:tc>
          <w:tcPr>
            <w:tcW w:w="432" w:type="pct"/>
            <w:hideMark/>
          </w:tcPr>
          <w:p w14:paraId="02B5F0C1" w14:textId="77777777" w:rsidR="00A4606E" w:rsidRPr="00923237" w:rsidRDefault="00A4606E" w:rsidP="00F31DC2">
            <w:pPr>
              <w:pStyle w:val="NoSpacing"/>
              <w:rPr>
                <w:rFonts w:cstheme="minorHAnsi"/>
                <w:sz w:val="20"/>
                <w:szCs w:val="20"/>
              </w:rPr>
            </w:pPr>
          </w:p>
        </w:tc>
        <w:tc>
          <w:tcPr>
            <w:tcW w:w="432" w:type="pct"/>
            <w:hideMark/>
          </w:tcPr>
          <w:p w14:paraId="18E1CC85" w14:textId="77777777" w:rsidR="00A4606E" w:rsidRPr="00923237" w:rsidRDefault="00A4606E" w:rsidP="00F31DC2">
            <w:pPr>
              <w:pStyle w:val="NoSpacing"/>
              <w:rPr>
                <w:rFonts w:cstheme="minorHAnsi"/>
                <w:sz w:val="20"/>
                <w:szCs w:val="20"/>
              </w:rPr>
            </w:pPr>
            <w:r w:rsidRPr="00923237">
              <w:rPr>
                <w:rFonts w:cstheme="minorHAnsi"/>
                <w:sz w:val="20"/>
                <w:szCs w:val="20"/>
              </w:rPr>
              <w:t>[0.253]</w:t>
            </w:r>
          </w:p>
        </w:tc>
      </w:tr>
      <w:tr w:rsidR="00A4606E" w:rsidRPr="00923237" w14:paraId="663D2985" w14:textId="77777777" w:rsidTr="00AB2CF4">
        <w:tc>
          <w:tcPr>
            <w:tcW w:w="1475" w:type="pct"/>
            <w:hideMark/>
          </w:tcPr>
          <w:p w14:paraId="40C526EB" w14:textId="77777777" w:rsidR="00A4606E" w:rsidRPr="00923237" w:rsidRDefault="00A4606E" w:rsidP="00F31DC2">
            <w:pPr>
              <w:pStyle w:val="NoSpacing"/>
              <w:rPr>
                <w:rFonts w:cstheme="minorHAnsi"/>
                <w:sz w:val="20"/>
                <w:szCs w:val="20"/>
              </w:rPr>
            </w:pPr>
            <w:r w:rsidRPr="00923237">
              <w:rPr>
                <w:rFonts w:cstheme="minorHAnsi"/>
                <w:sz w:val="20"/>
                <w:szCs w:val="20"/>
              </w:rPr>
              <w:t>Board independence</w:t>
            </w:r>
          </w:p>
        </w:tc>
        <w:tc>
          <w:tcPr>
            <w:tcW w:w="455" w:type="pct"/>
            <w:hideMark/>
          </w:tcPr>
          <w:p w14:paraId="6672E188" w14:textId="77777777" w:rsidR="00A4606E" w:rsidRPr="00923237" w:rsidRDefault="00A4606E" w:rsidP="00F31DC2">
            <w:pPr>
              <w:pStyle w:val="NoSpacing"/>
              <w:rPr>
                <w:rFonts w:cstheme="minorHAnsi"/>
                <w:sz w:val="20"/>
                <w:szCs w:val="20"/>
              </w:rPr>
            </w:pPr>
          </w:p>
        </w:tc>
        <w:tc>
          <w:tcPr>
            <w:tcW w:w="432" w:type="pct"/>
            <w:hideMark/>
          </w:tcPr>
          <w:p w14:paraId="60430847" w14:textId="77777777" w:rsidR="00A4606E" w:rsidRPr="00923237" w:rsidRDefault="00A4606E" w:rsidP="00F31DC2">
            <w:pPr>
              <w:pStyle w:val="NoSpacing"/>
              <w:rPr>
                <w:rFonts w:cstheme="minorHAnsi"/>
                <w:sz w:val="20"/>
                <w:szCs w:val="20"/>
              </w:rPr>
            </w:pPr>
          </w:p>
        </w:tc>
        <w:tc>
          <w:tcPr>
            <w:tcW w:w="432" w:type="pct"/>
            <w:hideMark/>
          </w:tcPr>
          <w:p w14:paraId="06A17EE3" w14:textId="77777777" w:rsidR="00A4606E" w:rsidRPr="00923237" w:rsidRDefault="00A4606E" w:rsidP="00F31DC2">
            <w:pPr>
              <w:pStyle w:val="NoSpacing"/>
              <w:rPr>
                <w:rFonts w:cstheme="minorHAnsi"/>
                <w:sz w:val="20"/>
                <w:szCs w:val="20"/>
              </w:rPr>
            </w:pPr>
          </w:p>
        </w:tc>
        <w:tc>
          <w:tcPr>
            <w:tcW w:w="432" w:type="pct"/>
            <w:hideMark/>
          </w:tcPr>
          <w:p w14:paraId="7C8D7DF0" w14:textId="77777777" w:rsidR="00A4606E" w:rsidRPr="00923237" w:rsidRDefault="00A4606E" w:rsidP="00F31DC2">
            <w:pPr>
              <w:pStyle w:val="NoSpacing"/>
              <w:rPr>
                <w:rFonts w:cstheme="minorHAnsi"/>
                <w:sz w:val="20"/>
                <w:szCs w:val="20"/>
              </w:rPr>
            </w:pPr>
          </w:p>
        </w:tc>
        <w:tc>
          <w:tcPr>
            <w:tcW w:w="475" w:type="pct"/>
            <w:hideMark/>
          </w:tcPr>
          <w:p w14:paraId="5B255839" w14:textId="77777777" w:rsidR="00A4606E" w:rsidRPr="00923237" w:rsidRDefault="00A4606E" w:rsidP="00F31DC2">
            <w:pPr>
              <w:pStyle w:val="NoSpacing"/>
              <w:rPr>
                <w:rFonts w:cstheme="minorHAnsi"/>
                <w:sz w:val="20"/>
                <w:szCs w:val="20"/>
              </w:rPr>
            </w:pPr>
          </w:p>
        </w:tc>
        <w:tc>
          <w:tcPr>
            <w:tcW w:w="432" w:type="pct"/>
            <w:hideMark/>
          </w:tcPr>
          <w:p w14:paraId="42B65C3F" w14:textId="77777777" w:rsidR="00A4606E" w:rsidRPr="00923237" w:rsidRDefault="00A4606E" w:rsidP="00F31DC2">
            <w:pPr>
              <w:pStyle w:val="NoSpacing"/>
              <w:rPr>
                <w:rFonts w:cstheme="minorHAnsi"/>
                <w:sz w:val="20"/>
                <w:szCs w:val="20"/>
              </w:rPr>
            </w:pPr>
            <w:r w:rsidRPr="00923237">
              <w:rPr>
                <w:rFonts w:cstheme="minorHAnsi"/>
                <w:sz w:val="20"/>
                <w:szCs w:val="20"/>
              </w:rPr>
              <w:t>−0.0057</w:t>
            </w:r>
          </w:p>
        </w:tc>
        <w:tc>
          <w:tcPr>
            <w:tcW w:w="432" w:type="pct"/>
            <w:hideMark/>
          </w:tcPr>
          <w:p w14:paraId="68FDB90C" w14:textId="77777777" w:rsidR="00A4606E" w:rsidRPr="00923237" w:rsidRDefault="00A4606E" w:rsidP="00F31DC2">
            <w:pPr>
              <w:pStyle w:val="NoSpacing"/>
              <w:rPr>
                <w:rFonts w:cstheme="minorHAnsi"/>
                <w:sz w:val="20"/>
                <w:szCs w:val="20"/>
              </w:rPr>
            </w:pPr>
          </w:p>
        </w:tc>
        <w:tc>
          <w:tcPr>
            <w:tcW w:w="432" w:type="pct"/>
            <w:hideMark/>
          </w:tcPr>
          <w:p w14:paraId="68B0EB3B" w14:textId="77777777" w:rsidR="00A4606E" w:rsidRPr="00923237" w:rsidRDefault="00A4606E" w:rsidP="00F31DC2">
            <w:pPr>
              <w:pStyle w:val="NoSpacing"/>
              <w:rPr>
                <w:rFonts w:cstheme="minorHAnsi"/>
                <w:sz w:val="20"/>
                <w:szCs w:val="20"/>
              </w:rPr>
            </w:pPr>
            <w:r w:rsidRPr="00923237">
              <w:rPr>
                <w:rFonts w:cstheme="minorHAnsi"/>
                <w:sz w:val="20"/>
                <w:szCs w:val="20"/>
              </w:rPr>
              <w:t>−0.0134</w:t>
            </w:r>
          </w:p>
        </w:tc>
      </w:tr>
      <w:tr w:rsidR="00A4606E" w:rsidRPr="00923237" w14:paraId="11E9BF3A" w14:textId="77777777" w:rsidTr="00AB2CF4">
        <w:tc>
          <w:tcPr>
            <w:tcW w:w="1475" w:type="pct"/>
            <w:hideMark/>
          </w:tcPr>
          <w:p w14:paraId="536ED385" w14:textId="77777777" w:rsidR="00A4606E" w:rsidRPr="00923237" w:rsidRDefault="00A4606E" w:rsidP="00F31DC2">
            <w:pPr>
              <w:pStyle w:val="NoSpacing"/>
              <w:rPr>
                <w:rFonts w:cstheme="minorHAnsi"/>
                <w:sz w:val="20"/>
                <w:szCs w:val="20"/>
              </w:rPr>
            </w:pPr>
          </w:p>
        </w:tc>
        <w:tc>
          <w:tcPr>
            <w:tcW w:w="455" w:type="pct"/>
            <w:hideMark/>
          </w:tcPr>
          <w:p w14:paraId="5DB566FD" w14:textId="77777777" w:rsidR="00A4606E" w:rsidRPr="00923237" w:rsidRDefault="00A4606E" w:rsidP="00F31DC2">
            <w:pPr>
              <w:pStyle w:val="NoSpacing"/>
              <w:rPr>
                <w:rFonts w:cstheme="minorHAnsi"/>
                <w:sz w:val="20"/>
                <w:szCs w:val="20"/>
              </w:rPr>
            </w:pPr>
          </w:p>
        </w:tc>
        <w:tc>
          <w:tcPr>
            <w:tcW w:w="432" w:type="pct"/>
            <w:hideMark/>
          </w:tcPr>
          <w:p w14:paraId="133CD14D" w14:textId="77777777" w:rsidR="00A4606E" w:rsidRPr="00923237" w:rsidRDefault="00A4606E" w:rsidP="00F31DC2">
            <w:pPr>
              <w:pStyle w:val="NoSpacing"/>
              <w:rPr>
                <w:rFonts w:cstheme="minorHAnsi"/>
                <w:sz w:val="20"/>
                <w:szCs w:val="20"/>
              </w:rPr>
            </w:pPr>
          </w:p>
        </w:tc>
        <w:tc>
          <w:tcPr>
            <w:tcW w:w="432" w:type="pct"/>
            <w:hideMark/>
          </w:tcPr>
          <w:p w14:paraId="1F364533" w14:textId="77777777" w:rsidR="00A4606E" w:rsidRPr="00923237" w:rsidRDefault="00A4606E" w:rsidP="00F31DC2">
            <w:pPr>
              <w:pStyle w:val="NoSpacing"/>
              <w:rPr>
                <w:rFonts w:cstheme="minorHAnsi"/>
                <w:sz w:val="20"/>
                <w:szCs w:val="20"/>
              </w:rPr>
            </w:pPr>
          </w:p>
        </w:tc>
        <w:tc>
          <w:tcPr>
            <w:tcW w:w="432" w:type="pct"/>
            <w:hideMark/>
          </w:tcPr>
          <w:p w14:paraId="00098149" w14:textId="77777777" w:rsidR="00A4606E" w:rsidRPr="00923237" w:rsidRDefault="00A4606E" w:rsidP="00F31DC2">
            <w:pPr>
              <w:pStyle w:val="NoSpacing"/>
              <w:rPr>
                <w:rFonts w:cstheme="minorHAnsi"/>
                <w:sz w:val="20"/>
                <w:szCs w:val="20"/>
              </w:rPr>
            </w:pPr>
          </w:p>
        </w:tc>
        <w:tc>
          <w:tcPr>
            <w:tcW w:w="475" w:type="pct"/>
            <w:hideMark/>
          </w:tcPr>
          <w:p w14:paraId="07B17323" w14:textId="77777777" w:rsidR="00A4606E" w:rsidRPr="00923237" w:rsidRDefault="00A4606E" w:rsidP="00F31DC2">
            <w:pPr>
              <w:pStyle w:val="NoSpacing"/>
              <w:rPr>
                <w:rFonts w:cstheme="minorHAnsi"/>
                <w:sz w:val="20"/>
                <w:szCs w:val="20"/>
              </w:rPr>
            </w:pPr>
          </w:p>
        </w:tc>
        <w:tc>
          <w:tcPr>
            <w:tcW w:w="432" w:type="pct"/>
            <w:hideMark/>
          </w:tcPr>
          <w:p w14:paraId="3D9AC03C" w14:textId="77777777" w:rsidR="00A4606E" w:rsidRPr="00923237" w:rsidRDefault="00A4606E" w:rsidP="00F31DC2">
            <w:pPr>
              <w:pStyle w:val="NoSpacing"/>
              <w:rPr>
                <w:rFonts w:cstheme="minorHAnsi"/>
                <w:sz w:val="20"/>
                <w:szCs w:val="20"/>
              </w:rPr>
            </w:pPr>
            <w:r w:rsidRPr="00923237">
              <w:rPr>
                <w:rFonts w:cstheme="minorHAnsi"/>
                <w:sz w:val="20"/>
                <w:szCs w:val="20"/>
              </w:rPr>
              <w:t>[0.886]</w:t>
            </w:r>
          </w:p>
        </w:tc>
        <w:tc>
          <w:tcPr>
            <w:tcW w:w="432" w:type="pct"/>
            <w:hideMark/>
          </w:tcPr>
          <w:p w14:paraId="74CD9FF8" w14:textId="77777777" w:rsidR="00A4606E" w:rsidRPr="00923237" w:rsidRDefault="00A4606E" w:rsidP="00F31DC2">
            <w:pPr>
              <w:pStyle w:val="NoSpacing"/>
              <w:rPr>
                <w:rFonts w:cstheme="minorHAnsi"/>
                <w:sz w:val="20"/>
                <w:szCs w:val="20"/>
              </w:rPr>
            </w:pPr>
          </w:p>
        </w:tc>
        <w:tc>
          <w:tcPr>
            <w:tcW w:w="432" w:type="pct"/>
            <w:hideMark/>
          </w:tcPr>
          <w:p w14:paraId="0F7EE37C" w14:textId="77777777" w:rsidR="00A4606E" w:rsidRPr="00923237" w:rsidRDefault="00A4606E" w:rsidP="00F31DC2">
            <w:pPr>
              <w:pStyle w:val="NoSpacing"/>
              <w:rPr>
                <w:rFonts w:cstheme="minorHAnsi"/>
                <w:sz w:val="20"/>
                <w:szCs w:val="20"/>
              </w:rPr>
            </w:pPr>
            <w:r w:rsidRPr="00923237">
              <w:rPr>
                <w:rFonts w:cstheme="minorHAnsi"/>
                <w:sz w:val="20"/>
                <w:szCs w:val="20"/>
              </w:rPr>
              <w:t>[0.752]</w:t>
            </w:r>
          </w:p>
        </w:tc>
      </w:tr>
      <w:tr w:rsidR="00A4606E" w:rsidRPr="00923237" w14:paraId="085360FB" w14:textId="77777777" w:rsidTr="00AB2CF4">
        <w:tc>
          <w:tcPr>
            <w:tcW w:w="1475" w:type="pct"/>
            <w:hideMark/>
          </w:tcPr>
          <w:p w14:paraId="4F59C9DE" w14:textId="77777777" w:rsidR="00A4606E" w:rsidRPr="00923237" w:rsidRDefault="00A4606E" w:rsidP="00F31DC2">
            <w:pPr>
              <w:pStyle w:val="NoSpacing"/>
              <w:rPr>
                <w:rFonts w:cstheme="minorHAnsi"/>
                <w:sz w:val="20"/>
                <w:szCs w:val="20"/>
              </w:rPr>
            </w:pPr>
            <w:r w:rsidRPr="00923237">
              <w:rPr>
                <w:rFonts w:cstheme="minorHAnsi"/>
                <w:sz w:val="20"/>
                <w:szCs w:val="20"/>
              </w:rPr>
              <w:t>REIT types</w:t>
            </w:r>
          </w:p>
        </w:tc>
        <w:tc>
          <w:tcPr>
            <w:tcW w:w="455" w:type="pct"/>
            <w:hideMark/>
          </w:tcPr>
          <w:p w14:paraId="42A23386" w14:textId="77777777" w:rsidR="00A4606E" w:rsidRPr="00923237" w:rsidRDefault="00A4606E" w:rsidP="00F31DC2">
            <w:pPr>
              <w:pStyle w:val="NoSpacing"/>
              <w:rPr>
                <w:rFonts w:cstheme="minorHAnsi"/>
                <w:sz w:val="20"/>
                <w:szCs w:val="20"/>
              </w:rPr>
            </w:pPr>
            <w:r w:rsidRPr="00923237">
              <w:rPr>
                <w:rFonts w:cstheme="minorHAnsi"/>
                <w:sz w:val="20"/>
                <w:szCs w:val="20"/>
              </w:rPr>
              <w:t>Yes</w:t>
            </w:r>
          </w:p>
        </w:tc>
        <w:tc>
          <w:tcPr>
            <w:tcW w:w="432" w:type="pct"/>
            <w:hideMark/>
          </w:tcPr>
          <w:p w14:paraId="639F6868" w14:textId="77777777" w:rsidR="00A4606E" w:rsidRPr="00923237" w:rsidRDefault="00A4606E" w:rsidP="00F31DC2">
            <w:pPr>
              <w:pStyle w:val="NoSpacing"/>
              <w:rPr>
                <w:rFonts w:cstheme="minorHAnsi"/>
                <w:sz w:val="20"/>
                <w:szCs w:val="20"/>
              </w:rPr>
            </w:pPr>
            <w:r w:rsidRPr="00923237">
              <w:rPr>
                <w:rFonts w:cstheme="minorHAnsi"/>
                <w:sz w:val="20"/>
                <w:szCs w:val="20"/>
              </w:rPr>
              <w:t>Yes</w:t>
            </w:r>
          </w:p>
        </w:tc>
        <w:tc>
          <w:tcPr>
            <w:tcW w:w="432" w:type="pct"/>
            <w:hideMark/>
          </w:tcPr>
          <w:p w14:paraId="7575379E" w14:textId="77777777" w:rsidR="00A4606E" w:rsidRPr="00923237" w:rsidRDefault="00A4606E" w:rsidP="00F31DC2">
            <w:pPr>
              <w:pStyle w:val="NoSpacing"/>
              <w:rPr>
                <w:rFonts w:cstheme="minorHAnsi"/>
                <w:sz w:val="20"/>
                <w:szCs w:val="20"/>
              </w:rPr>
            </w:pPr>
            <w:r w:rsidRPr="00923237">
              <w:rPr>
                <w:rFonts w:cstheme="minorHAnsi"/>
                <w:sz w:val="20"/>
                <w:szCs w:val="20"/>
              </w:rPr>
              <w:t>Yes</w:t>
            </w:r>
          </w:p>
        </w:tc>
        <w:tc>
          <w:tcPr>
            <w:tcW w:w="432" w:type="pct"/>
            <w:hideMark/>
          </w:tcPr>
          <w:p w14:paraId="2CE3A06F" w14:textId="77777777" w:rsidR="00A4606E" w:rsidRPr="00923237" w:rsidRDefault="00A4606E" w:rsidP="00F31DC2">
            <w:pPr>
              <w:pStyle w:val="NoSpacing"/>
              <w:rPr>
                <w:rFonts w:cstheme="minorHAnsi"/>
                <w:sz w:val="20"/>
                <w:szCs w:val="20"/>
              </w:rPr>
            </w:pPr>
            <w:r w:rsidRPr="00923237">
              <w:rPr>
                <w:rFonts w:cstheme="minorHAnsi"/>
                <w:sz w:val="20"/>
                <w:szCs w:val="20"/>
              </w:rPr>
              <w:t>Yes</w:t>
            </w:r>
          </w:p>
        </w:tc>
        <w:tc>
          <w:tcPr>
            <w:tcW w:w="475" w:type="pct"/>
            <w:hideMark/>
          </w:tcPr>
          <w:p w14:paraId="338E9BDD" w14:textId="77777777" w:rsidR="00A4606E" w:rsidRPr="00923237" w:rsidRDefault="00A4606E" w:rsidP="00F31DC2">
            <w:pPr>
              <w:pStyle w:val="NoSpacing"/>
              <w:rPr>
                <w:rFonts w:cstheme="minorHAnsi"/>
                <w:sz w:val="20"/>
                <w:szCs w:val="20"/>
              </w:rPr>
            </w:pPr>
            <w:r w:rsidRPr="00923237">
              <w:rPr>
                <w:rFonts w:cstheme="minorHAnsi"/>
                <w:sz w:val="20"/>
                <w:szCs w:val="20"/>
              </w:rPr>
              <w:t>Yes</w:t>
            </w:r>
          </w:p>
        </w:tc>
        <w:tc>
          <w:tcPr>
            <w:tcW w:w="432" w:type="pct"/>
            <w:hideMark/>
          </w:tcPr>
          <w:p w14:paraId="00FE4973" w14:textId="77777777" w:rsidR="00A4606E" w:rsidRPr="00923237" w:rsidRDefault="00A4606E" w:rsidP="00F31DC2">
            <w:pPr>
              <w:pStyle w:val="NoSpacing"/>
              <w:rPr>
                <w:rFonts w:cstheme="minorHAnsi"/>
                <w:sz w:val="20"/>
                <w:szCs w:val="20"/>
              </w:rPr>
            </w:pPr>
            <w:r w:rsidRPr="00923237">
              <w:rPr>
                <w:rFonts w:cstheme="minorHAnsi"/>
                <w:sz w:val="20"/>
                <w:szCs w:val="20"/>
              </w:rPr>
              <w:t>Yes</w:t>
            </w:r>
          </w:p>
        </w:tc>
        <w:tc>
          <w:tcPr>
            <w:tcW w:w="432" w:type="pct"/>
            <w:hideMark/>
          </w:tcPr>
          <w:p w14:paraId="3654844A" w14:textId="77777777" w:rsidR="00A4606E" w:rsidRPr="00923237" w:rsidRDefault="00A4606E" w:rsidP="00F31DC2">
            <w:pPr>
              <w:pStyle w:val="NoSpacing"/>
              <w:rPr>
                <w:rFonts w:cstheme="minorHAnsi"/>
                <w:sz w:val="20"/>
                <w:szCs w:val="20"/>
              </w:rPr>
            </w:pPr>
            <w:r w:rsidRPr="00923237">
              <w:rPr>
                <w:rFonts w:cstheme="minorHAnsi"/>
                <w:sz w:val="20"/>
                <w:szCs w:val="20"/>
              </w:rPr>
              <w:t>Yes</w:t>
            </w:r>
          </w:p>
        </w:tc>
        <w:tc>
          <w:tcPr>
            <w:tcW w:w="432" w:type="pct"/>
            <w:hideMark/>
          </w:tcPr>
          <w:p w14:paraId="6363D79C" w14:textId="77777777" w:rsidR="00A4606E" w:rsidRPr="00923237" w:rsidRDefault="00A4606E" w:rsidP="00F31DC2">
            <w:pPr>
              <w:pStyle w:val="NoSpacing"/>
              <w:rPr>
                <w:rFonts w:cstheme="minorHAnsi"/>
                <w:sz w:val="20"/>
                <w:szCs w:val="20"/>
              </w:rPr>
            </w:pPr>
            <w:r w:rsidRPr="00923237">
              <w:rPr>
                <w:rFonts w:cstheme="minorHAnsi"/>
                <w:sz w:val="20"/>
                <w:szCs w:val="20"/>
              </w:rPr>
              <w:t>Yes</w:t>
            </w:r>
          </w:p>
        </w:tc>
      </w:tr>
      <w:tr w:rsidR="00A4606E" w:rsidRPr="00923237" w14:paraId="56A3A820" w14:textId="77777777" w:rsidTr="00AB2CF4">
        <w:tc>
          <w:tcPr>
            <w:tcW w:w="1475" w:type="pct"/>
            <w:hideMark/>
          </w:tcPr>
          <w:p w14:paraId="01BC207B" w14:textId="77777777" w:rsidR="00A4606E" w:rsidRPr="00923237" w:rsidRDefault="00A4606E" w:rsidP="00F31DC2">
            <w:pPr>
              <w:pStyle w:val="NoSpacing"/>
              <w:rPr>
                <w:rFonts w:cstheme="minorHAnsi"/>
                <w:sz w:val="20"/>
                <w:szCs w:val="20"/>
              </w:rPr>
            </w:pPr>
            <w:r w:rsidRPr="00923237">
              <w:rPr>
                <w:rFonts w:cstheme="minorHAnsi"/>
                <w:sz w:val="20"/>
                <w:szCs w:val="20"/>
              </w:rPr>
              <w:t xml:space="preserve">Num of </w:t>
            </w:r>
            <w:proofErr w:type="spellStart"/>
            <w:r w:rsidRPr="00923237">
              <w:rPr>
                <w:rFonts w:cstheme="minorHAnsi"/>
                <w:sz w:val="20"/>
                <w:szCs w:val="20"/>
              </w:rPr>
              <w:t>obs</w:t>
            </w:r>
            <w:proofErr w:type="spellEnd"/>
          </w:p>
        </w:tc>
        <w:tc>
          <w:tcPr>
            <w:tcW w:w="455" w:type="pct"/>
            <w:hideMark/>
          </w:tcPr>
          <w:p w14:paraId="2936B101" w14:textId="77777777" w:rsidR="00A4606E" w:rsidRPr="00923237" w:rsidRDefault="00A4606E" w:rsidP="00F31DC2">
            <w:pPr>
              <w:pStyle w:val="NoSpacing"/>
              <w:rPr>
                <w:rFonts w:cstheme="minorHAnsi"/>
                <w:sz w:val="20"/>
                <w:szCs w:val="20"/>
              </w:rPr>
            </w:pPr>
            <w:r w:rsidRPr="00923237">
              <w:rPr>
                <w:rFonts w:cstheme="minorHAnsi"/>
                <w:sz w:val="20"/>
                <w:szCs w:val="20"/>
              </w:rPr>
              <w:t>93</w:t>
            </w:r>
          </w:p>
        </w:tc>
        <w:tc>
          <w:tcPr>
            <w:tcW w:w="432" w:type="pct"/>
            <w:hideMark/>
          </w:tcPr>
          <w:p w14:paraId="32312E2F" w14:textId="77777777" w:rsidR="00A4606E" w:rsidRPr="00923237" w:rsidRDefault="00A4606E" w:rsidP="00F31DC2">
            <w:pPr>
              <w:pStyle w:val="NoSpacing"/>
              <w:rPr>
                <w:rFonts w:cstheme="minorHAnsi"/>
                <w:sz w:val="20"/>
                <w:szCs w:val="20"/>
              </w:rPr>
            </w:pPr>
            <w:r w:rsidRPr="00923237">
              <w:rPr>
                <w:rFonts w:cstheme="minorHAnsi"/>
                <w:sz w:val="20"/>
                <w:szCs w:val="20"/>
              </w:rPr>
              <w:t>93</w:t>
            </w:r>
          </w:p>
        </w:tc>
        <w:tc>
          <w:tcPr>
            <w:tcW w:w="432" w:type="pct"/>
            <w:hideMark/>
          </w:tcPr>
          <w:p w14:paraId="23C5A21C" w14:textId="77777777" w:rsidR="00A4606E" w:rsidRPr="00923237" w:rsidRDefault="00A4606E" w:rsidP="00F31DC2">
            <w:pPr>
              <w:pStyle w:val="NoSpacing"/>
              <w:rPr>
                <w:rFonts w:cstheme="minorHAnsi"/>
                <w:sz w:val="20"/>
                <w:szCs w:val="20"/>
              </w:rPr>
            </w:pPr>
            <w:r w:rsidRPr="00923237">
              <w:rPr>
                <w:rFonts w:cstheme="minorHAnsi"/>
                <w:sz w:val="20"/>
                <w:szCs w:val="20"/>
              </w:rPr>
              <w:t>93</w:t>
            </w:r>
          </w:p>
        </w:tc>
        <w:tc>
          <w:tcPr>
            <w:tcW w:w="432" w:type="pct"/>
            <w:hideMark/>
          </w:tcPr>
          <w:p w14:paraId="6FE8C843" w14:textId="77777777" w:rsidR="00A4606E" w:rsidRPr="00923237" w:rsidRDefault="00A4606E" w:rsidP="00F31DC2">
            <w:pPr>
              <w:pStyle w:val="NoSpacing"/>
              <w:rPr>
                <w:rFonts w:cstheme="minorHAnsi"/>
                <w:sz w:val="20"/>
                <w:szCs w:val="20"/>
              </w:rPr>
            </w:pPr>
            <w:r w:rsidRPr="00923237">
              <w:rPr>
                <w:rFonts w:cstheme="minorHAnsi"/>
                <w:sz w:val="20"/>
                <w:szCs w:val="20"/>
              </w:rPr>
              <w:t>93</w:t>
            </w:r>
          </w:p>
        </w:tc>
        <w:tc>
          <w:tcPr>
            <w:tcW w:w="475" w:type="pct"/>
            <w:hideMark/>
          </w:tcPr>
          <w:p w14:paraId="5057A61A" w14:textId="77777777" w:rsidR="00A4606E" w:rsidRPr="00923237" w:rsidRDefault="00A4606E" w:rsidP="00F31DC2">
            <w:pPr>
              <w:pStyle w:val="NoSpacing"/>
              <w:rPr>
                <w:rFonts w:cstheme="minorHAnsi"/>
                <w:sz w:val="20"/>
                <w:szCs w:val="20"/>
              </w:rPr>
            </w:pPr>
            <w:r w:rsidRPr="00923237">
              <w:rPr>
                <w:rFonts w:cstheme="minorHAnsi"/>
                <w:sz w:val="20"/>
                <w:szCs w:val="20"/>
              </w:rPr>
              <w:t>88</w:t>
            </w:r>
          </w:p>
        </w:tc>
        <w:tc>
          <w:tcPr>
            <w:tcW w:w="432" w:type="pct"/>
            <w:hideMark/>
          </w:tcPr>
          <w:p w14:paraId="4D8C25B6" w14:textId="77777777" w:rsidR="00A4606E" w:rsidRPr="00923237" w:rsidRDefault="00A4606E" w:rsidP="00F31DC2">
            <w:pPr>
              <w:pStyle w:val="NoSpacing"/>
              <w:rPr>
                <w:rFonts w:cstheme="minorHAnsi"/>
                <w:sz w:val="20"/>
                <w:szCs w:val="20"/>
              </w:rPr>
            </w:pPr>
            <w:r w:rsidRPr="00923237">
              <w:rPr>
                <w:rFonts w:cstheme="minorHAnsi"/>
                <w:sz w:val="20"/>
                <w:szCs w:val="20"/>
              </w:rPr>
              <w:t>88</w:t>
            </w:r>
          </w:p>
        </w:tc>
        <w:tc>
          <w:tcPr>
            <w:tcW w:w="432" w:type="pct"/>
            <w:hideMark/>
          </w:tcPr>
          <w:p w14:paraId="148F9109" w14:textId="77777777" w:rsidR="00A4606E" w:rsidRPr="00923237" w:rsidRDefault="00A4606E" w:rsidP="00F31DC2">
            <w:pPr>
              <w:pStyle w:val="NoSpacing"/>
              <w:rPr>
                <w:rFonts w:cstheme="minorHAnsi"/>
                <w:sz w:val="20"/>
                <w:szCs w:val="20"/>
              </w:rPr>
            </w:pPr>
            <w:r w:rsidRPr="00923237">
              <w:rPr>
                <w:rFonts w:cstheme="minorHAnsi"/>
                <w:sz w:val="20"/>
                <w:szCs w:val="20"/>
              </w:rPr>
              <w:t>88</w:t>
            </w:r>
          </w:p>
        </w:tc>
        <w:tc>
          <w:tcPr>
            <w:tcW w:w="432" w:type="pct"/>
            <w:hideMark/>
          </w:tcPr>
          <w:p w14:paraId="62BBB88B" w14:textId="77777777" w:rsidR="00A4606E" w:rsidRPr="00923237" w:rsidRDefault="00A4606E" w:rsidP="00F31DC2">
            <w:pPr>
              <w:pStyle w:val="NoSpacing"/>
              <w:rPr>
                <w:rFonts w:cstheme="minorHAnsi"/>
                <w:sz w:val="20"/>
                <w:szCs w:val="20"/>
              </w:rPr>
            </w:pPr>
            <w:r w:rsidRPr="00923237">
              <w:rPr>
                <w:rFonts w:cstheme="minorHAnsi"/>
                <w:sz w:val="20"/>
                <w:szCs w:val="20"/>
              </w:rPr>
              <w:t>88</w:t>
            </w:r>
          </w:p>
        </w:tc>
      </w:tr>
      <w:tr w:rsidR="00A4606E" w:rsidRPr="00923237" w14:paraId="6ABED3F4" w14:textId="77777777" w:rsidTr="00AB2CF4">
        <w:tc>
          <w:tcPr>
            <w:tcW w:w="1475" w:type="pct"/>
            <w:hideMark/>
          </w:tcPr>
          <w:p w14:paraId="5F75C896" w14:textId="77777777" w:rsidR="00A4606E" w:rsidRPr="00923237" w:rsidRDefault="00A4606E" w:rsidP="00F31DC2">
            <w:pPr>
              <w:pStyle w:val="NoSpacing"/>
              <w:rPr>
                <w:rFonts w:cstheme="minorHAnsi"/>
                <w:sz w:val="20"/>
                <w:szCs w:val="20"/>
              </w:rPr>
            </w:pPr>
            <w:r w:rsidRPr="00923237">
              <w:rPr>
                <w:rFonts w:cstheme="minorHAnsi"/>
                <w:sz w:val="20"/>
                <w:szCs w:val="20"/>
              </w:rPr>
              <w:t>R-square</w:t>
            </w:r>
          </w:p>
        </w:tc>
        <w:tc>
          <w:tcPr>
            <w:tcW w:w="455" w:type="pct"/>
            <w:hideMark/>
          </w:tcPr>
          <w:p w14:paraId="449D1116" w14:textId="77777777" w:rsidR="00A4606E" w:rsidRPr="00923237" w:rsidRDefault="00A4606E" w:rsidP="00F31DC2">
            <w:pPr>
              <w:pStyle w:val="NoSpacing"/>
              <w:rPr>
                <w:rFonts w:cstheme="minorHAnsi"/>
                <w:sz w:val="20"/>
                <w:szCs w:val="20"/>
              </w:rPr>
            </w:pPr>
            <w:r w:rsidRPr="00923237">
              <w:rPr>
                <w:rFonts w:cstheme="minorHAnsi"/>
                <w:sz w:val="20"/>
                <w:szCs w:val="20"/>
              </w:rPr>
              <w:t>0.412</w:t>
            </w:r>
          </w:p>
        </w:tc>
        <w:tc>
          <w:tcPr>
            <w:tcW w:w="432" w:type="pct"/>
            <w:hideMark/>
          </w:tcPr>
          <w:p w14:paraId="58A556BA" w14:textId="77777777" w:rsidR="00A4606E" w:rsidRPr="00923237" w:rsidRDefault="00A4606E" w:rsidP="00F31DC2">
            <w:pPr>
              <w:pStyle w:val="NoSpacing"/>
              <w:rPr>
                <w:rFonts w:cstheme="minorHAnsi"/>
                <w:sz w:val="20"/>
                <w:szCs w:val="20"/>
              </w:rPr>
            </w:pPr>
            <w:r w:rsidRPr="00923237">
              <w:rPr>
                <w:rFonts w:cstheme="minorHAnsi"/>
                <w:sz w:val="20"/>
                <w:szCs w:val="20"/>
              </w:rPr>
              <w:t>0.4625</w:t>
            </w:r>
          </w:p>
        </w:tc>
        <w:tc>
          <w:tcPr>
            <w:tcW w:w="432" w:type="pct"/>
            <w:hideMark/>
          </w:tcPr>
          <w:p w14:paraId="59FD0053" w14:textId="77777777" w:rsidR="00A4606E" w:rsidRPr="00923237" w:rsidRDefault="00A4606E" w:rsidP="00F31DC2">
            <w:pPr>
              <w:pStyle w:val="NoSpacing"/>
              <w:rPr>
                <w:rFonts w:cstheme="minorHAnsi"/>
                <w:sz w:val="20"/>
                <w:szCs w:val="20"/>
              </w:rPr>
            </w:pPr>
            <w:r w:rsidRPr="00923237">
              <w:rPr>
                <w:rFonts w:cstheme="minorHAnsi"/>
                <w:sz w:val="20"/>
                <w:szCs w:val="20"/>
              </w:rPr>
              <w:t>0.4002</w:t>
            </w:r>
          </w:p>
        </w:tc>
        <w:tc>
          <w:tcPr>
            <w:tcW w:w="432" w:type="pct"/>
            <w:hideMark/>
          </w:tcPr>
          <w:p w14:paraId="5A02596D" w14:textId="77777777" w:rsidR="00A4606E" w:rsidRPr="00923237" w:rsidRDefault="00A4606E" w:rsidP="00F31DC2">
            <w:pPr>
              <w:pStyle w:val="NoSpacing"/>
              <w:rPr>
                <w:rFonts w:cstheme="minorHAnsi"/>
                <w:sz w:val="20"/>
                <w:szCs w:val="20"/>
              </w:rPr>
            </w:pPr>
            <w:r w:rsidRPr="00923237">
              <w:rPr>
                <w:rFonts w:cstheme="minorHAnsi"/>
                <w:sz w:val="20"/>
                <w:szCs w:val="20"/>
              </w:rPr>
              <w:t>0.4527</w:t>
            </w:r>
          </w:p>
        </w:tc>
        <w:tc>
          <w:tcPr>
            <w:tcW w:w="475" w:type="pct"/>
            <w:hideMark/>
          </w:tcPr>
          <w:p w14:paraId="272D8C4E" w14:textId="77777777" w:rsidR="00A4606E" w:rsidRPr="00923237" w:rsidRDefault="00A4606E" w:rsidP="00F31DC2">
            <w:pPr>
              <w:pStyle w:val="NoSpacing"/>
              <w:rPr>
                <w:rFonts w:cstheme="minorHAnsi"/>
                <w:sz w:val="20"/>
                <w:szCs w:val="20"/>
              </w:rPr>
            </w:pPr>
            <w:r w:rsidRPr="00923237">
              <w:rPr>
                <w:rFonts w:cstheme="minorHAnsi"/>
                <w:sz w:val="20"/>
                <w:szCs w:val="20"/>
              </w:rPr>
              <w:t>0.43768</w:t>
            </w:r>
          </w:p>
        </w:tc>
        <w:tc>
          <w:tcPr>
            <w:tcW w:w="432" w:type="pct"/>
            <w:hideMark/>
          </w:tcPr>
          <w:p w14:paraId="196C60C8" w14:textId="77777777" w:rsidR="00A4606E" w:rsidRPr="00923237" w:rsidRDefault="00A4606E" w:rsidP="00F31DC2">
            <w:pPr>
              <w:pStyle w:val="NoSpacing"/>
              <w:rPr>
                <w:rFonts w:cstheme="minorHAnsi"/>
                <w:sz w:val="20"/>
                <w:szCs w:val="20"/>
              </w:rPr>
            </w:pPr>
            <w:r w:rsidRPr="00923237">
              <w:rPr>
                <w:rFonts w:cstheme="minorHAnsi"/>
                <w:sz w:val="20"/>
                <w:szCs w:val="20"/>
              </w:rPr>
              <w:t>0.47108</w:t>
            </w:r>
          </w:p>
        </w:tc>
        <w:tc>
          <w:tcPr>
            <w:tcW w:w="432" w:type="pct"/>
            <w:hideMark/>
          </w:tcPr>
          <w:p w14:paraId="6DC9A754" w14:textId="77777777" w:rsidR="00A4606E" w:rsidRPr="00923237" w:rsidRDefault="00A4606E" w:rsidP="00F31DC2">
            <w:pPr>
              <w:pStyle w:val="NoSpacing"/>
              <w:rPr>
                <w:rFonts w:cstheme="minorHAnsi"/>
                <w:sz w:val="20"/>
                <w:szCs w:val="20"/>
              </w:rPr>
            </w:pPr>
            <w:r w:rsidRPr="00923237">
              <w:rPr>
                <w:rFonts w:cstheme="minorHAnsi"/>
                <w:sz w:val="20"/>
                <w:szCs w:val="20"/>
              </w:rPr>
              <w:t>0.41998</w:t>
            </w:r>
          </w:p>
        </w:tc>
        <w:tc>
          <w:tcPr>
            <w:tcW w:w="432" w:type="pct"/>
            <w:hideMark/>
          </w:tcPr>
          <w:p w14:paraId="6C253713" w14:textId="77777777" w:rsidR="00A4606E" w:rsidRPr="00923237" w:rsidRDefault="00A4606E" w:rsidP="00F31DC2">
            <w:pPr>
              <w:pStyle w:val="NoSpacing"/>
              <w:rPr>
                <w:rFonts w:cstheme="minorHAnsi"/>
                <w:sz w:val="20"/>
                <w:szCs w:val="20"/>
              </w:rPr>
            </w:pPr>
            <w:r w:rsidRPr="00923237">
              <w:rPr>
                <w:rFonts w:cstheme="minorHAnsi"/>
                <w:sz w:val="20"/>
                <w:szCs w:val="20"/>
              </w:rPr>
              <w:t>0.43858</w:t>
            </w:r>
          </w:p>
        </w:tc>
      </w:tr>
    </w:tbl>
    <w:p w14:paraId="22774D06" w14:textId="77777777" w:rsidR="00AB2CF4" w:rsidRPr="00923237" w:rsidRDefault="00AB2CF4" w:rsidP="00F31DC2">
      <w:pPr>
        <w:rPr>
          <w:rFonts w:cstheme="minorHAnsi"/>
        </w:rPr>
      </w:pPr>
    </w:p>
    <w:p w14:paraId="2C879942" w14:textId="77777777" w:rsidR="00AB2CF4" w:rsidRPr="00923237" w:rsidRDefault="00AB2CF4">
      <w:pPr>
        <w:rPr>
          <w:rFonts w:cstheme="minorHAnsi"/>
        </w:rPr>
      </w:pPr>
      <w:r w:rsidRPr="00923237">
        <w:rPr>
          <w:rFonts w:cstheme="minorHAnsi"/>
        </w:rPr>
        <w:br w:type="page"/>
      </w:r>
    </w:p>
    <w:p w14:paraId="088D7445" w14:textId="77777777" w:rsidR="00AB2CF4" w:rsidRPr="00923237" w:rsidRDefault="00AB2CF4" w:rsidP="00F31DC2">
      <w:pPr>
        <w:rPr>
          <w:rFonts w:cstheme="minorHAnsi"/>
        </w:rPr>
        <w:sectPr w:rsidR="00AB2CF4" w:rsidRPr="00923237" w:rsidSect="006F5E3B">
          <w:pgSz w:w="15840" w:h="12240" w:orient="landscape"/>
          <w:pgMar w:top="1080" w:right="1080" w:bottom="1080" w:left="1080" w:header="720" w:footer="720" w:gutter="0"/>
          <w:cols w:space="720"/>
          <w:docGrid w:linePitch="360"/>
        </w:sectPr>
      </w:pPr>
    </w:p>
    <w:p w14:paraId="35D621D1" w14:textId="690F3C69" w:rsidR="00A4606E" w:rsidRPr="00923237" w:rsidRDefault="00A4606E" w:rsidP="00F31DC2">
      <w:pPr>
        <w:rPr>
          <w:rFonts w:cstheme="minorHAnsi"/>
        </w:rPr>
      </w:pPr>
      <w:r w:rsidRPr="00923237">
        <w:rPr>
          <w:rFonts w:cstheme="minorHAnsi"/>
        </w:rPr>
        <w:t>We find that in Panel A, leverage is negatively associated with stock returns during the financial crisis. Specifically, a one-standard-deviation increase in </w:t>
      </w:r>
      <w:r w:rsidRPr="00923237">
        <w:rPr>
          <w:rStyle w:val="Emphasis"/>
          <w:rFonts w:eastAsiaTheme="majorEastAsia" w:cstheme="minorHAnsi"/>
          <w:color w:val="2E2E2E"/>
        </w:rPr>
        <w:t>Market Leverage</w:t>
      </w:r>
      <w:r w:rsidRPr="00923237">
        <w:rPr>
          <w:rFonts w:cstheme="minorHAnsi"/>
        </w:rPr>
        <w:t> is associated with a decrease in cumulative stock return of about 10% during the financial crisis (Model 1), which is consistent with </w:t>
      </w:r>
      <w:hyperlink r:id="rId129" w:anchor="bb0275" w:history="1">
        <w:r w:rsidRPr="00923237">
          <w:rPr>
            <w:rStyle w:val="Hyperlink"/>
            <w:rFonts w:eastAsiaTheme="majorEastAsia" w:cstheme="minorHAnsi"/>
            <w:color w:val="0C7DBB"/>
          </w:rPr>
          <w:t>Sun et al. (2015)</w:t>
        </w:r>
      </w:hyperlink>
      <w:r w:rsidRPr="00923237">
        <w:rPr>
          <w:rFonts w:cstheme="minorHAnsi"/>
        </w:rPr>
        <w:t>. In addition, the proportion of variable interest rate debt and debt due in one year is negatively associated with crisis period returns. For example, a one-standard-deviation increase in the proportion of variable interest rate debt is associated with a decrease in </w:t>
      </w:r>
      <w:r w:rsidRPr="00923237">
        <w:rPr>
          <w:rStyle w:val="Emphasis"/>
          <w:rFonts w:eastAsiaTheme="majorEastAsia" w:cstheme="minorHAnsi"/>
          <w:color w:val="2E2E2E"/>
        </w:rPr>
        <w:t>Cumulative Return 2007</w:t>
      </w:r>
      <w:r w:rsidRPr="00923237">
        <w:rPr>
          <w:rFonts w:cstheme="minorHAnsi"/>
        </w:rPr>
        <w:t>–</w:t>
      </w:r>
      <w:r w:rsidRPr="00923237">
        <w:rPr>
          <w:rStyle w:val="Emphasis"/>
          <w:rFonts w:eastAsiaTheme="majorEastAsia" w:cstheme="minorHAnsi"/>
          <w:color w:val="2E2E2E"/>
        </w:rPr>
        <w:t>2009</w:t>
      </w:r>
      <w:r w:rsidRPr="00923237">
        <w:rPr>
          <w:rFonts w:cstheme="minorHAnsi"/>
        </w:rPr>
        <w:t> of approximately 5% (Model 2). Similarly, in Models 3 and 4, the coefficient of </w:t>
      </w:r>
      <w:r w:rsidRPr="00923237">
        <w:rPr>
          <w:rStyle w:val="Emphasis"/>
          <w:rFonts w:eastAsiaTheme="majorEastAsia" w:cstheme="minorHAnsi"/>
          <w:color w:val="2E2E2E"/>
        </w:rPr>
        <w:t>High Leverage</w:t>
      </w:r>
      <w:r w:rsidRPr="00923237">
        <w:rPr>
          <w:rFonts w:cstheme="minorHAnsi"/>
        </w:rPr>
        <w:t xml:space="preserve"> is negative and significant, suggesting that highly levered firms perform worse than other firms during the financial crisis. </w:t>
      </w:r>
      <w:proofErr w:type="gramStart"/>
      <w:r w:rsidRPr="00923237">
        <w:rPr>
          <w:rFonts w:cstheme="minorHAnsi"/>
        </w:rPr>
        <w:t>In particular, during</w:t>
      </w:r>
      <w:proofErr w:type="gramEnd"/>
      <w:r w:rsidRPr="00923237">
        <w:rPr>
          <w:rFonts w:cstheme="minorHAnsi"/>
        </w:rPr>
        <w:t xml:space="preserve"> the crisis, highly levered firms underperform other firms by approximately 12%, significant at the 5% level (Model 3).</w:t>
      </w:r>
    </w:p>
    <w:p w14:paraId="72DC1129" w14:textId="77777777" w:rsidR="00A4606E" w:rsidRPr="00923237" w:rsidRDefault="00A4606E" w:rsidP="00F31DC2">
      <w:pPr>
        <w:rPr>
          <w:rFonts w:cstheme="minorHAnsi"/>
        </w:rPr>
      </w:pPr>
      <w:r w:rsidRPr="00923237">
        <w:rPr>
          <w:rFonts w:cstheme="minorHAnsi"/>
        </w:rPr>
        <w:t>However, in Panel B, after controlling for board structure and activity and potential endogeneity, the coefficients on </w:t>
      </w:r>
      <w:r w:rsidRPr="00923237">
        <w:rPr>
          <w:rStyle w:val="Emphasis"/>
          <w:rFonts w:eastAsiaTheme="majorEastAsia" w:cstheme="minorHAnsi"/>
          <w:color w:val="2E2E2E"/>
        </w:rPr>
        <w:t>Market Leverage</w:t>
      </w:r>
      <w:r w:rsidRPr="00923237">
        <w:rPr>
          <w:rFonts w:cstheme="minorHAnsi"/>
        </w:rPr>
        <w:t> (Models 5 and 6) and </w:t>
      </w:r>
      <w:r w:rsidRPr="00923237">
        <w:rPr>
          <w:rStyle w:val="Emphasis"/>
          <w:rFonts w:eastAsiaTheme="majorEastAsia" w:cstheme="minorHAnsi"/>
          <w:color w:val="2E2E2E"/>
        </w:rPr>
        <w:t>High Leverage</w:t>
      </w:r>
      <w:r w:rsidRPr="00923237">
        <w:rPr>
          <w:rFonts w:cstheme="minorHAnsi"/>
        </w:rPr>
        <w:t> (Models 7 and 8) are no longer significantly associated with stock returns during the crisis. Additionally, the significance of variables proxying for debt structure and maturity also decreases. While a “non-result,” this finding is consistent with our hypothesis that board and committee activities during the financial crisis help attenuate the negative effects of leverage on returns.</w:t>
      </w:r>
      <w:bookmarkStart w:id="78" w:name="bfn0025"/>
      <w:r w:rsidRPr="00923237">
        <w:rPr>
          <w:rFonts w:cstheme="minorHAnsi"/>
        </w:rPr>
        <w:fldChar w:fldCharType="begin"/>
      </w:r>
      <w:r w:rsidRPr="00923237">
        <w:rPr>
          <w:rFonts w:cstheme="minorHAnsi"/>
        </w:rPr>
        <w:instrText xml:space="preserve"> HYPERLINK "https://0-www-sciencedirect-com.libus.csd.mu.edu/science/article/pii/S0929119917307344" \l "fn0025" </w:instrText>
      </w:r>
      <w:r w:rsidRPr="00923237">
        <w:rPr>
          <w:rFonts w:cstheme="minorHAnsi"/>
        </w:rPr>
        <w:fldChar w:fldCharType="separate"/>
      </w:r>
      <w:r w:rsidRPr="00923237">
        <w:rPr>
          <w:rStyle w:val="Hyperlink"/>
          <w:rFonts w:eastAsiaTheme="majorEastAsia" w:cstheme="minorHAnsi"/>
          <w:color w:val="0C7DBB"/>
          <w:vertAlign w:val="superscript"/>
        </w:rPr>
        <w:t>5</w:t>
      </w:r>
      <w:r w:rsidRPr="00923237">
        <w:rPr>
          <w:rFonts w:cstheme="minorHAnsi"/>
        </w:rPr>
        <w:fldChar w:fldCharType="end"/>
      </w:r>
      <w:bookmarkEnd w:id="78"/>
      <w:r w:rsidRPr="00923237">
        <w:rPr>
          <w:rFonts w:cstheme="minorHAnsi"/>
        </w:rPr>
        <w:t> Overall, the findings in </w:t>
      </w:r>
      <w:hyperlink r:id="rId130" w:anchor="t0020" w:history="1">
        <w:r w:rsidRPr="00923237">
          <w:rPr>
            <w:rStyle w:val="Hyperlink"/>
            <w:rFonts w:eastAsiaTheme="majorEastAsia" w:cstheme="minorHAnsi"/>
            <w:color w:val="0C7DBB"/>
          </w:rPr>
          <w:t>Table 4</w:t>
        </w:r>
      </w:hyperlink>
      <w:bookmarkEnd w:id="76"/>
      <w:r w:rsidRPr="00923237">
        <w:rPr>
          <w:rFonts w:cstheme="minorHAnsi"/>
        </w:rPr>
        <w:t>, </w:t>
      </w:r>
      <w:hyperlink r:id="rId131" w:anchor="t0025" w:history="1">
        <w:r w:rsidRPr="00923237">
          <w:rPr>
            <w:rStyle w:val="Hyperlink"/>
            <w:rFonts w:eastAsiaTheme="majorEastAsia" w:cstheme="minorHAnsi"/>
            <w:color w:val="0C7DBB"/>
          </w:rPr>
          <w:t>Table 5</w:t>
        </w:r>
      </w:hyperlink>
      <w:bookmarkEnd w:id="77"/>
      <w:r w:rsidRPr="00923237">
        <w:rPr>
          <w:rFonts w:cstheme="minorHAnsi"/>
        </w:rPr>
        <w:t> are consistent with the hypothesis that boards and committees increase their activity during the financial crisis in response to the increased monitoring and advising needs of the firm. In addition, board activity appears to attenuate the negative effects of leverage on returns during the financial crisis.</w:t>
      </w:r>
    </w:p>
    <w:p w14:paraId="7F8B419C" w14:textId="77777777" w:rsidR="00A4606E" w:rsidRPr="00923237" w:rsidRDefault="00A4606E" w:rsidP="00F31DC2">
      <w:pPr>
        <w:pStyle w:val="Heading2"/>
        <w:rPr>
          <w:rFonts w:asciiTheme="minorHAnsi" w:hAnsiTheme="minorHAnsi" w:cstheme="minorHAnsi"/>
          <w:sz w:val="27"/>
          <w:szCs w:val="27"/>
        </w:rPr>
      </w:pPr>
      <w:r w:rsidRPr="00923237">
        <w:rPr>
          <w:rFonts w:asciiTheme="minorHAnsi" w:hAnsiTheme="minorHAnsi" w:cstheme="minorHAnsi"/>
        </w:rPr>
        <w:t>5.2. Director monitoring, leverage and firm performance post financial crisis</w:t>
      </w:r>
    </w:p>
    <w:p w14:paraId="1C60F748" w14:textId="77777777" w:rsidR="00A4606E" w:rsidRPr="00923237" w:rsidRDefault="00A4606E" w:rsidP="00F31DC2">
      <w:pPr>
        <w:rPr>
          <w:rFonts w:cstheme="minorHAnsi"/>
        </w:rPr>
      </w:pPr>
      <w:r w:rsidRPr="00923237">
        <w:rPr>
          <w:rFonts w:cstheme="minorHAnsi"/>
        </w:rPr>
        <w:t>In this section, we first examine the effect of board activity on leverage in the post-crisis period. We anticipate that boards learn from their experience and, conditioned on performance during the crisis, REITs with high leverage will lower debt levels post-crisis (</w:t>
      </w:r>
      <w:bookmarkStart w:id="79" w:name="ben0015"/>
      <w:r w:rsidRPr="00923237">
        <w:rPr>
          <w:rFonts w:cstheme="minorHAnsi"/>
        </w:rPr>
        <w:fldChar w:fldCharType="begin"/>
      </w:r>
      <w:r w:rsidRPr="00923237">
        <w:rPr>
          <w:rFonts w:cstheme="minorHAnsi"/>
        </w:rPr>
        <w:instrText xml:space="preserve"> HYPERLINK "https://0-www-sciencedirect-com.libus.csd.mu.edu/science/article/pii/S0929119917307344" \l "en0015" </w:instrText>
      </w:r>
      <w:r w:rsidRPr="00923237">
        <w:rPr>
          <w:rFonts w:cstheme="minorHAnsi"/>
        </w:rPr>
        <w:fldChar w:fldCharType="separate"/>
      </w:r>
      <w:r w:rsidRPr="00923237">
        <w:rPr>
          <w:rStyle w:val="Hyperlink"/>
          <w:rFonts w:eastAsiaTheme="majorEastAsia" w:cstheme="minorHAnsi"/>
          <w:color w:val="0C7DBB"/>
        </w:rPr>
        <w:t>H2</w:t>
      </w:r>
      <w:r w:rsidRPr="00923237">
        <w:rPr>
          <w:rFonts w:cstheme="minorHAnsi"/>
        </w:rPr>
        <w:fldChar w:fldCharType="end"/>
      </w:r>
      <w:bookmarkEnd w:id="79"/>
      <w:r w:rsidRPr="00923237">
        <w:rPr>
          <w:rFonts w:cstheme="minorHAnsi"/>
        </w:rPr>
        <w:t>). To test this hypothesis, we start with our full sample of REITs and focus on those that are traded in 2006. We do this for two reasons. First, to have measures of leverage and accounting variables at the end of 2006, prior to the crisis level. Second, this approach closely mirrors that of </w:t>
      </w:r>
      <w:hyperlink r:id="rId132" w:anchor="bb0275" w:history="1">
        <w:r w:rsidRPr="00923237">
          <w:rPr>
            <w:rStyle w:val="Hyperlink"/>
            <w:rFonts w:eastAsiaTheme="majorEastAsia" w:cstheme="minorHAnsi"/>
            <w:color w:val="0C7DBB"/>
          </w:rPr>
          <w:t>Sun et al. (2015)</w:t>
        </w:r>
      </w:hyperlink>
      <w:r w:rsidRPr="00923237">
        <w:rPr>
          <w:rFonts w:cstheme="minorHAnsi"/>
        </w:rPr>
        <w:t> and thus allows us to compare our findings with theirs. We then track these firms up to 2016. We rank REITs into quartiles based on their leverage as of the end of 2006. We then calculate the average of leverage, change in leverage, board activity, and change in board activity post-crisis. The results are report in </w:t>
      </w:r>
      <w:bookmarkStart w:id="80" w:name="bt0030"/>
      <w:r w:rsidRPr="00923237">
        <w:rPr>
          <w:rFonts w:cstheme="minorHAnsi"/>
        </w:rPr>
        <w:fldChar w:fldCharType="begin"/>
      </w:r>
      <w:r w:rsidRPr="00923237">
        <w:rPr>
          <w:rFonts w:cstheme="minorHAnsi"/>
        </w:rPr>
        <w:instrText xml:space="preserve"> HYPERLINK "https://0-www-sciencedirect-com.libus.csd.mu.edu/science/article/pii/S0929119917307344" \l "t0030" </w:instrText>
      </w:r>
      <w:r w:rsidRPr="00923237">
        <w:rPr>
          <w:rFonts w:cstheme="minorHAnsi"/>
        </w:rPr>
        <w:fldChar w:fldCharType="separate"/>
      </w:r>
      <w:r w:rsidRPr="00923237">
        <w:rPr>
          <w:rStyle w:val="Hyperlink"/>
          <w:rFonts w:eastAsiaTheme="majorEastAsia" w:cstheme="minorHAnsi"/>
          <w:color w:val="0C7DBB"/>
        </w:rPr>
        <w:t>Table 6</w:t>
      </w:r>
      <w:r w:rsidRPr="00923237">
        <w:rPr>
          <w:rFonts w:cstheme="minorHAnsi"/>
        </w:rPr>
        <w:fldChar w:fldCharType="end"/>
      </w:r>
      <w:r w:rsidRPr="00923237">
        <w:rPr>
          <w:rFonts w:cstheme="minorHAnsi"/>
        </w:rPr>
        <w:t>. The last two rows report the difference between the highest and lowest quartiles based on 2006 leverage along with P-values as to whether the difference is different from zero.</w:t>
      </w:r>
    </w:p>
    <w:p w14:paraId="4EFB5780" w14:textId="13204A4E" w:rsidR="00A4606E" w:rsidRPr="00923237" w:rsidRDefault="00A4606E" w:rsidP="00F31DC2">
      <w:pPr>
        <w:pStyle w:val="NoSpacing"/>
        <w:rPr>
          <w:rFonts w:cstheme="minorHAnsi"/>
          <w:color w:val="323232"/>
        </w:rPr>
      </w:pPr>
      <w:r w:rsidRPr="00923237">
        <w:rPr>
          <w:rStyle w:val="label"/>
          <w:rFonts w:cstheme="minorHAnsi"/>
          <w:color w:val="323232"/>
          <w:sz w:val="21"/>
          <w:szCs w:val="21"/>
        </w:rPr>
        <w:t>Table 6</w:t>
      </w:r>
      <w:r w:rsidRPr="00923237">
        <w:rPr>
          <w:rFonts w:cstheme="minorHAnsi"/>
          <w:color w:val="323232"/>
        </w:rPr>
        <w:t>. Board activity and </w:t>
      </w:r>
      <w:hyperlink r:id="rId133" w:tooltip="Learn more about Leverage from ScienceDirect's AI-generated Topic Pages" w:history="1">
        <w:r w:rsidRPr="00923237">
          <w:rPr>
            <w:rStyle w:val="Hyperlink"/>
            <w:rFonts w:eastAsiaTheme="majorEastAsia" w:cstheme="minorHAnsi"/>
            <w:color w:val="0C7DBB"/>
          </w:rPr>
          <w:t>leverage</w:t>
        </w:r>
      </w:hyperlink>
      <w:r w:rsidRPr="00923237">
        <w:rPr>
          <w:rFonts w:cstheme="minorHAnsi"/>
          <w:color w:val="323232"/>
        </w:rPr>
        <w:t> post-crisis.</w:t>
      </w:r>
    </w:p>
    <w:p w14:paraId="58CF3B19" w14:textId="77777777" w:rsidR="00F31DC2" w:rsidRPr="00923237" w:rsidRDefault="00F31DC2" w:rsidP="00F31DC2">
      <w:pPr>
        <w:pStyle w:val="NoSpacing"/>
        <w:rPr>
          <w:rFonts w:cstheme="minorHAnsi"/>
          <w:color w:val="323232"/>
        </w:rPr>
      </w:pPr>
    </w:p>
    <w:p w14:paraId="1B58BB3E" w14:textId="77777777" w:rsidR="00A4606E" w:rsidRPr="00923237" w:rsidRDefault="00A4606E" w:rsidP="00F31DC2">
      <w:pPr>
        <w:pStyle w:val="NoSpacing"/>
        <w:ind w:left="720"/>
        <w:rPr>
          <w:rFonts w:cstheme="minorHAnsi"/>
          <w:color w:val="323232"/>
        </w:rPr>
      </w:pPr>
      <w:r w:rsidRPr="00923237">
        <w:rPr>
          <w:rFonts w:cstheme="minorHAnsi"/>
          <w:color w:val="323232"/>
        </w:rPr>
        <w:t>This table reports the change in leverage and board activity from 2009 to 2016. Firms are partitioned into quartiles based on their leverage at the end of 2006. </w:t>
      </w:r>
      <w:r w:rsidRPr="00923237">
        <w:rPr>
          <w:rStyle w:val="Emphasis"/>
          <w:rFonts w:eastAsiaTheme="majorEastAsia" w:cstheme="minorHAnsi"/>
          <w:color w:val="323232"/>
        </w:rPr>
        <w:t>Market Leverage</w:t>
      </w:r>
      <w:r w:rsidRPr="00923237">
        <w:rPr>
          <w:rFonts w:cstheme="minorHAnsi"/>
          <w:color w:val="323232"/>
        </w:rPr>
        <w:t> is defined as the ratio of total debt (the book value of debt due in one year and long-term debt) to market value of the firm (total debt plus book value of preferred stock plus market capitalization). </w:t>
      </w:r>
      <w:r w:rsidRPr="00923237">
        <w:rPr>
          <w:rStyle w:val="Emphasis"/>
          <w:rFonts w:eastAsiaTheme="majorEastAsia" w:cstheme="minorHAnsi"/>
          <w:color w:val="323232"/>
        </w:rPr>
        <w:t>Board Meetings</w:t>
      </w:r>
      <w:r w:rsidRPr="00923237">
        <w:rPr>
          <w:rFonts w:cstheme="minorHAnsi"/>
          <w:color w:val="323232"/>
        </w:rPr>
        <w:t> is the number of board meetings in a particular year. </w:t>
      </w:r>
      <w:r w:rsidRPr="00923237">
        <w:rPr>
          <w:rStyle w:val="Emphasis"/>
          <w:rFonts w:eastAsiaTheme="majorEastAsia" w:cstheme="minorHAnsi"/>
          <w:color w:val="323232"/>
        </w:rPr>
        <w:t>Change in Market Leverage</w:t>
      </w:r>
      <w:r w:rsidRPr="00923237">
        <w:rPr>
          <w:rFonts w:cstheme="minorHAnsi"/>
          <w:color w:val="323232"/>
        </w:rPr>
        <w:t> (</w:t>
      </w:r>
      <w:r w:rsidRPr="00923237">
        <w:rPr>
          <w:rStyle w:val="Emphasis"/>
          <w:rFonts w:eastAsiaTheme="majorEastAsia" w:cstheme="minorHAnsi"/>
          <w:color w:val="323232"/>
        </w:rPr>
        <w:t>Change in Board Meetings</w:t>
      </w:r>
      <w:r w:rsidRPr="00923237">
        <w:rPr>
          <w:rFonts w:cstheme="minorHAnsi"/>
          <w:color w:val="323232"/>
        </w:rPr>
        <w:t>) is calculated as the difference between </w:t>
      </w:r>
      <w:r w:rsidRPr="00923237">
        <w:rPr>
          <w:rStyle w:val="Emphasis"/>
          <w:rFonts w:eastAsiaTheme="majorEastAsia" w:cstheme="minorHAnsi"/>
          <w:color w:val="323232"/>
        </w:rPr>
        <w:t>Market Leverage</w:t>
      </w:r>
      <w:r w:rsidRPr="00923237">
        <w:rPr>
          <w:rFonts w:cstheme="minorHAnsi"/>
          <w:color w:val="323232"/>
        </w:rPr>
        <w:t> (</w:t>
      </w:r>
      <w:r w:rsidRPr="00923237">
        <w:rPr>
          <w:rStyle w:val="Emphasis"/>
          <w:rFonts w:eastAsiaTheme="majorEastAsia" w:cstheme="minorHAnsi"/>
          <w:color w:val="323232"/>
        </w:rPr>
        <w:t>Board Meetings</w:t>
      </w:r>
      <w:r w:rsidRPr="00923237">
        <w:rPr>
          <w:rFonts w:cstheme="minorHAnsi"/>
          <w:color w:val="323232"/>
        </w:rPr>
        <w:t>) in a particular year post-crisis and the 2006 </w:t>
      </w:r>
      <w:r w:rsidRPr="00923237">
        <w:rPr>
          <w:rStyle w:val="Emphasis"/>
          <w:rFonts w:eastAsiaTheme="majorEastAsia" w:cstheme="minorHAnsi"/>
          <w:color w:val="323232"/>
        </w:rPr>
        <w:t>Market Leverage</w:t>
      </w:r>
      <w:r w:rsidRPr="00923237">
        <w:rPr>
          <w:rFonts w:cstheme="minorHAnsi"/>
          <w:color w:val="323232"/>
        </w:rPr>
        <w:t> (</w:t>
      </w:r>
      <w:r w:rsidRPr="00923237">
        <w:rPr>
          <w:rStyle w:val="Emphasis"/>
          <w:rFonts w:eastAsiaTheme="majorEastAsia" w:cstheme="minorHAnsi"/>
          <w:color w:val="323232"/>
        </w:rPr>
        <w:t>Board Meetings</w:t>
      </w:r>
      <w:r w:rsidRPr="00923237">
        <w:rPr>
          <w:rFonts w:cstheme="minorHAnsi"/>
          <w:color w:val="323232"/>
        </w:rPr>
        <w:t>). P-values for tests of the difference between high- and low-leverage firms are reported in brackets.</w:t>
      </w:r>
    </w:p>
    <w:tbl>
      <w:tblPr>
        <w:tblStyle w:val="TableGrid"/>
        <w:tblW w:w="0" w:type="auto"/>
        <w:tblLook w:val="04A0" w:firstRow="1" w:lastRow="0" w:firstColumn="1" w:lastColumn="0" w:noHBand="0" w:noVBand="1"/>
      </w:tblPr>
      <w:tblGrid>
        <w:gridCol w:w="1590"/>
        <w:gridCol w:w="521"/>
        <w:gridCol w:w="1333"/>
        <w:gridCol w:w="1842"/>
        <w:gridCol w:w="1682"/>
        <w:gridCol w:w="1300"/>
        <w:gridCol w:w="1802"/>
      </w:tblGrid>
      <w:tr w:rsidR="00A4606E" w:rsidRPr="00923237" w14:paraId="1F34E021" w14:textId="77777777" w:rsidTr="00F31DC2">
        <w:tc>
          <w:tcPr>
            <w:tcW w:w="0" w:type="auto"/>
            <w:hideMark/>
          </w:tcPr>
          <w:p w14:paraId="36140906" w14:textId="77777777" w:rsidR="00A4606E" w:rsidRPr="00923237" w:rsidRDefault="00A4606E" w:rsidP="00F31DC2">
            <w:pPr>
              <w:pStyle w:val="NoSpacing"/>
              <w:rPr>
                <w:rFonts w:cstheme="minorHAnsi"/>
                <w:sz w:val="20"/>
                <w:szCs w:val="20"/>
              </w:rPr>
            </w:pPr>
            <w:r w:rsidRPr="00923237">
              <w:rPr>
                <w:rFonts w:cstheme="minorHAnsi"/>
                <w:sz w:val="20"/>
                <w:szCs w:val="20"/>
              </w:rPr>
              <w:t>Leverage rank in 2006</w:t>
            </w:r>
          </w:p>
        </w:tc>
        <w:tc>
          <w:tcPr>
            <w:tcW w:w="0" w:type="auto"/>
            <w:hideMark/>
          </w:tcPr>
          <w:p w14:paraId="39AAFA4E" w14:textId="77777777" w:rsidR="00A4606E" w:rsidRPr="00923237" w:rsidRDefault="00A4606E" w:rsidP="00F31DC2">
            <w:pPr>
              <w:pStyle w:val="NoSpacing"/>
              <w:rPr>
                <w:rFonts w:cstheme="minorHAnsi"/>
                <w:sz w:val="20"/>
                <w:szCs w:val="20"/>
              </w:rPr>
            </w:pPr>
            <w:r w:rsidRPr="00923237">
              <w:rPr>
                <w:rFonts w:cstheme="minorHAnsi"/>
                <w:sz w:val="20"/>
                <w:szCs w:val="20"/>
              </w:rPr>
              <w:t>N</w:t>
            </w:r>
          </w:p>
        </w:tc>
        <w:tc>
          <w:tcPr>
            <w:tcW w:w="0" w:type="auto"/>
            <w:hideMark/>
          </w:tcPr>
          <w:p w14:paraId="6F5154FB" w14:textId="77777777" w:rsidR="00A4606E" w:rsidRPr="00923237" w:rsidRDefault="00A4606E" w:rsidP="00F31DC2">
            <w:pPr>
              <w:pStyle w:val="NoSpacing"/>
              <w:rPr>
                <w:rFonts w:cstheme="minorHAnsi"/>
                <w:sz w:val="20"/>
                <w:szCs w:val="20"/>
              </w:rPr>
            </w:pPr>
            <w:r w:rsidRPr="00923237">
              <w:rPr>
                <w:rFonts w:cstheme="minorHAnsi"/>
                <w:sz w:val="20"/>
                <w:szCs w:val="20"/>
              </w:rPr>
              <w:t>Market leverage</w:t>
            </w:r>
            <w:r w:rsidRPr="00923237">
              <w:rPr>
                <w:rFonts w:cstheme="minorHAnsi"/>
                <w:sz w:val="20"/>
                <w:szCs w:val="20"/>
              </w:rPr>
              <w:br/>
              <w:t>Post-crisis</w:t>
            </w:r>
          </w:p>
        </w:tc>
        <w:tc>
          <w:tcPr>
            <w:tcW w:w="0" w:type="auto"/>
            <w:hideMark/>
          </w:tcPr>
          <w:p w14:paraId="1E360870" w14:textId="77777777" w:rsidR="00A4606E" w:rsidRPr="00923237" w:rsidRDefault="00A4606E" w:rsidP="00F31DC2">
            <w:pPr>
              <w:pStyle w:val="NoSpacing"/>
              <w:rPr>
                <w:rFonts w:cstheme="minorHAnsi"/>
                <w:sz w:val="20"/>
                <w:szCs w:val="20"/>
              </w:rPr>
            </w:pPr>
            <w:r w:rsidRPr="00923237">
              <w:rPr>
                <w:rFonts w:cstheme="minorHAnsi"/>
                <w:sz w:val="20"/>
                <w:szCs w:val="20"/>
              </w:rPr>
              <w:t>Change in market leverage</w:t>
            </w:r>
          </w:p>
        </w:tc>
        <w:tc>
          <w:tcPr>
            <w:tcW w:w="0" w:type="auto"/>
            <w:hideMark/>
          </w:tcPr>
          <w:p w14:paraId="19EE6FDB" w14:textId="77777777" w:rsidR="00A4606E" w:rsidRPr="00923237" w:rsidRDefault="00A4606E" w:rsidP="00F31DC2">
            <w:pPr>
              <w:pStyle w:val="NoSpacing"/>
              <w:rPr>
                <w:rFonts w:cstheme="minorHAnsi"/>
                <w:sz w:val="20"/>
                <w:szCs w:val="20"/>
              </w:rPr>
            </w:pPr>
            <w:r w:rsidRPr="00923237">
              <w:rPr>
                <w:rFonts w:cstheme="minorHAnsi"/>
                <w:sz w:val="20"/>
                <w:szCs w:val="20"/>
              </w:rPr>
              <w:t>Board meetings in 2006</w:t>
            </w:r>
          </w:p>
        </w:tc>
        <w:tc>
          <w:tcPr>
            <w:tcW w:w="0" w:type="auto"/>
            <w:hideMark/>
          </w:tcPr>
          <w:p w14:paraId="6B45DCC1" w14:textId="77777777" w:rsidR="00A4606E" w:rsidRPr="00923237" w:rsidRDefault="00A4606E" w:rsidP="00F31DC2">
            <w:pPr>
              <w:pStyle w:val="NoSpacing"/>
              <w:rPr>
                <w:rFonts w:cstheme="minorHAnsi"/>
                <w:sz w:val="20"/>
                <w:szCs w:val="20"/>
              </w:rPr>
            </w:pPr>
            <w:r w:rsidRPr="00923237">
              <w:rPr>
                <w:rFonts w:cstheme="minorHAnsi"/>
                <w:sz w:val="20"/>
                <w:szCs w:val="20"/>
              </w:rPr>
              <w:t>Board meetings</w:t>
            </w:r>
            <w:r w:rsidRPr="00923237">
              <w:rPr>
                <w:rFonts w:cstheme="minorHAnsi"/>
                <w:sz w:val="20"/>
                <w:szCs w:val="20"/>
              </w:rPr>
              <w:br/>
              <w:t>Post-crisis</w:t>
            </w:r>
          </w:p>
        </w:tc>
        <w:tc>
          <w:tcPr>
            <w:tcW w:w="0" w:type="auto"/>
            <w:hideMark/>
          </w:tcPr>
          <w:p w14:paraId="7232BACB" w14:textId="77777777" w:rsidR="00A4606E" w:rsidRPr="00923237" w:rsidRDefault="00A4606E" w:rsidP="00F31DC2">
            <w:pPr>
              <w:pStyle w:val="NoSpacing"/>
              <w:rPr>
                <w:rFonts w:cstheme="minorHAnsi"/>
                <w:sz w:val="20"/>
                <w:szCs w:val="20"/>
              </w:rPr>
            </w:pPr>
            <w:r w:rsidRPr="00923237">
              <w:rPr>
                <w:rFonts w:cstheme="minorHAnsi"/>
                <w:sz w:val="20"/>
                <w:szCs w:val="20"/>
              </w:rPr>
              <w:t>Change in board meetings</w:t>
            </w:r>
          </w:p>
        </w:tc>
      </w:tr>
      <w:tr w:rsidR="00A4606E" w:rsidRPr="00923237" w14:paraId="65C0EBA2" w14:textId="77777777" w:rsidTr="00F31DC2">
        <w:tc>
          <w:tcPr>
            <w:tcW w:w="0" w:type="auto"/>
            <w:hideMark/>
          </w:tcPr>
          <w:p w14:paraId="4A87187F" w14:textId="77777777" w:rsidR="00A4606E" w:rsidRPr="00923237" w:rsidRDefault="00A4606E" w:rsidP="00F31DC2">
            <w:pPr>
              <w:pStyle w:val="NoSpacing"/>
              <w:rPr>
                <w:rFonts w:cstheme="minorHAnsi"/>
                <w:sz w:val="20"/>
                <w:szCs w:val="20"/>
              </w:rPr>
            </w:pPr>
            <w:r w:rsidRPr="00923237">
              <w:rPr>
                <w:rFonts w:cstheme="minorHAnsi"/>
                <w:sz w:val="20"/>
                <w:szCs w:val="20"/>
              </w:rPr>
              <w:t>[1]</w:t>
            </w:r>
          </w:p>
        </w:tc>
        <w:tc>
          <w:tcPr>
            <w:tcW w:w="0" w:type="auto"/>
            <w:hideMark/>
          </w:tcPr>
          <w:p w14:paraId="3BC3970E" w14:textId="77777777" w:rsidR="00A4606E" w:rsidRPr="00923237" w:rsidRDefault="00A4606E" w:rsidP="00F31DC2">
            <w:pPr>
              <w:pStyle w:val="NoSpacing"/>
              <w:rPr>
                <w:rFonts w:cstheme="minorHAnsi"/>
                <w:sz w:val="20"/>
                <w:szCs w:val="20"/>
              </w:rPr>
            </w:pPr>
            <w:r w:rsidRPr="00923237">
              <w:rPr>
                <w:rFonts w:cstheme="minorHAnsi"/>
                <w:sz w:val="20"/>
                <w:szCs w:val="20"/>
              </w:rPr>
              <w:t>[2]</w:t>
            </w:r>
          </w:p>
        </w:tc>
        <w:tc>
          <w:tcPr>
            <w:tcW w:w="0" w:type="auto"/>
            <w:hideMark/>
          </w:tcPr>
          <w:p w14:paraId="5986C289" w14:textId="77777777" w:rsidR="00A4606E" w:rsidRPr="00923237" w:rsidRDefault="00A4606E" w:rsidP="00F31DC2">
            <w:pPr>
              <w:pStyle w:val="NoSpacing"/>
              <w:rPr>
                <w:rFonts w:cstheme="minorHAnsi"/>
                <w:sz w:val="20"/>
                <w:szCs w:val="20"/>
              </w:rPr>
            </w:pPr>
            <w:r w:rsidRPr="00923237">
              <w:rPr>
                <w:rFonts w:cstheme="minorHAnsi"/>
                <w:sz w:val="20"/>
                <w:szCs w:val="20"/>
              </w:rPr>
              <w:t>[3]</w:t>
            </w:r>
          </w:p>
        </w:tc>
        <w:tc>
          <w:tcPr>
            <w:tcW w:w="0" w:type="auto"/>
            <w:hideMark/>
          </w:tcPr>
          <w:p w14:paraId="21E1E26E" w14:textId="77777777" w:rsidR="00A4606E" w:rsidRPr="00923237" w:rsidRDefault="00A4606E" w:rsidP="00F31DC2">
            <w:pPr>
              <w:pStyle w:val="NoSpacing"/>
              <w:rPr>
                <w:rFonts w:cstheme="minorHAnsi"/>
                <w:sz w:val="20"/>
                <w:szCs w:val="20"/>
              </w:rPr>
            </w:pPr>
            <w:r w:rsidRPr="00923237">
              <w:rPr>
                <w:rFonts w:cstheme="minorHAnsi"/>
                <w:sz w:val="20"/>
                <w:szCs w:val="20"/>
              </w:rPr>
              <w:t>[4]</w:t>
            </w:r>
          </w:p>
        </w:tc>
        <w:tc>
          <w:tcPr>
            <w:tcW w:w="0" w:type="auto"/>
            <w:hideMark/>
          </w:tcPr>
          <w:p w14:paraId="71B85593" w14:textId="77777777" w:rsidR="00A4606E" w:rsidRPr="00923237" w:rsidRDefault="00A4606E" w:rsidP="00F31DC2">
            <w:pPr>
              <w:pStyle w:val="NoSpacing"/>
              <w:rPr>
                <w:rFonts w:cstheme="minorHAnsi"/>
                <w:sz w:val="20"/>
                <w:szCs w:val="20"/>
              </w:rPr>
            </w:pPr>
            <w:r w:rsidRPr="00923237">
              <w:rPr>
                <w:rFonts w:cstheme="minorHAnsi"/>
                <w:sz w:val="20"/>
                <w:szCs w:val="20"/>
              </w:rPr>
              <w:t>[5]</w:t>
            </w:r>
          </w:p>
        </w:tc>
        <w:tc>
          <w:tcPr>
            <w:tcW w:w="0" w:type="auto"/>
            <w:hideMark/>
          </w:tcPr>
          <w:p w14:paraId="47B7CA69" w14:textId="77777777" w:rsidR="00A4606E" w:rsidRPr="00923237" w:rsidRDefault="00A4606E" w:rsidP="00F31DC2">
            <w:pPr>
              <w:pStyle w:val="NoSpacing"/>
              <w:rPr>
                <w:rFonts w:cstheme="minorHAnsi"/>
                <w:sz w:val="20"/>
                <w:szCs w:val="20"/>
              </w:rPr>
            </w:pPr>
            <w:r w:rsidRPr="00923237">
              <w:rPr>
                <w:rFonts w:cstheme="minorHAnsi"/>
                <w:sz w:val="20"/>
                <w:szCs w:val="20"/>
              </w:rPr>
              <w:t>[6]</w:t>
            </w:r>
          </w:p>
        </w:tc>
        <w:tc>
          <w:tcPr>
            <w:tcW w:w="0" w:type="auto"/>
            <w:hideMark/>
          </w:tcPr>
          <w:p w14:paraId="70DCE819" w14:textId="77777777" w:rsidR="00A4606E" w:rsidRPr="00923237" w:rsidRDefault="00A4606E" w:rsidP="00F31DC2">
            <w:pPr>
              <w:pStyle w:val="NoSpacing"/>
              <w:rPr>
                <w:rFonts w:cstheme="minorHAnsi"/>
                <w:sz w:val="20"/>
                <w:szCs w:val="20"/>
              </w:rPr>
            </w:pPr>
            <w:r w:rsidRPr="00923237">
              <w:rPr>
                <w:rFonts w:cstheme="minorHAnsi"/>
                <w:sz w:val="20"/>
                <w:szCs w:val="20"/>
              </w:rPr>
              <w:t>[7]</w:t>
            </w:r>
          </w:p>
        </w:tc>
      </w:tr>
      <w:tr w:rsidR="00A4606E" w:rsidRPr="00923237" w14:paraId="222F1B49" w14:textId="77777777" w:rsidTr="00F31DC2">
        <w:tc>
          <w:tcPr>
            <w:tcW w:w="0" w:type="auto"/>
            <w:hideMark/>
          </w:tcPr>
          <w:p w14:paraId="351C9D10" w14:textId="77777777" w:rsidR="00A4606E" w:rsidRPr="00923237" w:rsidRDefault="00A4606E" w:rsidP="00F31DC2">
            <w:pPr>
              <w:pStyle w:val="NoSpacing"/>
              <w:rPr>
                <w:rFonts w:cstheme="minorHAnsi"/>
                <w:sz w:val="20"/>
                <w:szCs w:val="20"/>
              </w:rPr>
            </w:pPr>
            <w:r w:rsidRPr="00923237">
              <w:rPr>
                <w:rFonts w:cstheme="minorHAnsi"/>
                <w:sz w:val="20"/>
                <w:szCs w:val="20"/>
              </w:rPr>
              <w:t>4 high</w:t>
            </w:r>
          </w:p>
        </w:tc>
        <w:tc>
          <w:tcPr>
            <w:tcW w:w="0" w:type="auto"/>
            <w:hideMark/>
          </w:tcPr>
          <w:p w14:paraId="25C24847" w14:textId="77777777" w:rsidR="00A4606E" w:rsidRPr="00923237" w:rsidRDefault="00A4606E" w:rsidP="00F31DC2">
            <w:pPr>
              <w:pStyle w:val="NoSpacing"/>
              <w:rPr>
                <w:rFonts w:cstheme="minorHAnsi"/>
                <w:sz w:val="20"/>
                <w:szCs w:val="20"/>
              </w:rPr>
            </w:pPr>
            <w:r w:rsidRPr="00923237">
              <w:rPr>
                <w:rFonts w:cstheme="minorHAnsi"/>
                <w:sz w:val="20"/>
                <w:szCs w:val="20"/>
              </w:rPr>
              <w:t>277</w:t>
            </w:r>
          </w:p>
        </w:tc>
        <w:tc>
          <w:tcPr>
            <w:tcW w:w="0" w:type="auto"/>
            <w:hideMark/>
          </w:tcPr>
          <w:p w14:paraId="295BA0FD" w14:textId="77777777" w:rsidR="00A4606E" w:rsidRPr="00923237" w:rsidRDefault="00A4606E" w:rsidP="00F31DC2">
            <w:pPr>
              <w:pStyle w:val="NoSpacing"/>
              <w:rPr>
                <w:rFonts w:cstheme="minorHAnsi"/>
                <w:sz w:val="20"/>
                <w:szCs w:val="20"/>
              </w:rPr>
            </w:pPr>
            <w:r w:rsidRPr="00923237">
              <w:rPr>
                <w:rFonts w:cstheme="minorHAnsi"/>
                <w:sz w:val="20"/>
                <w:szCs w:val="20"/>
              </w:rPr>
              <w:t>0.5861</w:t>
            </w:r>
          </w:p>
        </w:tc>
        <w:tc>
          <w:tcPr>
            <w:tcW w:w="0" w:type="auto"/>
            <w:hideMark/>
          </w:tcPr>
          <w:p w14:paraId="3B3BD18B" w14:textId="77777777" w:rsidR="00A4606E" w:rsidRPr="00923237" w:rsidRDefault="00A4606E" w:rsidP="00F31DC2">
            <w:pPr>
              <w:pStyle w:val="NoSpacing"/>
              <w:rPr>
                <w:rFonts w:cstheme="minorHAnsi"/>
                <w:sz w:val="20"/>
                <w:szCs w:val="20"/>
              </w:rPr>
            </w:pPr>
            <w:r w:rsidRPr="00923237">
              <w:rPr>
                <w:rFonts w:cstheme="minorHAnsi"/>
                <w:sz w:val="20"/>
                <w:szCs w:val="20"/>
              </w:rPr>
              <w:t>−0.0809</w:t>
            </w:r>
          </w:p>
        </w:tc>
        <w:tc>
          <w:tcPr>
            <w:tcW w:w="0" w:type="auto"/>
            <w:hideMark/>
          </w:tcPr>
          <w:p w14:paraId="00E28DDA" w14:textId="77777777" w:rsidR="00A4606E" w:rsidRPr="00923237" w:rsidRDefault="00A4606E" w:rsidP="00F31DC2">
            <w:pPr>
              <w:pStyle w:val="NoSpacing"/>
              <w:rPr>
                <w:rFonts w:cstheme="minorHAnsi"/>
                <w:sz w:val="20"/>
                <w:szCs w:val="20"/>
              </w:rPr>
            </w:pPr>
            <w:r w:rsidRPr="00923237">
              <w:rPr>
                <w:rFonts w:cstheme="minorHAnsi"/>
                <w:sz w:val="20"/>
                <w:szCs w:val="20"/>
              </w:rPr>
              <w:t>8.7040</w:t>
            </w:r>
          </w:p>
        </w:tc>
        <w:tc>
          <w:tcPr>
            <w:tcW w:w="0" w:type="auto"/>
            <w:hideMark/>
          </w:tcPr>
          <w:p w14:paraId="0E689B32" w14:textId="77777777" w:rsidR="00A4606E" w:rsidRPr="00923237" w:rsidRDefault="00A4606E" w:rsidP="00F31DC2">
            <w:pPr>
              <w:pStyle w:val="NoSpacing"/>
              <w:rPr>
                <w:rFonts w:cstheme="minorHAnsi"/>
                <w:sz w:val="20"/>
                <w:szCs w:val="20"/>
              </w:rPr>
            </w:pPr>
            <w:r w:rsidRPr="00923237">
              <w:rPr>
                <w:rFonts w:cstheme="minorHAnsi"/>
                <w:sz w:val="20"/>
                <w:szCs w:val="20"/>
              </w:rPr>
              <w:t>9.5885</w:t>
            </w:r>
          </w:p>
        </w:tc>
        <w:tc>
          <w:tcPr>
            <w:tcW w:w="0" w:type="auto"/>
            <w:hideMark/>
          </w:tcPr>
          <w:p w14:paraId="5E168D14" w14:textId="77777777" w:rsidR="00A4606E" w:rsidRPr="00923237" w:rsidRDefault="00A4606E" w:rsidP="00F31DC2">
            <w:pPr>
              <w:pStyle w:val="NoSpacing"/>
              <w:rPr>
                <w:rFonts w:cstheme="minorHAnsi"/>
                <w:sz w:val="20"/>
                <w:szCs w:val="20"/>
              </w:rPr>
            </w:pPr>
            <w:r w:rsidRPr="00923237">
              <w:rPr>
                <w:rFonts w:cstheme="minorHAnsi"/>
                <w:sz w:val="20"/>
                <w:szCs w:val="20"/>
              </w:rPr>
              <w:t>0.8845</w:t>
            </w:r>
          </w:p>
        </w:tc>
      </w:tr>
      <w:tr w:rsidR="00A4606E" w:rsidRPr="00923237" w14:paraId="783B0F2D" w14:textId="77777777" w:rsidTr="00F31DC2">
        <w:tc>
          <w:tcPr>
            <w:tcW w:w="0" w:type="auto"/>
            <w:hideMark/>
          </w:tcPr>
          <w:p w14:paraId="0436879B" w14:textId="77777777" w:rsidR="00A4606E" w:rsidRPr="00923237" w:rsidRDefault="00A4606E" w:rsidP="00F31DC2">
            <w:pPr>
              <w:pStyle w:val="NoSpacing"/>
              <w:rPr>
                <w:rFonts w:cstheme="minorHAnsi"/>
                <w:sz w:val="20"/>
                <w:szCs w:val="20"/>
              </w:rPr>
            </w:pPr>
            <w:r w:rsidRPr="00923237">
              <w:rPr>
                <w:rFonts w:cstheme="minorHAnsi"/>
                <w:sz w:val="20"/>
                <w:szCs w:val="20"/>
              </w:rPr>
              <w:t>3</w:t>
            </w:r>
          </w:p>
        </w:tc>
        <w:tc>
          <w:tcPr>
            <w:tcW w:w="0" w:type="auto"/>
            <w:hideMark/>
          </w:tcPr>
          <w:p w14:paraId="3AFCEEBF" w14:textId="77777777" w:rsidR="00A4606E" w:rsidRPr="00923237" w:rsidRDefault="00A4606E" w:rsidP="00F31DC2">
            <w:pPr>
              <w:pStyle w:val="NoSpacing"/>
              <w:rPr>
                <w:rFonts w:cstheme="minorHAnsi"/>
                <w:sz w:val="20"/>
                <w:szCs w:val="20"/>
              </w:rPr>
            </w:pPr>
            <w:r w:rsidRPr="00923237">
              <w:rPr>
                <w:rFonts w:cstheme="minorHAnsi"/>
                <w:sz w:val="20"/>
                <w:szCs w:val="20"/>
              </w:rPr>
              <w:t>289</w:t>
            </w:r>
          </w:p>
        </w:tc>
        <w:tc>
          <w:tcPr>
            <w:tcW w:w="0" w:type="auto"/>
            <w:hideMark/>
          </w:tcPr>
          <w:p w14:paraId="145FDA06" w14:textId="77777777" w:rsidR="00A4606E" w:rsidRPr="00923237" w:rsidRDefault="00A4606E" w:rsidP="00F31DC2">
            <w:pPr>
              <w:pStyle w:val="NoSpacing"/>
              <w:rPr>
                <w:rFonts w:cstheme="minorHAnsi"/>
                <w:sz w:val="20"/>
                <w:szCs w:val="20"/>
              </w:rPr>
            </w:pPr>
            <w:r w:rsidRPr="00923237">
              <w:rPr>
                <w:rFonts w:cstheme="minorHAnsi"/>
                <w:sz w:val="20"/>
                <w:szCs w:val="20"/>
              </w:rPr>
              <w:t>0.4912</w:t>
            </w:r>
          </w:p>
        </w:tc>
        <w:tc>
          <w:tcPr>
            <w:tcW w:w="0" w:type="auto"/>
            <w:hideMark/>
          </w:tcPr>
          <w:p w14:paraId="3C3BDA58" w14:textId="77777777" w:rsidR="00A4606E" w:rsidRPr="00923237" w:rsidRDefault="00A4606E" w:rsidP="00F31DC2">
            <w:pPr>
              <w:pStyle w:val="NoSpacing"/>
              <w:rPr>
                <w:rFonts w:cstheme="minorHAnsi"/>
                <w:sz w:val="20"/>
                <w:szCs w:val="20"/>
              </w:rPr>
            </w:pPr>
            <w:r w:rsidRPr="00923237">
              <w:rPr>
                <w:rFonts w:cstheme="minorHAnsi"/>
                <w:sz w:val="20"/>
                <w:szCs w:val="20"/>
              </w:rPr>
              <w:t>0.0342</w:t>
            </w:r>
          </w:p>
        </w:tc>
        <w:tc>
          <w:tcPr>
            <w:tcW w:w="0" w:type="auto"/>
            <w:hideMark/>
          </w:tcPr>
          <w:p w14:paraId="5F34245B" w14:textId="77777777" w:rsidR="00A4606E" w:rsidRPr="00923237" w:rsidRDefault="00A4606E" w:rsidP="00F31DC2">
            <w:pPr>
              <w:pStyle w:val="NoSpacing"/>
              <w:rPr>
                <w:rFonts w:cstheme="minorHAnsi"/>
                <w:sz w:val="20"/>
                <w:szCs w:val="20"/>
              </w:rPr>
            </w:pPr>
            <w:r w:rsidRPr="00923237">
              <w:rPr>
                <w:rFonts w:cstheme="minorHAnsi"/>
                <w:sz w:val="20"/>
                <w:szCs w:val="20"/>
              </w:rPr>
              <w:t>8.0138</w:t>
            </w:r>
          </w:p>
        </w:tc>
        <w:tc>
          <w:tcPr>
            <w:tcW w:w="0" w:type="auto"/>
            <w:hideMark/>
          </w:tcPr>
          <w:p w14:paraId="6E638E59" w14:textId="77777777" w:rsidR="00A4606E" w:rsidRPr="00923237" w:rsidRDefault="00A4606E" w:rsidP="00F31DC2">
            <w:pPr>
              <w:pStyle w:val="NoSpacing"/>
              <w:rPr>
                <w:rFonts w:cstheme="minorHAnsi"/>
                <w:sz w:val="20"/>
                <w:szCs w:val="20"/>
              </w:rPr>
            </w:pPr>
            <w:r w:rsidRPr="00923237">
              <w:rPr>
                <w:rFonts w:cstheme="minorHAnsi"/>
                <w:sz w:val="20"/>
                <w:szCs w:val="20"/>
              </w:rPr>
              <w:t>8.4706</w:t>
            </w:r>
          </w:p>
        </w:tc>
        <w:tc>
          <w:tcPr>
            <w:tcW w:w="0" w:type="auto"/>
            <w:hideMark/>
          </w:tcPr>
          <w:p w14:paraId="7C58DD9F" w14:textId="77777777" w:rsidR="00A4606E" w:rsidRPr="00923237" w:rsidRDefault="00A4606E" w:rsidP="00F31DC2">
            <w:pPr>
              <w:pStyle w:val="NoSpacing"/>
              <w:rPr>
                <w:rFonts w:cstheme="minorHAnsi"/>
                <w:sz w:val="20"/>
                <w:szCs w:val="20"/>
              </w:rPr>
            </w:pPr>
            <w:r w:rsidRPr="00923237">
              <w:rPr>
                <w:rFonts w:cstheme="minorHAnsi"/>
                <w:sz w:val="20"/>
                <w:szCs w:val="20"/>
              </w:rPr>
              <w:t>0.4568</w:t>
            </w:r>
          </w:p>
        </w:tc>
      </w:tr>
      <w:tr w:rsidR="00A4606E" w:rsidRPr="00923237" w14:paraId="2BA431FF" w14:textId="77777777" w:rsidTr="00F31DC2">
        <w:tc>
          <w:tcPr>
            <w:tcW w:w="0" w:type="auto"/>
            <w:hideMark/>
          </w:tcPr>
          <w:p w14:paraId="0CC21947" w14:textId="77777777" w:rsidR="00A4606E" w:rsidRPr="00923237" w:rsidRDefault="00A4606E" w:rsidP="00F31DC2">
            <w:pPr>
              <w:pStyle w:val="NoSpacing"/>
              <w:rPr>
                <w:rFonts w:cstheme="minorHAnsi"/>
                <w:sz w:val="20"/>
                <w:szCs w:val="20"/>
              </w:rPr>
            </w:pPr>
            <w:r w:rsidRPr="00923237">
              <w:rPr>
                <w:rFonts w:cstheme="minorHAnsi"/>
                <w:sz w:val="20"/>
                <w:szCs w:val="20"/>
              </w:rPr>
              <w:t>2</w:t>
            </w:r>
          </w:p>
        </w:tc>
        <w:tc>
          <w:tcPr>
            <w:tcW w:w="0" w:type="auto"/>
            <w:hideMark/>
          </w:tcPr>
          <w:p w14:paraId="0D5069E0" w14:textId="77777777" w:rsidR="00A4606E" w:rsidRPr="00923237" w:rsidRDefault="00A4606E" w:rsidP="00F31DC2">
            <w:pPr>
              <w:pStyle w:val="NoSpacing"/>
              <w:rPr>
                <w:rFonts w:cstheme="minorHAnsi"/>
                <w:sz w:val="20"/>
                <w:szCs w:val="20"/>
              </w:rPr>
            </w:pPr>
            <w:r w:rsidRPr="00923237">
              <w:rPr>
                <w:rFonts w:cstheme="minorHAnsi"/>
                <w:sz w:val="20"/>
                <w:szCs w:val="20"/>
              </w:rPr>
              <w:t>311</w:t>
            </w:r>
          </w:p>
        </w:tc>
        <w:tc>
          <w:tcPr>
            <w:tcW w:w="0" w:type="auto"/>
            <w:hideMark/>
          </w:tcPr>
          <w:p w14:paraId="60FA68E0" w14:textId="77777777" w:rsidR="00A4606E" w:rsidRPr="00923237" w:rsidRDefault="00A4606E" w:rsidP="00F31DC2">
            <w:pPr>
              <w:pStyle w:val="NoSpacing"/>
              <w:rPr>
                <w:rFonts w:cstheme="minorHAnsi"/>
                <w:sz w:val="20"/>
                <w:szCs w:val="20"/>
              </w:rPr>
            </w:pPr>
            <w:r w:rsidRPr="00923237">
              <w:rPr>
                <w:rFonts w:cstheme="minorHAnsi"/>
                <w:sz w:val="20"/>
                <w:szCs w:val="20"/>
              </w:rPr>
              <w:t>0.3729</w:t>
            </w:r>
          </w:p>
        </w:tc>
        <w:tc>
          <w:tcPr>
            <w:tcW w:w="0" w:type="auto"/>
            <w:hideMark/>
          </w:tcPr>
          <w:p w14:paraId="0196438D" w14:textId="77777777" w:rsidR="00A4606E" w:rsidRPr="00923237" w:rsidRDefault="00A4606E" w:rsidP="00F31DC2">
            <w:pPr>
              <w:pStyle w:val="NoSpacing"/>
              <w:rPr>
                <w:rFonts w:cstheme="minorHAnsi"/>
                <w:sz w:val="20"/>
                <w:szCs w:val="20"/>
              </w:rPr>
            </w:pPr>
            <w:r w:rsidRPr="00923237">
              <w:rPr>
                <w:rFonts w:cstheme="minorHAnsi"/>
                <w:sz w:val="20"/>
                <w:szCs w:val="20"/>
              </w:rPr>
              <w:t>0.0189</w:t>
            </w:r>
          </w:p>
        </w:tc>
        <w:tc>
          <w:tcPr>
            <w:tcW w:w="0" w:type="auto"/>
            <w:hideMark/>
          </w:tcPr>
          <w:p w14:paraId="7CAA3A75" w14:textId="77777777" w:rsidR="00A4606E" w:rsidRPr="00923237" w:rsidRDefault="00A4606E" w:rsidP="00F31DC2">
            <w:pPr>
              <w:pStyle w:val="NoSpacing"/>
              <w:rPr>
                <w:rFonts w:cstheme="minorHAnsi"/>
                <w:sz w:val="20"/>
                <w:szCs w:val="20"/>
              </w:rPr>
            </w:pPr>
            <w:r w:rsidRPr="00923237">
              <w:rPr>
                <w:rFonts w:cstheme="minorHAnsi"/>
                <w:sz w:val="20"/>
                <w:szCs w:val="20"/>
              </w:rPr>
              <w:t>8.2251</w:t>
            </w:r>
          </w:p>
        </w:tc>
        <w:tc>
          <w:tcPr>
            <w:tcW w:w="0" w:type="auto"/>
            <w:hideMark/>
          </w:tcPr>
          <w:p w14:paraId="29918A3A" w14:textId="77777777" w:rsidR="00A4606E" w:rsidRPr="00923237" w:rsidRDefault="00A4606E" w:rsidP="00F31DC2">
            <w:pPr>
              <w:pStyle w:val="NoSpacing"/>
              <w:rPr>
                <w:rFonts w:cstheme="minorHAnsi"/>
                <w:sz w:val="20"/>
                <w:szCs w:val="20"/>
              </w:rPr>
            </w:pPr>
            <w:r w:rsidRPr="00923237">
              <w:rPr>
                <w:rFonts w:cstheme="minorHAnsi"/>
                <w:sz w:val="20"/>
                <w:szCs w:val="20"/>
              </w:rPr>
              <w:t>7.3794</w:t>
            </w:r>
          </w:p>
        </w:tc>
        <w:tc>
          <w:tcPr>
            <w:tcW w:w="0" w:type="auto"/>
            <w:hideMark/>
          </w:tcPr>
          <w:p w14:paraId="4F708B7E" w14:textId="77777777" w:rsidR="00A4606E" w:rsidRPr="00923237" w:rsidRDefault="00A4606E" w:rsidP="00F31DC2">
            <w:pPr>
              <w:pStyle w:val="NoSpacing"/>
              <w:rPr>
                <w:rFonts w:cstheme="minorHAnsi"/>
                <w:sz w:val="20"/>
                <w:szCs w:val="20"/>
              </w:rPr>
            </w:pPr>
            <w:r w:rsidRPr="00923237">
              <w:rPr>
                <w:rFonts w:cstheme="minorHAnsi"/>
                <w:sz w:val="20"/>
                <w:szCs w:val="20"/>
              </w:rPr>
              <w:t>−0.8457</w:t>
            </w:r>
          </w:p>
        </w:tc>
      </w:tr>
      <w:tr w:rsidR="00A4606E" w:rsidRPr="00923237" w14:paraId="63A1DE69" w14:textId="77777777" w:rsidTr="00F31DC2">
        <w:tc>
          <w:tcPr>
            <w:tcW w:w="0" w:type="auto"/>
            <w:hideMark/>
          </w:tcPr>
          <w:p w14:paraId="551ED994" w14:textId="77777777" w:rsidR="00A4606E" w:rsidRPr="00923237" w:rsidRDefault="00A4606E" w:rsidP="00F31DC2">
            <w:pPr>
              <w:pStyle w:val="NoSpacing"/>
              <w:rPr>
                <w:rFonts w:cstheme="minorHAnsi"/>
                <w:sz w:val="20"/>
                <w:szCs w:val="20"/>
              </w:rPr>
            </w:pPr>
            <w:r w:rsidRPr="00923237">
              <w:rPr>
                <w:rFonts w:cstheme="minorHAnsi"/>
                <w:sz w:val="20"/>
                <w:szCs w:val="20"/>
              </w:rPr>
              <w:t>1 low</w:t>
            </w:r>
          </w:p>
        </w:tc>
        <w:tc>
          <w:tcPr>
            <w:tcW w:w="0" w:type="auto"/>
            <w:hideMark/>
          </w:tcPr>
          <w:p w14:paraId="1B8DE9B8" w14:textId="77777777" w:rsidR="00A4606E" w:rsidRPr="00923237" w:rsidRDefault="00A4606E" w:rsidP="00F31DC2">
            <w:pPr>
              <w:pStyle w:val="NoSpacing"/>
              <w:rPr>
                <w:rFonts w:cstheme="minorHAnsi"/>
                <w:sz w:val="20"/>
                <w:szCs w:val="20"/>
              </w:rPr>
            </w:pPr>
            <w:r w:rsidRPr="00923237">
              <w:rPr>
                <w:rFonts w:cstheme="minorHAnsi"/>
                <w:sz w:val="20"/>
                <w:szCs w:val="20"/>
              </w:rPr>
              <w:t>281</w:t>
            </w:r>
          </w:p>
        </w:tc>
        <w:tc>
          <w:tcPr>
            <w:tcW w:w="0" w:type="auto"/>
            <w:hideMark/>
          </w:tcPr>
          <w:p w14:paraId="2E4C015A" w14:textId="77777777" w:rsidR="00A4606E" w:rsidRPr="00923237" w:rsidRDefault="00A4606E" w:rsidP="00F31DC2">
            <w:pPr>
              <w:pStyle w:val="NoSpacing"/>
              <w:rPr>
                <w:rFonts w:cstheme="minorHAnsi"/>
                <w:sz w:val="20"/>
                <w:szCs w:val="20"/>
              </w:rPr>
            </w:pPr>
            <w:r w:rsidRPr="00923237">
              <w:rPr>
                <w:rFonts w:cstheme="minorHAnsi"/>
                <w:sz w:val="20"/>
                <w:szCs w:val="20"/>
              </w:rPr>
              <w:t>0.2620</w:t>
            </w:r>
          </w:p>
        </w:tc>
        <w:tc>
          <w:tcPr>
            <w:tcW w:w="0" w:type="auto"/>
            <w:hideMark/>
          </w:tcPr>
          <w:p w14:paraId="34DC9471" w14:textId="77777777" w:rsidR="00A4606E" w:rsidRPr="00923237" w:rsidRDefault="00A4606E" w:rsidP="00F31DC2">
            <w:pPr>
              <w:pStyle w:val="NoSpacing"/>
              <w:rPr>
                <w:rFonts w:cstheme="minorHAnsi"/>
                <w:sz w:val="20"/>
                <w:szCs w:val="20"/>
              </w:rPr>
            </w:pPr>
            <w:r w:rsidRPr="00923237">
              <w:rPr>
                <w:rFonts w:cstheme="minorHAnsi"/>
                <w:sz w:val="20"/>
                <w:szCs w:val="20"/>
              </w:rPr>
              <w:t>0.1000</w:t>
            </w:r>
          </w:p>
        </w:tc>
        <w:tc>
          <w:tcPr>
            <w:tcW w:w="0" w:type="auto"/>
            <w:hideMark/>
          </w:tcPr>
          <w:p w14:paraId="0D37761D" w14:textId="77777777" w:rsidR="00A4606E" w:rsidRPr="00923237" w:rsidRDefault="00A4606E" w:rsidP="00F31DC2">
            <w:pPr>
              <w:pStyle w:val="NoSpacing"/>
              <w:rPr>
                <w:rFonts w:cstheme="minorHAnsi"/>
                <w:sz w:val="20"/>
                <w:szCs w:val="20"/>
              </w:rPr>
            </w:pPr>
            <w:r w:rsidRPr="00923237">
              <w:rPr>
                <w:rFonts w:cstheme="minorHAnsi"/>
                <w:sz w:val="20"/>
                <w:szCs w:val="20"/>
              </w:rPr>
              <w:t>8.6121</w:t>
            </w:r>
          </w:p>
        </w:tc>
        <w:tc>
          <w:tcPr>
            <w:tcW w:w="0" w:type="auto"/>
            <w:hideMark/>
          </w:tcPr>
          <w:p w14:paraId="23BAFFD1" w14:textId="77777777" w:rsidR="00A4606E" w:rsidRPr="00923237" w:rsidRDefault="00A4606E" w:rsidP="00F31DC2">
            <w:pPr>
              <w:pStyle w:val="NoSpacing"/>
              <w:rPr>
                <w:rFonts w:cstheme="minorHAnsi"/>
                <w:sz w:val="20"/>
                <w:szCs w:val="20"/>
              </w:rPr>
            </w:pPr>
            <w:r w:rsidRPr="00923237">
              <w:rPr>
                <w:rFonts w:cstheme="minorHAnsi"/>
                <w:sz w:val="20"/>
                <w:szCs w:val="20"/>
              </w:rPr>
              <w:t>7.9182</w:t>
            </w:r>
          </w:p>
        </w:tc>
        <w:tc>
          <w:tcPr>
            <w:tcW w:w="0" w:type="auto"/>
            <w:hideMark/>
          </w:tcPr>
          <w:p w14:paraId="57F4C120" w14:textId="77777777" w:rsidR="00A4606E" w:rsidRPr="00923237" w:rsidRDefault="00A4606E" w:rsidP="00F31DC2">
            <w:pPr>
              <w:pStyle w:val="NoSpacing"/>
              <w:rPr>
                <w:rFonts w:cstheme="minorHAnsi"/>
                <w:sz w:val="20"/>
                <w:szCs w:val="20"/>
              </w:rPr>
            </w:pPr>
            <w:r w:rsidRPr="00923237">
              <w:rPr>
                <w:rFonts w:cstheme="minorHAnsi"/>
                <w:sz w:val="20"/>
                <w:szCs w:val="20"/>
              </w:rPr>
              <w:t>−0.6940</w:t>
            </w:r>
          </w:p>
        </w:tc>
      </w:tr>
      <w:tr w:rsidR="00A4606E" w:rsidRPr="00923237" w14:paraId="16944BDB" w14:textId="77777777" w:rsidTr="00F31DC2">
        <w:tc>
          <w:tcPr>
            <w:tcW w:w="0" w:type="auto"/>
            <w:hideMark/>
          </w:tcPr>
          <w:p w14:paraId="53DE50AA" w14:textId="77777777" w:rsidR="00A4606E" w:rsidRPr="00923237" w:rsidRDefault="00A4606E" w:rsidP="00F31DC2">
            <w:pPr>
              <w:pStyle w:val="NoSpacing"/>
              <w:rPr>
                <w:rFonts w:cstheme="minorHAnsi"/>
                <w:sz w:val="20"/>
                <w:szCs w:val="20"/>
              </w:rPr>
            </w:pPr>
            <w:r w:rsidRPr="00923237">
              <w:rPr>
                <w:rFonts w:cstheme="minorHAnsi"/>
                <w:sz w:val="20"/>
                <w:szCs w:val="20"/>
              </w:rPr>
              <w:t>High - low</w:t>
            </w:r>
          </w:p>
        </w:tc>
        <w:tc>
          <w:tcPr>
            <w:tcW w:w="0" w:type="auto"/>
            <w:hideMark/>
          </w:tcPr>
          <w:p w14:paraId="12C96087" w14:textId="77777777" w:rsidR="00A4606E" w:rsidRPr="00923237" w:rsidRDefault="00A4606E" w:rsidP="00F31DC2">
            <w:pPr>
              <w:pStyle w:val="NoSpacing"/>
              <w:rPr>
                <w:rFonts w:cstheme="minorHAnsi"/>
                <w:sz w:val="20"/>
                <w:szCs w:val="20"/>
              </w:rPr>
            </w:pPr>
          </w:p>
        </w:tc>
        <w:tc>
          <w:tcPr>
            <w:tcW w:w="0" w:type="auto"/>
            <w:hideMark/>
          </w:tcPr>
          <w:p w14:paraId="5288DB8E" w14:textId="77777777" w:rsidR="00A4606E" w:rsidRPr="00923237" w:rsidRDefault="00A4606E" w:rsidP="00F31DC2">
            <w:pPr>
              <w:pStyle w:val="NoSpacing"/>
              <w:rPr>
                <w:rFonts w:cstheme="minorHAnsi"/>
                <w:sz w:val="20"/>
                <w:szCs w:val="20"/>
              </w:rPr>
            </w:pPr>
            <w:r w:rsidRPr="00923237">
              <w:rPr>
                <w:rFonts w:cstheme="minorHAnsi"/>
                <w:sz w:val="20"/>
                <w:szCs w:val="20"/>
              </w:rPr>
              <w:t>0.3240</w:t>
            </w:r>
          </w:p>
        </w:tc>
        <w:tc>
          <w:tcPr>
            <w:tcW w:w="0" w:type="auto"/>
            <w:hideMark/>
          </w:tcPr>
          <w:p w14:paraId="675BBF7C" w14:textId="77777777" w:rsidR="00A4606E" w:rsidRPr="00923237" w:rsidRDefault="00A4606E" w:rsidP="00F31DC2">
            <w:pPr>
              <w:pStyle w:val="NoSpacing"/>
              <w:rPr>
                <w:rFonts w:cstheme="minorHAnsi"/>
                <w:sz w:val="20"/>
                <w:szCs w:val="20"/>
              </w:rPr>
            </w:pPr>
            <w:r w:rsidRPr="00923237">
              <w:rPr>
                <w:rFonts w:cstheme="minorHAnsi"/>
                <w:sz w:val="20"/>
                <w:szCs w:val="20"/>
              </w:rPr>
              <w:t>−0.1808</w:t>
            </w:r>
          </w:p>
        </w:tc>
        <w:tc>
          <w:tcPr>
            <w:tcW w:w="0" w:type="auto"/>
            <w:hideMark/>
          </w:tcPr>
          <w:p w14:paraId="45CDDD46" w14:textId="77777777" w:rsidR="00A4606E" w:rsidRPr="00923237" w:rsidRDefault="00A4606E" w:rsidP="00F31DC2">
            <w:pPr>
              <w:pStyle w:val="NoSpacing"/>
              <w:rPr>
                <w:rFonts w:cstheme="minorHAnsi"/>
                <w:sz w:val="20"/>
                <w:szCs w:val="20"/>
              </w:rPr>
            </w:pPr>
            <w:r w:rsidRPr="00923237">
              <w:rPr>
                <w:rFonts w:cstheme="minorHAnsi"/>
                <w:sz w:val="20"/>
                <w:szCs w:val="20"/>
              </w:rPr>
              <w:t>0.0919</w:t>
            </w:r>
          </w:p>
        </w:tc>
        <w:tc>
          <w:tcPr>
            <w:tcW w:w="0" w:type="auto"/>
            <w:hideMark/>
          </w:tcPr>
          <w:p w14:paraId="05AEAF7C" w14:textId="77777777" w:rsidR="00A4606E" w:rsidRPr="00923237" w:rsidRDefault="00A4606E" w:rsidP="00F31DC2">
            <w:pPr>
              <w:pStyle w:val="NoSpacing"/>
              <w:rPr>
                <w:rFonts w:cstheme="minorHAnsi"/>
                <w:sz w:val="20"/>
                <w:szCs w:val="20"/>
              </w:rPr>
            </w:pPr>
            <w:r w:rsidRPr="00923237">
              <w:rPr>
                <w:rFonts w:cstheme="minorHAnsi"/>
                <w:sz w:val="20"/>
                <w:szCs w:val="20"/>
              </w:rPr>
              <w:t>1.6703</w:t>
            </w:r>
          </w:p>
        </w:tc>
        <w:tc>
          <w:tcPr>
            <w:tcW w:w="0" w:type="auto"/>
            <w:hideMark/>
          </w:tcPr>
          <w:p w14:paraId="198ECE7D" w14:textId="77777777" w:rsidR="00A4606E" w:rsidRPr="00923237" w:rsidRDefault="00A4606E" w:rsidP="00F31DC2">
            <w:pPr>
              <w:pStyle w:val="NoSpacing"/>
              <w:rPr>
                <w:rFonts w:cstheme="minorHAnsi"/>
                <w:sz w:val="20"/>
                <w:szCs w:val="20"/>
              </w:rPr>
            </w:pPr>
            <w:r w:rsidRPr="00923237">
              <w:rPr>
                <w:rFonts w:cstheme="minorHAnsi"/>
                <w:sz w:val="20"/>
                <w:szCs w:val="20"/>
              </w:rPr>
              <w:t>1.5784</w:t>
            </w:r>
          </w:p>
        </w:tc>
      </w:tr>
      <w:tr w:rsidR="00A4606E" w:rsidRPr="00923237" w14:paraId="0BB4F1C2" w14:textId="77777777" w:rsidTr="00F31DC2">
        <w:tc>
          <w:tcPr>
            <w:tcW w:w="0" w:type="auto"/>
            <w:hideMark/>
          </w:tcPr>
          <w:p w14:paraId="522EDE1C" w14:textId="77777777" w:rsidR="00A4606E" w:rsidRPr="00923237" w:rsidRDefault="00A4606E" w:rsidP="00F31DC2">
            <w:pPr>
              <w:pStyle w:val="NoSpacing"/>
              <w:rPr>
                <w:rFonts w:cstheme="minorHAnsi"/>
                <w:sz w:val="20"/>
                <w:szCs w:val="20"/>
              </w:rPr>
            </w:pPr>
            <w:r w:rsidRPr="00923237">
              <w:rPr>
                <w:rFonts w:cstheme="minorHAnsi"/>
                <w:sz w:val="20"/>
                <w:szCs w:val="20"/>
              </w:rPr>
              <w:t>P-value</w:t>
            </w:r>
          </w:p>
        </w:tc>
        <w:tc>
          <w:tcPr>
            <w:tcW w:w="0" w:type="auto"/>
            <w:hideMark/>
          </w:tcPr>
          <w:p w14:paraId="6B0BB1EF" w14:textId="77777777" w:rsidR="00A4606E" w:rsidRPr="00923237" w:rsidRDefault="00A4606E" w:rsidP="00F31DC2">
            <w:pPr>
              <w:pStyle w:val="NoSpacing"/>
              <w:rPr>
                <w:rFonts w:cstheme="minorHAnsi"/>
                <w:sz w:val="20"/>
                <w:szCs w:val="20"/>
              </w:rPr>
            </w:pPr>
          </w:p>
        </w:tc>
        <w:tc>
          <w:tcPr>
            <w:tcW w:w="0" w:type="auto"/>
            <w:hideMark/>
          </w:tcPr>
          <w:p w14:paraId="3AB60EE4" w14:textId="77777777" w:rsidR="00A4606E" w:rsidRPr="00923237" w:rsidRDefault="00A4606E" w:rsidP="00F31DC2">
            <w:pPr>
              <w:pStyle w:val="NoSpacing"/>
              <w:rPr>
                <w:rFonts w:cstheme="minorHAnsi"/>
                <w:sz w:val="20"/>
                <w:szCs w:val="20"/>
              </w:rPr>
            </w:pPr>
            <w:r w:rsidRPr="00923237">
              <w:rPr>
                <w:rFonts w:cstheme="minorHAnsi"/>
                <w:sz w:val="20"/>
                <w:szCs w:val="20"/>
              </w:rPr>
              <w:t>[&lt;0.0001]</w:t>
            </w:r>
          </w:p>
        </w:tc>
        <w:tc>
          <w:tcPr>
            <w:tcW w:w="0" w:type="auto"/>
            <w:hideMark/>
          </w:tcPr>
          <w:p w14:paraId="75661E69" w14:textId="77777777" w:rsidR="00A4606E" w:rsidRPr="00923237" w:rsidRDefault="00A4606E" w:rsidP="00F31DC2">
            <w:pPr>
              <w:pStyle w:val="NoSpacing"/>
              <w:rPr>
                <w:rFonts w:cstheme="minorHAnsi"/>
                <w:sz w:val="20"/>
                <w:szCs w:val="20"/>
              </w:rPr>
            </w:pPr>
            <w:r w:rsidRPr="00923237">
              <w:rPr>
                <w:rFonts w:cstheme="minorHAnsi"/>
                <w:sz w:val="20"/>
                <w:szCs w:val="20"/>
              </w:rPr>
              <w:t>[&lt;0.0001]</w:t>
            </w:r>
          </w:p>
        </w:tc>
        <w:tc>
          <w:tcPr>
            <w:tcW w:w="0" w:type="auto"/>
            <w:hideMark/>
          </w:tcPr>
          <w:p w14:paraId="69A99D53" w14:textId="77777777" w:rsidR="00A4606E" w:rsidRPr="00923237" w:rsidRDefault="00A4606E" w:rsidP="00F31DC2">
            <w:pPr>
              <w:pStyle w:val="NoSpacing"/>
              <w:rPr>
                <w:rFonts w:cstheme="minorHAnsi"/>
                <w:sz w:val="20"/>
                <w:szCs w:val="20"/>
              </w:rPr>
            </w:pPr>
            <w:r w:rsidRPr="00923237">
              <w:rPr>
                <w:rFonts w:cstheme="minorHAnsi"/>
                <w:sz w:val="20"/>
                <w:szCs w:val="20"/>
              </w:rPr>
              <w:t>[0.7965]</w:t>
            </w:r>
          </w:p>
        </w:tc>
        <w:tc>
          <w:tcPr>
            <w:tcW w:w="0" w:type="auto"/>
            <w:hideMark/>
          </w:tcPr>
          <w:p w14:paraId="2B056AAC" w14:textId="77777777" w:rsidR="00A4606E" w:rsidRPr="00923237" w:rsidRDefault="00A4606E" w:rsidP="00F31DC2">
            <w:pPr>
              <w:pStyle w:val="NoSpacing"/>
              <w:rPr>
                <w:rFonts w:cstheme="minorHAnsi"/>
                <w:sz w:val="20"/>
                <w:szCs w:val="20"/>
              </w:rPr>
            </w:pPr>
            <w:r w:rsidRPr="00923237">
              <w:rPr>
                <w:rFonts w:cstheme="minorHAnsi"/>
                <w:sz w:val="20"/>
                <w:szCs w:val="20"/>
              </w:rPr>
              <w:t>[&lt;0.0001]</w:t>
            </w:r>
          </w:p>
        </w:tc>
        <w:tc>
          <w:tcPr>
            <w:tcW w:w="0" w:type="auto"/>
            <w:hideMark/>
          </w:tcPr>
          <w:p w14:paraId="09DA0315" w14:textId="77777777" w:rsidR="00A4606E" w:rsidRPr="00923237" w:rsidRDefault="00A4606E" w:rsidP="00F31DC2">
            <w:pPr>
              <w:pStyle w:val="NoSpacing"/>
              <w:rPr>
                <w:rFonts w:cstheme="minorHAnsi"/>
                <w:sz w:val="20"/>
                <w:szCs w:val="20"/>
              </w:rPr>
            </w:pPr>
            <w:r w:rsidRPr="00923237">
              <w:rPr>
                <w:rFonts w:cstheme="minorHAnsi"/>
                <w:sz w:val="20"/>
                <w:szCs w:val="20"/>
              </w:rPr>
              <w:t>[0.0003]</w:t>
            </w:r>
          </w:p>
        </w:tc>
      </w:tr>
    </w:tbl>
    <w:p w14:paraId="4C24007B" w14:textId="77777777" w:rsidR="00DE24EB" w:rsidRDefault="00DE24EB" w:rsidP="00F31DC2">
      <w:pPr>
        <w:rPr>
          <w:rFonts w:cstheme="minorHAnsi"/>
        </w:rPr>
      </w:pPr>
    </w:p>
    <w:p w14:paraId="37AB4AA3" w14:textId="7D2D4103" w:rsidR="00A4606E" w:rsidRPr="00923237" w:rsidRDefault="006C60C6" w:rsidP="00F31DC2">
      <w:pPr>
        <w:rPr>
          <w:rFonts w:cstheme="minorHAnsi"/>
        </w:rPr>
      </w:pPr>
      <w:hyperlink r:id="rId134" w:anchor="t0030" w:history="1">
        <w:r w:rsidR="00A4606E" w:rsidRPr="00923237">
          <w:rPr>
            <w:rStyle w:val="Hyperlink"/>
            <w:rFonts w:eastAsiaTheme="majorEastAsia" w:cstheme="minorHAnsi"/>
            <w:color w:val="0C7DBB"/>
          </w:rPr>
          <w:t>Table 6</w:t>
        </w:r>
      </w:hyperlink>
      <w:r w:rsidR="00A4606E" w:rsidRPr="00923237">
        <w:rPr>
          <w:rFonts w:cstheme="minorHAnsi"/>
        </w:rPr>
        <w:t>, column 3 shows that after the financial crisis, on average, firms with high pre-crisis leverage are still more levered than those with low pre-crisis leverage; however, the gap between high- and low-levered groups is smaller. Specifically, column 4 suggests that while firms with high pre-crisis leverage reduce their leverage post-crisis, other firms increase their leverage. Specifically, firms in the top quartile of leverage reduce their leverage by approximately 8% post-crisis, while firms in the bottom quartile of leverage increase their leverage by 10% post-crisis. The </w:t>
      </w:r>
      <w:hyperlink r:id="rId135" w:tooltip="Learn more about Difference-In-Differences from ScienceDirect's AI-generated Topic Pages" w:history="1">
        <w:r w:rsidR="00A4606E" w:rsidRPr="00923237">
          <w:rPr>
            <w:rStyle w:val="Hyperlink"/>
            <w:rFonts w:eastAsiaTheme="majorEastAsia" w:cstheme="minorHAnsi"/>
            <w:color w:val="0C7DBB"/>
          </w:rPr>
          <w:t>difference-in-difference</w:t>
        </w:r>
      </w:hyperlink>
      <w:r w:rsidR="00A4606E" w:rsidRPr="00923237">
        <w:rPr>
          <w:rFonts w:cstheme="minorHAnsi"/>
        </w:rPr>
        <w:t> change in leverage between firms in the top and bottom quartiles is 18% and significant at the 1% level.</w:t>
      </w:r>
    </w:p>
    <w:p w14:paraId="415B1AAB" w14:textId="77777777" w:rsidR="00A4606E" w:rsidRPr="00923237" w:rsidRDefault="00A4606E" w:rsidP="00F31DC2">
      <w:pPr>
        <w:rPr>
          <w:rFonts w:cstheme="minorHAnsi"/>
        </w:rPr>
      </w:pPr>
      <w:r w:rsidRPr="00923237">
        <w:rPr>
          <w:rFonts w:cstheme="minorHAnsi"/>
        </w:rPr>
        <w:t xml:space="preserve">In terms of board meetings, column 5 shows that pre-crisis, there is no significant difference in board meetings between the lowest and highest leverage quartiles. However, after the financial crisis, we observe a significant change in board meetings: boards of the higher leverage firms increase their activity whereas boards of the lower leverage firms decrease their activity (column 6). </w:t>
      </w:r>
      <w:proofErr w:type="gramStart"/>
      <w:r w:rsidRPr="00923237">
        <w:rPr>
          <w:rFonts w:cstheme="minorHAnsi"/>
        </w:rPr>
        <w:t>In particular, boards</w:t>
      </w:r>
      <w:proofErr w:type="gramEnd"/>
      <w:r w:rsidRPr="00923237">
        <w:rPr>
          <w:rFonts w:cstheme="minorHAnsi"/>
        </w:rPr>
        <w:t xml:space="preserve"> of the highest leverage group had an average of 0.88 additional meetings per year, while there is a decline of 0.69 meetings per year for boards in the lowest leverage group. The difference-in-difference of 1.68 meetings is significant at the 1% level. In summary, the results in </w:t>
      </w:r>
      <w:hyperlink r:id="rId136" w:anchor="t0030" w:history="1">
        <w:r w:rsidRPr="00923237">
          <w:rPr>
            <w:rStyle w:val="Hyperlink"/>
            <w:rFonts w:eastAsiaTheme="majorEastAsia" w:cstheme="minorHAnsi"/>
            <w:color w:val="0C7DBB"/>
          </w:rPr>
          <w:t>Table 6</w:t>
        </w:r>
      </w:hyperlink>
      <w:r w:rsidRPr="00923237">
        <w:rPr>
          <w:rFonts w:cstheme="minorHAnsi"/>
        </w:rPr>
        <w:t> indicate that boards change their activity and firm leverage after the financial crisis conditioned on the pre-crisis leverage. Moreover, it seems that highly levered firms reduce their leverage significantly after the financial crisis.</w:t>
      </w:r>
    </w:p>
    <w:p w14:paraId="5F1AE896" w14:textId="77777777" w:rsidR="00A4606E" w:rsidRPr="00923237" w:rsidRDefault="00A4606E" w:rsidP="00F31DC2">
      <w:pPr>
        <w:rPr>
          <w:rFonts w:cstheme="minorHAnsi"/>
        </w:rPr>
      </w:pPr>
      <w:r w:rsidRPr="00923237">
        <w:rPr>
          <w:rFonts w:cstheme="minorHAnsi"/>
        </w:rPr>
        <w:t>To further explore the findings in </w:t>
      </w:r>
      <w:hyperlink r:id="rId137" w:anchor="t0030" w:history="1">
        <w:r w:rsidRPr="00923237">
          <w:rPr>
            <w:rStyle w:val="Hyperlink"/>
            <w:rFonts w:eastAsiaTheme="majorEastAsia" w:cstheme="minorHAnsi"/>
            <w:color w:val="0C7DBB"/>
          </w:rPr>
          <w:t>Table 6</w:t>
        </w:r>
      </w:hyperlink>
      <w:r w:rsidRPr="00923237">
        <w:rPr>
          <w:rFonts w:cstheme="minorHAnsi"/>
        </w:rPr>
        <w:t> we turn to a </w:t>
      </w:r>
      <w:hyperlink r:id="rId138" w:tooltip="Learn more about Multivariate Analysis from ScienceDirect's AI-generated Topic Pages" w:history="1">
        <w:r w:rsidRPr="00923237">
          <w:rPr>
            <w:rStyle w:val="Hyperlink"/>
            <w:rFonts w:eastAsiaTheme="majorEastAsia" w:cstheme="minorHAnsi"/>
            <w:color w:val="0C7DBB"/>
          </w:rPr>
          <w:t>multivariate analysis</w:t>
        </w:r>
      </w:hyperlink>
      <w:r w:rsidRPr="00923237">
        <w:rPr>
          <w:rFonts w:cstheme="minorHAnsi"/>
        </w:rPr>
        <w:t>. Our dependent variable is </w:t>
      </w:r>
      <w:r w:rsidRPr="00923237">
        <w:rPr>
          <w:rStyle w:val="Emphasis"/>
          <w:rFonts w:eastAsiaTheme="majorEastAsia" w:cstheme="minorHAnsi"/>
          <w:color w:val="2E2E2E"/>
        </w:rPr>
        <w:t>Change in Leverage</w:t>
      </w:r>
      <w:r w:rsidRPr="00923237">
        <w:rPr>
          <w:rFonts w:cstheme="minorHAnsi"/>
        </w:rPr>
        <w:t> which, again, is measured as the difference between the current leverage and pre-crisis leverage (i.e. leverage as of 2006). The explanatory variables include </w:t>
      </w:r>
      <w:r w:rsidRPr="00923237">
        <w:rPr>
          <w:rStyle w:val="Emphasis"/>
          <w:rFonts w:eastAsiaTheme="majorEastAsia" w:cstheme="minorHAnsi"/>
          <w:color w:val="2E2E2E"/>
        </w:rPr>
        <w:t>Abnormal Board Meetings</w:t>
      </w:r>
      <w:r w:rsidRPr="00923237">
        <w:rPr>
          <w:rFonts w:cstheme="minorHAnsi"/>
        </w:rPr>
        <w:t>, </w:t>
      </w:r>
      <w:r w:rsidRPr="00923237">
        <w:rPr>
          <w:rStyle w:val="Emphasis"/>
          <w:rFonts w:eastAsiaTheme="majorEastAsia" w:cstheme="minorHAnsi"/>
          <w:color w:val="2E2E2E"/>
        </w:rPr>
        <w:t>Experience</w:t>
      </w:r>
      <w:r w:rsidRPr="00923237">
        <w:rPr>
          <w:rFonts w:cstheme="minorHAnsi"/>
        </w:rPr>
        <w:t>-</w:t>
      </w:r>
      <w:r w:rsidRPr="00923237">
        <w:rPr>
          <w:rStyle w:val="Emphasis"/>
          <w:rFonts w:eastAsiaTheme="majorEastAsia" w:cstheme="minorHAnsi"/>
          <w:color w:val="2E2E2E"/>
        </w:rPr>
        <w:t>weighted Abnormal Board Meetings</w:t>
      </w:r>
      <w:r w:rsidRPr="00923237">
        <w:rPr>
          <w:rFonts w:cstheme="minorHAnsi"/>
        </w:rPr>
        <w:t>, </w:t>
      </w:r>
      <w:r w:rsidRPr="00923237">
        <w:rPr>
          <w:rStyle w:val="Emphasis"/>
          <w:rFonts w:eastAsiaTheme="majorEastAsia" w:cstheme="minorHAnsi"/>
          <w:color w:val="2E2E2E"/>
        </w:rPr>
        <w:t>RE Experience</w:t>
      </w:r>
      <w:r w:rsidRPr="00923237">
        <w:rPr>
          <w:rFonts w:cstheme="minorHAnsi"/>
        </w:rPr>
        <w:t>-</w:t>
      </w:r>
      <w:r w:rsidRPr="00923237">
        <w:rPr>
          <w:rStyle w:val="Emphasis"/>
          <w:rFonts w:eastAsiaTheme="majorEastAsia" w:cstheme="minorHAnsi"/>
          <w:color w:val="2E2E2E"/>
        </w:rPr>
        <w:t>weighted Abnormal Board Meetings</w:t>
      </w:r>
      <w:r w:rsidRPr="00923237">
        <w:rPr>
          <w:rFonts w:cstheme="minorHAnsi"/>
        </w:rPr>
        <w:t>, </w:t>
      </w:r>
      <w:r w:rsidRPr="00923237">
        <w:rPr>
          <w:rStyle w:val="Emphasis"/>
          <w:rFonts w:eastAsiaTheme="majorEastAsia" w:cstheme="minorHAnsi"/>
          <w:color w:val="2E2E2E"/>
        </w:rPr>
        <w:t>FIN Experience</w:t>
      </w:r>
      <w:r w:rsidRPr="00923237">
        <w:rPr>
          <w:rFonts w:cstheme="minorHAnsi"/>
        </w:rPr>
        <w:t>-</w:t>
      </w:r>
      <w:r w:rsidRPr="00923237">
        <w:rPr>
          <w:rStyle w:val="Emphasis"/>
          <w:rFonts w:eastAsiaTheme="majorEastAsia" w:cstheme="minorHAnsi"/>
          <w:color w:val="2E2E2E"/>
        </w:rPr>
        <w:t>weighted Abnormal Board Meetings</w:t>
      </w:r>
      <w:r w:rsidRPr="00923237">
        <w:rPr>
          <w:rFonts w:cstheme="minorHAnsi"/>
        </w:rPr>
        <w:t>, cumulative stock return during the financial crisis (</w:t>
      </w:r>
      <w:r w:rsidRPr="00923237">
        <w:rPr>
          <w:rStyle w:val="Emphasis"/>
          <w:rFonts w:eastAsiaTheme="majorEastAsia" w:cstheme="minorHAnsi"/>
          <w:color w:val="2E2E2E"/>
        </w:rPr>
        <w:t>Cumulative Return 2007</w:t>
      </w:r>
      <w:r w:rsidRPr="00923237">
        <w:rPr>
          <w:rFonts w:cstheme="minorHAnsi"/>
        </w:rPr>
        <w:t>–</w:t>
      </w:r>
      <w:r w:rsidRPr="00923237">
        <w:rPr>
          <w:rStyle w:val="Emphasis"/>
          <w:rFonts w:eastAsiaTheme="majorEastAsia" w:cstheme="minorHAnsi"/>
          <w:color w:val="2E2E2E"/>
        </w:rPr>
        <w:t>2009</w:t>
      </w:r>
      <w:r w:rsidRPr="00923237">
        <w:rPr>
          <w:rFonts w:cstheme="minorHAnsi"/>
        </w:rPr>
        <w:t>), and other accounting variables as before. In addition, in Models 6–8, we include an indicator variable </w:t>
      </w:r>
      <w:r w:rsidRPr="00923237">
        <w:rPr>
          <w:rStyle w:val="Emphasis"/>
          <w:rFonts w:eastAsiaTheme="majorEastAsia" w:cstheme="minorHAnsi"/>
          <w:color w:val="2E2E2E"/>
        </w:rPr>
        <w:t>Negative Leverage</w:t>
      </w:r>
      <w:r w:rsidRPr="00923237">
        <w:rPr>
          <w:rFonts w:cstheme="minorHAnsi"/>
        </w:rPr>
        <w:t> which takes a value of one if in 2006 the firm's return (EBITDA / (Equity Market Capitalization + Book Value of Debt)) is less than its average cost of debt, and zero otherwise. Except for </w:t>
      </w:r>
      <w:r w:rsidRPr="00923237">
        <w:rPr>
          <w:rStyle w:val="Emphasis"/>
          <w:rFonts w:eastAsiaTheme="majorEastAsia" w:cstheme="minorHAnsi"/>
          <w:color w:val="2E2E2E"/>
        </w:rPr>
        <w:t>Cumulative Return 2007</w:t>
      </w:r>
      <w:r w:rsidRPr="00923237">
        <w:rPr>
          <w:rFonts w:cstheme="minorHAnsi"/>
        </w:rPr>
        <w:t>–</w:t>
      </w:r>
      <w:r w:rsidRPr="00923237">
        <w:rPr>
          <w:rStyle w:val="Emphasis"/>
          <w:rFonts w:eastAsiaTheme="majorEastAsia" w:cstheme="minorHAnsi"/>
          <w:color w:val="2E2E2E"/>
        </w:rPr>
        <w:t>2009</w:t>
      </w:r>
      <w:r w:rsidRPr="00923237">
        <w:rPr>
          <w:rFonts w:cstheme="minorHAnsi"/>
        </w:rPr>
        <w:t> and </w:t>
      </w:r>
      <w:r w:rsidRPr="00923237">
        <w:rPr>
          <w:rStyle w:val="Emphasis"/>
          <w:rFonts w:eastAsiaTheme="majorEastAsia" w:cstheme="minorHAnsi"/>
          <w:color w:val="2E2E2E"/>
        </w:rPr>
        <w:t>Negative Leverage</w:t>
      </w:r>
      <w:r w:rsidRPr="00923237">
        <w:rPr>
          <w:rFonts w:cstheme="minorHAnsi"/>
        </w:rPr>
        <w:t>, other variables are lagged one year. The results are reported in </w:t>
      </w:r>
      <w:bookmarkStart w:id="81" w:name="bt0035"/>
      <w:r w:rsidRPr="00923237">
        <w:rPr>
          <w:rFonts w:cstheme="minorHAnsi"/>
        </w:rPr>
        <w:fldChar w:fldCharType="begin"/>
      </w:r>
      <w:r w:rsidRPr="00923237">
        <w:rPr>
          <w:rFonts w:cstheme="minorHAnsi"/>
        </w:rPr>
        <w:instrText xml:space="preserve"> HYPERLINK "https://0-www-sciencedirect-com.libus.csd.mu.edu/science/article/pii/S0929119917307344" \l "t0035" </w:instrText>
      </w:r>
      <w:r w:rsidRPr="00923237">
        <w:rPr>
          <w:rFonts w:cstheme="minorHAnsi"/>
        </w:rPr>
        <w:fldChar w:fldCharType="separate"/>
      </w:r>
      <w:r w:rsidRPr="00923237">
        <w:rPr>
          <w:rStyle w:val="Hyperlink"/>
          <w:rFonts w:eastAsiaTheme="majorEastAsia" w:cstheme="minorHAnsi"/>
          <w:color w:val="0C7DBB"/>
        </w:rPr>
        <w:t>Table 7</w:t>
      </w:r>
      <w:r w:rsidRPr="00923237">
        <w:rPr>
          <w:rFonts w:cstheme="minorHAnsi"/>
        </w:rPr>
        <w:fldChar w:fldCharType="end"/>
      </w:r>
      <w:r w:rsidRPr="00923237">
        <w:rPr>
          <w:rFonts w:cstheme="minorHAnsi"/>
        </w:rPr>
        <w:t>. Models 1–6 are for the full sample. Model 7 is for REITs in the highest pre-crisis leverage quartile, and Model 8 for REITs in the lowest pre-crisis leverage quartile.</w:t>
      </w:r>
    </w:p>
    <w:p w14:paraId="743741EC" w14:textId="77777777" w:rsidR="00F727E1" w:rsidRPr="00923237" w:rsidRDefault="00F727E1">
      <w:pPr>
        <w:rPr>
          <w:rStyle w:val="label"/>
          <w:rFonts w:cstheme="minorHAnsi"/>
          <w:color w:val="323232"/>
          <w:sz w:val="21"/>
          <w:szCs w:val="21"/>
        </w:rPr>
      </w:pPr>
      <w:r w:rsidRPr="00923237">
        <w:rPr>
          <w:rStyle w:val="label"/>
          <w:rFonts w:cstheme="minorHAnsi"/>
          <w:color w:val="323232"/>
          <w:sz w:val="21"/>
          <w:szCs w:val="21"/>
        </w:rPr>
        <w:br w:type="page"/>
      </w:r>
    </w:p>
    <w:p w14:paraId="3051D925" w14:textId="77777777" w:rsidR="00F727E1" w:rsidRPr="00923237" w:rsidRDefault="00F727E1" w:rsidP="00F31DC2">
      <w:pPr>
        <w:rPr>
          <w:rStyle w:val="label"/>
          <w:rFonts w:cstheme="minorHAnsi"/>
          <w:color w:val="323232"/>
          <w:sz w:val="21"/>
          <w:szCs w:val="21"/>
        </w:rPr>
        <w:sectPr w:rsidR="00F727E1" w:rsidRPr="00923237" w:rsidSect="006F5E3B">
          <w:pgSz w:w="12240" w:h="15840"/>
          <w:pgMar w:top="1080" w:right="1080" w:bottom="1080" w:left="1080" w:header="720" w:footer="720" w:gutter="0"/>
          <w:cols w:space="720"/>
          <w:docGrid w:linePitch="360"/>
        </w:sectPr>
      </w:pPr>
    </w:p>
    <w:p w14:paraId="7ED468A2" w14:textId="06E8E97B" w:rsidR="00F31DC2" w:rsidRPr="00923237" w:rsidRDefault="00A4606E" w:rsidP="00F31DC2">
      <w:pPr>
        <w:rPr>
          <w:rFonts w:cstheme="minorHAnsi"/>
          <w:color w:val="323232"/>
        </w:rPr>
      </w:pPr>
      <w:r w:rsidRPr="00923237">
        <w:rPr>
          <w:rStyle w:val="label"/>
          <w:rFonts w:cstheme="minorHAnsi"/>
          <w:color w:val="323232"/>
          <w:sz w:val="21"/>
          <w:szCs w:val="21"/>
        </w:rPr>
        <w:t>Table 7</w:t>
      </w:r>
      <w:r w:rsidRPr="00923237">
        <w:rPr>
          <w:rFonts w:cstheme="minorHAnsi"/>
          <w:color w:val="323232"/>
        </w:rPr>
        <w:t>. Board activity and </w:t>
      </w:r>
      <w:hyperlink r:id="rId139" w:tooltip="Learn more about Leverage from ScienceDirect's AI-generated Topic Pages" w:history="1">
        <w:r w:rsidRPr="00923237">
          <w:rPr>
            <w:rStyle w:val="Hyperlink"/>
            <w:rFonts w:eastAsiaTheme="majorEastAsia" w:cstheme="minorHAnsi"/>
            <w:color w:val="0C7DBB"/>
          </w:rPr>
          <w:t>leverage</w:t>
        </w:r>
      </w:hyperlink>
      <w:r w:rsidRPr="00923237">
        <w:rPr>
          <w:rFonts w:cstheme="minorHAnsi"/>
          <w:color w:val="323232"/>
        </w:rPr>
        <w:t> post-crisis.</w:t>
      </w:r>
    </w:p>
    <w:p w14:paraId="5A55D1F1" w14:textId="77777777" w:rsidR="00A4606E" w:rsidRPr="00923237" w:rsidRDefault="00A4606E" w:rsidP="00F31DC2">
      <w:pPr>
        <w:ind w:left="720"/>
        <w:rPr>
          <w:rFonts w:cstheme="minorHAnsi"/>
          <w:color w:val="323232"/>
        </w:rPr>
      </w:pPr>
      <w:r w:rsidRPr="00923237">
        <w:rPr>
          <w:rFonts w:cstheme="minorHAnsi"/>
          <w:color w:val="323232"/>
        </w:rPr>
        <w:t>This table models the change in leverage from 2009 to 2016. The dependent variable is </w:t>
      </w:r>
      <w:r w:rsidRPr="00923237">
        <w:rPr>
          <w:rStyle w:val="Emphasis"/>
          <w:rFonts w:eastAsiaTheme="majorEastAsia" w:cstheme="minorHAnsi"/>
          <w:color w:val="323232"/>
        </w:rPr>
        <w:t>Change in Leverage</w:t>
      </w:r>
      <w:r w:rsidRPr="00923237">
        <w:rPr>
          <w:rFonts w:cstheme="minorHAnsi"/>
          <w:color w:val="323232"/>
        </w:rPr>
        <w:t> which is measured as the difference between market leverage at the end of a fiscal year between 2009 and 2016 and the 2006 market leverage. </w:t>
      </w:r>
      <w:r w:rsidRPr="00923237">
        <w:rPr>
          <w:rStyle w:val="Emphasis"/>
          <w:rFonts w:eastAsiaTheme="majorEastAsia" w:cstheme="minorHAnsi"/>
          <w:color w:val="323232"/>
        </w:rPr>
        <w:t>Abnormal Board Meetings</w:t>
      </w:r>
      <w:r w:rsidRPr="00923237">
        <w:rPr>
          <w:rFonts w:cstheme="minorHAnsi"/>
          <w:color w:val="323232"/>
        </w:rPr>
        <w:t> is measured as the difference between the number of board meetings in a particular year and the average number of board meetings from 2003 to 2006 (i.e. the pre-crisis period). </w:t>
      </w:r>
      <w:r w:rsidRPr="00923237">
        <w:rPr>
          <w:rStyle w:val="Emphasis"/>
          <w:rFonts w:eastAsiaTheme="majorEastAsia" w:cstheme="minorHAnsi"/>
          <w:color w:val="323232"/>
        </w:rPr>
        <w:t>Exp</w:t>
      </w:r>
      <w:r w:rsidRPr="00923237">
        <w:rPr>
          <w:rFonts w:cstheme="minorHAnsi"/>
          <w:color w:val="323232"/>
        </w:rPr>
        <w:t>. </w:t>
      </w:r>
      <w:r w:rsidRPr="00923237">
        <w:rPr>
          <w:rStyle w:val="Emphasis"/>
          <w:rFonts w:eastAsiaTheme="majorEastAsia" w:cstheme="minorHAnsi"/>
          <w:color w:val="323232"/>
        </w:rPr>
        <w:t>Weighted Abnormal Board Meetings</w:t>
      </w:r>
      <w:r w:rsidRPr="00923237">
        <w:rPr>
          <w:rFonts w:cstheme="minorHAnsi"/>
          <w:color w:val="323232"/>
        </w:rPr>
        <w:t>, </w:t>
      </w:r>
      <w:r w:rsidRPr="00923237">
        <w:rPr>
          <w:rStyle w:val="Emphasis"/>
          <w:rFonts w:eastAsiaTheme="majorEastAsia" w:cstheme="minorHAnsi"/>
          <w:color w:val="323232"/>
        </w:rPr>
        <w:t>RE Exp</w:t>
      </w:r>
      <w:r w:rsidRPr="00923237">
        <w:rPr>
          <w:rFonts w:cstheme="minorHAnsi"/>
          <w:color w:val="323232"/>
        </w:rPr>
        <w:t>. </w:t>
      </w:r>
      <w:r w:rsidRPr="00923237">
        <w:rPr>
          <w:rStyle w:val="Emphasis"/>
          <w:rFonts w:eastAsiaTheme="majorEastAsia" w:cstheme="minorHAnsi"/>
          <w:color w:val="323232"/>
        </w:rPr>
        <w:t>Weighted Abnormal Board Meetings</w:t>
      </w:r>
      <w:r w:rsidRPr="00923237">
        <w:rPr>
          <w:rFonts w:cstheme="minorHAnsi"/>
          <w:color w:val="323232"/>
        </w:rPr>
        <w:t>, and </w:t>
      </w:r>
      <w:r w:rsidRPr="00923237">
        <w:rPr>
          <w:rStyle w:val="Emphasis"/>
          <w:rFonts w:eastAsiaTheme="majorEastAsia" w:cstheme="minorHAnsi"/>
          <w:color w:val="323232"/>
        </w:rPr>
        <w:t>FIN Exp</w:t>
      </w:r>
      <w:r w:rsidRPr="00923237">
        <w:rPr>
          <w:rFonts w:cstheme="minorHAnsi"/>
          <w:color w:val="323232"/>
        </w:rPr>
        <w:t>. </w:t>
      </w:r>
      <w:r w:rsidRPr="00923237">
        <w:rPr>
          <w:rStyle w:val="Emphasis"/>
          <w:rFonts w:eastAsiaTheme="majorEastAsia" w:cstheme="minorHAnsi"/>
          <w:color w:val="323232"/>
        </w:rPr>
        <w:t>Weighted Abnormal Board Meetings</w:t>
      </w:r>
      <w:r w:rsidRPr="00923237">
        <w:rPr>
          <w:rFonts w:cstheme="minorHAnsi"/>
          <w:color w:val="323232"/>
        </w:rPr>
        <w:t> are calculated as the product of </w:t>
      </w:r>
      <w:r w:rsidRPr="00923237">
        <w:rPr>
          <w:rStyle w:val="Emphasis"/>
          <w:rFonts w:eastAsiaTheme="majorEastAsia" w:cstheme="minorHAnsi"/>
          <w:color w:val="323232"/>
        </w:rPr>
        <w:t>Abnormal Board Meetings</w:t>
      </w:r>
      <w:r w:rsidRPr="00923237">
        <w:rPr>
          <w:rFonts w:cstheme="minorHAnsi"/>
          <w:color w:val="323232"/>
        </w:rPr>
        <w:t> and </w:t>
      </w:r>
      <w:r w:rsidRPr="00923237">
        <w:rPr>
          <w:rStyle w:val="Emphasis"/>
          <w:rFonts w:eastAsiaTheme="majorEastAsia" w:cstheme="minorHAnsi"/>
          <w:color w:val="323232"/>
        </w:rPr>
        <w:t>FIN</w:t>
      </w:r>
      <w:r w:rsidRPr="00923237">
        <w:rPr>
          <w:rFonts w:cstheme="minorHAnsi"/>
          <w:color w:val="323232"/>
        </w:rPr>
        <w:t>&amp;</w:t>
      </w:r>
      <w:r w:rsidRPr="00923237">
        <w:rPr>
          <w:rStyle w:val="Emphasis"/>
          <w:rFonts w:eastAsiaTheme="majorEastAsia" w:cstheme="minorHAnsi"/>
          <w:color w:val="323232"/>
        </w:rPr>
        <w:t>RE Experience</w:t>
      </w:r>
      <w:r w:rsidRPr="00923237">
        <w:rPr>
          <w:rFonts w:cstheme="minorHAnsi"/>
          <w:color w:val="323232"/>
        </w:rPr>
        <w:t>, </w:t>
      </w:r>
      <w:r w:rsidRPr="00923237">
        <w:rPr>
          <w:rStyle w:val="Emphasis"/>
          <w:rFonts w:eastAsiaTheme="majorEastAsia" w:cstheme="minorHAnsi"/>
          <w:color w:val="323232"/>
        </w:rPr>
        <w:t>RE Experience</w:t>
      </w:r>
      <w:r w:rsidRPr="00923237">
        <w:rPr>
          <w:rFonts w:cstheme="minorHAnsi"/>
          <w:color w:val="323232"/>
        </w:rPr>
        <w:t>, and </w:t>
      </w:r>
      <w:r w:rsidRPr="00923237">
        <w:rPr>
          <w:rStyle w:val="Emphasis"/>
          <w:rFonts w:eastAsiaTheme="majorEastAsia" w:cstheme="minorHAnsi"/>
          <w:color w:val="323232"/>
        </w:rPr>
        <w:t>FIN Experience</w:t>
      </w:r>
      <w:r w:rsidRPr="00923237">
        <w:rPr>
          <w:rFonts w:cstheme="minorHAnsi"/>
          <w:color w:val="323232"/>
        </w:rPr>
        <w:t>, respectively. </w:t>
      </w:r>
      <w:r w:rsidRPr="00923237">
        <w:rPr>
          <w:rStyle w:val="Emphasis"/>
          <w:rFonts w:eastAsiaTheme="majorEastAsia" w:cstheme="minorHAnsi"/>
          <w:color w:val="323232"/>
        </w:rPr>
        <w:t>Negative Leverage</w:t>
      </w:r>
      <w:r w:rsidRPr="00923237">
        <w:rPr>
          <w:rFonts w:cstheme="minorHAnsi"/>
          <w:color w:val="323232"/>
        </w:rPr>
        <w:t> is an indicator variable that takes a value of one if the firm's return calculated as EBITA / (Equity Market Capitalization + Book Value of Debt) is less than its weighted average cost of debt (see </w:t>
      </w:r>
      <w:hyperlink r:id="rId140" w:anchor="s0055" w:history="1">
        <w:r w:rsidRPr="00923237">
          <w:rPr>
            <w:rStyle w:val="Hyperlink"/>
            <w:rFonts w:eastAsiaTheme="majorEastAsia" w:cstheme="minorHAnsi"/>
            <w:color w:val="0C7DBB"/>
          </w:rPr>
          <w:t>Appendix 2</w:t>
        </w:r>
      </w:hyperlink>
      <w:r w:rsidRPr="00923237">
        <w:rPr>
          <w:rFonts w:cstheme="minorHAnsi"/>
          <w:color w:val="323232"/>
        </w:rPr>
        <w:t> for other variable definitions). Explanatory variables are measured at the end of the previous year and are standardized at the mean and have unit variance. Models 1–6 report the results from the full sample while Models 7 (Model 8) report the results from sub-samples of firms for which the 2006 leverage is in the top (bottom) quartile. P-values are reported in brackets. *, **, and *** denote significance at the 10%, 5%, and 1% levels, respectively, in two-tailed tests.</w:t>
      </w:r>
    </w:p>
    <w:tbl>
      <w:tblPr>
        <w:tblStyle w:val="TableGrid"/>
        <w:tblW w:w="5000" w:type="pct"/>
        <w:tblLook w:val="04A0" w:firstRow="1" w:lastRow="0" w:firstColumn="1" w:lastColumn="0" w:noHBand="0" w:noVBand="1"/>
      </w:tblPr>
      <w:tblGrid>
        <w:gridCol w:w="3585"/>
        <w:gridCol w:w="1274"/>
        <w:gridCol w:w="1274"/>
        <w:gridCol w:w="1274"/>
        <w:gridCol w:w="1274"/>
        <w:gridCol w:w="1274"/>
        <w:gridCol w:w="1274"/>
        <w:gridCol w:w="1167"/>
        <w:gridCol w:w="1274"/>
      </w:tblGrid>
      <w:tr w:rsidR="00A4606E" w:rsidRPr="00923237" w14:paraId="67C33C32" w14:textId="77777777" w:rsidTr="00F727E1">
        <w:tc>
          <w:tcPr>
            <w:tcW w:w="1311" w:type="pct"/>
            <w:hideMark/>
          </w:tcPr>
          <w:p w14:paraId="2963EE48" w14:textId="77777777" w:rsidR="00A4606E" w:rsidRPr="00923237" w:rsidRDefault="00A4606E" w:rsidP="00F31DC2">
            <w:pPr>
              <w:pStyle w:val="NoSpacing"/>
              <w:rPr>
                <w:rFonts w:cstheme="minorHAnsi"/>
                <w:sz w:val="20"/>
                <w:szCs w:val="20"/>
              </w:rPr>
            </w:pPr>
            <w:r w:rsidRPr="00923237">
              <w:rPr>
                <w:rFonts w:cstheme="minorHAnsi"/>
                <w:sz w:val="20"/>
                <w:szCs w:val="20"/>
              </w:rPr>
              <w:t>Variable</w:t>
            </w:r>
          </w:p>
        </w:tc>
        <w:tc>
          <w:tcPr>
            <w:tcW w:w="466" w:type="pct"/>
            <w:hideMark/>
          </w:tcPr>
          <w:p w14:paraId="79B910ED" w14:textId="77777777" w:rsidR="00A4606E" w:rsidRPr="00923237" w:rsidRDefault="00A4606E" w:rsidP="00F31DC2">
            <w:pPr>
              <w:pStyle w:val="NoSpacing"/>
              <w:rPr>
                <w:rFonts w:cstheme="minorHAnsi"/>
                <w:sz w:val="20"/>
                <w:szCs w:val="20"/>
              </w:rPr>
            </w:pPr>
            <w:r w:rsidRPr="00923237">
              <w:rPr>
                <w:rFonts w:cstheme="minorHAnsi"/>
                <w:sz w:val="20"/>
                <w:szCs w:val="20"/>
              </w:rPr>
              <w:t>Model 1</w:t>
            </w:r>
          </w:p>
        </w:tc>
        <w:tc>
          <w:tcPr>
            <w:tcW w:w="466" w:type="pct"/>
            <w:hideMark/>
          </w:tcPr>
          <w:p w14:paraId="4BCB4CF5" w14:textId="77777777" w:rsidR="00A4606E" w:rsidRPr="00923237" w:rsidRDefault="00A4606E" w:rsidP="00F31DC2">
            <w:pPr>
              <w:pStyle w:val="NoSpacing"/>
              <w:rPr>
                <w:rFonts w:cstheme="minorHAnsi"/>
                <w:sz w:val="20"/>
                <w:szCs w:val="20"/>
              </w:rPr>
            </w:pPr>
            <w:r w:rsidRPr="00923237">
              <w:rPr>
                <w:rFonts w:cstheme="minorHAnsi"/>
                <w:sz w:val="20"/>
                <w:szCs w:val="20"/>
              </w:rPr>
              <w:t>Model 2</w:t>
            </w:r>
          </w:p>
        </w:tc>
        <w:tc>
          <w:tcPr>
            <w:tcW w:w="466" w:type="pct"/>
            <w:hideMark/>
          </w:tcPr>
          <w:p w14:paraId="51542C65" w14:textId="77777777" w:rsidR="00A4606E" w:rsidRPr="00923237" w:rsidRDefault="00A4606E" w:rsidP="00F31DC2">
            <w:pPr>
              <w:pStyle w:val="NoSpacing"/>
              <w:rPr>
                <w:rFonts w:cstheme="minorHAnsi"/>
                <w:sz w:val="20"/>
                <w:szCs w:val="20"/>
              </w:rPr>
            </w:pPr>
            <w:r w:rsidRPr="00923237">
              <w:rPr>
                <w:rFonts w:cstheme="minorHAnsi"/>
                <w:sz w:val="20"/>
                <w:szCs w:val="20"/>
              </w:rPr>
              <w:t>Model 3</w:t>
            </w:r>
          </w:p>
        </w:tc>
        <w:tc>
          <w:tcPr>
            <w:tcW w:w="466" w:type="pct"/>
            <w:hideMark/>
          </w:tcPr>
          <w:p w14:paraId="2537ECEB" w14:textId="77777777" w:rsidR="00A4606E" w:rsidRPr="00923237" w:rsidRDefault="00A4606E" w:rsidP="00F31DC2">
            <w:pPr>
              <w:pStyle w:val="NoSpacing"/>
              <w:rPr>
                <w:rFonts w:cstheme="minorHAnsi"/>
                <w:sz w:val="20"/>
                <w:szCs w:val="20"/>
              </w:rPr>
            </w:pPr>
            <w:r w:rsidRPr="00923237">
              <w:rPr>
                <w:rFonts w:cstheme="minorHAnsi"/>
                <w:sz w:val="20"/>
                <w:szCs w:val="20"/>
              </w:rPr>
              <w:t>Model 4</w:t>
            </w:r>
          </w:p>
        </w:tc>
        <w:tc>
          <w:tcPr>
            <w:tcW w:w="466" w:type="pct"/>
            <w:hideMark/>
          </w:tcPr>
          <w:p w14:paraId="6D88BF1F" w14:textId="77777777" w:rsidR="00A4606E" w:rsidRPr="00923237" w:rsidRDefault="00A4606E" w:rsidP="00F31DC2">
            <w:pPr>
              <w:pStyle w:val="NoSpacing"/>
              <w:rPr>
                <w:rFonts w:cstheme="minorHAnsi"/>
                <w:sz w:val="20"/>
                <w:szCs w:val="20"/>
              </w:rPr>
            </w:pPr>
            <w:r w:rsidRPr="00923237">
              <w:rPr>
                <w:rFonts w:cstheme="minorHAnsi"/>
                <w:sz w:val="20"/>
                <w:szCs w:val="20"/>
              </w:rPr>
              <w:t>Model 5</w:t>
            </w:r>
          </w:p>
        </w:tc>
        <w:tc>
          <w:tcPr>
            <w:tcW w:w="466" w:type="pct"/>
            <w:hideMark/>
          </w:tcPr>
          <w:p w14:paraId="3218FA9A" w14:textId="77777777" w:rsidR="00A4606E" w:rsidRPr="00923237" w:rsidRDefault="00A4606E" w:rsidP="00F31DC2">
            <w:pPr>
              <w:pStyle w:val="NoSpacing"/>
              <w:rPr>
                <w:rFonts w:cstheme="minorHAnsi"/>
                <w:sz w:val="20"/>
                <w:szCs w:val="20"/>
              </w:rPr>
            </w:pPr>
            <w:r w:rsidRPr="00923237">
              <w:rPr>
                <w:rFonts w:cstheme="minorHAnsi"/>
                <w:sz w:val="20"/>
                <w:szCs w:val="20"/>
              </w:rPr>
              <w:t>Model 6</w:t>
            </w:r>
          </w:p>
        </w:tc>
        <w:tc>
          <w:tcPr>
            <w:tcW w:w="427" w:type="pct"/>
            <w:hideMark/>
          </w:tcPr>
          <w:p w14:paraId="0352C6FB" w14:textId="77777777" w:rsidR="00A4606E" w:rsidRPr="00923237" w:rsidRDefault="00A4606E" w:rsidP="00F31DC2">
            <w:pPr>
              <w:pStyle w:val="NoSpacing"/>
              <w:rPr>
                <w:rFonts w:cstheme="minorHAnsi"/>
                <w:sz w:val="20"/>
                <w:szCs w:val="20"/>
              </w:rPr>
            </w:pPr>
            <w:r w:rsidRPr="00923237">
              <w:rPr>
                <w:rFonts w:cstheme="minorHAnsi"/>
                <w:sz w:val="20"/>
                <w:szCs w:val="20"/>
              </w:rPr>
              <w:t>Model 7</w:t>
            </w:r>
          </w:p>
        </w:tc>
        <w:tc>
          <w:tcPr>
            <w:tcW w:w="466" w:type="pct"/>
            <w:hideMark/>
          </w:tcPr>
          <w:p w14:paraId="19A84747" w14:textId="77777777" w:rsidR="00A4606E" w:rsidRPr="00923237" w:rsidRDefault="00A4606E" w:rsidP="00F31DC2">
            <w:pPr>
              <w:pStyle w:val="NoSpacing"/>
              <w:rPr>
                <w:rFonts w:cstheme="minorHAnsi"/>
                <w:sz w:val="20"/>
                <w:szCs w:val="20"/>
              </w:rPr>
            </w:pPr>
            <w:r w:rsidRPr="00923237">
              <w:rPr>
                <w:rFonts w:cstheme="minorHAnsi"/>
                <w:sz w:val="20"/>
                <w:szCs w:val="20"/>
              </w:rPr>
              <w:t>Model 8</w:t>
            </w:r>
          </w:p>
        </w:tc>
      </w:tr>
      <w:tr w:rsidR="00B666C8" w:rsidRPr="00923237" w14:paraId="4D285A36" w14:textId="77777777" w:rsidTr="00F727E1">
        <w:tc>
          <w:tcPr>
            <w:tcW w:w="1311" w:type="pct"/>
            <w:hideMark/>
          </w:tcPr>
          <w:p w14:paraId="47E92CFF" w14:textId="77777777" w:rsidR="00B666C8" w:rsidRPr="00923237" w:rsidRDefault="00B666C8" w:rsidP="00F31DC2">
            <w:pPr>
              <w:pStyle w:val="NoSpacing"/>
              <w:rPr>
                <w:rFonts w:cstheme="minorHAnsi"/>
                <w:sz w:val="20"/>
                <w:szCs w:val="20"/>
              </w:rPr>
            </w:pPr>
            <w:r w:rsidRPr="00923237">
              <w:rPr>
                <w:rFonts w:cstheme="minorHAnsi"/>
                <w:sz w:val="20"/>
                <w:szCs w:val="20"/>
              </w:rPr>
              <w:t>Intercept</w:t>
            </w:r>
          </w:p>
        </w:tc>
        <w:tc>
          <w:tcPr>
            <w:tcW w:w="466" w:type="pct"/>
            <w:hideMark/>
          </w:tcPr>
          <w:p w14:paraId="576FFC84" w14:textId="77777777" w:rsidR="00B666C8" w:rsidRPr="00923237" w:rsidRDefault="00B666C8" w:rsidP="00F31DC2">
            <w:pPr>
              <w:pStyle w:val="NoSpacing"/>
              <w:rPr>
                <w:rFonts w:cstheme="minorHAnsi"/>
                <w:sz w:val="20"/>
                <w:szCs w:val="20"/>
              </w:rPr>
            </w:pPr>
            <w:r w:rsidRPr="00923237">
              <w:rPr>
                <w:rFonts w:cstheme="minorHAnsi"/>
                <w:sz w:val="20"/>
                <w:szCs w:val="20"/>
              </w:rPr>
              <w:t>0.0332*</w:t>
            </w:r>
          </w:p>
        </w:tc>
        <w:tc>
          <w:tcPr>
            <w:tcW w:w="466" w:type="pct"/>
            <w:hideMark/>
          </w:tcPr>
          <w:p w14:paraId="7E373189" w14:textId="77777777" w:rsidR="00B666C8" w:rsidRPr="00923237" w:rsidRDefault="00B666C8" w:rsidP="00F31DC2">
            <w:pPr>
              <w:pStyle w:val="NoSpacing"/>
              <w:rPr>
                <w:rFonts w:cstheme="minorHAnsi"/>
                <w:sz w:val="20"/>
                <w:szCs w:val="20"/>
              </w:rPr>
            </w:pPr>
            <w:r w:rsidRPr="00923237">
              <w:rPr>
                <w:rFonts w:cstheme="minorHAnsi"/>
                <w:sz w:val="20"/>
                <w:szCs w:val="20"/>
              </w:rPr>
              <w:t>0.0477**</w:t>
            </w:r>
          </w:p>
        </w:tc>
        <w:tc>
          <w:tcPr>
            <w:tcW w:w="466" w:type="pct"/>
            <w:hideMark/>
          </w:tcPr>
          <w:p w14:paraId="26744FF4" w14:textId="77777777" w:rsidR="00B666C8" w:rsidRPr="00923237" w:rsidRDefault="00B666C8" w:rsidP="00F31DC2">
            <w:pPr>
              <w:pStyle w:val="NoSpacing"/>
              <w:rPr>
                <w:rFonts w:cstheme="minorHAnsi"/>
                <w:sz w:val="20"/>
                <w:szCs w:val="20"/>
              </w:rPr>
            </w:pPr>
            <w:r w:rsidRPr="00923237">
              <w:rPr>
                <w:rFonts w:cstheme="minorHAnsi"/>
                <w:sz w:val="20"/>
                <w:szCs w:val="20"/>
              </w:rPr>
              <w:t>0.0477**</w:t>
            </w:r>
          </w:p>
        </w:tc>
        <w:tc>
          <w:tcPr>
            <w:tcW w:w="466" w:type="pct"/>
            <w:hideMark/>
          </w:tcPr>
          <w:p w14:paraId="572C0ECB" w14:textId="77777777" w:rsidR="00B666C8" w:rsidRPr="00923237" w:rsidRDefault="00B666C8" w:rsidP="00F31DC2">
            <w:pPr>
              <w:pStyle w:val="NoSpacing"/>
              <w:rPr>
                <w:rFonts w:cstheme="minorHAnsi"/>
                <w:sz w:val="20"/>
                <w:szCs w:val="20"/>
              </w:rPr>
            </w:pPr>
            <w:r w:rsidRPr="00923237">
              <w:rPr>
                <w:rFonts w:cstheme="minorHAnsi"/>
                <w:sz w:val="20"/>
                <w:szCs w:val="20"/>
              </w:rPr>
              <w:t>0.0473**</w:t>
            </w:r>
          </w:p>
        </w:tc>
        <w:tc>
          <w:tcPr>
            <w:tcW w:w="466" w:type="pct"/>
            <w:hideMark/>
          </w:tcPr>
          <w:p w14:paraId="504062B4" w14:textId="77777777" w:rsidR="00B666C8" w:rsidRPr="00923237" w:rsidRDefault="00B666C8" w:rsidP="00F31DC2">
            <w:pPr>
              <w:pStyle w:val="NoSpacing"/>
              <w:rPr>
                <w:rFonts w:cstheme="minorHAnsi"/>
                <w:sz w:val="20"/>
                <w:szCs w:val="20"/>
              </w:rPr>
            </w:pPr>
            <w:r w:rsidRPr="00923237">
              <w:rPr>
                <w:rFonts w:cstheme="minorHAnsi"/>
                <w:sz w:val="20"/>
                <w:szCs w:val="20"/>
              </w:rPr>
              <w:t>0.0473**</w:t>
            </w:r>
          </w:p>
        </w:tc>
        <w:tc>
          <w:tcPr>
            <w:tcW w:w="466" w:type="pct"/>
            <w:hideMark/>
          </w:tcPr>
          <w:p w14:paraId="51176EE1" w14:textId="77777777" w:rsidR="00B666C8" w:rsidRPr="00923237" w:rsidRDefault="00B666C8" w:rsidP="00F31DC2">
            <w:pPr>
              <w:pStyle w:val="NoSpacing"/>
              <w:rPr>
                <w:rFonts w:cstheme="minorHAnsi"/>
                <w:sz w:val="20"/>
                <w:szCs w:val="20"/>
              </w:rPr>
            </w:pPr>
            <w:r w:rsidRPr="00923237">
              <w:rPr>
                <w:rFonts w:cstheme="minorHAnsi"/>
                <w:sz w:val="20"/>
                <w:szCs w:val="20"/>
              </w:rPr>
              <w:t>0.0487**</w:t>
            </w:r>
          </w:p>
        </w:tc>
        <w:tc>
          <w:tcPr>
            <w:tcW w:w="427" w:type="pct"/>
            <w:hideMark/>
          </w:tcPr>
          <w:p w14:paraId="0B057F44" w14:textId="77777777" w:rsidR="00B666C8" w:rsidRPr="00923237" w:rsidRDefault="00B666C8" w:rsidP="00F31DC2">
            <w:pPr>
              <w:pStyle w:val="NoSpacing"/>
              <w:rPr>
                <w:rFonts w:cstheme="minorHAnsi"/>
                <w:sz w:val="20"/>
                <w:szCs w:val="20"/>
              </w:rPr>
            </w:pPr>
            <w:r w:rsidRPr="00923237">
              <w:rPr>
                <w:rFonts w:cstheme="minorHAnsi"/>
                <w:sz w:val="20"/>
                <w:szCs w:val="20"/>
              </w:rPr>
              <w:t>0.0023</w:t>
            </w:r>
          </w:p>
        </w:tc>
        <w:tc>
          <w:tcPr>
            <w:tcW w:w="466" w:type="pct"/>
            <w:hideMark/>
          </w:tcPr>
          <w:p w14:paraId="6CEFF8CA" w14:textId="77777777" w:rsidR="00B666C8" w:rsidRPr="00923237" w:rsidRDefault="00B666C8" w:rsidP="00F31DC2">
            <w:pPr>
              <w:pStyle w:val="NoSpacing"/>
              <w:rPr>
                <w:rFonts w:cstheme="minorHAnsi"/>
                <w:sz w:val="20"/>
                <w:szCs w:val="20"/>
              </w:rPr>
            </w:pPr>
            <w:r w:rsidRPr="00923237">
              <w:rPr>
                <w:rFonts w:cstheme="minorHAnsi"/>
                <w:sz w:val="20"/>
                <w:szCs w:val="20"/>
              </w:rPr>
              <w:t>0.1765***</w:t>
            </w:r>
          </w:p>
        </w:tc>
      </w:tr>
      <w:tr w:rsidR="00B666C8" w:rsidRPr="00923237" w14:paraId="0860A372" w14:textId="77777777" w:rsidTr="00F727E1">
        <w:tc>
          <w:tcPr>
            <w:tcW w:w="1311" w:type="pct"/>
            <w:hideMark/>
          </w:tcPr>
          <w:p w14:paraId="2019BB23" w14:textId="77777777" w:rsidR="00B666C8" w:rsidRPr="00923237" w:rsidRDefault="00B666C8" w:rsidP="00F31DC2">
            <w:pPr>
              <w:pStyle w:val="NoSpacing"/>
              <w:rPr>
                <w:rFonts w:cstheme="minorHAnsi"/>
                <w:sz w:val="20"/>
                <w:szCs w:val="20"/>
              </w:rPr>
            </w:pPr>
          </w:p>
        </w:tc>
        <w:tc>
          <w:tcPr>
            <w:tcW w:w="466" w:type="pct"/>
            <w:hideMark/>
          </w:tcPr>
          <w:p w14:paraId="162CE850" w14:textId="77777777" w:rsidR="00B666C8" w:rsidRPr="00923237" w:rsidRDefault="00B666C8" w:rsidP="00F31DC2">
            <w:pPr>
              <w:pStyle w:val="NoSpacing"/>
              <w:rPr>
                <w:rFonts w:cstheme="minorHAnsi"/>
                <w:sz w:val="20"/>
                <w:szCs w:val="20"/>
              </w:rPr>
            </w:pPr>
            <w:r w:rsidRPr="00923237">
              <w:rPr>
                <w:rFonts w:cstheme="minorHAnsi"/>
                <w:sz w:val="20"/>
                <w:szCs w:val="20"/>
              </w:rPr>
              <w:t>[0.071]</w:t>
            </w:r>
          </w:p>
        </w:tc>
        <w:tc>
          <w:tcPr>
            <w:tcW w:w="466" w:type="pct"/>
            <w:hideMark/>
          </w:tcPr>
          <w:p w14:paraId="53D8FA30" w14:textId="77777777" w:rsidR="00B666C8" w:rsidRPr="00923237" w:rsidRDefault="00B666C8" w:rsidP="00F31DC2">
            <w:pPr>
              <w:pStyle w:val="NoSpacing"/>
              <w:rPr>
                <w:rFonts w:cstheme="minorHAnsi"/>
                <w:sz w:val="20"/>
                <w:szCs w:val="20"/>
              </w:rPr>
            </w:pPr>
            <w:r w:rsidRPr="00923237">
              <w:rPr>
                <w:rFonts w:cstheme="minorHAnsi"/>
                <w:sz w:val="20"/>
                <w:szCs w:val="20"/>
              </w:rPr>
              <w:t>[0.015]</w:t>
            </w:r>
          </w:p>
        </w:tc>
        <w:tc>
          <w:tcPr>
            <w:tcW w:w="466" w:type="pct"/>
            <w:hideMark/>
          </w:tcPr>
          <w:p w14:paraId="4602D4F6" w14:textId="77777777" w:rsidR="00B666C8" w:rsidRPr="00923237" w:rsidRDefault="00B666C8" w:rsidP="00F31DC2">
            <w:pPr>
              <w:pStyle w:val="NoSpacing"/>
              <w:rPr>
                <w:rFonts w:cstheme="minorHAnsi"/>
                <w:sz w:val="20"/>
                <w:szCs w:val="20"/>
              </w:rPr>
            </w:pPr>
            <w:r w:rsidRPr="00923237">
              <w:rPr>
                <w:rFonts w:cstheme="minorHAnsi"/>
                <w:sz w:val="20"/>
                <w:szCs w:val="20"/>
              </w:rPr>
              <w:t>[0.015]</w:t>
            </w:r>
          </w:p>
        </w:tc>
        <w:tc>
          <w:tcPr>
            <w:tcW w:w="466" w:type="pct"/>
            <w:hideMark/>
          </w:tcPr>
          <w:p w14:paraId="75B0ACD1" w14:textId="77777777" w:rsidR="00B666C8" w:rsidRPr="00923237" w:rsidRDefault="00B666C8" w:rsidP="00F31DC2">
            <w:pPr>
              <w:pStyle w:val="NoSpacing"/>
              <w:rPr>
                <w:rFonts w:cstheme="minorHAnsi"/>
                <w:sz w:val="20"/>
                <w:szCs w:val="20"/>
              </w:rPr>
            </w:pPr>
            <w:r w:rsidRPr="00923237">
              <w:rPr>
                <w:rFonts w:cstheme="minorHAnsi"/>
                <w:sz w:val="20"/>
                <w:szCs w:val="20"/>
              </w:rPr>
              <w:t>[0.016]</w:t>
            </w:r>
          </w:p>
        </w:tc>
        <w:tc>
          <w:tcPr>
            <w:tcW w:w="466" w:type="pct"/>
            <w:hideMark/>
          </w:tcPr>
          <w:p w14:paraId="15E2CAC2" w14:textId="77777777" w:rsidR="00B666C8" w:rsidRPr="00923237" w:rsidRDefault="00B666C8" w:rsidP="00F31DC2">
            <w:pPr>
              <w:pStyle w:val="NoSpacing"/>
              <w:rPr>
                <w:rFonts w:cstheme="minorHAnsi"/>
                <w:sz w:val="20"/>
                <w:szCs w:val="20"/>
              </w:rPr>
            </w:pPr>
            <w:r w:rsidRPr="00923237">
              <w:rPr>
                <w:rFonts w:cstheme="minorHAnsi"/>
                <w:sz w:val="20"/>
                <w:szCs w:val="20"/>
              </w:rPr>
              <w:t>[0.015]</w:t>
            </w:r>
          </w:p>
        </w:tc>
        <w:tc>
          <w:tcPr>
            <w:tcW w:w="466" w:type="pct"/>
            <w:hideMark/>
          </w:tcPr>
          <w:p w14:paraId="38893FA1" w14:textId="77777777" w:rsidR="00B666C8" w:rsidRPr="00923237" w:rsidRDefault="00B666C8" w:rsidP="00F31DC2">
            <w:pPr>
              <w:pStyle w:val="NoSpacing"/>
              <w:rPr>
                <w:rFonts w:cstheme="minorHAnsi"/>
                <w:sz w:val="20"/>
                <w:szCs w:val="20"/>
              </w:rPr>
            </w:pPr>
            <w:r w:rsidRPr="00923237">
              <w:rPr>
                <w:rFonts w:cstheme="minorHAnsi"/>
                <w:sz w:val="20"/>
                <w:szCs w:val="20"/>
              </w:rPr>
              <w:t>[0.024]</w:t>
            </w:r>
          </w:p>
        </w:tc>
        <w:tc>
          <w:tcPr>
            <w:tcW w:w="427" w:type="pct"/>
            <w:hideMark/>
          </w:tcPr>
          <w:p w14:paraId="045AE473" w14:textId="77777777" w:rsidR="00B666C8" w:rsidRPr="00923237" w:rsidRDefault="00B666C8" w:rsidP="00F31DC2">
            <w:pPr>
              <w:pStyle w:val="NoSpacing"/>
              <w:rPr>
                <w:rFonts w:cstheme="minorHAnsi"/>
                <w:sz w:val="20"/>
                <w:szCs w:val="20"/>
              </w:rPr>
            </w:pPr>
            <w:r w:rsidRPr="00923237">
              <w:rPr>
                <w:rFonts w:cstheme="minorHAnsi"/>
                <w:sz w:val="20"/>
                <w:szCs w:val="20"/>
              </w:rPr>
              <w:t>[0.977]</w:t>
            </w:r>
          </w:p>
        </w:tc>
        <w:tc>
          <w:tcPr>
            <w:tcW w:w="466" w:type="pct"/>
            <w:hideMark/>
          </w:tcPr>
          <w:p w14:paraId="2DFAC4E7" w14:textId="77777777" w:rsidR="00B666C8" w:rsidRPr="00923237" w:rsidRDefault="00B666C8" w:rsidP="00F31DC2">
            <w:pPr>
              <w:pStyle w:val="NoSpacing"/>
              <w:rPr>
                <w:rFonts w:cstheme="minorHAnsi"/>
                <w:sz w:val="20"/>
                <w:szCs w:val="20"/>
              </w:rPr>
            </w:pPr>
            <w:r w:rsidRPr="00923237">
              <w:rPr>
                <w:rFonts w:cstheme="minorHAnsi"/>
                <w:sz w:val="20"/>
                <w:szCs w:val="20"/>
              </w:rPr>
              <w:t>[&lt;0.0001]</w:t>
            </w:r>
          </w:p>
        </w:tc>
      </w:tr>
      <w:tr w:rsidR="00A4606E" w:rsidRPr="00923237" w14:paraId="4F5EA5A5" w14:textId="77777777" w:rsidTr="00F727E1">
        <w:tc>
          <w:tcPr>
            <w:tcW w:w="1311" w:type="pct"/>
            <w:hideMark/>
          </w:tcPr>
          <w:p w14:paraId="7E6AF180" w14:textId="77777777" w:rsidR="00A4606E" w:rsidRPr="00923237" w:rsidRDefault="00A4606E" w:rsidP="00F31DC2">
            <w:pPr>
              <w:pStyle w:val="NoSpacing"/>
              <w:rPr>
                <w:rFonts w:cstheme="minorHAnsi"/>
                <w:sz w:val="20"/>
                <w:szCs w:val="20"/>
              </w:rPr>
            </w:pPr>
            <w:r w:rsidRPr="00923237">
              <w:rPr>
                <w:rFonts w:cstheme="minorHAnsi"/>
                <w:sz w:val="20"/>
                <w:szCs w:val="20"/>
              </w:rPr>
              <w:t>Ab. board meetings</w:t>
            </w:r>
          </w:p>
        </w:tc>
        <w:tc>
          <w:tcPr>
            <w:tcW w:w="466" w:type="pct"/>
            <w:hideMark/>
          </w:tcPr>
          <w:p w14:paraId="67BFB854" w14:textId="77777777" w:rsidR="00A4606E" w:rsidRPr="00923237" w:rsidRDefault="00A4606E" w:rsidP="00F31DC2">
            <w:pPr>
              <w:pStyle w:val="NoSpacing"/>
              <w:rPr>
                <w:rFonts w:cstheme="minorHAnsi"/>
                <w:sz w:val="20"/>
                <w:szCs w:val="20"/>
              </w:rPr>
            </w:pPr>
          </w:p>
        </w:tc>
        <w:tc>
          <w:tcPr>
            <w:tcW w:w="466" w:type="pct"/>
            <w:hideMark/>
          </w:tcPr>
          <w:p w14:paraId="410F6008" w14:textId="77777777" w:rsidR="00A4606E" w:rsidRPr="00923237" w:rsidRDefault="00A4606E" w:rsidP="00F31DC2">
            <w:pPr>
              <w:pStyle w:val="NoSpacing"/>
              <w:rPr>
                <w:rFonts w:cstheme="minorHAnsi"/>
                <w:sz w:val="20"/>
                <w:szCs w:val="20"/>
              </w:rPr>
            </w:pPr>
            <w:r w:rsidRPr="00923237">
              <w:rPr>
                <w:rFonts w:cstheme="minorHAnsi"/>
                <w:sz w:val="20"/>
                <w:szCs w:val="20"/>
              </w:rPr>
              <w:t>−0.0073*</w:t>
            </w:r>
          </w:p>
        </w:tc>
        <w:tc>
          <w:tcPr>
            <w:tcW w:w="466" w:type="pct"/>
            <w:hideMark/>
          </w:tcPr>
          <w:p w14:paraId="05E3F3DE" w14:textId="77777777" w:rsidR="00A4606E" w:rsidRPr="00923237" w:rsidRDefault="00A4606E" w:rsidP="00F31DC2">
            <w:pPr>
              <w:pStyle w:val="NoSpacing"/>
              <w:rPr>
                <w:rFonts w:cstheme="minorHAnsi"/>
                <w:sz w:val="20"/>
                <w:szCs w:val="20"/>
              </w:rPr>
            </w:pPr>
          </w:p>
        </w:tc>
        <w:tc>
          <w:tcPr>
            <w:tcW w:w="466" w:type="pct"/>
            <w:hideMark/>
          </w:tcPr>
          <w:p w14:paraId="150F40C7" w14:textId="77777777" w:rsidR="00A4606E" w:rsidRPr="00923237" w:rsidRDefault="00A4606E" w:rsidP="00F31DC2">
            <w:pPr>
              <w:pStyle w:val="NoSpacing"/>
              <w:rPr>
                <w:rFonts w:cstheme="minorHAnsi"/>
                <w:sz w:val="20"/>
                <w:szCs w:val="20"/>
              </w:rPr>
            </w:pPr>
          </w:p>
        </w:tc>
        <w:tc>
          <w:tcPr>
            <w:tcW w:w="466" w:type="pct"/>
            <w:hideMark/>
          </w:tcPr>
          <w:p w14:paraId="0534BD75" w14:textId="77777777" w:rsidR="00A4606E" w:rsidRPr="00923237" w:rsidRDefault="00A4606E" w:rsidP="00F31DC2">
            <w:pPr>
              <w:pStyle w:val="NoSpacing"/>
              <w:rPr>
                <w:rFonts w:cstheme="minorHAnsi"/>
                <w:sz w:val="20"/>
                <w:szCs w:val="20"/>
              </w:rPr>
            </w:pPr>
          </w:p>
        </w:tc>
        <w:tc>
          <w:tcPr>
            <w:tcW w:w="466" w:type="pct"/>
            <w:hideMark/>
          </w:tcPr>
          <w:p w14:paraId="5354D698" w14:textId="77777777" w:rsidR="00A4606E" w:rsidRPr="00923237" w:rsidRDefault="00A4606E" w:rsidP="00F31DC2">
            <w:pPr>
              <w:pStyle w:val="NoSpacing"/>
              <w:rPr>
                <w:rFonts w:cstheme="minorHAnsi"/>
                <w:sz w:val="20"/>
                <w:szCs w:val="20"/>
              </w:rPr>
            </w:pPr>
          </w:p>
        </w:tc>
        <w:tc>
          <w:tcPr>
            <w:tcW w:w="427" w:type="pct"/>
            <w:hideMark/>
          </w:tcPr>
          <w:p w14:paraId="78B95BAF" w14:textId="77777777" w:rsidR="00A4606E" w:rsidRPr="00923237" w:rsidRDefault="00A4606E" w:rsidP="00F31DC2">
            <w:pPr>
              <w:pStyle w:val="NoSpacing"/>
              <w:rPr>
                <w:rFonts w:cstheme="minorHAnsi"/>
                <w:sz w:val="20"/>
                <w:szCs w:val="20"/>
              </w:rPr>
            </w:pPr>
          </w:p>
        </w:tc>
        <w:tc>
          <w:tcPr>
            <w:tcW w:w="466" w:type="pct"/>
            <w:hideMark/>
          </w:tcPr>
          <w:p w14:paraId="79FF39F0" w14:textId="77777777" w:rsidR="00A4606E" w:rsidRPr="00923237" w:rsidRDefault="00A4606E" w:rsidP="00F31DC2">
            <w:pPr>
              <w:pStyle w:val="NoSpacing"/>
              <w:rPr>
                <w:rFonts w:cstheme="minorHAnsi"/>
                <w:sz w:val="20"/>
                <w:szCs w:val="20"/>
              </w:rPr>
            </w:pPr>
          </w:p>
        </w:tc>
      </w:tr>
      <w:tr w:rsidR="00A4606E" w:rsidRPr="00923237" w14:paraId="1A807C0F" w14:textId="77777777" w:rsidTr="00F727E1">
        <w:tc>
          <w:tcPr>
            <w:tcW w:w="1311" w:type="pct"/>
            <w:hideMark/>
          </w:tcPr>
          <w:p w14:paraId="7D0595B6" w14:textId="77777777" w:rsidR="00A4606E" w:rsidRPr="00923237" w:rsidRDefault="00A4606E" w:rsidP="00F31DC2">
            <w:pPr>
              <w:pStyle w:val="NoSpacing"/>
              <w:rPr>
                <w:rFonts w:cstheme="minorHAnsi"/>
                <w:sz w:val="20"/>
                <w:szCs w:val="20"/>
              </w:rPr>
            </w:pPr>
          </w:p>
        </w:tc>
        <w:tc>
          <w:tcPr>
            <w:tcW w:w="466" w:type="pct"/>
            <w:hideMark/>
          </w:tcPr>
          <w:p w14:paraId="5A4D6119" w14:textId="77777777" w:rsidR="00A4606E" w:rsidRPr="00923237" w:rsidRDefault="00A4606E" w:rsidP="00F31DC2">
            <w:pPr>
              <w:pStyle w:val="NoSpacing"/>
              <w:rPr>
                <w:rFonts w:cstheme="minorHAnsi"/>
                <w:sz w:val="20"/>
                <w:szCs w:val="20"/>
              </w:rPr>
            </w:pPr>
          </w:p>
        </w:tc>
        <w:tc>
          <w:tcPr>
            <w:tcW w:w="466" w:type="pct"/>
            <w:hideMark/>
          </w:tcPr>
          <w:p w14:paraId="6592F131" w14:textId="77777777" w:rsidR="00A4606E" w:rsidRPr="00923237" w:rsidRDefault="00A4606E" w:rsidP="00F31DC2">
            <w:pPr>
              <w:pStyle w:val="NoSpacing"/>
              <w:rPr>
                <w:rFonts w:cstheme="minorHAnsi"/>
                <w:sz w:val="20"/>
                <w:szCs w:val="20"/>
              </w:rPr>
            </w:pPr>
            <w:r w:rsidRPr="00923237">
              <w:rPr>
                <w:rFonts w:cstheme="minorHAnsi"/>
                <w:sz w:val="20"/>
                <w:szCs w:val="20"/>
              </w:rPr>
              <w:t>[0.094]</w:t>
            </w:r>
          </w:p>
        </w:tc>
        <w:tc>
          <w:tcPr>
            <w:tcW w:w="466" w:type="pct"/>
            <w:hideMark/>
          </w:tcPr>
          <w:p w14:paraId="513BE155" w14:textId="77777777" w:rsidR="00A4606E" w:rsidRPr="00923237" w:rsidRDefault="00A4606E" w:rsidP="00F31DC2">
            <w:pPr>
              <w:pStyle w:val="NoSpacing"/>
              <w:rPr>
                <w:rFonts w:cstheme="minorHAnsi"/>
                <w:sz w:val="20"/>
                <w:szCs w:val="20"/>
              </w:rPr>
            </w:pPr>
          </w:p>
        </w:tc>
        <w:tc>
          <w:tcPr>
            <w:tcW w:w="466" w:type="pct"/>
            <w:hideMark/>
          </w:tcPr>
          <w:p w14:paraId="01404F60" w14:textId="77777777" w:rsidR="00A4606E" w:rsidRPr="00923237" w:rsidRDefault="00A4606E" w:rsidP="00F31DC2">
            <w:pPr>
              <w:pStyle w:val="NoSpacing"/>
              <w:rPr>
                <w:rFonts w:cstheme="minorHAnsi"/>
                <w:sz w:val="20"/>
                <w:szCs w:val="20"/>
              </w:rPr>
            </w:pPr>
          </w:p>
        </w:tc>
        <w:tc>
          <w:tcPr>
            <w:tcW w:w="466" w:type="pct"/>
            <w:hideMark/>
          </w:tcPr>
          <w:p w14:paraId="1B31D305" w14:textId="77777777" w:rsidR="00A4606E" w:rsidRPr="00923237" w:rsidRDefault="00A4606E" w:rsidP="00F31DC2">
            <w:pPr>
              <w:pStyle w:val="NoSpacing"/>
              <w:rPr>
                <w:rFonts w:cstheme="minorHAnsi"/>
                <w:sz w:val="20"/>
                <w:szCs w:val="20"/>
              </w:rPr>
            </w:pPr>
          </w:p>
        </w:tc>
        <w:tc>
          <w:tcPr>
            <w:tcW w:w="466" w:type="pct"/>
            <w:hideMark/>
          </w:tcPr>
          <w:p w14:paraId="617922AF" w14:textId="77777777" w:rsidR="00A4606E" w:rsidRPr="00923237" w:rsidRDefault="00A4606E" w:rsidP="00F31DC2">
            <w:pPr>
              <w:pStyle w:val="NoSpacing"/>
              <w:rPr>
                <w:rFonts w:cstheme="minorHAnsi"/>
                <w:sz w:val="20"/>
                <w:szCs w:val="20"/>
              </w:rPr>
            </w:pPr>
          </w:p>
        </w:tc>
        <w:tc>
          <w:tcPr>
            <w:tcW w:w="427" w:type="pct"/>
            <w:hideMark/>
          </w:tcPr>
          <w:p w14:paraId="7F347DEE" w14:textId="77777777" w:rsidR="00A4606E" w:rsidRPr="00923237" w:rsidRDefault="00A4606E" w:rsidP="00F31DC2">
            <w:pPr>
              <w:pStyle w:val="NoSpacing"/>
              <w:rPr>
                <w:rFonts w:cstheme="minorHAnsi"/>
                <w:sz w:val="20"/>
                <w:szCs w:val="20"/>
              </w:rPr>
            </w:pPr>
          </w:p>
        </w:tc>
        <w:tc>
          <w:tcPr>
            <w:tcW w:w="466" w:type="pct"/>
            <w:hideMark/>
          </w:tcPr>
          <w:p w14:paraId="1BD020A1" w14:textId="77777777" w:rsidR="00A4606E" w:rsidRPr="00923237" w:rsidRDefault="00A4606E" w:rsidP="00F31DC2">
            <w:pPr>
              <w:pStyle w:val="NoSpacing"/>
              <w:rPr>
                <w:rFonts w:cstheme="minorHAnsi"/>
                <w:sz w:val="20"/>
                <w:szCs w:val="20"/>
              </w:rPr>
            </w:pPr>
          </w:p>
        </w:tc>
      </w:tr>
      <w:tr w:rsidR="00A4606E" w:rsidRPr="00923237" w14:paraId="1EB7DCF6" w14:textId="77777777" w:rsidTr="00F727E1">
        <w:tc>
          <w:tcPr>
            <w:tcW w:w="1311" w:type="pct"/>
            <w:hideMark/>
          </w:tcPr>
          <w:p w14:paraId="4E240E6F" w14:textId="77777777" w:rsidR="00A4606E" w:rsidRPr="00923237" w:rsidRDefault="00A4606E" w:rsidP="00F31DC2">
            <w:pPr>
              <w:pStyle w:val="NoSpacing"/>
              <w:rPr>
                <w:rFonts w:cstheme="minorHAnsi"/>
                <w:sz w:val="20"/>
                <w:szCs w:val="20"/>
              </w:rPr>
            </w:pPr>
            <w:r w:rsidRPr="00923237">
              <w:rPr>
                <w:rFonts w:cstheme="minorHAnsi"/>
                <w:sz w:val="20"/>
                <w:szCs w:val="20"/>
              </w:rPr>
              <w:t>Exp. weighted ab. board meetings</w:t>
            </w:r>
          </w:p>
        </w:tc>
        <w:tc>
          <w:tcPr>
            <w:tcW w:w="466" w:type="pct"/>
            <w:hideMark/>
          </w:tcPr>
          <w:p w14:paraId="584AA0FF" w14:textId="77777777" w:rsidR="00A4606E" w:rsidRPr="00923237" w:rsidRDefault="00A4606E" w:rsidP="00F31DC2">
            <w:pPr>
              <w:pStyle w:val="NoSpacing"/>
              <w:rPr>
                <w:rFonts w:cstheme="minorHAnsi"/>
                <w:sz w:val="20"/>
                <w:szCs w:val="20"/>
              </w:rPr>
            </w:pPr>
          </w:p>
        </w:tc>
        <w:tc>
          <w:tcPr>
            <w:tcW w:w="466" w:type="pct"/>
            <w:hideMark/>
          </w:tcPr>
          <w:p w14:paraId="420F4D53" w14:textId="77777777" w:rsidR="00A4606E" w:rsidRPr="00923237" w:rsidRDefault="00A4606E" w:rsidP="00F31DC2">
            <w:pPr>
              <w:pStyle w:val="NoSpacing"/>
              <w:rPr>
                <w:rFonts w:cstheme="minorHAnsi"/>
                <w:sz w:val="20"/>
                <w:szCs w:val="20"/>
              </w:rPr>
            </w:pPr>
          </w:p>
        </w:tc>
        <w:tc>
          <w:tcPr>
            <w:tcW w:w="466" w:type="pct"/>
            <w:hideMark/>
          </w:tcPr>
          <w:p w14:paraId="60163833" w14:textId="77777777" w:rsidR="00A4606E" w:rsidRPr="00923237" w:rsidRDefault="00A4606E" w:rsidP="00F31DC2">
            <w:pPr>
              <w:pStyle w:val="NoSpacing"/>
              <w:rPr>
                <w:rFonts w:cstheme="minorHAnsi"/>
                <w:sz w:val="20"/>
                <w:szCs w:val="20"/>
              </w:rPr>
            </w:pPr>
            <w:r w:rsidRPr="00923237">
              <w:rPr>
                <w:rFonts w:cstheme="minorHAnsi"/>
                <w:sz w:val="20"/>
                <w:szCs w:val="20"/>
              </w:rPr>
              <w:t>−0.0010**</w:t>
            </w:r>
          </w:p>
        </w:tc>
        <w:tc>
          <w:tcPr>
            <w:tcW w:w="466" w:type="pct"/>
            <w:hideMark/>
          </w:tcPr>
          <w:p w14:paraId="4F76EE91" w14:textId="77777777" w:rsidR="00A4606E" w:rsidRPr="00923237" w:rsidRDefault="00A4606E" w:rsidP="00F31DC2">
            <w:pPr>
              <w:pStyle w:val="NoSpacing"/>
              <w:rPr>
                <w:rFonts w:cstheme="minorHAnsi"/>
                <w:sz w:val="20"/>
                <w:szCs w:val="20"/>
              </w:rPr>
            </w:pPr>
          </w:p>
        </w:tc>
        <w:tc>
          <w:tcPr>
            <w:tcW w:w="466" w:type="pct"/>
            <w:hideMark/>
          </w:tcPr>
          <w:p w14:paraId="20AB1C0D" w14:textId="77777777" w:rsidR="00A4606E" w:rsidRPr="00923237" w:rsidRDefault="00A4606E" w:rsidP="00F31DC2">
            <w:pPr>
              <w:pStyle w:val="NoSpacing"/>
              <w:rPr>
                <w:rFonts w:cstheme="minorHAnsi"/>
                <w:sz w:val="20"/>
                <w:szCs w:val="20"/>
              </w:rPr>
            </w:pPr>
          </w:p>
        </w:tc>
        <w:tc>
          <w:tcPr>
            <w:tcW w:w="466" w:type="pct"/>
            <w:hideMark/>
          </w:tcPr>
          <w:p w14:paraId="5F5FDD5C" w14:textId="77777777" w:rsidR="00A4606E" w:rsidRPr="00923237" w:rsidRDefault="00A4606E" w:rsidP="00F31DC2">
            <w:pPr>
              <w:pStyle w:val="NoSpacing"/>
              <w:rPr>
                <w:rFonts w:cstheme="minorHAnsi"/>
                <w:sz w:val="20"/>
                <w:szCs w:val="20"/>
              </w:rPr>
            </w:pPr>
          </w:p>
        </w:tc>
        <w:tc>
          <w:tcPr>
            <w:tcW w:w="427" w:type="pct"/>
            <w:hideMark/>
          </w:tcPr>
          <w:p w14:paraId="7BBC0CED" w14:textId="77777777" w:rsidR="00A4606E" w:rsidRPr="00923237" w:rsidRDefault="00A4606E" w:rsidP="00F31DC2">
            <w:pPr>
              <w:pStyle w:val="NoSpacing"/>
              <w:rPr>
                <w:rFonts w:cstheme="minorHAnsi"/>
                <w:sz w:val="20"/>
                <w:szCs w:val="20"/>
              </w:rPr>
            </w:pPr>
          </w:p>
        </w:tc>
        <w:tc>
          <w:tcPr>
            <w:tcW w:w="466" w:type="pct"/>
            <w:hideMark/>
          </w:tcPr>
          <w:p w14:paraId="7848DF9F" w14:textId="77777777" w:rsidR="00A4606E" w:rsidRPr="00923237" w:rsidRDefault="00A4606E" w:rsidP="00F31DC2">
            <w:pPr>
              <w:pStyle w:val="NoSpacing"/>
              <w:rPr>
                <w:rFonts w:cstheme="minorHAnsi"/>
                <w:sz w:val="20"/>
                <w:szCs w:val="20"/>
              </w:rPr>
            </w:pPr>
          </w:p>
        </w:tc>
      </w:tr>
      <w:tr w:rsidR="00A4606E" w:rsidRPr="00923237" w14:paraId="0EA6881D" w14:textId="77777777" w:rsidTr="00F727E1">
        <w:tc>
          <w:tcPr>
            <w:tcW w:w="1311" w:type="pct"/>
            <w:hideMark/>
          </w:tcPr>
          <w:p w14:paraId="0EA48922" w14:textId="77777777" w:rsidR="00A4606E" w:rsidRPr="00923237" w:rsidRDefault="00A4606E" w:rsidP="00F31DC2">
            <w:pPr>
              <w:pStyle w:val="NoSpacing"/>
              <w:rPr>
                <w:rFonts w:cstheme="minorHAnsi"/>
                <w:sz w:val="20"/>
                <w:szCs w:val="20"/>
              </w:rPr>
            </w:pPr>
          </w:p>
        </w:tc>
        <w:tc>
          <w:tcPr>
            <w:tcW w:w="466" w:type="pct"/>
            <w:hideMark/>
          </w:tcPr>
          <w:p w14:paraId="592DA6EE" w14:textId="77777777" w:rsidR="00A4606E" w:rsidRPr="00923237" w:rsidRDefault="00A4606E" w:rsidP="00F31DC2">
            <w:pPr>
              <w:pStyle w:val="NoSpacing"/>
              <w:rPr>
                <w:rFonts w:cstheme="minorHAnsi"/>
                <w:sz w:val="20"/>
                <w:szCs w:val="20"/>
              </w:rPr>
            </w:pPr>
          </w:p>
        </w:tc>
        <w:tc>
          <w:tcPr>
            <w:tcW w:w="466" w:type="pct"/>
            <w:hideMark/>
          </w:tcPr>
          <w:p w14:paraId="4769E089" w14:textId="77777777" w:rsidR="00A4606E" w:rsidRPr="00923237" w:rsidRDefault="00A4606E" w:rsidP="00F31DC2">
            <w:pPr>
              <w:pStyle w:val="NoSpacing"/>
              <w:rPr>
                <w:rFonts w:cstheme="minorHAnsi"/>
                <w:sz w:val="20"/>
                <w:szCs w:val="20"/>
              </w:rPr>
            </w:pPr>
          </w:p>
        </w:tc>
        <w:tc>
          <w:tcPr>
            <w:tcW w:w="466" w:type="pct"/>
            <w:hideMark/>
          </w:tcPr>
          <w:p w14:paraId="43D7CD13" w14:textId="77777777" w:rsidR="00A4606E" w:rsidRPr="00923237" w:rsidRDefault="00A4606E" w:rsidP="00F31DC2">
            <w:pPr>
              <w:pStyle w:val="NoSpacing"/>
              <w:rPr>
                <w:rFonts w:cstheme="minorHAnsi"/>
                <w:sz w:val="20"/>
                <w:szCs w:val="20"/>
              </w:rPr>
            </w:pPr>
            <w:r w:rsidRPr="00923237">
              <w:rPr>
                <w:rFonts w:cstheme="minorHAnsi"/>
                <w:sz w:val="20"/>
                <w:szCs w:val="20"/>
              </w:rPr>
              <w:t>[0.018]</w:t>
            </w:r>
          </w:p>
        </w:tc>
        <w:tc>
          <w:tcPr>
            <w:tcW w:w="466" w:type="pct"/>
            <w:hideMark/>
          </w:tcPr>
          <w:p w14:paraId="48E31B8E" w14:textId="77777777" w:rsidR="00A4606E" w:rsidRPr="00923237" w:rsidRDefault="00A4606E" w:rsidP="00F31DC2">
            <w:pPr>
              <w:pStyle w:val="NoSpacing"/>
              <w:rPr>
                <w:rFonts w:cstheme="minorHAnsi"/>
                <w:sz w:val="20"/>
                <w:szCs w:val="20"/>
              </w:rPr>
            </w:pPr>
          </w:p>
        </w:tc>
        <w:tc>
          <w:tcPr>
            <w:tcW w:w="466" w:type="pct"/>
            <w:hideMark/>
          </w:tcPr>
          <w:p w14:paraId="4BA505A1" w14:textId="77777777" w:rsidR="00A4606E" w:rsidRPr="00923237" w:rsidRDefault="00A4606E" w:rsidP="00F31DC2">
            <w:pPr>
              <w:pStyle w:val="NoSpacing"/>
              <w:rPr>
                <w:rFonts w:cstheme="minorHAnsi"/>
                <w:sz w:val="20"/>
                <w:szCs w:val="20"/>
              </w:rPr>
            </w:pPr>
          </w:p>
        </w:tc>
        <w:tc>
          <w:tcPr>
            <w:tcW w:w="466" w:type="pct"/>
            <w:hideMark/>
          </w:tcPr>
          <w:p w14:paraId="14D5D2AC" w14:textId="77777777" w:rsidR="00A4606E" w:rsidRPr="00923237" w:rsidRDefault="00A4606E" w:rsidP="00F31DC2">
            <w:pPr>
              <w:pStyle w:val="NoSpacing"/>
              <w:rPr>
                <w:rFonts w:cstheme="minorHAnsi"/>
                <w:sz w:val="20"/>
                <w:szCs w:val="20"/>
              </w:rPr>
            </w:pPr>
          </w:p>
        </w:tc>
        <w:tc>
          <w:tcPr>
            <w:tcW w:w="427" w:type="pct"/>
            <w:hideMark/>
          </w:tcPr>
          <w:p w14:paraId="69FFDA83" w14:textId="77777777" w:rsidR="00A4606E" w:rsidRPr="00923237" w:rsidRDefault="00A4606E" w:rsidP="00F31DC2">
            <w:pPr>
              <w:pStyle w:val="NoSpacing"/>
              <w:rPr>
                <w:rFonts w:cstheme="minorHAnsi"/>
                <w:sz w:val="20"/>
                <w:szCs w:val="20"/>
              </w:rPr>
            </w:pPr>
          </w:p>
        </w:tc>
        <w:tc>
          <w:tcPr>
            <w:tcW w:w="466" w:type="pct"/>
            <w:hideMark/>
          </w:tcPr>
          <w:p w14:paraId="176EBF1D" w14:textId="77777777" w:rsidR="00A4606E" w:rsidRPr="00923237" w:rsidRDefault="00A4606E" w:rsidP="00F31DC2">
            <w:pPr>
              <w:pStyle w:val="NoSpacing"/>
              <w:rPr>
                <w:rFonts w:cstheme="minorHAnsi"/>
                <w:sz w:val="20"/>
                <w:szCs w:val="20"/>
              </w:rPr>
            </w:pPr>
          </w:p>
        </w:tc>
      </w:tr>
      <w:tr w:rsidR="00A4606E" w:rsidRPr="00923237" w14:paraId="23868F04" w14:textId="77777777" w:rsidTr="00F727E1">
        <w:tc>
          <w:tcPr>
            <w:tcW w:w="1311" w:type="pct"/>
            <w:hideMark/>
          </w:tcPr>
          <w:p w14:paraId="25C08C70" w14:textId="77777777" w:rsidR="00A4606E" w:rsidRPr="00923237" w:rsidRDefault="00A4606E" w:rsidP="00F31DC2">
            <w:pPr>
              <w:pStyle w:val="NoSpacing"/>
              <w:rPr>
                <w:rFonts w:cstheme="minorHAnsi"/>
                <w:sz w:val="20"/>
                <w:szCs w:val="20"/>
              </w:rPr>
            </w:pPr>
            <w:r w:rsidRPr="00923237">
              <w:rPr>
                <w:rFonts w:cstheme="minorHAnsi"/>
                <w:sz w:val="20"/>
                <w:szCs w:val="20"/>
              </w:rPr>
              <w:t>RE exp. weighted ab. board meetings</w:t>
            </w:r>
          </w:p>
        </w:tc>
        <w:tc>
          <w:tcPr>
            <w:tcW w:w="466" w:type="pct"/>
            <w:hideMark/>
          </w:tcPr>
          <w:p w14:paraId="66D87E99" w14:textId="77777777" w:rsidR="00A4606E" w:rsidRPr="00923237" w:rsidRDefault="00A4606E" w:rsidP="00F31DC2">
            <w:pPr>
              <w:pStyle w:val="NoSpacing"/>
              <w:rPr>
                <w:rFonts w:cstheme="minorHAnsi"/>
                <w:sz w:val="20"/>
                <w:szCs w:val="20"/>
              </w:rPr>
            </w:pPr>
          </w:p>
        </w:tc>
        <w:tc>
          <w:tcPr>
            <w:tcW w:w="466" w:type="pct"/>
            <w:hideMark/>
          </w:tcPr>
          <w:p w14:paraId="1A7DB297" w14:textId="77777777" w:rsidR="00A4606E" w:rsidRPr="00923237" w:rsidRDefault="00A4606E" w:rsidP="00F31DC2">
            <w:pPr>
              <w:pStyle w:val="NoSpacing"/>
              <w:rPr>
                <w:rFonts w:cstheme="minorHAnsi"/>
                <w:sz w:val="20"/>
                <w:szCs w:val="20"/>
              </w:rPr>
            </w:pPr>
          </w:p>
        </w:tc>
        <w:tc>
          <w:tcPr>
            <w:tcW w:w="466" w:type="pct"/>
            <w:hideMark/>
          </w:tcPr>
          <w:p w14:paraId="6338F9C2" w14:textId="77777777" w:rsidR="00A4606E" w:rsidRPr="00923237" w:rsidRDefault="00A4606E" w:rsidP="00F31DC2">
            <w:pPr>
              <w:pStyle w:val="NoSpacing"/>
              <w:rPr>
                <w:rFonts w:cstheme="minorHAnsi"/>
                <w:sz w:val="20"/>
                <w:szCs w:val="20"/>
              </w:rPr>
            </w:pPr>
          </w:p>
        </w:tc>
        <w:tc>
          <w:tcPr>
            <w:tcW w:w="466" w:type="pct"/>
            <w:hideMark/>
          </w:tcPr>
          <w:p w14:paraId="1BD27C71" w14:textId="77777777" w:rsidR="00A4606E" w:rsidRPr="00923237" w:rsidRDefault="00A4606E" w:rsidP="00F31DC2">
            <w:pPr>
              <w:pStyle w:val="NoSpacing"/>
              <w:rPr>
                <w:rFonts w:cstheme="minorHAnsi"/>
                <w:sz w:val="20"/>
                <w:szCs w:val="20"/>
              </w:rPr>
            </w:pPr>
            <w:r w:rsidRPr="00923237">
              <w:rPr>
                <w:rFonts w:cstheme="minorHAnsi"/>
                <w:sz w:val="20"/>
                <w:szCs w:val="20"/>
              </w:rPr>
              <w:t>−0.0002</w:t>
            </w:r>
          </w:p>
        </w:tc>
        <w:tc>
          <w:tcPr>
            <w:tcW w:w="466" w:type="pct"/>
            <w:hideMark/>
          </w:tcPr>
          <w:p w14:paraId="74FCC347" w14:textId="77777777" w:rsidR="00A4606E" w:rsidRPr="00923237" w:rsidRDefault="00A4606E" w:rsidP="00F31DC2">
            <w:pPr>
              <w:pStyle w:val="NoSpacing"/>
              <w:rPr>
                <w:rFonts w:cstheme="minorHAnsi"/>
                <w:sz w:val="20"/>
                <w:szCs w:val="20"/>
              </w:rPr>
            </w:pPr>
          </w:p>
        </w:tc>
        <w:tc>
          <w:tcPr>
            <w:tcW w:w="466" w:type="pct"/>
            <w:hideMark/>
          </w:tcPr>
          <w:p w14:paraId="1FDC7EE5" w14:textId="77777777" w:rsidR="00A4606E" w:rsidRPr="00923237" w:rsidRDefault="00A4606E" w:rsidP="00F31DC2">
            <w:pPr>
              <w:pStyle w:val="NoSpacing"/>
              <w:rPr>
                <w:rFonts w:cstheme="minorHAnsi"/>
                <w:sz w:val="20"/>
                <w:szCs w:val="20"/>
              </w:rPr>
            </w:pPr>
          </w:p>
        </w:tc>
        <w:tc>
          <w:tcPr>
            <w:tcW w:w="427" w:type="pct"/>
            <w:hideMark/>
          </w:tcPr>
          <w:p w14:paraId="68FCD3A8" w14:textId="77777777" w:rsidR="00A4606E" w:rsidRPr="00923237" w:rsidRDefault="00A4606E" w:rsidP="00F31DC2">
            <w:pPr>
              <w:pStyle w:val="NoSpacing"/>
              <w:rPr>
                <w:rFonts w:cstheme="minorHAnsi"/>
                <w:sz w:val="20"/>
                <w:szCs w:val="20"/>
              </w:rPr>
            </w:pPr>
          </w:p>
        </w:tc>
        <w:tc>
          <w:tcPr>
            <w:tcW w:w="466" w:type="pct"/>
            <w:hideMark/>
          </w:tcPr>
          <w:p w14:paraId="4650C446" w14:textId="77777777" w:rsidR="00A4606E" w:rsidRPr="00923237" w:rsidRDefault="00A4606E" w:rsidP="00F31DC2">
            <w:pPr>
              <w:pStyle w:val="NoSpacing"/>
              <w:rPr>
                <w:rFonts w:cstheme="minorHAnsi"/>
                <w:sz w:val="20"/>
                <w:szCs w:val="20"/>
              </w:rPr>
            </w:pPr>
          </w:p>
        </w:tc>
      </w:tr>
      <w:tr w:rsidR="00A4606E" w:rsidRPr="00923237" w14:paraId="1C13F85F" w14:textId="77777777" w:rsidTr="00F727E1">
        <w:tc>
          <w:tcPr>
            <w:tcW w:w="1311" w:type="pct"/>
            <w:hideMark/>
          </w:tcPr>
          <w:p w14:paraId="7C296145" w14:textId="77777777" w:rsidR="00A4606E" w:rsidRPr="00923237" w:rsidRDefault="00A4606E" w:rsidP="00F31DC2">
            <w:pPr>
              <w:pStyle w:val="NoSpacing"/>
              <w:rPr>
                <w:rFonts w:cstheme="minorHAnsi"/>
                <w:sz w:val="20"/>
                <w:szCs w:val="20"/>
              </w:rPr>
            </w:pPr>
          </w:p>
        </w:tc>
        <w:tc>
          <w:tcPr>
            <w:tcW w:w="466" w:type="pct"/>
            <w:hideMark/>
          </w:tcPr>
          <w:p w14:paraId="5A858595" w14:textId="77777777" w:rsidR="00A4606E" w:rsidRPr="00923237" w:rsidRDefault="00A4606E" w:rsidP="00F31DC2">
            <w:pPr>
              <w:pStyle w:val="NoSpacing"/>
              <w:rPr>
                <w:rFonts w:cstheme="minorHAnsi"/>
                <w:sz w:val="20"/>
                <w:szCs w:val="20"/>
              </w:rPr>
            </w:pPr>
          </w:p>
        </w:tc>
        <w:tc>
          <w:tcPr>
            <w:tcW w:w="466" w:type="pct"/>
            <w:hideMark/>
          </w:tcPr>
          <w:p w14:paraId="4F628629" w14:textId="77777777" w:rsidR="00A4606E" w:rsidRPr="00923237" w:rsidRDefault="00A4606E" w:rsidP="00F31DC2">
            <w:pPr>
              <w:pStyle w:val="NoSpacing"/>
              <w:rPr>
                <w:rFonts w:cstheme="minorHAnsi"/>
                <w:sz w:val="20"/>
                <w:szCs w:val="20"/>
              </w:rPr>
            </w:pPr>
          </w:p>
        </w:tc>
        <w:tc>
          <w:tcPr>
            <w:tcW w:w="466" w:type="pct"/>
            <w:hideMark/>
          </w:tcPr>
          <w:p w14:paraId="11C1B55A" w14:textId="77777777" w:rsidR="00A4606E" w:rsidRPr="00923237" w:rsidRDefault="00A4606E" w:rsidP="00F31DC2">
            <w:pPr>
              <w:pStyle w:val="NoSpacing"/>
              <w:rPr>
                <w:rFonts w:cstheme="minorHAnsi"/>
                <w:sz w:val="20"/>
                <w:szCs w:val="20"/>
              </w:rPr>
            </w:pPr>
          </w:p>
        </w:tc>
        <w:tc>
          <w:tcPr>
            <w:tcW w:w="466" w:type="pct"/>
            <w:hideMark/>
          </w:tcPr>
          <w:p w14:paraId="4F570B18" w14:textId="77777777" w:rsidR="00A4606E" w:rsidRPr="00923237" w:rsidRDefault="00A4606E" w:rsidP="00F31DC2">
            <w:pPr>
              <w:pStyle w:val="NoSpacing"/>
              <w:rPr>
                <w:rFonts w:cstheme="minorHAnsi"/>
                <w:sz w:val="20"/>
                <w:szCs w:val="20"/>
              </w:rPr>
            </w:pPr>
            <w:r w:rsidRPr="00923237">
              <w:rPr>
                <w:rFonts w:cstheme="minorHAnsi"/>
                <w:sz w:val="20"/>
                <w:szCs w:val="20"/>
              </w:rPr>
              <w:t>[0.437]</w:t>
            </w:r>
          </w:p>
        </w:tc>
        <w:tc>
          <w:tcPr>
            <w:tcW w:w="466" w:type="pct"/>
            <w:hideMark/>
          </w:tcPr>
          <w:p w14:paraId="595189E9" w14:textId="77777777" w:rsidR="00A4606E" w:rsidRPr="00923237" w:rsidRDefault="00A4606E" w:rsidP="00F31DC2">
            <w:pPr>
              <w:pStyle w:val="NoSpacing"/>
              <w:rPr>
                <w:rFonts w:cstheme="minorHAnsi"/>
                <w:sz w:val="20"/>
                <w:szCs w:val="20"/>
              </w:rPr>
            </w:pPr>
          </w:p>
        </w:tc>
        <w:tc>
          <w:tcPr>
            <w:tcW w:w="466" w:type="pct"/>
            <w:hideMark/>
          </w:tcPr>
          <w:p w14:paraId="28248298" w14:textId="77777777" w:rsidR="00A4606E" w:rsidRPr="00923237" w:rsidRDefault="00A4606E" w:rsidP="00F31DC2">
            <w:pPr>
              <w:pStyle w:val="NoSpacing"/>
              <w:rPr>
                <w:rFonts w:cstheme="minorHAnsi"/>
                <w:sz w:val="20"/>
                <w:szCs w:val="20"/>
              </w:rPr>
            </w:pPr>
          </w:p>
        </w:tc>
        <w:tc>
          <w:tcPr>
            <w:tcW w:w="427" w:type="pct"/>
            <w:hideMark/>
          </w:tcPr>
          <w:p w14:paraId="1BB2B79F" w14:textId="77777777" w:rsidR="00A4606E" w:rsidRPr="00923237" w:rsidRDefault="00A4606E" w:rsidP="00F31DC2">
            <w:pPr>
              <w:pStyle w:val="NoSpacing"/>
              <w:rPr>
                <w:rFonts w:cstheme="minorHAnsi"/>
                <w:sz w:val="20"/>
                <w:szCs w:val="20"/>
              </w:rPr>
            </w:pPr>
          </w:p>
        </w:tc>
        <w:tc>
          <w:tcPr>
            <w:tcW w:w="466" w:type="pct"/>
            <w:hideMark/>
          </w:tcPr>
          <w:p w14:paraId="323AFD4B" w14:textId="77777777" w:rsidR="00A4606E" w:rsidRPr="00923237" w:rsidRDefault="00A4606E" w:rsidP="00F31DC2">
            <w:pPr>
              <w:pStyle w:val="NoSpacing"/>
              <w:rPr>
                <w:rFonts w:cstheme="minorHAnsi"/>
                <w:sz w:val="20"/>
                <w:szCs w:val="20"/>
              </w:rPr>
            </w:pPr>
          </w:p>
        </w:tc>
      </w:tr>
      <w:tr w:rsidR="00A4606E" w:rsidRPr="00923237" w14:paraId="5E53663A" w14:textId="77777777" w:rsidTr="00F727E1">
        <w:tc>
          <w:tcPr>
            <w:tcW w:w="1311" w:type="pct"/>
            <w:hideMark/>
          </w:tcPr>
          <w:p w14:paraId="452C0AFC" w14:textId="77777777" w:rsidR="00A4606E" w:rsidRPr="00923237" w:rsidRDefault="00A4606E" w:rsidP="00F31DC2">
            <w:pPr>
              <w:pStyle w:val="NoSpacing"/>
              <w:rPr>
                <w:rFonts w:cstheme="minorHAnsi"/>
                <w:sz w:val="20"/>
                <w:szCs w:val="20"/>
              </w:rPr>
            </w:pPr>
            <w:r w:rsidRPr="00923237">
              <w:rPr>
                <w:rFonts w:cstheme="minorHAnsi"/>
                <w:sz w:val="20"/>
                <w:szCs w:val="20"/>
              </w:rPr>
              <w:t>FIN exp. weighted ab. board meetings</w:t>
            </w:r>
          </w:p>
        </w:tc>
        <w:tc>
          <w:tcPr>
            <w:tcW w:w="466" w:type="pct"/>
            <w:hideMark/>
          </w:tcPr>
          <w:p w14:paraId="45AE4169" w14:textId="77777777" w:rsidR="00A4606E" w:rsidRPr="00923237" w:rsidRDefault="00A4606E" w:rsidP="00F31DC2">
            <w:pPr>
              <w:pStyle w:val="NoSpacing"/>
              <w:rPr>
                <w:rFonts w:cstheme="minorHAnsi"/>
                <w:sz w:val="20"/>
                <w:szCs w:val="20"/>
              </w:rPr>
            </w:pPr>
          </w:p>
        </w:tc>
        <w:tc>
          <w:tcPr>
            <w:tcW w:w="466" w:type="pct"/>
            <w:hideMark/>
          </w:tcPr>
          <w:p w14:paraId="49102725" w14:textId="77777777" w:rsidR="00A4606E" w:rsidRPr="00923237" w:rsidRDefault="00A4606E" w:rsidP="00F31DC2">
            <w:pPr>
              <w:pStyle w:val="NoSpacing"/>
              <w:rPr>
                <w:rFonts w:cstheme="minorHAnsi"/>
                <w:sz w:val="20"/>
                <w:szCs w:val="20"/>
              </w:rPr>
            </w:pPr>
          </w:p>
        </w:tc>
        <w:tc>
          <w:tcPr>
            <w:tcW w:w="466" w:type="pct"/>
            <w:hideMark/>
          </w:tcPr>
          <w:p w14:paraId="0BBA93A8" w14:textId="77777777" w:rsidR="00A4606E" w:rsidRPr="00923237" w:rsidRDefault="00A4606E" w:rsidP="00F31DC2">
            <w:pPr>
              <w:pStyle w:val="NoSpacing"/>
              <w:rPr>
                <w:rFonts w:cstheme="minorHAnsi"/>
                <w:sz w:val="20"/>
                <w:szCs w:val="20"/>
              </w:rPr>
            </w:pPr>
          </w:p>
        </w:tc>
        <w:tc>
          <w:tcPr>
            <w:tcW w:w="466" w:type="pct"/>
            <w:hideMark/>
          </w:tcPr>
          <w:p w14:paraId="0FBF4603" w14:textId="77777777" w:rsidR="00A4606E" w:rsidRPr="00923237" w:rsidRDefault="00A4606E" w:rsidP="00F31DC2">
            <w:pPr>
              <w:pStyle w:val="NoSpacing"/>
              <w:rPr>
                <w:rFonts w:cstheme="minorHAnsi"/>
                <w:sz w:val="20"/>
                <w:szCs w:val="20"/>
              </w:rPr>
            </w:pPr>
          </w:p>
        </w:tc>
        <w:tc>
          <w:tcPr>
            <w:tcW w:w="466" w:type="pct"/>
            <w:hideMark/>
          </w:tcPr>
          <w:p w14:paraId="37ED9A7C" w14:textId="77777777" w:rsidR="00A4606E" w:rsidRPr="00923237" w:rsidRDefault="00A4606E" w:rsidP="00F31DC2">
            <w:pPr>
              <w:pStyle w:val="NoSpacing"/>
              <w:rPr>
                <w:rFonts w:cstheme="minorHAnsi"/>
                <w:sz w:val="20"/>
                <w:szCs w:val="20"/>
              </w:rPr>
            </w:pPr>
            <w:r w:rsidRPr="00923237">
              <w:rPr>
                <w:rFonts w:cstheme="minorHAnsi"/>
                <w:sz w:val="20"/>
                <w:szCs w:val="20"/>
              </w:rPr>
              <w:t>−0.0017***</w:t>
            </w:r>
          </w:p>
        </w:tc>
        <w:tc>
          <w:tcPr>
            <w:tcW w:w="466" w:type="pct"/>
            <w:hideMark/>
          </w:tcPr>
          <w:p w14:paraId="314C6622" w14:textId="77777777" w:rsidR="00A4606E" w:rsidRPr="00923237" w:rsidRDefault="00A4606E" w:rsidP="00F31DC2">
            <w:pPr>
              <w:pStyle w:val="NoSpacing"/>
              <w:rPr>
                <w:rFonts w:cstheme="minorHAnsi"/>
                <w:sz w:val="20"/>
                <w:szCs w:val="20"/>
              </w:rPr>
            </w:pPr>
            <w:r w:rsidRPr="00923237">
              <w:rPr>
                <w:rFonts w:cstheme="minorHAnsi"/>
                <w:sz w:val="20"/>
                <w:szCs w:val="20"/>
              </w:rPr>
              <w:t>−0.0019***</w:t>
            </w:r>
          </w:p>
        </w:tc>
        <w:tc>
          <w:tcPr>
            <w:tcW w:w="427" w:type="pct"/>
            <w:hideMark/>
          </w:tcPr>
          <w:p w14:paraId="5AF6ED15" w14:textId="77777777" w:rsidR="00A4606E" w:rsidRPr="00923237" w:rsidRDefault="00A4606E" w:rsidP="00F31DC2">
            <w:pPr>
              <w:pStyle w:val="NoSpacing"/>
              <w:rPr>
                <w:rFonts w:cstheme="minorHAnsi"/>
                <w:sz w:val="20"/>
                <w:szCs w:val="20"/>
              </w:rPr>
            </w:pPr>
            <w:r w:rsidRPr="00923237">
              <w:rPr>
                <w:rFonts w:cstheme="minorHAnsi"/>
                <w:sz w:val="20"/>
                <w:szCs w:val="20"/>
              </w:rPr>
              <w:t>−0.0054**</w:t>
            </w:r>
          </w:p>
        </w:tc>
        <w:tc>
          <w:tcPr>
            <w:tcW w:w="466" w:type="pct"/>
            <w:hideMark/>
          </w:tcPr>
          <w:p w14:paraId="4DF22A73" w14:textId="77777777" w:rsidR="00A4606E" w:rsidRPr="00923237" w:rsidRDefault="00A4606E" w:rsidP="00F31DC2">
            <w:pPr>
              <w:pStyle w:val="NoSpacing"/>
              <w:rPr>
                <w:rFonts w:cstheme="minorHAnsi"/>
                <w:sz w:val="20"/>
                <w:szCs w:val="20"/>
              </w:rPr>
            </w:pPr>
            <w:r w:rsidRPr="00923237">
              <w:rPr>
                <w:rFonts w:cstheme="minorHAnsi"/>
                <w:sz w:val="20"/>
                <w:szCs w:val="20"/>
              </w:rPr>
              <w:t>−0.0014**</w:t>
            </w:r>
          </w:p>
        </w:tc>
      </w:tr>
      <w:tr w:rsidR="00A4606E" w:rsidRPr="00923237" w14:paraId="0DB686A8" w14:textId="77777777" w:rsidTr="00F727E1">
        <w:tc>
          <w:tcPr>
            <w:tcW w:w="1311" w:type="pct"/>
            <w:hideMark/>
          </w:tcPr>
          <w:p w14:paraId="4085A0DA" w14:textId="77777777" w:rsidR="00A4606E" w:rsidRPr="00923237" w:rsidRDefault="00A4606E" w:rsidP="00F31DC2">
            <w:pPr>
              <w:pStyle w:val="NoSpacing"/>
              <w:rPr>
                <w:rFonts w:cstheme="minorHAnsi"/>
                <w:sz w:val="20"/>
                <w:szCs w:val="20"/>
              </w:rPr>
            </w:pPr>
          </w:p>
        </w:tc>
        <w:tc>
          <w:tcPr>
            <w:tcW w:w="466" w:type="pct"/>
            <w:hideMark/>
          </w:tcPr>
          <w:p w14:paraId="6178A69B" w14:textId="77777777" w:rsidR="00A4606E" w:rsidRPr="00923237" w:rsidRDefault="00A4606E" w:rsidP="00F31DC2">
            <w:pPr>
              <w:pStyle w:val="NoSpacing"/>
              <w:rPr>
                <w:rFonts w:cstheme="minorHAnsi"/>
                <w:sz w:val="20"/>
                <w:szCs w:val="20"/>
              </w:rPr>
            </w:pPr>
          </w:p>
        </w:tc>
        <w:tc>
          <w:tcPr>
            <w:tcW w:w="466" w:type="pct"/>
            <w:hideMark/>
          </w:tcPr>
          <w:p w14:paraId="6C9C7939" w14:textId="77777777" w:rsidR="00A4606E" w:rsidRPr="00923237" w:rsidRDefault="00A4606E" w:rsidP="00F31DC2">
            <w:pPr>
              <w:pStyle w:val="NoSpacing"/>
              <w:rPr>
                <w:rFonts w:cstheme="minorHAnsi"/>
                <w:sz w:val="20"/>
                <w:szCs w:val="20"/>
              </w:rPr>
            </w:pPr>
          </w:p>
        </w:tc>
        <w:tc>
          <w:tcPr>
            <w:tcW w:w="466" w:type="pct"/>
            <w:hideMark/>
          </w:tcPr>
          <w:p w14:paraId="49E375A5" w14:textId="77777777" w:rsidR="00A4606E" w:rsidRPr="00923237" w:rsidRDefault="00A4606E" w:rsidP="00F31DC2">
            <w:pPr>
              <w:pStyle w:val="NoSpacing"/>
              <w:rPr>
                <w:rFonts w:cstheme="minorHAnsi"/>
                <w:sz w:val="20"/>
                <w:szCs w:val="20"/>
              </w:rPr>
            </w:pPr>
          </w:p>
        </w:tc>
        <w:tc>
          <w:tcPr>
            <w:tcW w:w="466" w:type="pct"/>
            <w:hideMark/>
          </w:tcPr>
          <w:p w14:paraId="3625112F" w14:textId="77777777" w:rsidR="00A4606E" w:rsidRPr="00923237" w:rsidRDefault="00A4606E" w:rsidP="00F31DC2">
            <w:pPr>
              <w:pStyle w:val="NoSpacing"/>
              <w:rPr>
                <w:rFonts w:cstheme="minorHAnsi"/>
                <w:sz w:val="20"/>
                <w:szCs w:val="20"/>
              </w:rPr>
            </w:pPr>
          </w:p>
        </w:tc>
        <w:tc>
          <w:tcPr>
            <w:tcW w:w="466" w:type="pct"/>
            <w:hideMark/>
          </w:tcPr>
          <w:p w14:paraId="47111489" w14:textId="77777777" w:rsidR="00A4606E" w:rsidRPr="00923237" w:rsidRDefault="00A4606E" w:rsidP="00F31DC2">
            <w:pPr>
              <w:pStyle w:val="NoSpacing"/>
              <w:rPr>
                <w:rFonts w:cstheme="minorHAnsi"/>
                <w:sz w:val="20"/>
                <w:szCs w:val="20"/>
              </w:rPr>
            </w:pPr>
            <w:r w:rsidRPr="00923237">
              <w:rPr>
                <w:rFonts w:cstheme="minorHAnsi"/>
                <w:sz w:val="20"/>
                <w:szCs w:val="20"/>
              </w:rPr>
              <w:t>[0.000]</w:t>
            </w:r>
          </w:p>
        </w:tc>
        <w:tc>
          <w:tcPr>
            <w:tcW w:w="466" w:type="pct"/>
            <w:hideMark/>
          </w:tcPr>
          <w:p w14:paraId="754DAB26" w14:textId="77777777" w:rsidR="00A4606E" w:rsidRPr="00923237" w:rsidRDefault="00A4606E" w:rsidP="00F31DC2">
            <w:pPr>
              <w:pStyle w:val="NoSpacing"/>
              <w:rPr>
                <w:rFonts w:cstheme="minorHAnsi"/>
                <w:sz w:val="20"/>
                <w:szCs w:val="20"/>
              </w:rPr>
            </w:pPr>
            <w:r w:rsidRPr="00923237">
              <w:rPr>
                <w:rFonts w:cstheme="minorHAnsi"/>
                <w:sz w:val="20"/>
                <w:szCs w:val="20"/>
              </w:rPr>
              <w:t>[0.000]</w:t>
            </w:r>
          </w:p>
        </w:tc>
        <w:tc>
          <w:tcPr>
            <w:tcW w:w="427" w:type="pct"/>
            <w:hideMark/>
          </w:tcPr>
          <w:p w14:paraId="3FABD9C6" w14:textId="77777777" w:rsidR="00A4606E" w:rsidRPr="00923237" w:rsidRDefault="00A4606E" w:rsidP="00F31DC2">
            <w:pPr>
              <w:pStyle w:val="NoSpacing"/>
              <w:rPr>
                <w:rFonts w:cstheme="minorHAnsi"/>
                <w:sz w:val="20"/>
                <w:szCs w:val="20"/>
              </w:rPr>
            </w:pPr>
            <w:r w:rsidRPr="00923237">
              <w:rPr>
                <w:rFonts w:cstheme="minorHAnsi"/>
                <w:sz w:val="20"/>
                <w:szCs w:val="20"/>
              </w:rPr>
              <w:t>[0.014]</w:t>
            </w:r>
          </w:p>
        </w:tc>
        <w:tc>
          <w:tcPr>
            <w:tcW w:w="466" w:type="pct"/>
            <w:hideMark/>
          </w:tcPr>
          <w:p w14:paraId="3ECE5C45" w14:textId="77777777" w:rsidR="00A4606E" w:rsidRPr="00923237" w:rsidRDefault="00A4606E" w:rsidP="00F31DC2">
            <w:pPr>
              <w:pStyle w:val="NoSpacing"/>
              <w:rPr>
                <w:rFonts w:cstheme="minorHAnsi"/>
                <w:sz w:val="20"/>
                <w:szCs w:val="20"/>
              </w:rPr>
            </w:pPr>
            <w:r w:rsidRPr="00923237">
              <w:rPr>
                <w:rFonts w:cstheme="minorHAnsi"/>
                <w:sz w:val="20"/>
                <w:szCs w:val="20"/>
              </w:rPr>
              <w:t>[0.043]</w:t>
            </w:r>
          </w:p>
        </w:tc>
      </w:tr>
      <w:tr w:rsidR="00A4606E" w:rsidRPr="00923237" w14:paraId="614872B0" w14:textId="77777777" w:rsidTr="00F727E1">
        <w:tc>
          <w:tcPr>
            <w:tcW w:w="1311" w:type="pct"/>
            <w:hideMark/>
          </w:tcPr>
          <w:p w14:paraId="2E58885D" w14:textId="77777777" w:rsidR="00A4606E" w:rsidRPr="00923237" w:rsidRDefault="00A4606E" w:rsidP="00F31DC2">
            <w:pPr>
              <w:pStyle w:val="NoSpacing"/>
              <w:rPr>
                <w:rFonts w:cstheme="minorHAnsi"/>
                <w:sz w:val="20"/>
                <w:szCs w:val="20"/>
              </w:rPr>
            </w:pPr>
            <w:r w:rsidRPr="00923237">
              <w:rPr>
                <w:rFonts w:cstheme="minorHAnsi"/>
                <w:sz w:val="20"/>
                <w:szCs w:val="20"/>
              </w:rPr>
              <w:t>Negative leverage</w:t>
            </w:r>
          </w:p>
        </w:tc>
        <w:tc>
          <w:tcPr>
            <w:tcW w:w="466" w:type="pct"/>
            <w:hideMark/>
          </w:tcPr>
          <w:p w14:paraId="15742D82" w14:textId="77777777" w:rsidR="00A4606E" w:rsidRPr="00923237" w:rsidRDefault="00A4606E" w:rsidP="00F31DC2">
            <w:pPr>
              <w:pStyle w:val="NoSpacing"/>
              <w:rPr>
                <w:rFonts w:cstheme="minorHAnsi"/>
                <w:sz w:val="20"/>
                <w:szCs w:val="20"/>
              </w:rPr>
            </w:pPr>
          </w:p>
        </w:tc>
        <w:tc>
          <w:tcPr>
            <w:tcW w:w="466" w:type="pct"/>
            <w:hideMark/>
          </w:tcPr>
          <w:p w14:paraId="25027FE9" w14:textId="77777777" w:rsidR="00A4606E" w:rsidRPr="00923237" w:rsidRDefault="00A4606E" w:rsidP="00F31DC2">
            <w:pPr>
              <w:pStyle w:val="NoSpacing"/>
              <w:rPr>
                <w:rFonts w:cstheme="minorHAnsi"/>
                <w:sz w:val="20"/>
                <w:szCs w:val="20"/>
              </w:rPr>
            </w:pPr>
          </w:p>
        </w:tc>
        <w:tc>
          <w:tcPr>
            <w:tcW w:w="466" w:type="pct"/>
            <w:hideMark/>
          </w:tcPr>
          <w:p w14:paraId="6BF1E383" w14:textId="77777777" w:rsidR="00A4606E" w:rsidRPr="00923237" w:rsidRDefault="00A4606E" w:rsidP="00F31DC2">
            <w:pPr>
              <w:pStyle w:val="NoSpacing"/>
              <w:rPr>
                <w:rFonts w:cstheme="minorHAnsi"/>
                <w:sz w:val="20"/>
                <w:szCs w:val="20"/>
              </w:rPr>
            </w:pPr>
          </w:p>
        </w:tc>
        <w:tc>
          <w:tcPr>
            <w:tcW w:w="466" w:type="pct"/>
            <w:hideMark/>
          </w:tcPr>
          <w:p w14:paraId="39B1F893" w14:textId="77777777" w:rsidR="00A4606E" w:rsidRPr="00923237" w:rsidRDefault="00A4606E" w:rsidP="00F31DC2">
            <w:pPr>
              <w:pStyle w:val="NoSpacing"/>
              <w:rPr>
                <w:rFonts w:cstheme="minorHAnsi"/>
                <w:sz w:val="20"/>
                <w:szCs w:val="20"/>
              </w:rPr>
            </w:pPr>
          </w:p>
        </w:tc>
        <w:tc>
          <w:tcPr>
            <w:tcW w:w="466" w:type="pct"/>
            <w:hideMark/>
          </w:tcPr>
          <w:p w14:paraId="7B99ED1A" w14:textId="77777777" w:rsidR="00A4606E" w:rsidRPr="00923237" w:rsidRDefault="00A4606E" w:rsidP="00F31DC2">
            <w:pPr>
              <w:pStyle w:val="NoSpacing"/>
              <w:rPr>
                <w:rFonts w:cstheme="minorHAnsi"/>
                <w:sz w:val="20"/>
                <w:szCs w:val="20"/>
              </w:rPr>
            </w:pPr>
          </w:p>
        </w:tc>
        <w:tc>
          <w:tcPr>
            <w:tcW w:w="466" w:type="pct"/>
            <w:hideMark/>
          </w:tcPr>
          <w:p w14:paraId="5B29E625" w14:textId="77777777" w:rsidR="00A4606E" w:rsidRPr="00923237" w:rsidRDefault="00A4606E" w:rsidP="00F31DC2">
            <w:pPr>
              <w:pStyle w:val="NoSpacing"/>
              <w:rPr>
                <w:rFonts w:cstheme="minorHAnsi"/>
                <w:sz w:val="20"/>
                <w:szCs w:val="20"/>
              </w:rPr>
            </w:pPr>
            <w:r w:rsidRPr="00923237">
              <w:rPr>
                <w:rFonts w:cstheme="minorHAnsi"/>
                <w:sz w:val="20"/>
                <w:szCs w:val="20"/>
              </w:rPr>
              <w:t>−0.0238**</w:t>
            </w:r>
          </w:p>
        </w:tc>
        <w:tc>
          <w:tcPr>
            <w:tcW w:w="427" w:type="pct"/>
            <w:hideMark/>
          </w:tcPr>
          <w:p w14:paraId="716F0243" w14:textId="77777777" w:rsidR="00A4606E" w:rsidRPr="00923237" w:rsidRDefault="00A4606E" w:rsidP="00F31DC2">
            <w:pPr>
              <w:pStyle w:val="NoSpacing"/>
              <w:rPr>
                <w:rFonts w:cstheme="minorHAnsi"/>
                <w:sz w:val="20"/>
                <w:szCs w:val="20"/>
              </w:rPr>
            </w:pPr>
            <w:r w:rsidRPr="00923237">
              <w:rPr>
                <w:rFonts w:cstheme="minorHAnsi"/>
                <w:sz w:val="20"/>
                <w:szCs w:val="20"/>
              </w:rPr>
              <w:t>0.0750</w:t>
            </w:r>
          </w:p>
        </w:tc>
        <w:tc>
          <w:tcPr>
            <w:tcW w:w="466" w:type="pct"/>
            <w:hideMark/>
          </w:tcPr>
          <w:p w14:paraId="4AB6C8F6" w14:textId="77777777" w:rsidR="00A4606E" w:rsidRPr="00923237" w:rsidRDefault="00A4606E" w:rsidP="00F31DC2">
            <w:pPr>
              <w:pStyle w:val="NoSpacing"/>
              <w:rPr>
                <w:rFonts w:cstheme="minorHAnsi"/>
                <w:sz w:val="20"/>
                <w:szCs w:val="20"/>
              </w:rPr>
            </w:pPr>
            <w:r w:rsidRPr="00923237">
              <w:rPr>
                <w:rFonts w:cstheme="minorHAnsi"/>
                <w:sz w:val="20"/>
                <w:szCs w:val="20"/>
              </w:rPr>
              <w:t>−0.0914***</w:t>
            </w:r>
          </w:p>
        </w:tc>
      </w:tr>
      <w:tr w:rsidR="00A4606E" w:rsidRPr="00923237" w14:paraId="3052EC1E" w14:textId="77777777" w:rsidTr="00F727E1">
        <w:tc>
          <w:tcPr>
            <w:tcW w:w="1311" w:type="pct"/>
            <w:hideMark/>
          </w:tcPr>
          <w:p w14:paraId="3364A44D" w14:textId="77777777" w:rsidR="00A4606E" w:rsidRPr="00923237" w:rsidRDefault="00A4606E" w:rsidP="00F31DC2">
            <w:pPr>
              <w:pStyle w:val="NoSpacing"/>
              <w:rPr>
                <w:rFonts w:cstheme="minorHAnsi"/>
                <w:sz w:val="20"/>
                <w:szCs w:val="20"/>
              </w:rPr>
            </w:pPr>
          </w:p>
        </w:tc>
        <w:tc>
          <w:tcPr>
            <w:tcW w:w="466" w:type="pct"/>
            <w:hideMark/>
          </w:tcPr>
          <w:p w14:paraId="36FFFA0F" w14:textId="77777777" w:rsidR="00A4606E" w:rsidRPr="00923237" w:rsidRDefault="00A4606E" w:rsidP="00F31DC2">
            <w:pPr>
              <w:pStyle w:val="NoSpacing"/>
              <w:rPr>
                <w:rFonts w:cstheme="minorHAnsi"/>
                <w:sz w:val="20"/>
                <w:szCs w:val="20"/>
              </w:rPr>
            </w:pPr>
          </w:p>
        </w:tc>
        <w:tc>
          <w:tcPr>
            <w:tcW w:w="466" w:type="pct"/>
            <w:hideMark/>
          </w:tcPr>
          <w:p w14:paraId="1528F45C" w14:textId="77777777" w:rsidR="00A4606E" w:rsidRPr="00923237" w:rsidRDefault="00A4606E" w:rsidP="00F31DC2">
            <w:pPr>
              <w:pStyle w:val="NoSpacing"/>
              <w:rPr>
                <w:rFonts w:cstheme="minorHAnsi"/>
                <w:sz w:val="20"/>
                <w:szCs w:val="20"/>
              </w:rPr>
            </w:pPr>
          </w:p>
        </w:tc>
        <w:tc>
          <w:tcPr>
            <w:tcW w:w="466" w:type="pct"/>
            <w:hideMark/>
          </w:tcPr>
          <w:p w14:paraId="5F3317E8" w14:textId="77777777" w:rsidR="00A4606E" w:rsidRPr="00923237" w:rsidRDefault="00A4606E" w:rsidP="00F31DC2">
            <w:pPr>
              <w:pStyle w:val="NoSpacing"/>
              <w:rPr>
                <w:rFonts w:cstheme="minorHAnsi"/>
                <w:sz w:val="20"/>
                <w:szCs w:val="20"/>
              </w:rPr>
            </w:pPr>
          </w:p>
        </w:tc>
        <w:tc>
          <w:tcPr>
            <w:tcW w:w="466" w:type="pct"/>
            <w:hideMark/>
          </w:tcPr>
          <w:p w14:paraId="4628F8BF" w14:textId="77777777" w:rsidR="00A4606E" w:rsidRPr="00923237" w:rsidRDefault="00A4606E" w:rsidP="00F31DC2">
            <w:pPr>
              <w:pStyle w:val="NoSpacing"/>
              <w:rPr>
                <w:rFonts w:cstheme="minorHAnsi"/>
                <w:sz w:val="20"/>
                <w:szCs w:val="20"/>
              </w:rPr>
            </w:pPr>
          </w:p>
        </w:tc>
        <w:tc>
          <w:tcPr>
            <w:tcW w:w="466" w:type="pct"/>
            <w:hideMark/>
          </w:tcPr>
          <w:p w14:paraId="2CDB8C95" w14:textId="77777777" w:rsidR="00A4606E" w:rsidRPr="00923237" w:rsidRDefault="00A4606E" w:rsidP="00F31DC2">
            <w:pPr>
              <w:pStyle w:val="NoSpacing"/>
              <w:rPr>
                <w:rFonts w:cstheme="minorHAnsi"/>
                <w:sz w:val="20"/>
                <w:szCs w:val="20"/>
              </w:rPr>
            </w:pPr>
          </w:p>
        </w:tc>
        <w:tc>
          <w:tcPr>
            <w:tcW w:w="466" w:type="pct"/>
            <w:hideMark/>
          </w:tcPr>
          <w:p w14:paraId="7DACF7C2" w14:textId="77777777" w:rsidR="00A4606E" w:rsidRPr="00923237" w:rsidRDefault="00A4606E" w:rsidP="00F31DC2">
            <w:pPr>
              <w:pStyle w:val="NoSpacing"/>
              <w:rPr>
                <w:rFonts w:cstheme="minorHAnsi"/>
                <w:sz w:val="20"/>
                <w:szCs w:val="20"/>
              </w:rPr>
            </w:pPr>
            <w:r w:rsidRPr="00923237">
              <w:rPr>
                <w:rFonts w:cstheme="minorHAnsi"/>
                <w:sz w:val="20"/>
                <w:szCs w:val="20"/>
              </w:rPr>
              <w:t>[0.028]</w:t>
            </w:r>
          </w:p>
        </w:tc>
        <w:tc>
          <w:tcPr>
            <w:tcW w:w="427" w:type="pct"/>
            <w:hideMark/>
          </w:tcPr>
          <w:p w14:paraId="6FA9C030" w14:textId="77777777" w:rsidR="00A4606E" w:rsidRPr="00923237" w:rsidRDefault="00A4606E" w:rsidP="00F31DC2">
            <w:pPr>
              <w:pStyle w:val="NoSpacing"/>
              <w:rPr>
                <w:rFonts w:cstheme="minorHAnsi"/>
                <w:sz w:val="20"/>
                <w:szCs w:val="20"/>
              </w:rPr>
            </w:pPr>
            <w:r w:rsidRPr="00923237">
              <w:rPr>
                <w:rFonts w:cstheme="minorHAnsi"/>
                <w:sz w:val="20"/>
                <w:szCs w:val="20"/>
              </w:rPr>
              <w:t>[0.101]</w:t>
            </w:r>
          </w:p>
        </w:tc>
        <w:tc>
          <w:tcPr>
            <w:tcW w:w="466" w:type="pct"/>
            <w:hideMark/>
          </w:tcPr>
          <w:p w14:paraId="5E3EF53C" w14:textId="77777777" w:rsidR="00A4606E" w:rsidRPr="00923237" w:rsidRDefault="00A4606E" w:rsidP="00F31DC2">
            <w:pPr>
              <w:pStyle w:val="NoSpacing"/>
              <w:rPr>
                <w:rFonts w:cstheme="minorHAnsi"/>
                <w:sz w:val="20"/>
                <w:szCs w:val="20"/>
              </w:rPr>
            </w:pPr>
            <w:r w:rsidRPr="00923237">
              <w:rPr>
                <w:rFonts w:cstheme="minorHAnsi"/>
                <w:sz w:val="20"/>
                <w:szCs w:val="20"/>
              </w:rPr>
              <w:t>[0.009]</w:t>
            </w:r>
          </w:p>
        </w:tc>
      </w:tr>
      <w:tr w:rsidR="00A4606E" w:rsidRPr="00923237" w14:paraId="133EF137" w14:textId="77777777" w:rsidTr="00F727E1">
        <w:tc>
          <w:tcPr>
            <w:tcW w:w="1311" w:type="pct"/>
            <w:hideMark/>
          </w:tcPr>
          <w:p w14:paraId="78391542" w14:textId="77777777" w:rsidR="00A4606E" w:rsidRPr="00923237" w:rsidRDefault="00A4606E" w:rsidP="00F31DC2">
            <w:pPr>
              <w:pStyle w:val="NoSpacing"/>
              <w:rPr>
                <w:rFonts w:cstheme="minorHAnsi"/>
                <w:sz w:val="20"/>
                <w:szCs w:val="20"/>
              </w:rPr>
            </w:pPr>
            <w:r w:rsidRPr="00923237">
              <w:rPr>
                <w:rFonts w:cstheme="minorHAnsi"/>
                <w:sz w:val="20"/>
                <w:szCs w:val="20"/>
              </w:rPr>
              <w:t>Cumulative return 1/2007–2/2009</w:t>
            </w:r>
          </w:p>
        </w:tc>
        <w:tc>
          <w:tcPr>
            <w:tcW w:w="466" w:type="pct"/>
            <w:hideMark/>
          </w:tcPr>
          <w:p w14:paraId="40F1876D" w14:textId="77777777" w:rsidR="00A4606E" w:rsidRPr="00923237" w:rsidRDefault="00A4606E" w:rsidP="00F31DC2">
            <w:pPr>
              <w:pStyle w:val="NoSpacing"/>
              <w:rPr>
                <w:rFonts w:cstheme="minorHAnsi"/>
                <w:sz w:val="20"/>
                <w:szCs w:val="20"/>
              </w:rPr>
            </w:pPr>
            <w:r w:rsidRPr="00923237">
              <w:rPr>
                <w:rFonts w:cstheme="minorHAnsi"/>
                <w:sz w:val="20"/>
                <w:szCs w:val="20"/>
              </w:rPr>
              <w:t>0.0050</w:t>
            </w:r>
          </w:p>
        </w:tc>
        <w:tc>
          <w:tcPr>
            <w:tcW w:w="466" w:type="pct"/>
            <w:hideMark/>
          </w:tcPr>
          <w:p w14:paraId="0CE54395" w14:textId="77777777" w:rsidR="00A4606E" w:rsidRPr="00923237" w:rsidRDefault="00A4606E" w:rsidP="00F31DC2">
            <w:pPr>
              <w:pStyle w:val="NoSpacing"/>
              <w:rPr>
                <w:rFonts w:cstheme="minorHAnsi"/>
                <w:sz w:val="20"/>
                <w:szCs w:val="20"/>
              </w:rPr>
            </w:pPr>
            <w:r w:rsidRPr="00923237">
              <w:rPr>
                <w:rFonts w:cstheme="minorHAnsi"/>
                <w:sz w:val="20"/>
                <w:szCs w:val="20"/>
              </w:rPr>
              <w:t>0.0097</w:t>
            </w:r>
          </w:p>
        </w:tc>
        <w:tc>
          <w:tcPr>
            <w:tcW w:w="466" w:type="pct"/>
            <w:hideMark/>
          </w:tcPr>
          <w:p w14:paraId="525E5C95" w14:textId="77777777" w:rsidR="00A4606E" w:rsidRPr="00923237" w:rsidRDefault="00A4606E" w:rsidP="00F31DC2">
            <w:pPr>
              <w:pStyle w:val="NoSpacing"/>
              <w:rPr>
                <w:rFonts w:cstheme="minorHAnsi"/>
                <w:sz w:val="20"/>
                <w:szCs w:val="20"/>
              </w:rPr>
            </w:pPr>
            <w:r w:rsidRPr="00923237">
              <w:rPr>
                <w:rFonts w:cstheme="minorHAnsi"/>
                <w:sz w:val="20"/>
                <w:szCs w:val="20"/>
              </w:rPr>
              <w:t>0.0095</w:t>
            </w:r>
          </w:p>
        </w:tc>
        <w:tc>
          <w:tcPr>
            <w:tcW w:w="466" w:type="pct"/>
            <w:hideMark/>
          </w:tcPr>
          <w:p w14:paraId="0912957A" w14:textId="77777777" w:rsidR="00A4606E" w:rsidRPr="00923237" w:rsidRDefault="00A4606E" w:rsidP="00F31DC2">
            <w:pPr>
              <w:pStyle w:val="NoSpacing"/>
              <w:rPr>
                <w:rFonts w:cstheme="minorHAnsi"/>
                <w:sz w:val="20"/>
                <w:szCs w:val="20"/>
              </w:rPr>
            </w:pPr>
            <w:r w:rsidRPr="00923237">
              <w:rPr>
                <w:rFonts w:cstheme="minorHAnsi"/>
                <w:sz w:val="20"/>
                <w:szCs w:val="20"/>
              </w:rPr>
              <w:t>0.0092</w:t>
            </w:r>
          </w:p>
        </w:tc>
        <w:tc>
          <w:tcPr>
            <w:tcW w:w="466" w:type="pct"/>
            <w:hideMark/>
          </w:tcPr>
          <w:p w14:paraId="28FD1887" w14:textId="77777777" w:rsidR="00A4606E" w:rsidRPr="00923237" w:rsidRDefault="00A4606E" w:rsidP="00F31DC2">
            <w:pPr>
              <w:pStyle w:val="NoSpacing"/>
              <w:rPr>
                <w:rFonts w:cstheme="minorHAnsi"/>
                <w:sz w:val="20"/>
                <w:szCs w:val="20"/>
              </w:rPr>
            </w:pPr>
            <w:r w:rsidRPr="00923237">
              <w:rPr>
                <w:rFonts w:cstheme="minorHAnsi"/>
                <w:sz w:val="20"/>
                <w:szCs w:val="20"/>
              </w:rPr>
              <w:t>0.0092</w:t>
            </w:r>
          </w:p>
        </w:tc>
        <w:tc>
          <w:tcPr>
            <w:tcW w:w="466" w:type="pct"/>
            <w:hideMark/>
          </w:tcPr>
          <w:p w14:paraId="10A2B728" w14:textId="77777777" w:rsidR="00A4606E" w:rsidRPr="00923237" w:rsidRDefault="00A4606E" w:rsidP="00F31DC2">
            <w:pPr>
              <w:pStyle w:val="NoSpacing"/>
              <w:rPr>
                <w:rFonts w:cstheme="minorHAnsi"/>
                <w:sz w:val="20"/>
                <w:szCs w:val="20"/>
              </w:rPr>
            </w:pPr>
            <w:r w:rsidRPr="00923237">
              <w:rPr>
                <w:rFonts w:cstheme="minorHAnsi"/>
                <w:sz w:val="20"/>
                <w:szCs w:val="20"/>
              </w:rPr>
              <w:t>0.0131</w:t>
            </w:r>
          </w:p>
        </w:tc>
        <w:tc>
          <w:tcPr>
            <w:tcW w:w="427" w:type="pct"/>
            <w:hideMark/>
          </w:tcPr>
          <w:p w14:paraId="4D593147" w14:textId="77777777" w:rsidR="00A4606E" w:rsidRPr="00923237" w:rsidRDefault="00A4606E" w:rsidP="00F31DC2">
            <w:pPr>
              <w:pStyle w:val="NoSpacing"/>
              <w:rPr>
                <w:rFonts w:cstheme="minorHAnsi"/>
                <w:sz w:val="20"/>
                <w:szCs w:val="20"/>
              </w:rPr>
            </w:pPr>
            <w:r w:rsidRPr="00923237">
              <w:rPr>
                <w:rFonts w:cstheme="minorHAnsi"/>
                <w:sz w:val="20"/>
                <w:szCs w:val="20"/>
              </w:rPr>
              <w:t>−0.0011</w:t>
            </w:r>
          </w:p>
        </w:tc>
        <w:tc>
          <w:tcPr>
            <w:tcW w:w="466" w:type="pct"/>
            <w:hideMark/>
          </w:tcPr>
          <w:p w14:paraId="71C45006" w14:textId="77777777" w:rsidR="00A4606E" w:rsidRPr="00923237" w:rsidRDefault="00A4606E" w:rsidP="00F31DC2">
            <w:pPr>
              <w:pStyle w:val="NoSpacing"/>
              <w:rPr>
                <w:rFonts w:cstheme="minorHAnsi"/>
                <w:sz w:val="20"/>
                <w:szCs w:val="20"/>
              </w:rPr>
            </w:pPr>
            <w:r w:rsidRPr="00923237">
              <w:rPr>
                <w:rFonts w:cstheme="minorHAnsi"/>
                <w:sz w:val="20"/>
                <w:szCs w:val="20"/>
              </w:rPr>
              <w:t>0.0454**</w:t>
            </w:r>
          </w:p>
        </w:tc>
      </w:tr>
      <w:tr w:rsidR="00A4606E" w:rsidRPr="00923237" w14:paraId="259A1490" w14:textId="77777777" w:rsidTr="00F727E1">
        <w:tc>
          <w:tcPr>
            <w:tcW w:w="1311" w:type="pct"/>
            <w:hideMark/>
          </w:tcPr>
          <w:p w14:paraId="70B88858" w14:textId="77777777" w:rsidR="00A4606E" w:rsidRPr="00923237" w:rsidRDefault="00A4606E" w:rsidP="00F31DC2">
            <w:pPr>
              <w:pStyle w:val="NoSpacing"/>
              <w:rPr>
                <w:rFonts w:cstheme="minorHAnsi"/>
                <w:sz w:val="20"/>
                <w:szCs w:val="20"/>
              </w:rPr>
            </w:pPr>
          </w:p>
        </w:tc>
        <w:tc>
          <w:tcPr>
            <w:tcW w:w="466" w:type="pct"/>
            <w:hideMark/>
          </w:tcPr>
          <w:p w14:paraId="72538F1A" w14:textId="77777777" w:rsidR="00A4606E" w:rsidRPr="00923237" w:rsidRDefault="00A4606E" w:rsidP="00F31DC2">
            <w:pPr>
              <w:pStyle w:val="NoSpacing"/>
              <w:rPr>
                <w:rFonts w:cstheme="minorHAnsi"/>
                <w:sz w:val="20"/>
                <w:szCs w:val="20"/>
              </w:rPr>
            </w:pPr>
            <w:r w:rsidRPr="00923237">
              <w:rPr>
                <w:rFonts w:cstheme="minorHAnsi"/>
                <w:sz w:val="20"/>
                <w:szCs w:val="20"/>
              </w:rPr>
              <w:t>[0.53]</w:t>
            </w:r>
          </w:p>
        </w:tc>
        <w:tc>
          <w:tcPr>
            <w:tcW w:w="466" w:type="pct"/>
            <w:hideMark/>
          </w:tcPr>
          <w:p w14:paraId="0AA5D175" w14:textId="77777777" w:rsidR="00A4606E" w:rsidRPr="00923237" w:rsidRDefault="00A4606E" w:rsidP="00F31DC2">
            <w:pPr>
              <w:pStyle w:val="NoSpacing"/>
              <w:rPr>
                <w:rFonts w:cstheme="minorHAnsi"/>
                <w:sz w:val="20"/>
                <w:szCs w:val="20"/>
              </w:rPr>
            </w:pPr>
            <w:r w:rsidRPr="00923237">
              <w:rPr>
                <w:rFonts w:cstheme="minorHAnsi"/>
                <w:sz w:val="20"/>
                <w:szCs w:val="20"/>
              </w:rPr>
              <w:t>[0.292]</w:t>
            </w:r>
          </w:p>
        </w:tc>
        <w:tc>
          <w:tcPr>
            <w:tcW w:w="466" w:type="pct"/>
            <w:hideMark/>
          </w:tcPr>
          <w:p w14:paraId="16613678" w14:textId="77777777" w:rsidR="00A4606E" w:rsidRPr="00923237" w:rsidRDefault="00A4606E" w:rsidP="00F31DC2">
            <w:pPr>
              <w:pStyle w:val="NoSpacing"/>
              <w:rPr>
                <w:rFonts w:cstheme="minorHAnsi"/>
                <w:sz w:val="20"/>
                <w:szCs w:val="20"/>
              </w:rPr>
            </w:pPr>
            <w:r w:rsidRPr="00923237">
              <w:rPr>
                <w:rFonts w:cstheme="minorHAnsi"/>
                <w:sz w:val="20"/>
                <w:szCs w:val="20"/>
              </w:rPr>
              <w:t>[0.301]</w:t>
            </w:r>
          </w:p>
        </w:tc>
        <w:tc>
          <w:tcPr>
            <w:tcW w:w="466" w:type="pct"/>
            <w:hideMark/>
          </w:tcPr>
          <w:p w14:paraId="2A735F94" w14:textId="77777777" w:rsidR="00A4606E" w:rsidRPr="00923237" w:rsidRDefault="00A4606E" w:rsidP="00F31DC2">
            <w:pPr>
              <w:pStyle w:val="NoSpacing"/>
              <w:rPr>
                <w:rFonts w:cstheme="minorHAnsi"/>
                <w:sz w:val="20"/>
                <w:szCs w:val="20"/>
              </w:rPr>
            </w:pPr>
            <w:r w:rsidRPr="00923237">
              <w:rPr>
                <w:rFonts w:cstheme="minorHAnsi"/>
                <w:sz w:val="20"/>
                <w:szCs w:val="20"/>
              </w:rPr>
              <w:t>[0.31]</w:t>
            </w:r>
          </w:p>
        </w:tc>
        <w:tc>
          <w:tcPr>
            <w:tcW w:w="466" w:type="pct"/>
            <w:hideMark/>
          </w:tcPr>
          <w:p w14:paraId="27267D45" w14:textId="77777777" w:rsidR="00A4606E" w:rsidRPr="00923237" w:rsidRDefault="00A4606E" w:rsidP="00F31DC2">
            <w:pPr>
              <w:pStyle w:val="NoSpacing"/>
              <w:rPr>
                <w:rFonts w:cstheme="minorHAnsi"/>
                <w:sz w:val="20"/>
                <w:szCs w:val="20"/>
              </w:rPr>
            </w:pPr>
            <w:r w:rsidRPr="00923237">
              <w:rPr>
                <w:rFonts w:cstheme="minorHAnsi"/>
                <w:sz w:val="20"/>
                <w:szCs w:val="20"/>
              </w:rPr>
              <w:t>[0.309]</w:t>
            </w:r>
          </w:p>
        </w:tc>
        <w:tc>
          <w:tcPr>
            <w:tcW w:w="466" w:type="pct"/>
            <w:hideMark/>
          </w:tcPr>
          <w:p w14:paraId="0AA08501" w14:textId="77777777" w:rsidR="00A4606E" w:rsidRPr="00923237" w:rsidRDefault="00A4606E" w:rsidP="00F31DC2">
            <w:pPr>
              <w:pStyle w:val="NoSpacing"/>
              <w:rPr>
                <w:rFonts w:cstheme="minorHAnsi"/>
                <w:sz w:val="20"/>
                <w:szCs w:val="20"/>
              </w:rPr>
            </w:pPr>
            <w:r w:rsidRPr="00923237">
              <w:rPr>
                <w:rFonts w:cstheme="minorHAnsi"/>
                <w:sz w:val="20"/>
                <w:szCs w:val="20"/>
              </w:rPr>
              <w:t>[0.171]</w:t>
            </w:r>
          </w:p>
        </w:tc>
        <w:tc>
          <w:tcPr>
            <w:tcW w:w="427" w:type="pct"/>
            <w:hideMark/>
          </w:tcPr>
          <w:p w14:paraId="4B1B2F09" w14:textId="77777777" w:rsidR="00A4606E" w:rsidRPr="00923237" w:rsidRDefault="00A4606E" w:rsidP="00F31DC2">
            <w:pPr>
              <w:pStyle w:val="NoSpacing"/>
              <w:rPr>
                <w:rFonts w:cstheme="minorHAnsi"/>
                <w:sz w:val="20"/>
                <w:szCs w:val="20"/>
              </w:rPr>
            </w:pPr>
            <w:r w:rsidRPr="00923237">
              <w:rPr>
                <w:rFonts w:cstheme="minorHAnsi"/>
                <w:sz w:val="20"/>
                <w:szCs w:val="20"/>
              </w:rPr>
              <w:t>[0.95]</w:t>
            </w:r>
          </w:p>
        </w:tc>
        <w:tc>
          <w:tcPr>
            <w:tcW w:w="466" w:type="pct"/>
            <w:hideMark/>
          </w:tcPr>
          <w:p w14:paraId="6CE84488" w14:textId="77777777" w:rsidR="00A4606E" w:rsidRPr="00923237" w:rsidRDefault="00A4606E" w:rsidP="00F31DC2">
            <w:pPr>
              <w:pStyle w:val="NoSpacing"/>
              <w:rPr>
                <w:rFonts w:cstheme="minorHAnsi"/>
                <w:sz w:val="20"/>
                <w:szCs w:val="20"/>
              </w:rPr>
            </w:pPr>
            <w:r w:rsidRPr="00923237">
              <w:rPr>
                <w:rFonts w:cstheme="minorHAnsi"/>
                <w:sz w:val="20"/>
                <w:szCs w:val="20"/>
              </w:rPr>
              <w:t>[0.03]</w:t>
            </w:r>
          </w:p>
        </w:tc>
      </w:tr>
      <w:tr w:rsidR="00A4606E" w:rsidRPr="00923237" w14:paraId="63062A49" w14:textId="77777777" w:rsidTr="00F727E1">
        <w:tc>
          <w:tcPr>
            <w:tcW w:w="1311" w:type="pct"/>
            <w:hideMark/>
          </w:tcPr>
          <w:p w14:paraId="2313953B" w14:textId="77777777" w:rsidR="00A4606E" w:rsidRPr="00923237" w:rsidRDefault="00A4606E" w:rsidP="00F31DC2">
            <w:pPr>
              <w:pStyle w:val="NoSpacing"/>
              <w:rPr>
                <w:rFonts w:cstheme="minorHAnsi"/>
                <w:sz w:val="20"/>
                <w:szCs w:val="20"/>
              </w:rPr>
            </w:pPr>
            <w:proofErr w:type="gramStart"/>
            <w:r w:rsidRPr="00923237">
              <w:rPr>
                <w:rFonts w:cstheme="minorHAnsi"/>
                <w:sz w:val="20"/>
                <w:szCs w:val="20"/>
              </w:rPr>
              <w:t>Ln(</w:t>
            </w:r>
            <w:proofErr w:type="gramEnd"/>
            <w:r w:rsidRPr="00923237">
              <w:rPr>
                <w:rFonts w:cstheme="minorHAnsi"/>
                <w:sz w:val="20"/>
                <w:szCs w:val="20"/>
              </w:rPr>
              <w:t>total assets)</w:t>
            </w:r>
          </w:p>
        </w:tc>
        <w:tc>
          <w:tcPr>
            <w:tcW w:w="466" w:type="pct"/>
            <w:hideMark/>
          </w:tcPr>
          <w:p w14:paraId="4150C5C3" w14:textId="77777777" w:rsidR="00A4606E" w:rsidRPr="00923237" w:rsidRDefault="00A4606E" w:rsidP="00F31DC2">
            <w:pPr>
              <w:pStyle w:val="NoSpacing"/>
              <w:rPr>
                <w:rFonts w:cstheme="minorHAnsi"/>
                <w:sz w:val="20"/>
                <w:szCs w:val="20"/>
              </w:rPr>
            </w:pPr>
            <w:r w:rsidRPr="00923237">
              <w:rPr>
                <w:rFonts w:cstheme="minorHAnsi"/>
                <w:sz w:val="20"/>
                <w:szCs w:val="20"/>
              </w:rPr>
              <w:t>−0.0323***</w:t>
            </w:r>
          </w:p>
        </w:tc>
        <w:tc>
          <w:tcPr>
            <w:tcW w:w="466" w:type="pct"/>
            <w:hideMark/>
          </w:tcPr>
          <w:p w14:paraId="52BF8EB3" w14:textId="77777777" w:rsidR="00A4606E" w:rsidRPr="00923237" w:rsidRDefault="00A4606E" w:rsidP="00F31DC2">
            <w:pPr>
              <w:pStyle w:val="NoSpacing"/>
              <w:rPr>
                <w:rFonts w:cstheme="minorHAnsi"/>
                <w:sz w:val="20"/>
                <w:szCs w:val="20"/>
              </w:rPr>
            </w:pPr>
            <w:r w:rsidRPr="00923237">
              <w:rPr>
                <w:rFonts w:cstheme="minorHAnsi"/>
                <w:sz w:val="20"/>
                <w:szCs w:val="20"/>
              </w:rPr>
              <w:t>−0.0189**</w:t>
            </w:r>
          </w:p>
        </w:tc>
        <w:tc>
          <w:tcPr>
            <w:tcW w:w="466" w:type="pct"/>
            <w:hideMark/>
          </w:tcPr>
          <w:p w14:paraId="19D24019" w14:textId="77777777" w:rsidR="00A4606E" w:rsidRPr="00923237" w:rsidRDefault="00A4606E" w:rsidP="00F31DC2">
            <w:pPr>
              <w:pStyle w:val="NoSpacing"/>
              <w:rPr>
                <w:rFonts w:cstheme="minorHAnsi"/>
                <w:sz w:val="20"/>
                <w:szCs w:val="20"/>
              </w:rPr>
            </w:pPr>
            <w:r w:rsidRPr="00923237">
              <w:rPr>
                <w:rFonts w:cstheme="minorHAnsi"/>
                <w:sz w:val="20"/>
                <w:szCs w:val="20"/>
              </w:rPr>
              <w:t>−0.0190**</w:t>
            </w:r>
          </w:p>
        </w:tc>
        <w:tc>
          <w:tcPr>
            <w:tcW w:w="466" w:type="pct"/>
            <w:hideMark/>
          </w:tcPr>
          <w:p w14:paraId="31F1B51B" w14:textId="77777777" w:rsidR="00A4606E" w:rsidRPr="00923237" w:rsidRDefault="00A4606E" w:rsidP="00F31DC2">
            <w:pPr>
              <w:pStyle w:val="NoSpacing"/>
              <w:rPr>
                <w:rFonts w:cstheme="minorHAnsi"/>
                <w:sz w:val="20"/>
                <w:szCs w:val="20"/>
              </w:rPr>
            </w:pPr>
            <w:r w:rsidRPr="00923237">
              <w:rPr>
                <w:rFonts w:cstheme="minorHAnsi"/>
                <w:sz w:val="20"/>
                <w:szCs w:val="20"/>
              </w:rPr>
              <w:t>−0.0195**</w:t>
            </w:r>
          </w:p>
        </w:tc>
        <w:tc>
          <w:tcPr>
            <w:tcW w:w="466" w:type="pct"/>
            <w:hideMark/>
          </w:tcPr>
          <w:p w14:paraId="20BDA53A" w14:textId="77777777" w:rsidR="00A4606E" w:rsidRPr="00923237" w:rsidRDefault="00A4606E" w:rsidP="00F31DC2">
            <w:pPr>
              <w:pStyle w:val="NoSpacing"/>
              <w:rPr>
                <w:rFonts w:cstheme="minorHAnsi"/>
                <w:sz w:val="20"/>
                <w:szCs w:val="20"/>
              </w:rPr>
            </w:pPr>
            <w:r w:rsidRPr="00923237">
              <w:rPr>
                <w:rFonts w:cstheme="minorHAnsi"/>
                <w:sz w:val="20"/>
                <w:szCs w:val="20"/>
              </w:rPr>
              <w:t>−0.0175**</w:t>
            </w:r>
          </w:p>
        </w:tc>
        <w:tc>
          <w:tcPr>
            <w:tcW w:w="466" w:type="pct"/>
            <w:hideMark/>
          </w:tcPr>
          <w:p w14:paraId="26786270" w14:textId="77777777" w:rsidR="00A4606E" w:rsidRPr="00923237" w:rsidRDefault="00A4606E" w:rsidP="00F31DC2">
            <w:pPr>
              <w:pStyle w:val="NoSpacing"/>
              <w:rPr>
                <w:rFonts w:cstheme="minorHAnsi"/>
                <w:sz w:val="20"/>
                <w:szCs w:val="20"/>
              </w:rPr>
            </w:pPr>
            <w:r w:rsidRPr="00923237">
              <w:rPr>
                <w:rFonts w:cstheme="minorHAnsi"/>
                <w:sz w:val="20"/>
                <w:szCs w:val="20"/>
              </w:rPr>
              <w:t>−0.0011</w:t>
            </w:r>
          </w:p>
        </w:tc>
        <w:tc>
          <w:tcPr>
            <w:tcW w:w="427" w:type="pct"/>
            <w:hideMark/>
          </w:tcPr>
          <w:p w14:paraId="73651749" w14:textId="77777777" w:rsidR="00A4606E" w:rsidRPr="00923237" w:rsidRDefault="00A4606E" w:rsidP="00F31DC2">
            <w:pPr>
              <w:pStyle w:val="NoSpacing"/>
              <w:rPr>
                <w:rFonts w:cstheme="minorHAnsi"/>
                <w:sz w:val="20"/>
                <w:szCs w:val="20"/>
              </w:rPr>
            </w:pPr>
            <w:r w:rsidRPr="00923237">
              <w:rPr>
                <w:rFonts w:cstheme="minorHAnsi"/>
                <w:sz w:val="20"/>
                <w:szCs w:val="20"/>
              </w:rPr>
              <w:t>0.1601**</w:t>
            </w:r>
          </w:p>
        </w:tc>
        <w:tc>
          <w:tcPr>
            <w:tcW w:w="466" w:type="pct"/>
            <w:hideMark/>
          </w:tcPr>
          <w:p w14:paraId="083B38FE" w14:textId="77777777" w:rsidR="00A4606E" w:rsidRPr="00923237" w:rsidRDefault="00A4606E" w:rsidP="00F31DC2">
            <w:pPr>
              <w:pStyle w:val="NoSpacing"/>
              <w:rPr>
                <w:rFonts w:cstheme="minorHAnsi"/>
                <w:sz w:val="20"/>
                <w:szCs w:val="20"/>
              </w:rPr>
            </w:pPr>
            <w:r w:rsidRPr="00923237">
              <w:rPr>
                <w:rFonts w:cstheme="minorHAnsi"/>
                <w:sz w:val="20"/>
                <w:szCs w:val="20"/>
              </w:rPr>
              <w:t>0.0233</w:t>
            </w:r>
          </w:p>
        </w:tc>
      </w:tr>
      <w:tr w:rsidR="00A4606E" w:rsidRPr="00923237" w14:paraId="03E78501" w14:textId="77777777" w:rsidTr="00F727E1">
        <w:tc>
          <w:tcPr>
            <w:tcW w:w="1311" w:type="pct"/>
            <w:hideMark/>
          </w:tcPr>
          <w:p w14:paraId="7E910D54" w14:textId="77777777" w:rsidR="00A4606E" w:rsidRPr="00923237" w:rsidRDefault="00A4606E" w:rsidP="00F31DC2">
            <w:pPr>
              <w:pStyle w:val="NoSpacing"/>
              <w:rPr>
                <w:rFonts w:cstheme="minorHAnsi"/>
                <w:sz w:val="20"/>
                <w:szCs w:val="20"/>
              </w:rPr>
            </w:pPr>
          </w:p>
        </w:tc>
        <w:tc>
          <w:tcPr>
            <w:tcW w:w="466" w:type="pct"/>
            <w:hideMark/>
          </w:tcPr>
          <w:p w14:paraId="1DB9556A" w14:textId="77777777" w:rsidR="00A4606E" w:rsidRPr="00923237" w:rsidRDefault="00A4606E" w:rsidP="00F31DC2">
            <w:pPr>
              <w:pStyle w:val="NoSpacing"/>
              <w:rPr>
                <w:rFonts w:cstheme="minorHAnsi"/>
                <w:sz w:val="20"/>
                <w:szCs w:val="20"/>
              </w:rPr>
            </w:pPr>
            <w:r w:rsidRPr="00923237">
              <w:rPr>
                <w:rFonts w:cstheme="minorHAnsi"/>
                <w:sz w:val="20"/>
                <w:szCs w:val="20"/>
              </w:rPr>
              <w:t>[&lt;0.0001]</w:t>
            </w:r>
          </w:p>
        </w:tc>
        <w:tc>
          <w:tcPr>
            <w:tcW w:w="466" w:type="pct"/>
            <w:hideMark/>
          </w:tcPr>
          <w:p w14:paraId="6A0E8DC2" w14:textId="77777777" w:rsidR="00A4606E" w:rsidRPr="00923237" w:rsidRDefault="00A4606E" w:rsidP="00F31DC2">
            <w:pPr>
              <w:pStyle w:val="NoSpacing"/>
              <w:rPr>
                <w:rFonts w:cstheme="minorHAnsi"/>
                <w:sz w:val="20"/>
                <w:szCs w:val="20"/>
              </w:rPr>
            </w:pPr>
            <w:r w:rsidRPr="00923237">
              <w:rPr>
                <w:rFonts w:cstheme="minorHAnsi"/>
                <w:sz w:val="20"/>
                <w:szCs w:val="20"/>
              </w:rPr>
              <w:t>[0.032]</w:t>
            </w:r>
          </w:p>
        </w:tc>
        <w:tc>
          <w:tcPr>
            <w:tcW w:w="466" w:type="pct"/>
            <w:hideMark/>
          </w:tcPr>
          <w:p w14:paraId="4B614BE7" w14:textId="77777777" w:rsidR="00A4606E" w:rsidRPr="00923237" w:rsidRDefault="00A4606E" w:rsidP="00F31DC2">
            <w:pPr>
              <w:pStyle w:val="NoSpacing"/>
              <w:rPr>
                <w:rFonts w:cstheme="minorHAnsi"/>
                <w:sz w:val="20"/>
                <w:szCs w:val="20"/>
              </w:rPr>
            </w:pPr>
            <w:r w:rsidRPr="00923237">
              <w:rPr>
                <w:rFonts w:cstheme="minorHAnsi"/>
                <w:sz w:val="20"/>
                <w:szCs w:val="20"/>
              </w:rPr>
              <w:t>[0.0]</w:t>
            </w:r>
          </w:p>
        </w:tc>
        <w:tc>
          <w:tcPr>
            <w:tcW w:w="466" w:type="pct"/>
            <w:hideMark/>
          </w:tcPr>
          <w:p w14:paraId="6EA9C37E" w14:textId="77777777" w:rsidR="00A4606E" w:rsidRPr="00923237" w:rsidRDefault="00A4606E" w:rsidP="00F31DC2">
            <w:pPr>
              <w:pStyle w:val="NoSpacing"/>
              <w:rPr>
                <w:rFonts w:cstheme="minorHAnsi"/>
                <w:sz w:val="20"/>
                <w:szCs w:val="20"/>
              </w:rPr>
            </w:pPr>
            <w:r w:rsidRPr="00923237">
              <w:rPr>
                <w:rFonts w:cstheme="minorHAnsi"/>
                <w:sz w:val="20"/>
                <w:szCs w:val="20"/>
              </w:rPr>
              <w:t>[0.027]</w:t>
            </w:r>
          </w:p>
        </w:tc>
        <w:tc>
          <w:tcPr>
            <w:tcW w:w="466" w:type="pct"/>
            <w:hideMark/>
          </w:tcPr>
          <w:p w14:paraId="01BDAC2B" w14:textId="77777777" w:rsidR="00A4606E" w:rsidRPr="00923237" w:rsidRDefault="00A4606E" w:rsidP="00F31DC2">
            <w:pPr>
              <w:pStyle w:val="NoSpacing"/>
              <w:rPr>
                <w:rFonts w:cstheme="minorHAnsi"/>
                <w:sz w:val="20"/>
                <w:szCs w:val="20"/>
              </w:rPr>
            </w:pPr>
            <w:r w:rsidRPr="00923237">
              <w:rPr>
                <w:rFonts w:cstheme="minorHAnsi"/>
                <w:sz w:val="20"/>
                <w:szCs w:val="20"/>
              </w:rPr>
              <w:t>[0.044]</w:t>
            </w:r>
          </w:p>
        </w:tc>
        <w:tc>
          <w:tcPr>
            <w:tcW w:w="466" w:type="pct"/>
            <w:hideMark/>
          </w:tcPr>
          <w:p w14:paraId="6482969B" w14:textId="77777777" w:rsidR="00A4606E" w:rsidRPr="00923237" w:rsidRDefault="00A4606E" w:rsidP="00F31DC2">
            <w:pPr>
              <w:pStyle w:val="NoSpacing"/>
              <w:rPr>
                <w:rFonts w:cstheme="minorHAnsi"/>
                <w:sz w:val="20"/>
                <w:szCs w:val="20"/>
              </w:rPr>
            </w:pPr>
            <w:r w:rsidRPr="00923237">
              <w:rPr>
                <w:rFonts w:cstheme="minorHAnsi"/>
                <w:sz w:val="20"/>
                <w:szCs w:val="20"/>
              </w:rPr>
              <w:t>[0.921]</w:t>
            </w:r>
          </w:p>
        </w:tc>
        <w:tc>
          <w:tcPr>
            <w:tcW w:w="427" w:type="pct"/>
            <w:hideMark/>
          </w:tcPr>
          <w:p w14:paraId="00D89FDE" w14:textId="77777777" w:rsidR="00A4606E" w:rsidRPr="00923237" w:rsidRDefault="00A4606E" w:rsidP="00F31DC2">
            <w:pPr>
              <w:pStyle w:val="NoSpacing"/>
              <w:rPr>
                <w:rFonts w:cstheme="minorHAnsi"/>
                <w:sz w:val="20"/>
                <w:szCs w:val="20"/>
              </w:rPr>
            </w:pPr>
            <w:r w:rsidRPr="00923237">
              <w:rPr>
                <w:rFonts w:cstheme="minorHAnsi"/>
                <w:sz w:val="20"/>
                <w:szCs w:val="20"/>
              </w:rPr>
              <w:t>[0.018]</w:t>
            </w:r>
          </w:p>
        </w:tc>
        <w:tc>
          <w:tcPr>
            <w:tcW w:w="466" w:type="pct"/>
            <w:hideMark/>
          </w:tcPr>
          <w:p w14:paraId="1179ACD1" w14:textId="77777777" w:rsidR="00A4606E" w:rsidRPr="00923237" w:rsidRDefault="00A4606E" w:rsidP="00F31DC2">
            <w:pPr>
              <w:pStyle w:val="NoSpacing"/>
              <w:rPr>
                <w:rFonts w:cstheme="minorHAnsi"/>
                <w:sz w:val="20"/>
                <w:szCs w:val="20"/>
              </w:rPr>
            </w:pPr>
            <w:r w:rsidRPr="00923237">
              <w:rPr>
                <w:rFonts w:cstheme="minorHAnsi"/>
                <w:sz w:val="20"/>
                <w:szCs w:val="20"/>
              </w:rPr>
              <w:t>[0.242]</w:t>
            </w:r>
          </w:p>
        </w:tc>
      </w:tr>
      <w:tr w:rsidR="00A4606E" w:rsidRPr="00923237" w14:paraId="24A94BAA" w14:textId="77777777" w:rsidTr="00F727E1">
        <w:tc>
          <w:tcPr>
            <w:tcW w:w="1311" w:type="pct"/>
            <w:hideMark/>
          </w:tcPr>
          <w:p w14:paraId="63E62362" w14:textId="77777777" w:rsidR="00A4606E" w:rsidRPr="00923237" w:rsidRDefault="00A4606E" w:rsidP="00F31DC2">
            <w:pPr>
              <w:pStyle w:val="NoSpacing"/>
              <w:rPr>
                <w:rFonts w:cstheme="minorHAnsi"/>
                <w:sz w:val="20"/>
                <w:szCs w:val="20"/>
              </w:rPr>
            </w:pPr>
            <w:r w:rsidRPr="00923237">
              <w:rPr>
                <w:rFonts w:cstheme="minorHAnsi"/>
                <w:sz w:val="20"/>
                <w:szCs w:val="20"/>
              </w:rPr>
              <w:t>Firm Q</w:t>
            </w:r>
          </w:p>
        </w:tc>
        <w:tc>
          <w:tcPr>
            <w:tcW w:w="466" w:type="pct"/>
            <w:hideMark/>
          </w:tcPr>
          <w:p w14:paraId="0EE848A6" w14:textId="77777777" w:rsidR="00A4606E" w:rsidRPr="00923237" w:rsidRDefault="00A4606E" w:rsidP="00F31DC2">
            <w:pPr>
              <w:pStyle w:val="NoSpacing"/>
              <w:rPr>
                <w:rFonts w:cstheme="minorHAnsi"/>
                <w:sz w:val="20"/>
                <w:szCs w:val="20"/>
              </w:rPr>
            </w:pPr>
            <w:r w:rsidRPr="00923237">
              <w:rPr>
                <w:rFonts w:cstheme="minorHAnsi"/>
                <w:sz w:val="20"/>
                <w:szCs w:val="20"/>
              </w:rPr>
              <w:t>−0.0137**</w:t>
            </w:r>
          </w:p>
        </w:tc>
        <w:tc>
          <w:tcPr>
            <w:tcW w:w="466" w:type="pct"/>
            <w:hideMark/>
          </w:tcPr>
          <w:p w14:paraId="0037C29A" w14:textId="77777777" w:rsidR="00A4606E" w:rsidRPr="00923237" w:rsidRDefault="00A4606E" w:rsidP="00F31DC2">
            <w:pPr>
              <w:pStyle w:val="NoSpacing"/>
              <w:rPr>
                <w:rFonts w:cstheme="minorHAnsi"/>
                <w:sz w:val="20"/>
                <w:szCs w:val="20"/>
              </w:rPr>
            </w:pPr>
            <w:r w:rsidRPr="00923237">
              <w:rPr>
                <w:rFonts w:cstheme="minorHAnsi"/>
                <w:sz w:val="20"/>
                <w:szCs w:val="20"/>
              </w:rPr>
              <w:t>−0.0161**</w:t>
            </w:r>
          </w:p>
        </w:tc>
        <w:tc>
          <w:tcPr>
            <w:tcW w:w="466" w:type="pct"/>
            <w:hideMark/>
          </w:tcPr>
          <w:p w14:paraId="76314D8E" w14:textId="77777777" w:rsidR="00A4606E" w:rsidRPr="00923237" w:rsidRDefault="00A4606E" w:rsidP="00F31DC2">
            <w:pPr>
              <w:pStyle w:val="NoSpacing"/>
              <w:rPr>
                <w:rFonts w:cstheme="minorHAnsi"/>
                <w:sz w:val="20"/>
                <w:szCs w:val="20"/>
              </w:rPr>
            </w:pPr>
            <w:r w:rsidRPr="00923237">
              <w:rPr>
                <w:rFonts w:cstheme="minorHAnsi"/>
                <w:sz w:val="20"/>
                <w:szCs w:val="20"/>
              </w:rPr>
              <w:t>−0.0157**</w:t>
            </w:r>
          </w:p>
        </w:tc>
        <w:tc>
          <w:tcPr>
            <w:tcW w:w="466" w:type="pct"/>
            <w:hideMark/>
          </w:tcPr>
          <w:p w14:paraId="5C7948F5" w14:textId="77777777" w:rsidR="00A4606E" w:rsidRPr="00923237" w:rsidRDefault="00A4606E" w:rsidP="00F31DC2">
            <w:pPr>
              <w:pStyle w:val="NoSpacing"/>
              <w:rPr>
                <w:rFonts w:cstheme="minorHAnsi"/>
                <w:sz w:val="20"/>
                <w:szCs w:val="20"/>
              </w:rPr>
            </w:pPr>
            <w:r w:rsidRPr="00923237">
              <w:rPr>
                <w:rFonts w:cstheme="minorHAnsi"/>
                <w:sz w:val="20"/>
                <w:szCs w:val="20"/>
              </w:rPr>
              <w:t>−0.0163**</w:t>
            </w:r>
          </w:p>
        </w:tc>
        <w:tc>
          <w:tcPr>
            <w:tcW w:w="466" w:type="pct"/>
            <w:hideMark/>
          </w:tcPr>
          <w:p w14:paraId="33F0B758" w14:textId="77777777" w:rsidR="00A4606E" w:rsidRPr="00923237" w:rsidRDefault="00A4606E" w:rsidP="00F31DC2">
            <w:pPr>
              <w:pStyle w:val="NoSpacing"/>
              <w:rPr>
                <w:rFonts w:cstheme="minorHAnsi"/>
                <w:sz w:val="20"/>
                <w:szCs w:val="20"/>
              </w:rPr>
            </w:pPr>
            <w:r w:rsidRPr="00923237">
              <w:rPr>
                <w:rFonts w:cstheme="minorHAnsi"/>
                <w:sz w:val="20"/>
                <w:szCs w:val="20"/>
              </w:rPr>
              <w:t>−0.0143**</w:t>
            </w:r>
          </w:p>
        </w:tc>
        <w:tc>
          <w:tcPr>
            <w:tcW w:w="466" w:type="pct"/>
            <w:hideMark/>
          </w:tcPr>
          <w:p w14:paraId="34B68ABA" w14:textId="77777777" w:rsidR="00A4606E" w:rsidRPr="00923237" w:rsidRDefault="00A4606E" w:rsidP="00F31DC2">
            <w:pPr>
              <w:pStyle w:val="NoSpacing"/>
              <w:rPr>
                <w:rFonts w:cstheme="minorHAnsi"/>
                <w:sz w:val="20"/>
                <w:szCs w:val="20"/>
              </w:rPr>
            </w:pPr>
            <w:r w:rsidRPr="00923237">
              <w:rPr>
                <w:rFonts w:cstheme="minorHAnsi"/>
                <w:sz w:val="20"/>
                <w:szCs w:val="20"/>
              </w:rPr>
              <w:t>−0.0153*</w:t>
            </w:r>
          </w:p>
        </w:tc>
        <w:tc>
          <w:tcPr>
            <w:tcW w:w="427" w:type="pct"/>
            <w:hideMark/>
          </w:tcPr>
          <w:p w14:paraId="59F4E0A7" w14:textId="77777777" w:rsidR="00A4606E" w:rsidRPr="00923237" w:rsidRDefault="00A4606E" w:rsidP="00F31DC2">
            <w:pPr>
              <w:pStyle w:val="NoSpacing"/>
              <w:rPr>
                <w:rFonts w:cstheme="minorHAnsi"/>
                <w:sz w:val="20"/>
                <w:szCs w:val="20"/>
              </w:rPr>
            </w:pPr>
            <w:r w:rsidRPr="00923237">
              <w:rPr>
                <w:rFonts w:cstheme="minorHAnsi"/>
                <w:sz w:val="20"/>
                <w:szCs w:val="20"/>
              </w:rPr>
              <w:t>0.1226*</w:t>
            </w:r>
          </w:p>
        </w:tc>
        <w:tc>
          <w:tcPr>
            <w:tcW w:w="466" w:type="pct"/>
            <w:hideMark/>
          </w:tcPr>
          <w:p w14:paraId="225B53C4" w14:textId="77777777" w:rsidR="00A4606E" w:rsidRPr="00923237" w:rsidRDefault="00A4606E" w:rsidP="00F31DC2">
            <w:pPr>
              <w:pStyle w:val="NoSpacing"/>
              <w:rPr>
                <w:rFonts w:cstheme="minorHAnsi"/>
                <w:sz w:val="20"/>
                <w:szCs w:val="20"/>
              </w:rPr>
            </w:pPr>
            <w:r w:rsidRPr="00923237">
              <w:rPr>
                <w:rFonts w:cstheme="minorHAnsi"/>
                <w:sz w:val="20"/>
                <w:szCs w:val="20"/>
              </w:rPr>
              <w:t>−0.0051</w:t>
            </w:r>
          </w:p>
        </w:tc>
      </w:tr>
      <w:tr w:rsidR="00A4606E" w:rsidRPr="00923237" w14:paraId="693F8EAD" w14:textId="77777777" w:rsidTr="00F727E1">
        <w:tc>
          <w:tcPr>
            <w:tcW w:w="1311" w:type="pct"/>
            <w:hideMark/>
          </w:tcPr>
          <w:p w14:paraId="0DC87AD9" w14:textId="77777777" w:rsidR="00A4606E" w:rsidRPr="00923237" w:rsidRDefault="00A4606E" w:rsidP="00F31DC2">
            <w:pPr>
              <w:pStyle w:val="NoSpacing"/>
              <w:rPr>
                <w:rFonts w:cstheme="minorHAnsi"/>
                <w:sz w:val="20"/>
                <w:szCs w:val="20"/>
              </w:rPr>
            </w:pPr>
          </w:p>
        </w:tc>
        <w:tc>
          <w:tcPr>
            <w:tcW w:w="466" w:type="pct"/>
            <w:hideMark/>
          </w:tcPr>
          <w:p w14:paraId="5F1D9240" w14:textId="77777777" w:rsidR="00A4606E" w:rsidRPr="00923237" w:rsidRDefault="00A4606E" w:rsidP="00F31DC2">
            <w:pPr>
              <w:pStyle w:val="NoSpacing"/>
              <w:rPr>
                <w:rFonts w:cstheme="minorHAnsi"/>
                <w:sz w:val="20"/>
                <w:szCs w:val="20"/>
              </w:rPr>
            </w:pPr>
            <w:r w:rsidRPr="00923237">
              <w:rPr>
                <w:rFonts w:cstheme="minorHAnsi"/>
                <w:sz w:val="20"/>
                <w:szCs w:val="20"/>
              </w:rPr>
              <w:t>[0.035]</w:t>
            </w:r>
          </w:p>
        </w:tc>
        <w:tc>
          <w:tcPr>
            <w:tcW w:w="466" w:type="pct"/>
            <w:hideMark/>
          </w:tcPr>
          <w:p w14:paraId="0C807CAA" w14:textId="77777777" w:rsidR="00A4606E" w:rsidRPr="00923237" w:rsidRDefault="00A4606E" w:rsidP="00F31DC2">
            <w:pPr>
              <w:pStyle w:val="NoSpacing"/>
              <w:rPr>
                <w:rFonts w:cstheme="minorHAnsi"/>
                <w:sz w:val="20"/>
                <w:szCs w:val="20"/>
              </w:rPr>
            </w:pPr>
            <w:r w:rsidRPr="00923237">
              <w:rPr>
                <w:rFonts w:cstheme="minorHAnsi"/>
                <w:sz w:val="20"/>
                <w:szCs w:val="20"/>
              </w:rPr>
              <w:t>[0.022]</w:t>
            </w:r>
          </w:p>
        </w:tc>
        <w:tc>
          <w:tcPr>
            <w:tcW w:w="466" w:type="pct"/>
            <w:hideMark/>
          </w:tcPr>
          <w:p w14:paraId="383B5050" w14:textId="77777777" w:rsidR="00A4606E" w:rsidRPr="00923237" w:rsidRDefault="00A4606E" w:rsidP="00F31DC2">
            <w:pPr>
              <w:pStyle w:val="NoSpacing"/>
              <w:rPr>
                <w:rFonts w:cstheme="minorHAnsi"/>
                <w:sz w:val="20"/>
                <w:szCs w:val="20"/>
              </w:rPr>
            </w:pPr>
            <w:r w:rsidRPr="00923237">
              <w:rPr>
                <w:rFonts w:cstheme="minorHAnsi"/>
                <w:sz w:val="20"/>
                <w:szCs w:val="20"/>
              </w:rPr>
              <w:t>[0.025]</w:t>
            </w:r>
          </w:p>
        </w:tc>
        <w:tc>
          <w:tcPr>
            <w:tcW w:w="466" w:type="pct"/>
            <w:hideMark/>
          </w:tcPr>
          <w:p w14:paraId="5684DCA3" w14:textId="77777777" w:rsidR="00A4606E" w:rsidRPr="00923237" w:rsidRDefault="00A4606E" w:rsidP="00F31DC2">
            <w:pPr>
              <w:pStyle w:val="NoSpacing"/>
              <w:rPr>
                <w:rFonts w:cstheme="minorHAnsi"/>
                <w:sz w:val="20"/>
                <w:szCs w:val="20"/>
              </w:rPr>
            </w:pPr>
            <w:r w:rsidRPr="00923237">
              <w:rPr>
                <w:rFonts w:cstheme="minorHAnsi"/>
                <w:sz w:val="20"/>
                <w:szCs w:val="20"/>
              </w:rPr>
              <w:t>[0.02]</w:t>
            </w:r>
          </w:p>
        </w:tc>
        <w:tc>
          <w:tcPr>
            <w:tcW w:w="466" w:type="pct"/>
            <w:hideMark/>
          </w:tcPr>
          <w:p w14:paraId="42112F4F" w14:textId="77777777" w:rsidR="00A4606E" w:rsidRPr="00923237" w:rsidRDefault="00A4606E" w:rsidP="00F31DC2">
            <w:pPr>
              <w:pStyle w:val="NoSpacing"/>
              <w:rPr>
                <w:rFonts w:cstheme="minorHAnsi"/>
                <w:sz w:val="20"/>
                <w:szCs w:val="20"/>
              </w:rPr>
            </w:pPr>
            <w:r w:rsidRPr="00923237">
              <w:rPr>
                <w:rFonts w:cstheme="minorHAnsi"/>
                <w:sz w:val="20"/>
                <w:szCs w:val="20"/>
              </w:rPr>
              <w:t>[0.040]</w:t>
            </w:r>
          </w:p>
        </w:tc>
        <w:tc>
          <w:tcPr>
            <w:tcW w:w="466" w:type="pct"/>
            <w:hideMark/>
          </w:tcPr>
          <w:p w14:paraId="2850B83A" w14:textId="77777777" w:rsidR="00A4606E" w:rsidRPr="00923237" w:rsidRDefault="00A4606E" w:rsidP="00F31DC2">
            <w:pPr>
              <w:pStyle w:val="NoSpacing"/>
              <w:rPr>
                <w:rFonts w:cstheme="minorHAnsi"/>
                <w:sz w:val="20"/>
                <w:szCs w:val="20"/>
              </w:rPr>
            </w:pPr>
            <w:r w:rsidRPr="00923237">
              <w:rPr>
                <w:rFonts w:cstheme="minorHAnsi"/>
                <w:sz w:val="20"/>
                <w:szCs w:val="20"/>
              </w:rPr>
              <w:t>[0.062]</w:t>
            </w:r>
          </w:p>
        </w:tc>
        <w:tc>
          <w:tcPr>
            <w:tcW w:w="427" w:type="pct"/>
            <w:hideMark/>
          </w:tcPr>
          <w:p w14:paraId="3BB84A55" w14:textId="77777777" w:rsidR="00A4606E" w:rsidRPr="00923237" w:rsidRDefault="00A4606E" w:rsidP="00F31DC2">
            <w:pPr>
              <w:pStyle w:val="NoSpacing"/>
              <w:rPr>
                <w:rFonts w:cstheme="minorHAnsi"/>
                <w:sz w:val="20"/>
                <w:szCs w:val="20"/>
              </w:rPr>
            </w:pPr>
            <w:r w:rsidRPr="00923237">
              <w:rPr>
                <w:rFonts w:cstheme="minorHAnsi"/>
                <w:sz w:val="20"/>
                <w:szCs w:val="20"/>
              </w:rPr>
              <w:t>[0.080]</w:t>
            </w:r>
          </w:p>
        </w:tc>
        <w:tc>
          <w:tcPr>
            <w:tcW w:w="466" w:type="pct"/>
            <w:hideMark/>
          </w:tcPr>
          <w:p w14:paraId="280880BD" w14:textId="77777777" w:rsidR="00A4606E" w:rsidRPr="00923237" w:rsidRDefault="00A4606E" w:rsidP="00F31DC2">
            <w:pPr>
              <w:pStyle w:val="NoSpacing"/>
              <w:rPr>
                <w:rFonts w:cstheme="minorHAnsi"/>
                <w:sz w:val="20"/>
                <w:szCs w:val="20"/>
              </w:rPr>
            </w:pPr>
            <w:r w:rsidRPr="00923237">
              <w:rPr>
                <w:rFonts w:cstheme="minorHAnsi"/>
                <w:sz w:val="20"/>
                <w:szCs w:val="20"/>
              </w:rPr>
              <w:t>[0.595]</w:t>
            </w:r>
          </w:p>
        </w:tc>
      </w:tr>
      <w:tr w:rsidR="00A4606E" w:rsidRPr="00923237" w14:paraId="4F36FED3" w14:textId="77777777" w:rsidTr="00F727E1">
        <w:tc>
          <w:tcPr>
            <w:tcW w:w="1311" w:type="pct"/>
            <w:hideMark/>
          </w:tcPr>
          <w:p w14:paraId="46516FA5" w14:textId="77777777" w:rsidR="00A4606E" w:rsidRPr="00923237" w:rsidRDefault="00A4606E" w:rsidP="00F31DC2">
            <w:pPr>
              <w:pStyle w:val="NoSpacing"/>
              <w:rPr>
                <w:rFonts w:cstheme="minorHAnsi"/>
                <w:sz w:val="20"/>
                <w:szCs w:val="20"/>
              </w:rPr>
            </w:pPr>
            <w:r w:rsidRPr="00923237">
              <w:rPr>
                <w:rFonts w:cstheme="minorHAnsi"/>
                <w:sz w:val="20"/>
                <w:szCs w:val="20"/>
              </w:rPr>
              <w:t>Cash/total assets</w:t>
            </w:r>
          </w:p>
        </w:tc>
        <w:tc>
          <w:tcPr>
            <w:tcW w:w="466" w:type="pct"/>
            <w:hideMark/>
          </w:tcPr>
          <w:p w14:paraId="3D34DCE4" w14:textId="77777777" w:rsidR="00A4606E" w:rsidRPr="00923237" w:rsidRDefault="00A4606E" w:rsidP="00F31DC2">
            <w:pPr>
              <w:pStyle w:val="NoSpacing"/>
              <w:rPr>
                <w:rFonts w:cstheme="minorHAnsi"/>
                <w:sz w:val="20"/>
                <w:szCs w:val="20"/>
              </w:rPr>
            </w:pPr>
            <w:r w:rsidRPr="00923237">
              <w:rPr>
                <w:rFonts w:cstheme="minorHAnsi"/>
                <w:sz w:val="20"/>
                <w:szCs w:val="20"/>
              </w:rPr>
              <w:t>−0.0258*</w:t>
            </w:r>
          </w:p>
        </w:tc>
        <w:tc>
          <w:tcPr>
            <w:tcW w:w="466" w:type="pct"/>
            <w:hideMark/>
          </w:tcPr>
          <w:p w14:paraId="300AE967" w14:textId="77777777" w:rsidR="00A4606E" w:rsidRPr="00923237" w:rsidRDefault="00A4606E" w:rsidP="00F31DC2">
            <w:pPr>
              <w:pStyle w:val="NoSpacing"/>
              <w:rPr>
                <w:rFonts w:cstheme="minorHAnsi"/>
                <w:sz w:val="20"/>
                <w:szCs w:val="20"/>
              </w:rPr>
            </w:pPr>
            <w:r w:rsidRPr="00923237">
              <w:rPr>
                <w:rFonts w:cstheme="minorHAnsi"/>
                <w:sz w:val="20"/>
                <w:szCs w:val="20"/>
              </w:rPr>
              <w:t>−0.0336*</w:t>
            </w:r>
          </w:p>
        </w:tc>
        <w:tc>
          <w:tcPr>
            <w:tcW w:w="466" w:type="pct"/>
            <w:hideMark/>
          </w:tcPr>
          <w:p w14:paraId="2DA8CE57" w14:textId="77777777" w:rsidR="00A4606E" w:rsidRPr="00923237" w:rsidRDefault="00A4606E" w:rsidP="00F31DC2">
            <w:pPr>
              <w:pStyle w:val="NoSpacing"/>
              <w:rPr>
                <w:rFonts w:cstheme="minorHAnsi"/>
                <w:sz w:val="20"/>
                <w:szCs w:val="20"/>
              </w:rPr>
            </w:pPr>
            <w:r w:rsidRPr="00923237">
              <w:rPr>
                <w:rFonts w:cstheme="minorHAnsi"/>
                <w:sz w:val="20"/>
                <w:szCs w:val="20"/>
              </w:rPr>
              <w:t>−0.0343*</w:t>
            </w:r>
          </w:p>
        </w:tc>
        <w:tc>
          <w:tcPr>
            <w:tcW w:w="466" w:type="pct"/>
            <w:hideMark/>
          </w:tcPr>
          <w:p w14:paraId="4000A2BE" w14:textId="77777777" w:rsidR="00A4606E" w:rsidRPr="00923237" w:rsidRDefault="00A4606E" w:rsidP="00F31DC2">
            <w:pPr>
              <w:pStyle w:val="NoSpacing"/>
              <w:rPr>
                <w:rFonts w:cstheme="minorHAnsi"/>
                <w:sz w:val="20"/>
                <w:szCs w:val="20"/>
              </w:rPr>
            </w:pPr>
            <w:r w:rsidRPr="00923237">
              <w:rPr>
                <w:rFonts w:cstheme="minorHAnsi"/>
                <w:sz w:val="20"/>
                <w:szCs w:val="20"/>
              </w:rPr>
              <w:t>−0.0337*</w:t>
            </w:r>
          </w:p>
        </w:tc>
        <w:tc>
          <w:tcPr>
            <w:tcW w:w="466" w:type="pct"/>
            <w:hideMark/>
          </w:tcPr>
          <w:p w14:paraId="73702345" w14:textId="77777777" w:rsidR="00A4606E" w:rsidRPr="00923237" w:rsidRDefault="00A4606E" w:rsidP="00F31DC2">
            <w:pPr>
              <w:pStyle w:val="NoSpacing"/>
              <w:rPr>
                <w:rFonts w:cstheme="minorHAnsi"/>
                <w:sz w:val="20"/>
                <w:szCs w:val="20"/>
              </w:rPr>
            </w:pPr>
            <w:r w:rsidRPr="00923237">
              <w:rPr>
                <w:rFonts w:cstheme="minorHAnsi"/>
                <w:sz w:val="20"/>
                <w:szCs w:val="20"/>
              </w:rPr>
              <w:t>−0.0330*</w:t>
            </w:r>
          </w:p>
        </w:tc>
        <w:tc>
          <w:tcPr>
            <w:tcW w:w="466" w:type="pct"/>
            <w:hideMark/>
          </w:tcPr>
          <w:p w14:paraId="3005FC83" w14:textId="77777777" w:rsidR="00A4606E" w:rsidRPr="00923237" w:rsidRDefault="00A4606E" w:rsidP="00F31DC2">
            <w:pPr>
              <w:pStyle w:val="NoSpacing"/>
              <w:rPr>
                <w:rFonts w:cstheme="minorHAnsi"/>
                <w:sz w:val="20"/>
                <w:szCs w:val="20"/>
              </w:rPr>
            </w:pPr>
            <w:r w:rsidRPr="00923237">
              <w:rPr>
                <w:rFonts w:cstheme="minorHAnsi"/>
                <w:sz w:val="20"/>
                <w:szCs w:val="20"/>
              </w:rPr>
              <w:t>−0.0327</w:t>
            </w:r>
          </w:p>
        </w:tc>
        <w:tc>
          <w:tcPr>
            <w:tcW w:w="427" w:type="pct"/>
            <w:hideMark/>
          </w:tcPr>
          <w:p w14:paraId="70B4FD89" w14:textId="77777777" w:rsidR="00A4606E" w:rsidRPr="00923237" w:rsidRDefault="00A4606E" w:rsidP="00F31DC2">
            <w:pPr>
              <w:pStyle w:val="NoSpacing"/>
              <w:rPr>
                <w:rFonts w:cstheme="minorHAnsi"/>
                <w:sz w:val="20"/>
                <w:szCs w:val="20"/>
              </w:rPr>
            </w:pPr>
            <w:r w:rsidRPr="00923237">
              <w:rPr>
                <w:rFonts w:cstheme="minorHAnsi"/>
                <w:sz w:val="20"/>
                <w:szCs w:val="20"/>
              </w:rPr>
              <w:t>−0.1144</w:t>
            </w:r>
          </w:p>
        </w:tc>
        <w:tc>
          <w:tcPr>
            <w:tcW w:w="466" w:type="pct"/>
            <w:hideMark/>
          </w:tcPr>
          <w:p w14:paraId="6A6F69B4" w14:textId="77777777" w:rsidR="00A4606E" w:rsidRPr="00923237" w:rsidRDefault="00A4606E" w:rsidP="00F31DC2">
            <w:pPr>
              <w:pStyle w:val="NoSpacing"/>
              <w:rPr>
                <w:rFonts w:cstheme="minorHAnsi"/>
                <w:sz w:val="20"/>
                <w:szCs w:val="20"/>
              </w:rPr>
            </w:pPr>
            <w:r w:rsidRPr="00923237">
              <w:rPr>
                <w:rFonts w:cstheme="minorHAnsi"/>
                <w:sz w:val="20"/>
                <w:szCs w:val="20"/>
              </w:rPr>
              <w:t>−0.0362*</w:t>
            </w:r>
          </w:p>
        </w:tc>
      </w:tr>
      <w:tr w:rsidR="00A4606E" w:rsidRPr="00923237" w14:paraId="117DB4BB" w14:textId="77777777" w:rsidTr="00F727E1">
        <w:tc>
          <w:tcPr>
            <w:tcW w:w="1311" w:type="pct"/>
            <w:hideMark/>
          </w:tcPr>
          <w:p w14:paraId="0BDAB5BA" w14:textId="77777777" w:rsidR="00A4606E" w:rsidRPr="00923237" w:rsidRDefault="00A4606E" w:rsidP="00F31DC2">
            <w:pPr>
              <w:pStyle w:val="NoSpacing"/>
              <w:rPr>
                <w:rFonts w:cstheme="minorHAnsi"/>
                <w:sz w:val="20"/>
                <w:szCs w:val="20"/>
              </w:rPr>
            </w:pPr>
          </w:p>
        </w:tc>
        <w:tc>
          <w:tcPr>
            <w:tcW w:w="466" w:type="pct"/>
            <w:hideMark/>
          </w:tcPr>
          <w:p w14:paraId="607A6893" w14:textId="77777777" w:rsidR="00A4606E" w:rsidRPr="00923237" w:rsidRDefault="00A4606E" w:rsidP="00F31DC2">
            <w:pPr>
              <w:pStyle w:val="NoSpacing"/>
              <w:rPr>
                <w:rFonts w:cstheme="minorHAnsi"/>
                <w:sz w:val="20"/>
                <w:szCs w:val="20"/>
              </w:rPr>
            </w:pPr>
            <w:r w:rsidRPr="00923237">
              <w:rPr>
                <w:rFonts w:cstheme="minorHAnsi"/>
                <w:sz w:val="20"/>
                <w:szCs w:val="20"/>
              </w:rPr>
              <w:t>[0.076]</w:t>
            </w:r>
          </w:p>
        </w:tc>
        <w:tc>
          <w:tcPr>
            <w:tcW w:w="466" w:type="pct"/>
            <w:hideMark/>
          </w:tcPr>
          <w:p w14:paraId="530ABE98" w14:textId="77777777" w:rsidR="00A4606E" w:rsidRPr="00923237" w:rsidRDefault="00A4606E" w:rsidP="00F31DC2">
            <w:pPr>
              <w:pStyle w:val="NoSpacing"/>
              <w:rPr>
                <w:rFonts w:cstheme="minorHAnsi"/>
                <w:sz w:val="20"/>
                <w:szCs w:val="20"/>
              </w:rPr>
            </w:pPr>
            <w:r w:rsidRPr="00923237">
              <w:rPr>
                <w:rFonts w:cstheme="minorHAnsi"/>
                <w:sz w:val="20"/>
                <w:szCs w:val="20"/>
              </w:rPr>
              <w:t>[0.081]</w:t>
            </w:r>
          </w:p>
        </w:tc>
        <w:tc>
          <w:tcPr>
            <w:tcW w:w="466" w:type="pct"/>
            <w:hideMark/>
          </w:tcPr>
          <w:p w14:paraId="5E3EBC56" w14:textId="77777777" w:rsidR="00A4606E" w:rsidRPr="00923237" w:rsidRDefault="00A4606E" w:rsidP="00F31DC2">
            <w:pPr>
              <w:pStyle w:val="NoSpacing"/>
              <w:rPr>
                <w:rFonts w:cstheme="minorHAnsi"/>
                <w:sz w:val="20"/>
                <w:szCs w:val="20"/>
              </w:rPr>
            </w:pPr>
            <w:r w:rsidRPr="00923237">
              <w:rPr>
                <w:rFonts w:cstheme="minorHAnsi"/>
                <w:sz w:val="20"/>
                <w:szCs w:val="20"/>
              </w:rPr>
              <w:t>[0.07]</w:t>
            </w:r>
          </w:p>
        </w:tc>
        <w:tc>
          <w:tcPr>
            <w:tcW w:w="466" w:type="pct"/>
            <w:hideMark/>
          </w:tcPr>
          <w:p w14:paraId="27CC1765" w14:textId="77777777" w:rsidR="00A4606E" w:rsidRPr="00923237" w:rsidRDefault="00A4606E" w:rsidP="00F31DC2">
            <w:pPr>
              <w:pStyle w:val="NoSpacing"/>
              <w:rPr>
                <w:rFonts w:cstheme="minorHAnsi"/>
                <w:sz w:val="20"/>
                <w:szCs w:val="20"/>
              </w:rPr>
            </w:pPr>
            <w:r w:rsidRPr="00923237">
              <w:rPr>
                <w:rFonts w:cstheme="minorHAnsi"/>
                <w:sz w:val="20"/>
                <w:szCs w:val="20"/>
              </w:rPr>
              <w:t>[0.080]</w:t>
            </w:r>
          </w:p>
        </w:tc>
        <w:tc>
          <w:tcPr>
            <w:tcW w:w="466" w:type="pct"/>
            <w:hideMark/>
          </w:tcPr>
          <w:p w14:paraId="5BAA4399" w14:textId="77777777" w:rsidR="00A4606E" w:rsidRPr="00923237" w:rsidRDefault="00A4606E" w:rsidP="00F31DC2">
            <w:pPr>
              <w:pStyle w:val="NoSpacing"/>
              <w:rPr>
                <w:rFonts w:cstheme="minorHAnsi"/>
                <w:sz w:val="20"/>
                <w:szCs w:val="20"/>
              </w:rPr>
            </w:pPr>
            <w:r w:rsidRPr="00923237">
              <w:rPr>
                <w:rFonts w:cstheme="minorHAnsi"/>
                <w:sz w:val="20"/>
                <w:szCs w:val="20"/>
              </w:rPr>
              <w:t>[0.082]</w:t>
            </w:r>
          </w:p>
        </w:tc>
        <w:tc>
          <w:tcPr>
            <w:tcW w:w="466" w:type="pct"/>
            <w:hideMark/>
          </w:tcPr>
          <w:p w14:paraId="2DF0307B" w14:textId="77777777" w:rsidR="00A4606E" w:rsidRPr="00923237" w:rsidRDefault="00A4606E" w:rsidP="00F31DC2">
            <w:pPr>
              <w:pStyle w:val="NoSpacing"/>
              <w:rPr>
                <w:rFonts w:cstheme="minorHAnsi"/>
                <w:sz w:val="20"/>
                <w:szCs w:val="20"/>
              </w:rPr>
            </w:pPr>
            <w:r w:rsidRPr="00923237">
              <w:rPr>
                <w:rFonts w:cstheme="minorHAnsi"/>
                <w:sz w:val="20"/>
                <w:szCs w:val="20"/>
              </w:rPr>
              <w:t>[0.129]</w:t>
            </w:r>
          </w:p>
        </w:tc>
        <w:tc>
          <w:tcPr>
            <w:tcW w:w="427" w:type="pct"/>
            <w:hideMark/>
          </w:tcPr>
          <w:p w14:paraId="7280A7BC" w14:textId="77777777" w:rsidR="00A4606E" w:rsidRPr="00923237" w:rsidRDefault="00A4606E" w:rsidP="00F31DC2">
            <w:pPr>
              <w:pStyle w:val="NoSpacing"/>
              <w:rPr>
                <w:rFonts w:cstheme="minorHAnsi"/>
                <w:sz w:val="20"/>
                <w:szCs w:val="20"/>
              </w:rPr>
            </w:pPr>
            <w:r w:rsidRPr="00923237">
              <w:rPr>
                <w:rFonts w:cstheme="minorHAnsi"/>
                <w:sz w:val="20"/>
                <w:szCs w:val="20"/>
              </w:rPr>
              <w:t>[0.160]</w:t>
            </w:r>
          </w:p>
        </w:tc>
        <w:tc>
          <w:tcPr>
            <w:tcW w:w="466" w:type="pct"/>
            <w:hideMark/>
          </w:tcPr>
          <w:p w14:paraId="4CAFDB52" w14:textId="77777777" w:rsidR="00A4606E" w:rsidRPr="00923237" w:rsidRDefault="00A4606E" w:rsidP="00F31DC2">
            <w:pPr>
              <w:pStyle w:val="NoSpacing"/>
              <w:rPr>
                <w:rFonts w:cstheme="minorHAnsi"/>
                <w:sz w:val="20"/>
                <w:szCs w:val="20"/>
              </w:rPr>
            </w:pPr>
            <w:r w:rsidRPr="00923237">
              <w:rPr>
                <w:rFonts w:cstheme="minorHAnsi"/>
                <w:sz w:val="20"/>
                <w:szCs w:val="20"/>
              </w:rPr>
              <w:t>[0.083]</w:t>
            </w:r>
          </w:p>
        </w:tc>
      </w:tr>
      <w:tr w:rsidR="00A4606E" w:rsidRPr="00923237" w14:paraId="5737CCC8" w14:textId="77777777" w:rsidTr="00F727E1">
        <w:tc>
          <w:tcPr>
            <w:tcW w:w="1311" w:type="pct"/>
            <w:hideMark/>
          </w:tcPr>
          <w:p w14:paraId="1E8B188B" w14:textId="77777777" w:rsidR="00A4606E" w:rsidRPr="00923237" w:rsidRDefault="00A4606E" w:rsidP="00F31DC2">
            <w:pPr>
              <w:pStyle w:val="NoSpacing"/>
              <w:rPr>
                <w:rFonts w:cstheme="minorHAnsi"/>
                <w:sz w:val="20"/>
                <w:szCs w:val="20"/>
              </w:rPr>
            </w:pPr>
            <w:r w:rsidRPr="00923237">
              <w:rPr>
                <w:rFonts w:cstheme="minorHAnsi"/>
                <w:sz w:val="20"/>
                <w:szCs w:val="20"/>
              </w:rPr>
              <w:t>Market leverage</w:t>
            </w:r>
          </w:p>
        </w:tc>
        <w:tc>
          <w:tcPr>
            <w:tcW w:w="466" w:type="pct"/>
            <w:hideMark/>
          </w:tcPr>
          <w:p w14:paraId="59393F39" w14:textId="77777777" w:rsidR="00A4606E" w:rsidRPr="00923237" w:rsidRDefault="00A4606E" w:rsidP="00F31DC2">
            <w:pPr>
              <w:pStyle w:val="NoSpacing"/>
              <w:rPr>
                <w:rFonts w:cstheme="minorHAnsi"/>
                <w:sz w:val="20"/>
                <w:szCs w:val="20"/>
              </w:rPr>
            </w:pPr>
            <w:r w:rsidRPr="00923237">
              <w:rPr>
                <w:rFonts w:cstheme="minorHAnsi"/>
                <w:sz w:val="20"/>
                <w:szCs w:val="20"/>
              </w:rPr>
              <w:t>0.0606***</w:t>
            </w:r>
          </w:p>
        </w:tc>
        <w:tc>
          <w:tcPr>
            <w:tcW w:w="466" w:type="pct"/>
            <w:hideMark/>
          </w:tcPr>
          <w:p w14:paraId="043B466D" w14:textId="77777777" w:rsidR="00A4606E" w:rsidRPr="00923237" w:rsidRDefault="00A4606E" w:rsidP="00F31DC2">
            <w:pPr>
              <w:pStyle w:val="NoSpacing"/>
              <w:rPr>
                <w:rFonts w:cstheme="minorHAnsi"/>
                <w:sz w:val="20"/>
                <w:szCs w:val="20"/>
              </w:rPr>
            </w:pPr>
            <w:r w:rsidRPr="00923237">
              <w:rPr>
                <w:rFonts w:cstheme="minorHAnsi"/>
                <w:sz w:val="20"/>
                <w:szCs w:val="20"/>
              </w:rPr>
              <w:t>0.0540***</w:t>
            </w:r>
          </w:p>
        </w:tc>
        <w:tc>
          <w:tcPr>
            <w:tcW w:w="466" w:type="pct"/>
            <w:hideMark/>
          </w:tcPr>
          <w:p w14:paraId="71097978" w14:textId="77777777" w:rsidR="00A4606E" w:rsidRPr="00923237" w:rsidRDefault="00A4606E" w:rsidP="00F31DC2">
            <w:pPr>
              <w:pStyle w:val="NoSpacing"/>
              <w:rPr>
                <w:rFonts w:cstheme="minorHAnsi"/>
                <w:sz w:val="20"/>
                <w:szCs w:val="20"/>
              </w:rPr>
            </w:pPr>
            <w:r w:rsidRPr="00923237">
              <w:rPr>
                <w:rFonts w:cstheme="minorHAnsi"/>
                <w:sz w:val="20"/>
                <w:szCs w:val="20"/>
              </w:rPr>
              <w:t>0.0547***</w:t>
            </w:r>
          </w:p>
        </w:tc>
        <w:tc>
          <w:tcPr>
            <w:tcW w:w="466" w:type="pct"/>
            <w:hideMark/>
          </w:tcPr>
          <w:p w14:paraId="1385E170" w14:textId="77777777" w:rsidR="00A4606E" w:rsidRPr="00923237" w:rsidRDefault="00A4606E" w:rsidP="00F31DC2">
            <w:pPr>
              <w:pStyle w:val="NoSpacing"/>
              <w:rPr>
                <w:rFonts w:cstheme="minorHAnsi"/>
                <w:sz w:val="20"/>
                <w:szCs w:val="20"/>
              </w:rPr>
            </w:pPr>
            <w:r w:rsidRPr="00923237">
              <w:rPr>
                <w:rFonts w:cstheme="minorHAnsi"/>
                <w:sz w:val="20"/>
                <w:szCs w:val="20"/>
              </w:rPr>
              <w:t>0.0527***</w:t>
            </w:r>
          </w:p>
        </w:tc>
        <w:tc>
          <w:tcPr>
            <w:tcW w:w="466" w:type="pct"/>
            <w:hideMark/>
          </w:tcPr>
          <w:p w14:paraId="12264E72" w14:textId="77777777" w:rsidR="00A4606E" w:rsidRPr="00923237" w:rsidRDefault="00A4606E" w:rsidP="00F31DC2">
            <w:pPr>
              <w:pStyle w:val="NoSpacing"/>
              <w:rPr>
                <w:rFonts w:cstheme="minorHAnsi"/>
                <w:sz w:val="20"/>
                <w:szCs w:val="20"/>
              </w:rPr>
            </w:pPr>
            <w:r w:rsidRPr="00923237">
              <w:rPr>
                <w:rFonts w:cstheme="minorHAnsi"/>
                <w:sz w:val="20"/>
                <w:szCs w:val="20"/>
              </w:rPr>
              <w:t>0.0563***</w:t>
            </w:r>
          </w:p>
        </w:tc>
        <w:tc>
          <w:tcPr>
            <w:tcW w:w="466" w:type="pct"/>
            <w:hideMark/>
          </w:tcPr>
          <w:p w14:paraId="629C2D33" w14:textId="77777777" w:rsidR="00A4606E" w:rsidRPr="00923237" w:rsidRDefault="00A4606E" w:rsidP="00F31DC2">
            <w:pPr>
              <w:pStyle w:val="NoSpacing"/>
              <w:rPr>
                <w:rFonts w:cstheme="minorHAnsi"/>
                <w:sz w:val="20"/>
                <w:szCs w:val="20"/>
              </w:rPr>
            </w:pPr>
            <w:r w:rsidRPr="00923237">
              <w:rPr>
                <w:rFonts w:cstheme="minorHAnsi"/>
                <w:sz w:val="20"/>
                <w:szCs w:val="20"/>
              </w:rPr>
              <w:t>0.0515***</w:t>
            </w:r>
          </w:p>
        </w:tc>
        <w:tc>
          <w:tcPr>
            <w:tcW w:w="427" w:type="pct"/>
            <w:hideMark/>
          </w:tcPr>
          <w:p w14:paraId="1C7EE9CD" w14:textId="77777777" w:rsidR="00A4606E" w:rsidRPr="00923237" w:rsidRDefault="00A4606E" w:rsidP="00F31DC2">
            <w:pPr>
              <w:pStyle w:val="NoSpacing"/>
              <w:rPr>
                <w:rFonts w:cstheme="minorHAnsi"/>
                <w:sz w:val="20"/>
                <w:szCs w:val="20"/>
              </w:rPr>
            </w:pPr>
            <w:r w:rsidRPr="00923237">
              <w:rPr>
                <w:rFonts w:cstheme="minorHAnsi"/>
                <w:sz w:val="20"/>
                <w:szCs w:val="20"/>
              </w:rPr>
              <w:t>0.2191***</w:t>
            </w:r>
          </w:p>
        </w:tc>
        <w:tc>
          <w:tcPr>
            <w:tcW w:w="466" w:type="pct"/>
            <w:hideMark/>
          </w:tcPr>
          <w:p w14:paraId="4BDC2301" w14:textId="77777777" w:rsidR="00A4606E" w:rsidRPr="00923237" w:rsidRDefault="00A4606E" w:rsidP="00F31DC2">
            <w:pPr>
              <w:pStyle w:val="NoSpacing"/>
              <w:rPr>
                <w:rFonts w:cstheme="minorHAnsi"/>
                <w:sz w:val="20"/>
                <w:szCs w:val="20"/>
              </w:rPr>
            </w:pPr>
            <w:r w:rsidRPr="00923237">
              <w:rPr>
                <w:rFonts w:cstheme="minorHAnsi"/>
                <w:sz w:val="20"/>
                <w:szCs w:val="20"/>
              </w:rPr>
              <w:t>0.1231***</w:t>
            </w:r>
          </w:p>
        </w:tc>
      </w:tr>
      <w:tr w:rsidR="00A4606E" w:rsidRPr="00923237" w14:paraId="1207ECF0" w14:textId="77777777" w:rsidTr="00F727E1">
        <w:tc>
          <w:tcPr>
            <w:tcW w:w="1311" w:type="pct"/>
            <w:hideMark/>
          </w:tcPr>
          <w:p w14:paraId="12B7F252" w14:textId="77777777" w:rsidR="00A4606E" w:rsidRPr="00923237" w:rsidRDefault="00A4606E" w:rsidP="00F31DC2">
            <w:pPr>
              <w:pStyle w:val="NoSpacing"/>
              <w:rPr>
                <w:rFonts w:cstheme="minorHAnsi"/>
                <w:sz w:val="20"/>
                <w:szCs w:val="20"/>
              </w:rPr>
            </w:pPr>
          </w:p>
        </w:tc>
        <w:tc>
          <w:tcPr>
            <w:tcW w:w="466" w:type="pct"/>
            <w:hideMark/>
          </w:tcPr>
          <w:p w14:paraId="35D7E937" w14:textId="77777777" w:rsidR="00A4606E" w:rsidRPr="00923237" w:rsidRDefault="00A4606E" w:rsidP="00F31DC2">
            <w:pPr>
              <w:pStyle w:val="NoSpacing"/>
              <w:rPr>
                <w:rFonts w:cstheme="minorHAnsi"/>
                <w:sz w:val="20"/>
                <w:szCs w:val="20"/>
              </w:rPr>
            </w:pPr>
            <w:r w:rsidRPr="00923237">
              <w:rPr>
                <w:rFonts w:cstheme="minorHAnsi"/>
                <w:sz w:val="20"/>
                <w:szCs w:val="20"/>
              </w:rPr>
              <w:t>[&lt;0.0001]</w:t>
            </w:r>
          </w:p>
        </w:tc>
        <w:tc>
          <w:tcPr>
            <w:tcW w:w="466" w:type="pct"/>
            <w:hideMark/>
          </w:tcPr>
          <w:p w14:paraId="371AAA03" w14:textId="77777777" w:rsidR="00A4606E" w:rsidRPr="00923237" w:rsidRDefault="00A4606E" w:rsidP="00F31DC2">
            <w:pPr>
              <w:pStyle w:val="NoSpacing"/>
              <w:rPr>
                <w:rFonts w:cstheme="minorHAnsi"/>
                <w:sz w:val="20"/>
                <w:szCs w:val="20"/>
              </w:rPr>
            </w:pPr>
            <w:r w:rsidRPr="00923237">
              <w:rPr>
                <w:rFonts w:cstheme="minorHAnsi"/>
                <w:sz w:val="20"/>
                <w:szCs w:val="20"/>
              </w:rPr>
              <w:t>[&lt;0.0001]</w:t>
            </w:r>
          </w:p>
        </w:tc>
        <w:tc>
          <w:tcPr>
            <w:tcW w:w="466" w:type="pct"/>
            <w:hideMark/>
          </w:tcPr>
          <w:p w14:paraId="14F9166D" w14:textId="77777777" w:rsidR="00A4606E" w:rsidRPr="00923237" w:rsidRDefault="00A4606E" w:rsidP="00F31DC2">
            <w:pPr>
              <w:pStyle w:val="NoSpacing"/>
              <w:rPr>
                <w:rFonts w:cstheme="minorHAnsi"/>
                <w:sz w:val="20"/>
                <w:szCs w:val="20"/>
              </w:rPr>
            </w:pPr>
            <w:r w:rsidRPr="00923237">
              <w:rPr>
                <w:rFonts w:cstheme="minorHAnsi"/>
                <w:sz w:val="20"/>
                <w:szCs w:val="20"/>
              </w:rPr>
              <w:t>[&lt;0.0001]</w:t>
            </w:r>
          </w:p>
        </w:tc>
        <w:tc>
          <w:tcPr>
            <w:tcW w:w="466" w:type="pct"/>
            <w:hideMark/>
          </w:tcPr>
          <w:p w14:paraId="32DE0534" w14:textId="77777777" w:rsidR="00A4606E" w:rsidRPr="00923237" w:rsidRDefault="00A4606E" w:rsidP="00F31DC2">
            <w:pPr>
              <w:pStyle w:val="NoSpacing"/>
              <w:rPr>
                <w:rFonts w:cstheme="minorHAnsi"/>
                <w:sz w:val="20"/>
                <w:szCs w:val="20"/>
              </w:rPr>
            </w:pPr>
            <w:r w:rsidRPr="00923237">
              <w:rPr>
                <w:rFonts w:cstheme="minorHAnsi"/>
                <w:sz w:val="20"/>
                <w:szCs w:val="20"/>
              </w:rPr>
              <w:t>[&lt;0.0001]</w:t>
            </w:r>
          </w:p>
        </w:tc>
        <w:tc>
          <w:tcPr>
            <w:tcW w:w="466" w:type="pct"/>
            <w:hideMark/>
          </w:tcPr>
          <w:p w14:paraId="0A7A58D0" w14:textId="77777777" w:rsidR="00A4606E" w:rsidRPr="00923237" w:rsidRDefault="00A4606E" w:rsidP="00F31DC2">
            <w:pPr>
              <w:pStyle w:val="NoSpacing"/>
              <w:rPr>
                <w:rFonts w:cstheme="minorHAnsi"/>
                <w:sz w:val="20"/>
                <w:szCs w:val="20"/>
              </w:rPr>
            </w:pPr>
            <w:r w:rsidRPr="00923237">
              <w:rPr>
                <w:rFonts w:cstheme="minorHAnsi"/>
                <w:sz w:val="20"/>
                <w:szCs w:val="20"/>
              </w:rPr>
              <w:t>[&lt;0.0001]</w:t>
            </w:r>
          </w:p>
        </w:tc>
        <w:tc>
          <w:tcPr>
            <w:tcW w:w="466" w:type="pct"/>
            <w:hideMark/>
          </w:tcPr>
          <w:p w14:paraId="12ADCA87" w14:textId="77777777" w:rsidR="00A4606E" w:rsidRPr="00923237" w:rsidRDefault="00A4606E" w:rsidP="00F31DC2">
            <w:pPr>
              <w:pStyle w:val="NoSpacing"/>
              <w:rPr>
                <w:rFonts w:cstheme="minorHAnsi"/>
                <w:sz w:val="20"/>
                <w:szCs w:val="20"/>
              </w:rPr>
            </w:pPr>
            <w:r w:rsidRPr="00923237">
              <w:rPr>
                <w:rFonts w:cstheme="minorHAnsi"/>
                <w:sz w:val="20"/>
                <w:szCs w:val="20"/>
              </w:rPr>
              <w:t>[&lt;0.0001]</w:t>
            </w:r>
          </w:p>
        </w:tc>
        <w:tc>
          <w:tcPr>
            <w:tcW w:w="427" w:type="pct"/>
            <w:hideMark/>
          </w:tcPr>
          <w:p w14:paraId="303F61E7" w14:textId="77777777" w:rsidR="00A4606E" w:rsidRPr="00923237" w:rsidRDefault="00A4606E" w:rsidP="00F31DC2">
            <w:pPr>
              <w:pStyle w:val="NoSpacing"/>
              <w:rPr>
                <w:rFonts w:cstheme="minorHAnsi"/>
                <w:sz w:val="20"/>
                <w:szCs w:val="20"/>
              </w:rPr>
            </w:pPr>
            <w:r w:rsidRPr="00923237">
              <w:rPr>
                <w:rFonts w:cstheme="minorHAnsi"/>
                <w:sz w:val="20"/>
                <w:szCs w:val="20"/>
              </w:rPr>
              <w:t>[&lt;0.0001]</w:t>
            </w:r>
          </w:p>
        </w:tc>
        <w:tc>
          <w:tcPr>
            <w:tcW w:w="466" w:type="pct"/>
            <w:hideMark/>
          </w:tcPr>
          <w:p w14:paraId="0A9BB1FD" w14:textId="77777777" w:rsidR="00A4606E" w:rsidRPr="00923237" w:rsidRDefault="00A4606E" w:rsidP="00F31DC2">
            <w:pPr>
              <w:pStyle w:val="NoSpacing"/>
              <w:rPr>
                <w:rFonts w:cstheme="minorHAnsi"/>
                <w:sz w:val="20"/>
                <w:szCs w:val="20"/>
              </w:rPr>
            </w:pPr>
            <w:r w:rsidRPr="00923237">
              <w:rPr>
                <w:rFonts w:cstheme="minorHAnsi"/>
                <w:sz w:val="20"/>
                <w:szCs w:val="20"/>
              </w:rPr>
              <w:t>[&lt;0.0001]</w:t>
            </w:r>
          </w:p>
        </w:tc>
      </w:tr>
      <w:tr w:rsidR="00A4606E" w:rsidRPr="00923237" w14:paraId="6D4488DA" w14:textId="77777777" w:rsidTr="00F727E1">
        <w:tc>
          <w:tcPr>
            <w:tcW w:w="1311" w:type="pct"/>
            <w:hideMark/>
          </w:tcPr>
          <w:p w14:paraId="5519653D" w14:textId="77777777" w:rsidR="00A4606E" w:rsidRPr="00923237" w:rsidRDefault="00A4606E" w:rsidP="00F31DC2">
            <w:pPr>
              <w:pStyle w:val="NoSpacing"/>
              <w:rPr>
                <w:rFonts w:cstheme="minorHAnsi"/>
                <w:sz w:val="20"/>
                <w:szCs w:val="20"/>
              </w:rPr>
            </w:pPr>
            <w:r w:rsidRPr="00923237">
              <w:rPr>
                <w:rFonts w:cstheme="minorHAnsi"/>
                <w:sz w:val="20"/>
                <w:szCs w:val="20"/>
              </w:rPr>
              <w:t>FFO per share</w:t>
            </w:r>
          </w:p>
        </w:tc>
        <w:tc>
          <w:tcPr>
            <w:tcW w:w="466" w:type="pct"/>
            <w:hideMark/>
          </w:tcPr>
          <w:p w14:paraId="4A4DBBE3" w14:textId="77777777" w:rsidR="00A4606E" w:rsidRPr="00923237" w:rsidRDefault="00A4606E" w:rsidP="00F31DC2">
            <w:pPr>
              <w:pStyle w:val="NoSpacing"/>
              <w:rPr>
                <w:rFonts w:cstheme="minorHAnsi"/>
                <w:sz w:val="20"/>
                <w:szCs w:val="20"/>
              </w:rPr>
            </w:pPr>
            <w:r w:rsidRPr="00923237">
              <w:rPr>
                <w:rFonts w:cstheme="minorHAnsi"/>
                <w:sz w:val="20"/>
                <w:szCs w:val="20"/>
              </w:rPr>
              <w:t>0.0242***</w:t>
            </w:r>
          </w:p>
        </w:tc>
        <w:tc>
          <w:tcPr>
            <w:tcW w:w="466" w:type="pct"/>
            <w:hideMark/>
          </w:tcPr>
          <w:p w14:paraId="232DCE6E" w14:textId="77777777" w:rsidR="00A4606E" w:rsidRPr="00923237" w:rsidRDefault="00A4606E" w:rsidP="00F31DC2">
            <w:pPr>
              <w:pStyle w:val="NoSpacing"/>
              <w:rPr>
                <w:rFonts w:cstheme="minorHAnsi"/>
                <w:sz w:val="20"/>
                <w:szCs w:val="20"/>
              </w:rPr>
            </w:pPr>
            <w:r w:rsidRPr="00923237">
              <w:rPr>
                <w:rFonts w:cstheme="minorHAnsi"/>
                <w:sz w:val="20"/>
                <w:szCs w:val="20"/>
              </w:rPr>
              <w:t>0.0145***</w:t>
            </w:r>
          </w:p>
        </w:tc>
        <w:tc>
          <w:tcPr>
            <w:tcW w:w="466" w:type="pct"/>
            <w:hideMark/>
          </w:tcPr>
          <w:p w14:paraId="2F551912" w14:textId="77777777" w:rsidR="00A4606E" w:rsidRPr="00923237" w:rsidRDefault="00A4606E" w:rsidP="00F31DC2">
            <w:pPr>
              <w:pStyle w:val="NoSpacing"/>
              <w:rPr>
                <w:rFonts w:cstheme="minorHAnsi"/>
                <w:sz w:val="20"/>
                <w:szCs w:val="20"/>
              </w:rPr>
            </w:pPr>
            <w:r w:rsidRPr="00923237">
              <w:rPr>
                <w:rFonts w:cstheme="minorHAnsi"/>
                <w:sz w:val="20"/>
                <w:szCs w:val="20"/>
              </w:rPr>
              <w:t>0.0145***</w:t>
            </w:r>
          </w:p>
        </w:tc>
        <w:tc>
          <w:tcPr>
            <w:tcW w:w="466" w:type="pct"/>
            <w:hideMark/>
          </w:tcPr>
          <w:p w14:paraId="6EAF8979" w14:textId="77777777" w:rsidR="00A4606E" w:rsidRPr="00923237" w:rsidRDefault="00A4606E" w:rsidP="00F31DC2">
            <w:pPr>
              <w:pStyle w:val="NoSpacing"/>
              <w:rPr>
                <w:rFonts w:cstheme="minorHAnsi"/>
                <w:sz w:val="20"/>
                <w:szCs w:val="20"/>
              </w:rPr>
            </w:pPr>
            <w:r w:rsidRPr="00923237">
              <w:rPr>
                <w:rFonts w:cstheme="minorHAnsi"/>
                <w:sz w:val="20"/>
                <w:szCs w:val="20"/>
              </w:rPr>
              <w:t>0.0145***</w:t>
            </w:r>
          </w:p>
        </w:tc>
        <w:tc>
          <w:tcPr>
            <w:tcW w:w="466" w:type="pct"/>
            <w:hideMark/>
          </w:tcPr>
          <w:p w14:paraId="5F39E12A" w14:textId="77777777" w:rsidR="00A4606E" w:rsidRPr="00923237" w:rsidRDefault="00A4606E" w:rsidP="00F31DC2">
            <w:pPr>
              <w:pStyle w:val="NoSpacing"/>
              <w:rPr>
                <w:rFonts w:cstheme="minorHAnsi"/>
                <w:sz w:val="20"/>
                <w:szCs w:val="20"/>
              </w:rPr>
            </w:pPr>
            <w:r w:rsidRPr="00923237">
              <w:rPr>
                <w:rFonts w:cstheme="minorHAnsi"/>
                <w:sz w:val="20"/>
                <w:szCs w:val="20"/>
              </w:rPr>
              <w:t>0.0143***</w:t>
            </w:r>
          </w:p>
        </w:tc>
        <w:tc>
          <w:tcPr>
            <w:tcW w:w="466" w:type="pct"/>
            <w:hideMark/>
          </w:tcPr>
          <w:p w14:paraId="4A7FEBFD" w14:textId="77777777" w:rsidR="00A4606E" w:rsidRPr="00923237" w:rsidRDefault="00A4606E" w:rsidP="00F31DC2">
            <w:pPr>
              <w:pStyle w:val="NoSpacing"/>
              <w:rPr>
                <w:rFonts w:cstheme="minorHAnsi"/>
                <w:sz w:val="20"/>
                <w:szCs w:val="20"/>
              </w:rPr>
            </w:pPr>
            <w:r w:rsidRPr="00923237">
              <w:rPr>
                <w:rFonts w:cstheme="minorHAnsi"/>
                <w:sz w:val="20"/>
                <w:szCs w:val="20"/>
              </w:rPr>
              <w:t>0.0044</w:t>
            </w:r>
          </w:p>
        </w:tc>
        <w:tc>
          <w:tcPr>
            <w:tcW w:w="427" w:type="pct"/>
            <w:hideMark/>
          </w:tcPr>
          <w:p w14:paraId="288D19AF" w14:textId="77777777" w:rsidR="00A4606E" w:rsidRPr="00923237" w:rsidRDefault="00A4606E" w:rsidP="00F31DC2">
            <w:pPr>
              <w:pStyle w:val="NoSpacing"/>
              <w:rPr>
                <w:rFonts w:cstheme="minorHAnsi"/>
                <w:sz w:val="20"/>
                <w:szCs w:val="20"/>
              </w:rPr>
            </w:pPr>
            <w:r w:rsidRPr="00923237">
              <w:rPr>
                <w:rFonts w:cstheme="minorHAnsi"/>
                <w:sz w:val="20"/>
                <w:szCs w:val="20"/>
              </w:rPr>
              <w:t>−0.0681*</w:t>
            </w:r>
          </w:p>
        </w:tc>
        <w:tc>
          <w:tcPr>
            <w:tcW w:w="466" w:type="pct"/>
            <w:hideMark/>
          </w:tcPr>
          <w:p w14:paraId="481F2112" w14:textId="77777777" w:rsidR="00A4606E" w:rsidRPr="00923237" w:rsidRDefault="00A4606E" w:rsidP="00F31DC2">
            <w:pPr>
              <w:pStyle w:val="NoSpacing"/>
              <w:rPr>
                <w:rFonts w:cstheme="minorHAnsi"/>
                <w:sz w:val="20"/>
                <w:szCs w:val="20"/>
              </w:rPr>
            </w:pPr>
            <w:r w:rsidRPr="00923237">
              <w:rPr>
                <w:rFonts w:cstheme="minorHAnsi"/>
                <w:sz w:val="20"/>
                <w:szCs w:val="20"/>
              </w:rPr>
              <w:t>−0.0247</w:t>
            </w:r>
          </w:p>
        </w:tc>
      </w:tr>
      <w:tr w:rsidR="00A4606E" w:rsidRPr="00923237" w14:paraId="75C99A0A" w14:textId="77777777" w:rsidTr="00F727E1">
        <w:tc>
          <w:tcPr>
            <w:tcW w:w="1311" w:type="pct"/>
            <w:hideMark/>
          </w:tcPr>
          <w:p w14:paraId="794300D0" w14:textId="77777777" w:rsidR="00A4606E" w:rsidRPr="00923237" w:rsidRDefault="00A4606E" w:rsidP="00F31DC2">
            <w:pPr>
              <w:pStyle w:val="NoSpacing"/>
              <w:rPr>
                <w:rFonts w:cstheme="minorHAnsi"/>
                <w:sz w:val="20"/>
                <w:szCs w:val="20"/>
              </w:rPr>
            </w:pPr>
          </w:p>
        </w:tc>
        <w:tc>
          <w:tcPr>
            <w:tcW w:w="466" w:type="pct"/>
            <w:hideMark/>
          </w:tcPr>
          <w:p w14:paraId="1A8321E0" w14:textId="77777777" w:rsidR="00A4606E" w:rsidRPr="00923237" w:rsidRDefault="00A4606E" w:rsidP="00F31DC2">
            <w:pPr>
              <w:pStyle w:val="NoSpacing"/>
              <w:rPr>
                <w:rFonts w:cstheme="minorHAnsi"/>
                <w:sz w:val="20"/>
                <w:szCs w:val="20"/>
              </w:rPr>
            </w:pPr>
            <w:r w:rsidRPr="00923237">
              <w:rPr>
                <w:rFonts w:cstheme="minorHAnsi"/>
                <w:sz w:val="20"/>
                <w:szCs w:val="20"/>
              </w:rPr>
              <w:t>[&lt;0.0001]</w:t>
            </w:r>
          </w:p>
        </w:tc>
        <w:tc>
          <w:tcPr>
            <w:tcW w:w="466" w:type="pct"/>
            <w:hideMark/>
          </w:tcPr>
          <w:p w14:paraId="33B76106" w14:textId="77777777" w:rsidR="00A4606E" w:rsidRPr="00923237" w:rsidRDefault="00A4606E" w:rsidP="00F31DC2">
            <w:pPr>
              <w:pStyle w:val="NoSpacing"/>
              <w:rPr>
                <w:rFonts w:cstheme="minorHAnsi"/>
                <w:sz w:val="20"/>
                <w:szCs w:val="20"/>
              </w:rPr>
            </w:pPr>
            <w:r w:rsidRPr="00923237">
              <w:rPr>
                <w:rFonts w:cstheme="minorHAnsi"/>
                <w:sz w:val="20"/>
                <w:szCs w:val="20"/>
              </w:rPr>
              <w:t>[0.000]</w:t>
            </w:r>
          </w:p>
        </w:tc>
        <w:tc>
          <w:tcPr>
            <w:tcW w:w="466" w:type="pct"/>
            <w:hideMark/>
          </w:tcPr>
          <w:p w14:paraId="1D11E412" w14:textId="77777777" w:rsidR="00A4606E" w:rsidRPr="00923237" w:rsidRDefault="00A4606E" w:rsidP="00F31DC2">
            <w:pPr>
              <w:pStyle w:val="NoSpacing"/>
              <w:rPr>
                <w:rFonts w:cstheme="minorHAnsi"/>
                <w:sz w:val="20"/>
                <w:szCs w:val="20"/>
              </w:rPr>
            </w:pPr>
            <w:r w:rsidRPr="00923237">
              <w:rPr>
                <w:rFonts w:cstheme="minorHAnsi"/>
                <w:sz w:val="20"/>
                <w:szCs w:val="20"/>
              </w:rPr>
              <w:t>[0.00]</w:t>
            </w:r>
          </w:p>
        </w:tc>
        <w:tc>
          <w:tcPr>
            <w:tcW w:w="466" w:type="pct"/>
            <w:hideMark/>
          </w:tcPr>
          <w:p w14:paraId="5267458E" w14:textId="77777777" w:rsidR="00A4606E" w:rsidRPr="00923237" w:rsidRDefault="00A4606E" w:rsidP="00F31DC2">
            <w:pPr>
              <w:pStyle w:val="NoSpacing"/>
              <w:rPr>
                <w:rFonts w:cstheme="minorHAnsi"/>
                <w:sz w:val="20"/>
                <w:szCs w:val="20"/>
              </w:rPr>
            </w:pPr>
            <w:r w:rsidRPr="00923237">
              <w:rPr>
                <w:rFonts w:cstheme="minorHAnsi"/>
                <w:sz w:val="20"/>
                <w:szCs w:val="20"/>
              </w:rPr>
              <w:t>[0.000]</w:t>
            </w:r>
          </w:p>
        </w:tc>
        <w:tc>
          <w:tcPr>
            <w:tcW w:w="466" w:type="pct"/>
            <w:hideMark/>
          </w:tcPr>
          <w:p w14:paraId="5EE42935" w14:textId="77777777" w:rsidR="00A4606E" w:rsidRPr="00923237" w:rsidRDefault="00A4606E" w:rsidP="00F31DC2">
            <w:pPr>
              <w:pStyle w:val="NoSpacing"/>
              <w:rPr>
                <w:rFonts w:cstheme="minorHAnsi"/>
                <w:sz w:val="20"/>
                <w:szCs w:val="20"/>
              </w:rPr>
            </w:pPr>
            <w:r w:rsidRPr="00923237">
              <w:rPr>
                <w:rFonts w:cstheme="minorHAnsi"/>
                <w:sz w:val="20"/>
                <w:szCs w:val="20"/>
              </w:rPr>
              <w:t>[0.000]</w:t>
            </w:r>
          </w:p>
        </w:tc>
        <w:tc>
          <w:tcPr>
            <w:tcW w:w="466" w:type="pct"/>
            <w:hideMark/>
          </w:tcPr>
          <w:p w14:paraId="720DC12D" w14:textId="77777777" w:rsidR="00A4606E" w:rsidRPr="00923237" w:rsidRDefault="00A4606E" w:rsidP="00F31DC2">
            <w:pPr>
              <w:pStyle w:val="NoSpacing"/>
              <w:rPr>
                <w:rFonts w:cstheme="minorHAnsi"/>
                <w:sz w:val="20"/>
                <w:szCs w:val="20"/>
              </w:rPr>
            </w:pPr>
            <w:r w:rsidRPr="00923237">
              <w:rPr>
                <w:rFonts w:cstheme="minorHAnsi"/>
                <w:sz w:val="20"/>
                <w:szCs w:val="20"/>
              </w:rPr>
              <w:t>[0.693]</w:t>
            </w:r>
          </w:p>
        </w:tc>
        <w:tc>
          <w:tcPr>
            <w:tcW w:w="427" w:type="pct"/>
            <w:hideMark/>
          </w:tcPr>
          <w:p w14:paraId="14B8BCE8" w14:textId="77777777" w:rsidR="00A4606E" w:rsidRPr="00923237" w:rsidRDefault="00A4606E" w:rsidP="00F31DC2">
            <w:pPr>
              <w:pStyle w:val="NoSpacing"/>
              <w:rPr>
                <w:rFonts w:cstheme="minorHAnsi"/>
                <w:sz w:val="20"/>
                <w:szCs w:val="20"/>
              </w:rPr>
            </w:pPr>
            <w:r w:rsidRPr="00923237">
              <w:rPr>
                <w:rFonts w:cstheme="minorHAnsi"/>
                <w:sz w:val="20"/>
                <w:szCs w:val="20"/>
              </w:rPr>
              <w:t>[0.080]</w:t>
            </w:r>
          </w:p>
        </w:tc>
        <w:tc>
          <w:tcPr>
            <w:tcW w:w="466" w:type="pct"/>
            <w:hideMark/>
          </w:tcPr>
          <w:p w14:paraId="0E33D6F1" w14:textId="77777777" w:rsidR="00A4606E" w:rsidRPr="00923237" w:rsidRDefault="00A4606E" w:rsidP="00F31DC2">
            <w:pPr>
              <w:pStyle w:val="NoSpacing"/>
              <w:rPr>
                <w:rFonts w:cstheme="minorHAnsi"/>
                <w:sz w:val="20"/>
                <w:szCs w:val="20"/>
              </w:rPr>
            </w:pPr>
            <w:r w:rsidRPr="00923237">
              <w:rPr>
                <w:rFonts w:cstheme="minorHAnsi"/>
                <w:sz w:val="20"/>
                <w:szCs w:val="20"/>
              </w:rPr>
              <w:t>[0.32]</w:t>
            </w:r>
          </w:p>
        </w:tc>
      </w:tr>
      <w:tr w:rsidR="00A4606E" w:rsidRPr="00923237" w14:paraId="37BAB6A8" w14:textId="77777777" w:rsidTr="00F727E1">
        <w:tc>
          <w:tcPr>
            <w:tcW w:w="1311" w:type="pct"/>
            <w:hideMark/>
          </w:tcPr>
          <w:p w14:paraId="52275E34" w14:textId="77777777" w:rsidR="00A4606E" w:rsidRPr="00923237" w:rsidRDefault="00A4606E" w:rsidP="00F31DC2">
            <w:pPr>
              <w:pStyle w:val="NoSpacing"/>
              <w:rPr>
                <w:rFonts w:cstheme="minorHAnsi"/>
                <w:sz w:val="20"/>
                <w:szCs w:val="20"/>
              </w:rPr>
            </w:pPr>
            <w:r w:rsidRPr="00923237">
              <w:rPr>
                <w:rFonts w:cstheme="minorHAnsi"/>
                <w:sz w:val="20"/>
                <w:szCs w:val="20"/>
              </w:rPr>
              <w:t>Preferred stock</w:t>
            </w:r>
          </w:p>
        </w:tc>
        <w:tc>
          <w:tcPr>
            <w:tcW w:w="466" w:type="pct"/>
            <w:hideMark/>
          </w:tcPr>
          <w:p w14:paraId="4B55D25F" w14:textId="77777777" w:rsidR="00A4606E" w:rsidRPr="00923237" w:rsidRDefault="00A4606E" w:rsidP="00F31DC2">
            <w:pPr>
              <w:pStyle w:val="NoSpacing"/>
              <w:rPr>
                <w:rFonts w:cstheme="minorHAnsi"/>
                <w:sz w:val="20"/>
                <w:szCs w:val="20"/>
              </w:rPr>
            </w:pPr>
            <w:r w:rsidRPr="00923237">
              <w:rPr>
                <w:rFonts w:cstheme="minorHAnsi"/>
                <w:sz w:val="20"/>
                <w:szCs w:val="20"/>
              </w:rPr>
              <w:t>0.0100***</w:t>
            </w:r>
          </w:p>
        </w:tc>
        <w:tc>
          <w:tcPr>
            <w:tcW w:w="466" w:type="pct"/>
            <w:hideMark/>
          </w:tcPr>
          <w:p w14:paraId="36746C6A" w14:textId="77777777" w:rsidR="00A4606E" w:rsidRPr="00923237" w:rsidRDefault="00A4606E" w:rsidP="00F31DC2">
            <w:pPr>
              <w:pStyle w:val="NoSpacing"/>
              <w:rPr>
                <w:rFonts w:cstheme="minorHAnsi"/>
                <w:sz w:val="20"/>
                <w:szCs w:val="20"/>
              </w:rPr>
            </w:pPr>
            <w:r w:rsidRPr="00923237">
              <w:rPr>
                <w:rFonts w:cstheme="minorHAnsi"/>
                <w:sz w:val="20"/>
                <w:szCs w:val="20"/>
              </w:rPr>
              <w:t>0.0090**</w:t>
            </w:r>
          </w:p>
        </w:tc>
        <w:tc>
          <w:tcPr>
            <w:tcW w:w="466" w:type="pct"/>
            <w:hideMark/>
          </w:tcPr>
          <w:p w14:paraId="2B6FF98C" w14:textId="77777777" w:rsidR="00A4606E" w:rsidRPr="00923237" w:rsidRDefault="00A4606E" w:rsidP="00F31DC2">
            <w:pPr>
              <w:pStyle w:val="NoSpacing"/>
              <w:rPr>
                <w:rFonts w:cstheme="minorHAnsi"/>
                <w:sz w:val="20"/>
                <w:szCs w:val="20"/>
              </w:rPr>
            </w:pPr>
            <w:r w:rsidRPr="00923237">
              <w:rPr>
                <w:rFonts w:cstheme="minorHAnsi"/>
                <w:sz w:val="20"/>
                <w:szCs w:val="20"/>
              </w:rPr>
              <w:t>0.0089**</w:t>
            </w:r>
          </w:p>
        </w:tc>
        <w:tc>
          <w:tcPr>
            <w:tcW w:w="466" w:type="pct"/>
            <w:hideMark/>
          </w:tcPr>
          <w:p w14:paraId="01C53DF0" w14:textId="77777777" w:rsidR="00A4606E" w:rsidRPr="00923237" w:rsidRDefault="00A4606E" w:rsidP="00F31DC2">
            <w:pPr>
              <w:pStyle w:val="NoSpacing"/>
              <w:rPr>
                <w:rFonts w:cstheme="minorHAnsi"/>
                <w:sz w:val="20"/>
                <w:szCs w:val="20"/>
              </w:rPr>
            </w:pPr>
            <w:r w:rsidRPr="00923237">
              <w:rPr>
                <w:rFonts w:cstheme="minorHAnsi"/>
                <w:sz w:val="20"/>
                <w:szCs w:val="20"/>
              </w:rPr>
              <w:t>0.0084**</w:t>
            </w:r>
          </w:p>
        </w:tc>
        <w:tc>
          <w:tcPr>
            <w:tcW w:w="466" w:type="pct"/>
            <w:hideMark/>
          </w:tcPr>
          <w:p w14:paraId="06E5DE02" w14:textId="77777777" w:rsidR="00A4606E" w:rsidRPr="00923237" w:rsidRDefault="00A4606E" w:rsidP="00F31DC2">
            <w:pPr>
              <w:pStyle w:val="NoSpacing"/>
              <w:rPr>
                <w:rFonts w:cstheme="minorHAnsi"/>
                <w:sz w:val="20"/>
                <w:szCs w:val="20"/>
              </w:rPr>
            </w:pPr>
            <w:r w:rsidRPr="00923237">
              <w:rPr>
                <w:rFonts w:cstheme="minorHAnsi"/>
                <w:sz w:val="20"/>
                <w:szCs w:val="20"/>
              </w:rPr>
              <w:t>0.0096**</w:t>
            </w:r>
          </w:p>
        </w:tc>
        <w:tc>
          <w:tcPr>
            <w:tcW w:w="466" w:type="pct"/>
            <w:hideMark/>
          </w:tcPr>
          <w:p w14:paraId="3B82A096" w14:textId="77777777" w:rsidR="00A4606E" w:rsidRPr="00923237" w:rsidRDefault="00A4606E" w:rsidP="00F31DC2">
            <w:pPr>
              <w:pStyle w:val="NoSpacing"/>
              <w:rPr>
                <w:rFonts w:cstheme="minorHAnsi"/>
                <w:sz w:val="20"/>
                <w:szCs w:val="20"/>
              </w:rPr>
            </w:pPr>
            <w:r w:rsidRPr="00923237">
              <w:rPr>
                <w:rFonts w:cstheme="minorHAnsi"/>
                <w:sz w:val="20"/>
                <w:szCs w:val="20"/>
              </w:rPr>
              <w:t>0.0104**</w:t>
            </w:r>
          </w:p>
        </w:tc>
        <w:tc>
          <w:tcPr>
            <w:tcW w:w="427" w:type="pct"/>
            <w:hideMark/>
          </w:tcPr>
          <w:p w14:paraId="1D576B42" w14:textId="77777777" w:rsidR="00A4606E" w:rsidRPr="00923237" w:rsidRDefault="00A4606E" w:rsidP="00F31DC2">
            <w:pPr>
              <w:pStyle w:val="NoSpacing"/>
              <w:rPr>
                <w:rFonts w:cstheme="minorHAnsi"/>
                <w:sz w:val="20"/>
                <w:szCs w:val="20"/>
              </w:rPr>
            </w:pPr>
            <w:r w:rsidRPr="00923237">
              <w:rPr>
                <w:rFonts w:cstheme="minorHAnsi"/>
                <w:sz w:val="20"/>
                <w:szCs w:val="20"/>
              </w:rPr>
              <w:t>−0.0467*</w:t>
            </w:r>
          </w:p>
        </w:tc>
        <w:tc>
          <w:tcPr>
            <w:tcW w:w="466" w:type="pct"/>
            <w:hideMark/>
          </w:tcPr>
          <w:p w14:paraId="3DBA8630" w14:textId="77777777" w:rsidR="00A4606E" w:rsidRPr="00923237" w:rsidRDefault="00A4606E" w:rsidP="00F31DC2">
            <w:pPr>
              <w:pStyle w:val="NoSpacing"/>
              <w:rPr>
                <w:rFonts w:cstheme="minorHAnsi"/>
                <w:sz w:val="20"/>
                <w:szCs w:val="20"/>
              </w:rPr>
            </w:pPr>
            <w:r w:rsidRPr="00923237">
              <w:rPr>
                <w:rFonts w:cstheme="minorHAnsi"/>
                <w:sz w:val="20"/>
                <w:szCs w:val="20"/>
              </w:rPr>
              <w:t>0.0032</w:t>
            </w:r>
          </w:p>
        </w:tc>
      </w:tr>
      <w:tr w:rsidR="00A4606E" w:rsidRPr="00923237" w14:paraId="584F42E5" w14:textId="77777777" w:rsidTr="00F727E1">
        <w:tc>
          <w:tcPr>
            <w:tcW w:w="1311" w:type="pct"/>
            <w:hideMark/>
          </w:tcPr>
          <w:p w14:paraId="10FE0EFF" w14:textId="77777777" w:rsidR="00A4606E" w:rsidRPr="00923237" w:rsidRDefault="00A4606E" w:rsidP="00F31DC2">
            <w:pPr>
              <w:pStyle w:val="NoSpacing"/>
              <w:rPr>
                <w:rFonts w:cstheme="minorHAnsi"/>
                <w:sz w:val="20"/>
                <w:szCs w:val="20"/>
              </w:rPr>
            </w:pPr>
          </w:p>
        </w:tc>
        <w:tc>
          <w:tcPr>
            <w:tcW w:w="466" w:type="pct"/>
            <w:hideMark/>
          </w:tcPr>
          <w:p w14:paraId="7D91F671" w14:textId="77777777" w:rsidR="00A4606E" w:rsidRPr="00923237" w:rsidRDefault="00A4606E" w:rsidP="00F31DC2">
            <w:pPr>
              <w:pStyle w:val="NoSpacing"/>
              <w:rPr>
                <w:rFonts w:cstheme="minorHAnsi"/>
                <w:sz w:val="20"/>
                <w:szCs w:val="20"/>
              </w:rPr>
            </w:pPr>
            <w:r w:rsidRPr="00923237">
              <w:rPr>
                <w:rFonts w:cstheme="minorHAnsi"/>
                <w:sz w:val="20"/>
                <w:szCs w:val="20"/>
              </w:rPr>
              <w:t>[0.009]</w:t>
            </w:r>
          </w:p>
        </w:tc>
        <w:tc>
          <w:tcPr>
            <w:tcW w:w="466" w:type="pct"/>
            <w:hideMark/>
          </w:tcPr>
          <w:p w14:paraId="63A85AE3" w14:textId="77777777" w:rsidR="00A4606E" w:rsidRPr="00923237" w:rsidRDefault="00A4606E" w:rsidP="00F31DC2">
            <w:pPr>
              <w:pStyle w:val="NoSpacing"/>
              <w:rPr>
                <w:rFonts w:cstheme="minorHAnsi"/>
                <w:sz w:val="20"/>
                <w:szCs w:val="20"/>
              </w:rPr>
            </w:pPr>
            <w:r w:rsidRPr="00923237">
              <w:rPr>
                <w:rFonts w:cstheme="minorHAnsi"/>
                <w:sz w:val="20"/>
                <w:szCs w:val="20"/>
              </w:rPr>
              <w:t>[0.033]</w:t>
            </w:r>
          </w:p>
        </w:tc>
        <w:tc>
          <w:tcPr>
            <w:tcW w:w="466" w:type="pct"/>
            <w:hideMark/>
          </w:tcPr>
          <w:p w14:paraId="4CB3B0D3" w14:textId="77777777" w:rsidR="00A4606E" w:rsidRPr="00923237" w:rsidRDefault="00A4606E" w:rsidP="00F31DC2">
            <w:pPr>
              <w:pStyle w:val="NoSpacing"/>
              <w:rPr>
                <w:rFonts w:cstheme="minorHAnsi"/>
                <w:sz w:val="20"/>
                <w:szCs w:val="20"/>
              </w:rPr>
            </w:pPr>
            <w:r w:rsidRPr="00923237">
              <w:rPr>
                <w:rFonts w:cstheme="minorHAnsi"/>
                <w:sz w:val="20"/>
                <w:szCs w:val="20"/>
              </w:rPr>
              <w:t>[0.03]</w:t>
            </w:r>
          </w:p>
        </w:tc>
        <w:tc>
          <w:tcPr>
            <w:tcW w:w="466" w:type="pct"/>
            <w:hideMark/>
          </w:tcPr>
          <w:p w14:paraId="249359E2" w14:textId="77777777" w:rsidR="00A4606E" w:rsidRPr="00923237" w:rsidRDefault="00A4606E" w:rsidP="00F31DC2">
            <w:pPr>
              <w:pStyle w:val="NoSpacing"/>
              <w:rPr>
                <w:rFonts w:cstheme="minorHAnsi"/>
                <w:sz w:val="20"/>
                <w:szCs w:val="20"/>
              </w:rPr>
            </w:pPr>
            <w:r w:rsidRPr="00923237">
              <w:rPr>
                <w:rFonts w:cstheme="minorHAnsi"/>
                <w:sz w:val="20"/>
                <w:szCs w:val="20"/>
              </w:rPr>
              <w:t>[0.045]</w:t>
            </w:r>
          </w:p>
        </w:tc>
        <w:tc>
          <w:tcPr>
            <w:tcW w:w="466" w:type="pct"/>
            <w:hideMark/>
          </w:tcPr>
          <w:p w14:paraId="43EBF4AA" w14:textId="77777777" w:rsidR="00A4606E" w:rsidRPr="00923237" w:rsidRDefault="00A4606E" w:rsidP="00F31DC2">
            <w:pPr>
              <w:pStyle w:val="NoSpacing"/>
              <w:rPr>
                <w:rFonts w:cstheme="minorHAnsi"/>
                <w:sz w:val="20"/>
                <w:szCs w:val="20"/>
              </w:rPr>
            </w:pPr>
            <w:r w:rsidRPr="00923237">
              <w:rPr>
                <w:rFonts w:cstheme="minorHAnsi"/>
                <w:sz w:val="20"/>
                <w:szCs w:val="20"/>
              </w:rPr>
              <w:t>[0.021]</w:t>
            </w:r>
          </w:p>
        </w:tc>
        <w:tc>
          <w:tcPr>
            <w:tcW w:w="466" w:type="pct"/>
            <w:hideMark/>
          </w:tcPr>
          <w:p w14:paraId="4E15F520" w14:textId="77777777" w:rsidR="00A4606E" w:rsidRPr="00923237" w:rsidRDefault="00A4606E" w:rsidP="00F31DC2">
            <w:pPr>
              <w:pStyle w:val="NoSpacing"/>
              <w:rPr>
                <w:rFonts w:cstheme="minorHAnsi"/>
                <w:sz w:val="20"/>
                <w:szCs w:val="20"/>
              </w:rPr>
            </w:pPr>
            <w:r w:rsidRPr="00923237">
              <w:rPr>
                <w:rFonts w:cstheme="minorHAnsi"/>
                <w:sz w:val="20"/>
                <w:szCs w:val="20"/>
              </w:rPr>
              <w:t>[0.02]</w:t>
            </w:r>
          </w:p>
        </w:tc>
        <w:tc>
          <w:tcPr>
            <w:tcW w:w="427" w:type="pct"/>
            <w:hideMark/>
          </w:tcPr>
          <w:p w14:paraId="3B699E86" w14:textId="77777777" w:rsidR="00A4606E" w:rsidRPr="00923237" w:rsidRDefault="00A4606E" w:rsidP="00F31DC2">
            <w:pPr>
              <w:pStyle w:val="NoSpacing"/>
              <w:rPr>
                <w:rFonts w:cstheme="minorHAnsi"/>
                <w:sz w:val="20"/>
                <w:szCs w:val="20"/>
              </w:rPr>
            </w:pPr>
            <w:r w:rsidRPr="00923237">
              <w:rPr>
                <w:rFonts w:cstheme="minorHAnsi"/>
                <w:sz w:val="20"/>
                <w:szCs w:val="20"/>
              </w:rPr>
              <w:t>[0.094]</w:t>
            </w:r>
          </w:p>
        </w:tc>
        <w:tc>
          <w:tcPr>
            <w:tcW w:w="466" w:type="pct"/>
            <w:hideMark/>
          </w:tcPr>
          <w:p w14:paraId="5DF3429C" w14:textId="77777777" w:rsidR="00A4606E" w:rsidRPr="00923237" w:rsidRDefault="00A4606E" w:rsidP="00F31DC2">
            <w:pPr>
              <w:pStyle w:val="NoSpacing"/>
              <w:rPr>
                <w:rFonts w:cstheme="minorHAnsi"/>
                <w:sz w:val="20"/>
                <w:szCs w:val="20"/>
              </w:rPr>
            </w:pPr>
            <w:r w:rsidRPr="00923237">
              <w:rPr>
                <w:rFonts w:cstheme="minorHAnsi"/>
                <w:sz w:val="20"/>
                <w:szCs w:val="20"/>
              </w:rPr>
              <w:t>[0.568]</w:t>
            </w:r>
          </w:p>
        </w:tc>
      </w:tr>
      <w:tr w:rsidR="00A4606E" w:rsidRPr="00923237" w14:paraId="4EEB3C26" w14:textId="77777777" w:rsidTr="00F727E1">
        <w:tc>
          <w:tcPr>
            <w:tcW w:w="1311" w:type="pct"/>
            <w:hideMark/>
          </w:tcPr>
          <w:p w14:paraId="73C63E6E" w14:textId="77777777" w:rsidR="00A4606E" w:rsidRPr="00923237" w:rsidRDefault="00A4606E" w:rsidP="00F31DC2">
            <w:pPr>
              <w:pStyle w:val="NoSpacing"/>
              <w:rPr>
                <w:rFonts w:cstheme="minorHAnsi"/>
                <w:sz w:val="20"/>
                <w:szCs w:val="20"/>
              </w:rPr>
            </w:pPr>
            <w:r w:rsidRPr="00923237">
              <w:rPr>
                <w:rFonts w:cstheme="minorHAnsi"/>
                <w:sz w:val="20"/>
                <w:szCs w:val="20"/>
              </w:rPr>
              <w:t>Variable rate debt/total debt</w:t>
            </w:r>
          </w:p>
        </w:tc>
        <w:tc>
          <w:tcPr>
            <w:tcW w:w="466" w:type="pct"/>
            <w:hideMark/>
          </w:tcPr>
          <w:p w14:paraId="1755E9BD" w14:textId="77777777" w:rsidR="00A4606E" w:rsidRPr="00923237" w:rsidRDefault="00A4606E" w:rsidP="00F31DC2">
            <w:pPr>
              <w:pStyle w:val="NoSpacing"/>
              <w:rPr>
                <w:rFonts w:cstheme="minorHAnsi"/>
                <w:sz w:val="20"/>
                <w:szCs w:val="20"/>
              </w:rPr>
            </w:pPr>
            <w:r w:rsidRPr="00923237">
              <w:rPr>
                <w:rFonts w:cstheme="minorHAnsi"/>
                <w:sz w:val="20"/>
                <w:szCs w:val="20"/>
              </w:rPr>
              <w:t>0.0215***</w:t>
            </w:r>
          </w:p>
        </w:tc>
        <w:tc>
          <w:tcPr>
            <w:tcW w:w="466" w:type="pct"/>
            <w:hideMark/>
          </w:tcPr>
          <w:p w14:paraId="55F4C12A" w14:textId="77777777" w:rsidR="00A4606E" w:rsidRPr="00923237" w:rsidRDefault="00A4606E" w:rsidP="00F31DC2">
            <w:pPr>
              <w:pStyle w:val="NoSpacing"/>
              <w:rPr>
                <w:rFonts w:cstheme="minorHAnsi"/>
                <w:sz w:val="20"/>
                <w:szCs w:val="20"/>
              </w:rPr>
            </w:pPr>
            <w:r w:rsidRPr="00923237">
              <w:rPr>
                <w:rFonts w:cstheme="minorHAnsi"/>
                <w:sz w:val="20"/>
                <w:szCs w:val="20"/>
              </w:rPr>
              <w:t>0.0211***</w:t>
            </w:r>
          </w:p>
        </w:tc>
        <w:tc>
          <w:tcPr>
            <w:tcW w:w="466" w:type="pct"/>
            <w:hideMark/>
          </w:tcPr>
          <w:p w14:paraId="29A3495E" w14:textId="77777777" w:rsidR="00A4606E" w:rsidRPr="00923237" w:rsidRDefault="00A4606E" w:rsidP="00F31DC2">
            <w:pPr>
              <w:pStyle w:val="NoSpacing"/>
              <w:rPr>
                <w:rFonts w:cstheme="minorHAnsi"/>
                <w:sz w:val="20"/>
                <w:szCs w:val="20"/>
              </w:rPr>
            </w:pPr>
            <w:r w:rsidRPr="00923237">
              <w:rPr>
                <w:rFonts w:cstheme="minorHAnsi"/>
                <w:sz w:val="20"/>
                <w:szCs w:val="20"/>
              </w:rPr>
              <w:t>0.0213***</w:t>
            </w:r>
          </w:p>
        </w:tc>
        <w:tc>
          <w:tcPr>
            <w:tcW w:w="466" w:type="pct"/>
            <w:hideMark/>
          </w:tcPr>
          <w:p w14:paraId="78425E35" w14:textId="77777777" w:rsidR="00A4606E" w:rsidRPr="00923237" w:rsidRDefault="00A4606E" w:rsidP="00F31DC2">
            <w:pPr>
              <w:pStyle w:val="NoSpacing"/>
              <w:rPr>
                <w:rFonts w:cstheme="minorHAnsi"/>
                <w:sz w:val="20"/>
                <w:szCs w:val="20"/>
              </w:rPr>
            </w:pPr>
            <w:r w:rsidRPr="00923237">
              <w:rPr>
                <w:rFonts w:cstheme="minorHAnsi"/>
                <w:sz w:val="20"/>
                <w:szCs w:val="20"/>
              </w:rPr>
              <w:t>0.0207***</w:t>
            </w:r>
          </w:p>
        </w:tc>
        <w:tc>
          <w:tcPr>
            <w:tcW w:w="466" w:type="pct"/>
            <w:hideMark/>
          </w:tcPr>
          <w:p w14:paraId="252506E6" w14:textId="77777777" w:rsidR="00A4606E" w:rsidRPr="00923237" w:rsidRDefault="00A4606E" w:rsidP="00F31DC2">
            <w:pPr>
              <w:pStyle w:val="NoSpacing"/>
              <w:rPr>
                <w:rFonts w:cstheme="minorHAnsi"/>
                <w:sz w:val="20"/>
                <w:szCs w:val="20"/>
              </w:rPr>
            </w:pPr>
            <w:r w:rsidRPr="00923237">
              <w:rPr>
                <w:rFonts w:cstheme="minorHAnsi"/>
                <w:sz w:val="20"/>
                <w:szCs w:val="20"/>
              </w:rPr>
              <w:t>0.0225***</w:t>
            </w:r>
          </w:p>
        </w:tc>
        <w:tc>
          <w:tcPr>
            <w:tcW w:w="466" w:type="pct"/>
            <w:hideMark/>
          </w:tcPr>
          <w:p w14:paraId="188671E9" w14:textId="77777777" w:rsidR="00A4606E" w:rsidRPr="00923237" w:rsidRDefault="00A4606E" w:rsidP="00F31DC2">
            <w:pPr>
              <w:pStyle w:val="NoSpacing"/>
              <w:rPr>
                <w:rFonts w:cstheme="minorHAnsi"/>
                <w:sz w:val="20"/>
                <w:szCs w:val="20"/>
              </w:rPr>
            </w:pPr>
            <w:r w:rsidRPr="00923237">
              <w:rPr>
                <w:rFonts w:cstheme="minorHAnsi"/>
                <w:sz w:val="20"/>
                <w:szCs w:val="20"/>
              </w:rPr>
              <w:t>0.0232***</w:t>
            </w:r>
          </w:p>
        </w:tc>
        <w:tc>
          <w:tcPr>
            <w:tcW w:w="427" w:type="pct"/>
            <w:hideMark/>
          </w:tcPr>
          <w:p w14:paraId="78CCAEA4" w14:textId="77777777" w:rsidR="00A4606E" w:rsidRPr="00923237" w:rsidRDefault="00A4606E" w:rsidP="00F31DC2">
            <w:pPr>
              <w:pStyle w:val="NoSpacing"/>
              <w:rPr>
                <w:rFonts w:cstheme="minorHAnsi"/>
                <w:sz w:val="20"/>
                <w:szCs w:val="20"/>
              </w:rPr>
            </w:pPr>
            <w:r w:rsidRPr="00923237">
              <w:rPr>
                <w:rFonts w:cstheme="minorHAnsi"/>
                <w:sz w:val="20"/>
                <w:szCs w:val="20"/>
              </w:rPr>
              <w:t>0.0030</w:t>
            </w:r>
          </w:p>
        </w:tc>
        <w:tc>
          <w:tcPr>
            <w:tcW w:w="466" w:type="pct"/>
            <w:hideMark/>
          </w:tcPr>
          <w:p w14:paraId="5F54AFDB" w14:textId="77777777" w:rsidR="00A4606E" w:rsidRPr="00923237" w:rsidRDefault="00A4606E" w:rsidP="00F31DC2">
            <w:pPr>
              <w:pStyle w:val="NoSpacing"/>
              <w:rPr>
                <w:rFonts w:cstheme="minorHAnsi"/>
                <w:sz w:val="20"/>
                <w:szCs w:val="20"/>
              </w:rPr>
            </w:pPr>
            <w:r w:rsidRPr="00923237">
              <w:rPr>
                <w:rFonts w:cstheme="minorHAnsi"/>
                <w:sz w:val="20"/>
                <w:szCs w:val="20"/>
              </w:rPr>
              <w:t>0.0043</w:t>
            </w:r>
          </w:p>
        </w:tc>
      </w:tr>
      <w:tr w:rsidR="00A4606E" w:rsidRPr="00923237" w14:paraId="735E5D32" w14:textId="77777777" w:rsidTr="00F727E1">
        <w:tc>
          <w:tcPr>
            <w:tcW w:w="1311" w:type="pct"/>
            <w:hideMark/>
          </w:tcPr>
          <w:p w14:paraId="316F649C" w14:textId="77777777" w:rsidR="00A4606E" w:rsidRPr="00923237" w:rsidRDefault="00A4606E" w:rsidP="00F31DC2">
            <w:pPr>
              <w:pStyle w:val="NoSpacing"/>
              <w:rPr>
                <w:rFonts w:cstheme="minorHAnsi"/>
                <w:sz w:val="20"/>
                <w:szCs w:val="20"/>
              </w:rPr>
            </w:pPr>
          </w:p>
        </w:tc>
        <w:tc>
          <w:tcPr>
            <w:tcW w:w="466" w:type="pct"/>
            <w:hideMark/>
          </w:tcPr>
          <w:p w14:paraId="1973703E" w14:textId="77777777" w:rsidR="00A4606E" w:rsidRPr="00923237" w:rsidRDefault="00A4606E" w:rsidP="00F31DC2">
            <w:pPr>
              <w:pStyle w:val="NoSpacing"/>
              <w:rPr>
                <w:rFonts w:cstheme="minorHAnsi"/>
                <w:sz w:val="20"/>
                <w:szCs w:val="20"/>
              </w:rPr>
            </w:pPr>
            <w:r w:rsidRPr="00923237">
              <w:rPr>
                <w:rFonts w:cstheme="minorHAnsi"/>
                <w:sz w:val="20"/>
                <w:szCs w:val="20"/>
              </w:rPr>
              <w:t>[&lt;0.0001]</w:t>
            </w:r>
          </w:p>
        </w:tc>
        <w:tc>
          <w:tcPr>
            <w:tcW w:w="466" w:type="pct"/>
            <w:hideMark/>
          </w:tcPr>
          <w:p w14:paraId="7CA5BD82" w14:textId="77777777" w:rsidR="00A4606E" w:rsidRPr="00923237" w:rsidRDefault="00A4606E" w:rsidP="00F31DC2">
            <w:pPr>
              <w:pStyle w:val="NoSpacing"/>
              <w:rPr>
                <w:rFonts w:cstheme="minorHAnsi"/>
                <w:sz w:val="20"/>
                <w:szCs w:val="20"/>
              </w:rPr>
            </w:pPr>
            <w:r w:rsidRPr="00923237">
              <w:rPr>
                <w:rFonts w:cstheme="minorHAnsi"/>
                <w:sz w:val="20"/>
                <w:szCs w:val="20"/>
              </w:rPr>
              <w:t>[&lt;0.0001]</w:t>
            </w:r>
          </w:p>
        </w:tc>
        <w:tc>
          <w:tcPr>
            <w:tcW w:w="466" w:type="pct"/>
            <w:hideMark/>
          </w:tcPr>
          <w:p w14:paraId="7D640CE6" w14:textId="77777777" w:rsidR="00A4606E" w:rsidRPr="00923237" w:rsidRDefault="00A4606E" w:rsidP="00F31DC2">
            <w:pPr>
              <w:pStyle w:val="NoSpacing"/>
              <w:rPr>
                <w:rFonts w:cstheme="minorHAnsi"/>
                <w:sz w:val="20"/>
                <w:szCs w:val="20"/>
              </w:rPr>
            </w:pPr>
            <w:r w:rsidRPr="00923237">
              <w:rPr>
                <w:rFonts w:cstheme="minorHAnsi"/>
                <w:sz w:val="20"/>
                <w:szCs w:val="20"/>
              </w:rPr>
              <w:t>[&lt;0.0001]</w:t>
            </w:r>
          </w:p>
        </w:tc>
        <w:tc>
          <w:tcPr>
            <w:tcW w:w="466" w:type="pct"/>
            <w:hideMark/>
          </w:tcPr>
          <w:p w14:paraId="024FCA52" w14:textId="77777777" w:rsidR="00A4606E" w:rsidRPr="00923237" w:rsidRDefault="00A4606E" w:rsidP="00F31DC2">
            <w:pPr>
              <w:pStyle w:val="NoSpacing"/>
              <w:rPr>
                <w:rFonts w:cstheme="minorHAnsi"/>
                <w:sz w:val="20"/>
                <w:szCs w:val="20"/>
              </w:rPr>
            </w:pPr>
            <w:r w:rsidRPr="00923237">
              <w:rPr>
                <w:rFonts w:cstheme="minorHAnsi"/>
                <w:sz w:val="20"/>
                <w:szCs w:val="20"/>
              </w:rPr>
              <w:t>[&lt;0.0001]</w:t>
            </w:r>
          </w:p>
        </w:tc>
        <w:tc>
          <w:tcPr>
            <w:tcW w:w="466" w:type="pct"/>
            <w:hideMark/>
          </w:tcPr>
          <w:p w14:paraId="4A115B85" w14:textId="77777777" w:rsidR="00A4606E" w:rsidRPr="00923237" w:rsidRDefault="00A4606E" w:rsidP="00F31DC2">
            <w:pPr>
              <w:pStyle w:val="NoSpacing"/>
              <w:rPr>
                <w:rFonts w:cstheme="minorHAnsi"/>
                <w:sz w:val="20"/>
                <w:szCs w:val="20"/>
              </w:rPr>
            </w:pPr>
            <w:r w:rsidRPr="00923237">
              <w:rPr>
                <w:rFonts w:cstheme="minorHAnsi"/>
                <w:sz w:val="20"/>
                <w:szCs w:val="20"/>
              </w:rPr>
              <w:t>[&lt;0.0001]</w:t>
            </w:r>
          </w:p>
        </w:tc>
        <w:tc>
          <w:tcPr>
            <w:tcW w:w="466" w:type="pct"/>
            <w:hideMark/>
          </w:tcPr>
          <w:p w14:paraId="16F0CBD9" w14:textId="77777777" w:rsidR="00A4606E" w:rsidRPr="00923237" w:rsidRDefault="00A4606E" w:rsidP="00F31DC2">
            <w:pPr>
              <w:pStyle w:val="NoSpacing"/>
              <w:rPr>
                <w:rFonts w:cstheme="minorHAnsi"/>
                <w:sz w:val="20"/>
                <w:szCs w:val="20"/>
              </w:rPr>
            </w:pPr>
            <w:r w:rsidRPr="00923237">
              <w:rPr>
                <w:rFonts w:cstheme="minorHAnsi"/>
                <w:sz w:val="20"/>
                <w:szCs w:val="20"/>
              </w:rPr>
              <w:t>[&lt;0.0001]</w:t>
            </w:r>
          </w:p>
        </w:tc>
        <w:tc>
          <w:tcPr>
            <w:tcW w:w="427" w:type="pct"/>
            <w:hideMark/>
          </w:tcPr>
          <w:p w14:paraId="2EC8F5BC" w14:textId="77777777" w:rsidR="00A4606E" w:rsidRPr="00923237" w:rsidRDefault="00A4606E" w:rsidP="00F31DC2">
            <w:pPr>
              <w:pStyle w:val="NoSpacing"/>
              <w:rPr>
                <w:rFonts w:cstheme="minorHAnsi"/>
                <w:sz w:val="20"/>
                <w:szCs w:val="20"/>
              </w:rPr>
            </w:pPr>
            <w:r w:rsidRPr="00923237">
              <w:rPr>
                <w:rFonts w:cstheme="minorHAnsi"/>
                <w:sz w:val="20"/>
                <w:szCs w:val="20"/>
              </w:rPr>
              <w:t>[0.89]</w:t>
            </w:r>
          </w:p>
        </w:tc>
        <w:tc>
          <w:tcPr>
            <w:tcW w:w="466" w:type="pct"/>
            <w:hideMark/>
          </w:tcPr>
          <w:p w14:paraId="6E880616" w14:textId="77777777" w:rsidR="00A4606E" w:rsidRPr="00923237" w:rsidRDefault="00A4606E" w:rsidP="00F31DC2">
            <w:pPr>
              <w:pStyle w:val="NoSpacing"/>
              <w:rPr>
                <w:rFonts w:cstheme="minorHAnsi"/>
                <w:sz w:val="20"/>
                <w:szCs w:val="20"/>
              </w:rPr>
            </w:pPr>
            <w:r w:rsidRPr="00923237">
              <w:rPr>
                <w:rFonts w:cstheme="minorHAnsi"/>
                <w:sz w:val="20"/>
                <w:szCs w:val="20"/>
              </w:rPr>
              <w:t>[0.589]</w:t>
            </w:r>
          </w:p>
        </w:tc>
      </w:tr>
      <w:tr w:rsidR="00A4606E" w:rsidRPr="00923237" w14:paraId="347AE490" w14:textId="77777777" w:rsidTr="00F727E1">
        <w:tc>
          <w:tcPr>
            <w:tcW w:w="1311" w:type="pct"/>
            <w:hideMark/>
          </w:tcPr>
          <w:p w14:paraId="062A33E4" w14:textId="77777777" w:rsidR="00A4606E" w:rsidRPr="00923237" w:rsidRDefault="00A4606E" w:rsidP="00F31DC2">
            <w:pPr>
              <w:pStyle w:val="NoSpacing"/>
              <w:rPr>
                <w:rFonts w:cstheme="minorHAnsi"/>
                <w:sz w:val="20"/>
                <w:szCs w:val="20"/>
              </w:rPr>
            </w:pPr>
            <w:r w:rsidRPr="00923237">
              <w:rPr>
                <w:rFonts w:cstheme="minorHAnsi"/>
                <w:sz w:val="20"/>
                <w:szCs w:val="20"/>
              </w:rPr>
              <w:t>Debt due in 1 year/total debt</w:t>
            </w:r>
          </w:p>
        </w:tc>
        <w:tc>
          <w:tcPr>
            <w:tcW w:w="466" w:type="pct"/>
            <w:hideMark/>
          </w:tcPr>
          <w:p w14:paraId="1C155486" w14:textId="77777777" w:rsidR="00A4606E" w:rsidRPr="00923237" w:rsidRDefault="00A4606E" w:rsidP="00F31DC2">
            <w:pPr>
              <w:pStyle w:val="NoSpacing"/>
              <w:rPr>
                <w:rFonts w:cstheme="minorHAnsi"/>
                <w:sz w:val="20"/>
                <w:szCs w:val="20"/>
              </w:rPr>
            </w:pPr>
            <w:r w:rsidRPr="00923237">
              <w:rPr>
                <w:rFonts w:cstheme="minorHAnsi"/>
                <w:sz w:val="20"/>
                <w:szCs w:val="20"/>
              </w:rPr>
              <w:t>0.0032</w:t>
            </w:r>
          </w:p>
        </w:tc>
        <w:tc>
          <w:tcPr>
            <w:tcW w:w="466" w:type="pct"/>
            <w:hideMark/>
          </w:tcPr>
          <w:p w14:paraId="79584FF9" w14:textId="77777777" w:rsidR="00A4606E" w:rsidRPr="00923237" w:rsidRDefault="00A4606E" w:rsidP="00F31DC2">
            <w:pPr>
              <w:pStyle w:val="NoSpacing"/>
              <w:rPr>
                <w:rFonts w:cstheme="minorHAnsi"/>
                <w:sz w:val="20"/>
                <w:szCs w:val="20"/>
              </w:rPr>
            </w:pPr>
            <w:r w:rsidRPr="00923237">
              <w:rPr>
                <w:rFonts w:cstheme="minorHAnsi"/>
                <w:sz w:val="20"/>
                <w:szCs w:val="20"/>
              </w:rPr>
              <w:t>−0.0056</w:t>
            </w:r>
          </w:p>
        </w:tc>
        <w:tc>
          <w:tcPr>
            <w:tcW w:w="466" w:type="pct"/>
            <w:hideMark/>
          </w:tcPr>
          <w:p w14:paraId="4C01059B" w14:textId="77777777" w:rsidR="00A4606E" w:rsidRPr="00923237" w:rsidRDefault="00A4606E" w:rsidP="00F31DC2">
            <w:pPr>
              <w:pStyle w:val="NoSpacing"/>
              <w:rPr>
                <w:rFonts w:cstheme="minorHAnsi"/>
                <w:sz w:val="20"/>
                <w:szCs w:val="20"/>
              </w:rPr>
            </w:pPr>
            <w:r w:rsidRPr="00923237">
              <w:rPr>
                <w:rFonts w:cstheme="minorHAnsi"/>
                <w:sz w:val="20"/>
                <w:szCs w:val="20"/>
              </w:rPr>
              <w:t>−0.0059</w:t>
            </w:r>
          </w:p>
        </w:tc>
        <w:tc>
          <w:tcPr>
            <w:tcW w:w="466" w:type="pct"/>
            <w:hideMark/>
          </w:tcPr>
          <w:p w14:paraId="5E40F8C7" w14:textId="77777777" w:rsidR="00A4606E" w:rsidRPr="00923237" w:rsidRDefault="00A4606E" w:rsidP="00F31DC2">
            <w:pPr>
              <w:pStyle w:val="NoSpacing"/>
              <w:rPr>
                <w:rFonts w:cstheme="minorHAnsi"/>
                <w:sz w:val="20"/>
                <w:szCs w:val="20"/>
              </w:rPr>
            </w:pPr>
            <w:r w:rsidRPr="00923237">
              <w:rPr>
                <w:rFonts w:cstheme="minorHAnsi"/>
                <w:sz w:val="20"/>
                <w:szCs w:val="20"/>
              </w:rPr>
              <w:t>−0.0054</w:t>
            </w:r>
          </w:p>
        </w:tc>
        <w:tc>
          <w:tcPr>
            <w:tcW w:w="466" w:type="pct"/>
            <w:hideMark/>
          </w:tcPr>
          <w:p w14:paraId="7D94D297" w14:textId="77777777" w:rsidR="00A4606E" w:rsidRPr="00923237" w:rsidRDefault="00A4606E" w:rsidP="00F31DC2">
            <w:pPr>
              <w:pStyle w:val="NoSpacing"/>
              <w:rPr>
                <w:rFonts w:cstheme="minorHAnsi"/>
                <w:sz w:val="20"/>
                <w:szCs w:val="20"/>
              </w:rPr>
            </w:pPr>
            <w:r w:rsidRPr="00923237">
              <w:rPr>
                <w:rFonts w:cstheme="minorHAnsi"/>
                <w:sz w:val="20"/>
                <w:szCs w:val="20"/>
              </w:rPr>
              <w:t>−0.0076</w:t>
            </w:r>
          </w:p>
        </w:tc>
        <w:tc>
          <w:tcPr>
            <w:tcW w:w="466" w:type="pct"/>
            <w:hideMark/>
          </w:tcPr>
          <w:p w14:paraId="515FE510" w14:textId="77777777" w:rsidR="00A4606E" w:rsidRPr="00923237" w:rsidRDefault="00A4606E" w:rsidP="00F31DC2">
            <w:pPr>
              <w:pStyle w:val="NoSpacing"/>
              <w:rPr>
                <w:rFonts w:cstheme="minorHAnsi"/>
                <w:sz w:val="20"/>
                <w:szCs w:val="20"/>
              </w:rPr>
            </w:pPr>
            <w:r w:rsidRPr="00923237">
              <w:rPr>
                <w:rFonts w:cstheme="minorHAnsi"/>
                <w:sz w:val="20"/>
                <w:szCs w:val="20"/>
              </w:rPr>
              <w:t>−0.0103</w:t>
            </w:r>
          </w:p>
        </w:tc>
        <w:tc>
          <w:tcPr>
            <w:tcW w:w="427" w:type="pct"/>
            <w:hideMark/>
          </w:tcPr>
          <w:p w14:paraId="66E37A8A" w14:textId="77777777" w:rsidR="00A4606E" w:rsidRPr="00923237" w:rsidRDefault="00A4606E" w:rsidP="00F31DC2">
            <w:pPr>
              <w:pStyle w:val="NoSpacing"/>
              <w:rPr>
                <w:rFonts w:cstheme="minorHAnsi"/>
                <w:sz w:val="20"/>
                <w:szCs w:val="20"/>
              </w:rPr>
            </w:pPr>
            <w:r w:rsidRPr="00923237">
              <w:rPr>
                <w:rFonts w:cstheme="minorHAnsi"/>
                <w:sz w:val="20"/>
                <w:szCs w:val="20"/>
              </w:rPr>
              <w:t>−0.0214</w:t>
            </w:r>
          </w:p>
        </w:tc>
        <w:tc>
          <w:tcPr>
            <w:tcW w:w="466" w:type="pct"/>
            <w:hideMark/>
          </w:tcPr>
          <w:p w14:paraId="3FE0F745" w14:textId="77777777" w:rsidR="00A4606E" w:rsidRPr="00923237" w:rsidRDefault="00A4606E" w:rsidP="00F31DC2">
            <w:pPr>
              <w:pStyle w:val="NoSpacing"/>
              <w:rPr>
                <w:rFonts w:cstheme="minorHAnsi"/>
                <w:sz w:val="20"/>
                <w:szCs w:val="20"/>
              </w:rPr>
            </w:pPr>
            <w:r w:rsidRPr="00923237">
              <w:rPr>
                <w:rFonts w:cstheme="minorHAnsi"/>
                <w:sz w:val="20"/>
                <w:szCs w:val="20"/>
              </w:rPr>
              <w:t>−0.0015</w:t>
            </w:r>
          </w:p>
        </w:tc>
      </w:tr>
      <w:tr w:rsidR="00A4606E" w:rsidRPr="00923237" w14:paraId="2FBFDF57" w14:textId="77777777" w:rsidTr="00F727E1">
        <w:tc>
          <w:tcPr>
            <w:tcW w:w="1311" w:type="pct"/>
            <w:hideMark/>
          </w:tcPr>
          <w:p w14:paraId="699F41A0" w14:textId="77777777" w:rsidR="00A4606E" w:rsidRPr="00923237" w:rsidRDefault="00A4606E" w:rsidP="00F31DC2">
            <w:pPr>
              <w:pStyle w:val="NoSpacing"/>
              <w:rPr>
                <w:rFonts w:cstheme="minorHAnsi"/>
                <w:sz w:val="20"/>
                <w:szCs w:val="20"/>
              </w:rPr>
            </w:pPr>
          </w:p>
        </w:tc>
        <w:tc>
          <w:tcPr>
            <w:tcW w:w="466" w:type="pct"/>
            <w:hideMark/>
          </w:tcPr>
          <w:p w14:paraId="1DA584BF" w14:textId="77777777" w:rsidR="00A4606E" w:rsidRPr="00923237" w:rsidRDefault="00A4606E" w:rsidP="00F31DC2">
            <w:pPr>
              <w:pStyle w:val="NoSpacing"/>
              <w:rPr>
                <w:rFonts w:cstheme="minorHAnsi"/>
                <w:sz w:val="20"/>
                <w:szCs w:val="20"/>
              </w:rPr>
            </w:pPr>
            <w:r w:rsidRPr="00923237">
              <w:rPr>
                <w:rFonts w:cstheme="minorHAnsi"/>
                <w:sz w:val="20"/>
                <w:szCs w:val="20"/>
              </w:rPr>
              <w:t>[0.801]</w:t>
            </w:r>
          </w:p>
        </w:tc>
        <w:tc>
          <w:tcPr>
            <w:tcW w:w="466" w:type="pct"/>
            <w:hideMark/>
          </w:tcPr>
          <w:p w14:paraId="71E26342" w14:textId="77777777" w:rsidR="00A4606E" w:rsidRPr="00923237" w:rsidRDefault="00A4606E" w:rsidP="00F31DC2">
            <w:pPr>
              <w:pStyle w:val="NoSpacing"/>
              <w:rPr>
                <w:rFonts w:cstheme="minorHAnsi"/>
                <w:sz w:val="20"/>
                <w:szCs w:val="20"/>
              </w:rPr>
            </w:pPr>
            <w:r w:rsidRPr="00923237">
              <w:rPr>
                <w:rFonts w:cstheme="minorHAnsi"/>
                <w:sz w:val="20"/>
                <w:szCs w:val="20"/>
              </w:rPr>
              <w:t>[0.687]</w:t>
            </w:r>
          </w:p>
        </w:tc>
        <w:tc>
          <w:tcPr>
            <w:tcW w:w="466" w:type="pct"/>
            <w:hideMark/>
          </w:tcPr>
          <w:p w14:paraId="1506CCF2" w14:textId="77777777" w:rsidR="00A4606E" w:rsidRPr="00923237" w:rsidRDefault="00A4606E" w:rsidP="00F31DC2">
            <w:pPr>
              <w:pStyle w:val="NoSpacing"/>
              <w:rPr>
                <w:rFonts w:cstheme="minorHAnsi"/>
                <w:sz w:val="20"/>
                <w:szCs w:val="20"/>
              </w:rPr>
            </w:pPr>
            <w:r w:rsidRPr="00923237">
              <w:rPr>
                <w:rFonts w:cstheme="minorHAnsi"/>
                <w:sz w:val="20"/>
                <w:szCs w:val="20"/>
              </w:rPr>
              <w:t>[0.671]</w:t>
            </w:r>
          </w:p>
        </w:tc>
        <w:tc>
          <w:tcPr>
            <w:tcW w:w="466" w:type="pct"/>
            <w:hideMark/>
          </w:tcPr>
          <w:p w14:paraId="40F11E08" w14:textId="77777777" w:rsidR="00A4606E" w:rsidRPr="00923237" w:rsidRDefault="00A4606E" w:rsidP="00F31DC2">
            <w:pPr>
              <w:pStyle w:val="NoSpacing"/>
              <w:rPr>
                <w:rFonts w:cstheme="minorHAnsi"/>
                <w:sz w:val="20"/>
                <w:szCs w:val="20"/>
              </w:rPr>
            </w:pPr>
            <w:r w:rsidRPr="00923237">
              <w:rPr>
                <w:rFonts w:cstheme="minorHAnsi"/>
                <w:sz w:val="20"/>
                <w:szCs w:val="20"/>
              </w:rPr>
              <w:t>[0.696]</w:t>
            </w:r>
          </w:p>
        </w:tc>
        <w:tc>
          <w:tcPr>
            <w:tcW w:w="466" w:type="pct"/>
            <w:hideMark/>
          </w:tcPr>
          <w:p w14:paraId="7D19E2A2" w14:textId="77777777" w:rsidR="00A4606E" w:rsidRPr="00923237" w:rsidRDefault="00A4606E" w:rsidP="00F31DC2">
            <w:pPr>
              <w:pStyle w:val="NoSpacing"/>
              <w:rPr>
                <w:rFonts w:cstheme="minorHAnsi"/>
                <w:sz w:val="20"/>
                <w:szCs w:val="20"/>
              </w:rPr>
            </w:pPr>
            <w:r w:rsidRPr="00923237">
              <w:rPr>
                <w:rFonts w:cstheme="minorHAnsi"/>
                <w:sz w:val="20"/>
                <w:szCs w:val="20"/>
              </w:rPr>
              <w:t>[0.579]</w:t>
            </w:r>
          </w:p>
        </w:tc>
        <w:tc>
          <w:tcPr>
            <w:tcW w:w="466" w:type="pct"/>
            <w:hideMark/>
          </w:tcPr>
          <w:p w14:paraId="651856DD" w14:textId="77777777" w:rsidR="00A4606E" w:rsidRPr="00923237" w:rsidRDefault="00A4606E" w:rsidP="00F31DC2">
            <w:pPr>
              <w:pStyle w:val="NoSpacing"/>
              <w:rPr>
                <w:rFonts w:cstheme="minorHAnsi"/>
                <w:sz w:val="20"/>
                <w:szCs w:val="20"/>
              </w:rPr>
            </w:pPr>
            <w:r w:rsidRPr="00923237">
              <w:rPr>
                <w:rFonts w:cstheme="minorHAnsi"/>
                <w:sz w:val="20"/>
                <w:szCs w:val="20"/>
              </w:rPr>
              <w:t>[0.470]</w:t>
            </w:r>
          </w:p>
        </w:tc>
        <w:tc>
          <w:tcPr>
            <w:tcW w:w="427" w:type="pct"/>
            <w:hideMark/>
          </w:tcPr>
          <w:p w14:paraId="71C9396B" w14:textId="77777777" w:rsidR="00A4606E" w:rsidRPr="00923237" w:rsidRDefault="00A4606E" w:rsidP="00F31DC2">
            <w:pPr>
              <w:pStyle w:val="NoSpacing"/>
              <w:rPr>
                <w:rFonts w:cstheme="minorHAnsi"/>
                <w:sz w:val="20"/>
                <w:szCs w:val="20"/>
              </w:rPr>
            </w:pPr>
            <w:r w:rsidRPr="00923237">
              <w:rPr>
                <w:rFonts w:cstheme="minorHAnsi"/>
                <w:sz w:val="20"/>
                <w:szCs w:val="20"/>
              </w:rPr>
              <w:t>[0.723]</w:t>
            </w:r>
          </w:p>
        </w:tc>
        <w:tc>
          <w:tcPr>
            <w:tcW w:w="466" w:type="pct"/>
            <w:hideMark/>
          </w:tcPr>
          <w:p w14:paraId="4FACB59B" w14:textId="77777777" w:rsidR="00A4606E" w:rsidRPr="00923237" w:rsidRDefault="00A4606E" w:rsidP="00F31DC2">
            <w:pPr>
              <w:pStyle w:val="NoSpacing"/>
              <w:rPr>
                <w:rFonts w:cstheme="minorHAnsi"/>
                <w:sz w:val="20"/>
                <w:szCs w:val="20"/>
              </w:rPr>
            </w:pPr>
            <w:r w:rsidRPr="00923237">
              <w:rPr>
                <w:rFonts w:cstheme="minorHAnsi"/>
                <w:sz w:val="20"/>
                <w:szCs w:val="20"/>
              </w:rPr>
              <w:t>[0.884]</w:t>
            </w:r>
          </w:p>
        </w:tc>
      </w:tr>
      <w:tr w:rsidR="00A4606E" w:rsidRPr="00923237" w14:paraId="608BBF2E" w14:textId="77777777" w:rsidTr="00F727E1">
        <w:tc>
          <w:tcPr>
            <w:tcW w:w="1311" w:type="pct"/>
            <w:hideMark/>
          </w:tcPr>
          <w:p w14:paraId="6EE7D2E3" w14:textId="77777777" w:rsidR="00A4606E" w:rsidRPr="00923237" w:rsidRDefault="00A4606E" w:rsidP="00F31DC2">
            <w:pPr>
              <w:pStyle w:val="NoSpacing"/>
              <w:rPr>
                <w:rFonts w:cstheme="minorHAnsi"/>
                <w:sz w:val="20"/>
                <w:szCs w:val="20"/>
              </w:rPr>
            </w:pPr>
            <w:r w:rsidRPr="00923237">
              <w:rPr>
                <w:rFonts w:cstheme="minorHAnsi"/>
                <w:sz w:val="20"/>
                <w:szCs w:val="20"/>
              </w:rPr>
              <w:t>Debt due in 2–3 year/total debt</w:t>
            </w:r>
          </w:p>
        </w:tc>
        <w:tc>
          <w:tcPr>
            <w:tcW w:w="466" w:type="pct"/>
            <w:hideMark/>
          </w:tcPr>
          <w:p w14:paraId="4E9236D7" w14:textId="77777777" w:rsidR="00A4606E" w:rsidRPr="00923237" w:rsidRDefault="00A4606E" w:rsidP="00F31DC2">
            <w:pPr>
              <w:pStyle w:val="NoSpacing"/>
              <w:rPr>
                <w:rFonts w:cstheme="minorHAnsi"/>
                <w:sz w:val="20"/>
                <w:szCs w:val="20"/>
              </w:rPr>
            </w:pPr>
            <w:r w:rsidRPr="00923237">
              <w:rPr>
                <w:rFonts w:cstheme="minorHAnsi"/>
                <w:sz w:val="20"/>
                <w:szCs w:val="20"/>
              </w:rPr>
              <w:t>0.0136</w:t>
            </w:r>
          </w:p>
        </w:tc>
        <w:tc>
          <w:tcPr>
            <w:tcW w:w="466" w:type="pct"/>
            <w:hideMark/>
          </w:tcPr>
          <w:p w14:paraId="5A4EB0FE" w14:textId="77777777" w:rsidR="00A4606E" w:rsidRPr="00923237" w:rsidRDefault="00A4606E" w:rsidP="00F31DC2">
            <w:pPr>
              <w:pStyle w:val="NoSpacing"/>
              <w:rPr>
                <w:rFonts w:cstheme="minorHAnsi"/>
                <w:sz w:val="20"/>
                <w:szCs w:val="20"/>
              </w:rPr>
            </w:pPr>
            <w:r w:rsidRPr="00923237">
              <w:rPr>
                <w:rFonts w:cstheme="minorHAnsi"/>
                <w:sz w:val="20"/>
                <w:szCs w:val="20"/>
              </w:rPr>
              <w:t>0.0190*</w:t>
            </w:r>
          </w:p>
        </w:tc>
        <w:tc>
          <w:tcPr>
            <w:tcW w:w="466" w:type="pct"/>
            <w:hideMark/>
          </w:tcPr>
          <w:p w14:paraId="17E8E6C7" w14:textId="77777777" w:rsidR="00A4606E" w:rsidRPr="00923237" w:rsidRDefault="00A4606E" w:rsidP="00F31DC2">
            <w:pPr>
              <w:pStyle w:val="NoSpacing"/>
              <w:rPr>
                <w:rFonts w:cstheme="minorHAnsi"/>
                <w:sz w:val="20"/>
                <w:szCs w:val="20"/>
              </w:rPr>
            </w:pPr>
            <w:r w:rsidRPr="00923237">
              <w:rPr>
                <w:rFonts w:cstheme="minorHAnsi"/>
                <w:sz w:val="20"/>
                <w:szCs w:val="20"/>
              </w:rPr>
              <w:t>0.0190*</w:t>
            </w:r>
          </w:p>
        </w:tc>
        <w:tc>
          <w:tcPr>
            <w:tcW w:w="466" w:type="pct"/>
            <w:hideMark/>
          </w:tcPr>
          <w:p w14:paraId="5CEA2659" w14:textId="77777777" w:rsidR="00A4606E" w:rsidRPr="00923237" w:rsidRDefault="00A4606E" w:rsidP="00F31DC2">
            <w:pPr>
              <w:pStyle w:val="NoSpacing"/>
              <w:rPr>
                <w:rFonts w:cstheme="minorHAnsi"/>
                <w:sz w:val="20"/>
                <w:szCs w:val="20"/>
              </w:rPr>
            </w:pPr>
            <w:r w:rsidRPr="00923237">
              <w:rPr>
                <w:rFonts w:cstheme="minorHAnsi"/>
                <w:sz w:val="20"/>
                <w:szCs w:val="20"/>
              </w:rPr>
              <w:t>0.0187*</w:t>
            </w:r>
          </w:p>
        </w:tc>
        <w:tc>
          <w:tcPr>
            <w:tcW w:w="466" w:type="pct"/>
            <w:hideMark/>
          </w:tcPr>
          <w:p w14:paraId="1DCE1E2B" w14:textId="77777777" w:rsidR="00A4606E" w:rsidRPr="00923237" w:rsidRDefault="00A4606E" w:rsidP="00F31DC2">
            <w:pPr>
              <w:pStyle w:val="NoSpacing"/>
              <w:rPr>
                <w:rFonts w:cstheme="minorHAnsi"/>
                <w:sz w:val="20"/>
                <w:szCs w:val="20"/>
              </w:rPr>
            </w:pPr>
            <w:r w:rsidRPr="00923237">
              <w:rPr>
                <w:rFonts w:cstheme="minorHAnsi"/>
                <w:sz w:val="20"/>
                <w:szCs w:val="20"/>
              </w:rPr>
              <w:t>0.0197*</w:t>
            </w:r>
          </w:p>
        </w:tc>
        <w:tc>
          <w:tcPr>
            <w:tcW w:w="466" w:type="pct"/>
            <w:hideMark/>
          </w:tcPr>
          <w:p w14:paraId="07681870" w14:textId="77777777" w:rsidR="00A4606E" w:rsidRPr="00923237" w:rsidRDefault="00A4606E" w:rsidP="00F31DC2">
            <w:pPr>
              <w:pStyle w:val="NoSpacing"/>
              <w:rPr>
                <w:rFonts w:cstheme="minorHAnsi"/>
                <w:sz w:val="20"/>
                <w:szCs w:val="20"/>
              </w:rPr>
            </w:pPr>
            <w:r w:rsidRPr="00923237">
              <w:rPr>
                <w:rFonts w:cstheme="minorHAnsi"/>
                <w:sz w:val="20"/>
                <w:szCs w:val="20"/>
              </w:rPr>
              <w:t>0.0172</w:t>
            </w:r>
          </w:p>
        </w:tc>
        <w:tc>
          <w:tcPr>
            <w:tcW w:w="427" w:type="pct"/>
            <w:hideMark/>
          </w:tcPr>
          <w:p w14:paraId="3F7E38BC" w14:textId="77777777" w:rsidR="00A4606E" w:rsidRPr="00923237" w:rsidRDefault="00A4606E" w:rsidP="00F31DC2">
            <w:pPr>
              <w:pStyle w:val="NoSpacing"/>
              <w:rPr>
                <w:rFonts w:cstheme="minorHAnsi"/>
                <w:sz w:val="20"/>
                <w:szCs w:val="20"/>
              </w:rPr>
            </w:pPr>
            <w:r w:rsidRPr="00923237">
              <w:rPr>
                <w:rFonts w:cstheme="minorHAnsi"/>
                <w:sz w:val="20"/>
                <w:szCs w:val="20"/>
              </w:rPr>
              <w:t>0.0361</w:t>
            </w:r>
          </w:p>
        </w:tc>
        <w:tc>
          <w:tcPr>
            <w:tcW w:w="466" w:type="pct"/>
            <w:hideMark/>
          </w:tcPr>
          <w:p w14:paraId="6853590A" w14:textId="77777777" w:rsidR="00A4606E" w:rsidRPr="00923237" w:rsidRDefault="00A4606E" w:rsidP="00F31DC2">
            <w:pPr>
              <w:pStyle w:val="NoSpacing"/>
              <w:rPr>
                <w:rFonts w:cstheme="minorHAnsi"/>
                <w:sz w:val="20"/>
                <w:szCs w:val="20"/>
              </w:rPr>
            </w:pPr>
            <w:r w:rsidRPr="00923237">
              <w:rPr>
                <w:rFonts w:cstheme="minorHAnsi"/>
                <w:sz w:val="20"/>
                <w:szCs w:val="20"/>
              </w:rPr>
              <w:t>0.0016</w:t>
            </w:r>
          </w:p>
        </w:tc>
      </w:tr>
      <w:tr w:rsidR="00A4606E" w:rsidRPr="00923237" w14:paraId="491D3DD6" w14:textId="77777777" w:rsidTr="00F727E1">
        <w:tc>
          <w:tcPr>
            <w:tcW w:w="1311" w:type="pct"/>
            <w:hideMark/>
          </w:tcPr>
          <w:p w14:paraId="6C322CC9" w14:textId="77777777" w:rsidR="00A4606E" w:rsidRPr="00923237" w:rsidRDefault="00A4606E" w:rsidP="00F31DC2">
            <w:pPr>
              <w:pStyle w:val="NoSpacing"/>
              <w:rPr>
                <w:rFonts w:cstheme="minorHAnsi"/>
                <w:sz w:val="20"/>
                <w:szCs w:val="20"/>
              </w:rPr>
            </w:pPr>
          </w:p>
        </w:tc>
        <w:tc>
          <w:tcPr>
            <w:tcW w:w="466" w:type="pct"/>
            <w:hideMark/>
          </w:tcPr>
          <w:p w14:paraId="5BED1C7F" w14:textId="77777777" w:rsidR="00A4606E" w:rsidRPr="00923237" w:rsidRDefault="00A4606E" w:rsidP="00F31DC2">
            <w:pPr>
              <w:pStyle w:val="NoSpacing"/>
              <w:rPr>
                <w:rFonts w:cstheme="minorHAnsi"/>
                <w:sz w:val="20"/>
                <w:szCs w:val="20"/>
              </w:rPr>
            </w:pPr>
            <w:r w:rsidRPr="00923237">
              <w:rPr>
                <w:rFonts w:cstheme="minorHAnsi"/>
                <w:sz w:val="20"/>
                <w:szCs w:val="20"/>
              </w:rPr>
              <w:t>[0.159]</w:t>
            </w:r>
          </w:p>
        </w:tc>
        <w:tc>
          <w:tcPr>
            <w:tcW w:w="466" w:type="pct"/>
            <w:hideMark/>
          </w:tcPr>
          <w:p w14:paraId="326B092E" w14:textId="77777777" w:rsidR="00A4606E" w:rsidRPr="00923237" w:rsidRDefault="00A4606E" w:rsidP="00F31DC2">
            <w:pPr>
              <w:pStyle w:val="NoSpacing"/>
              <w:rPr>
                <w:rFonts w:cstheme="minorHAnsi"/>
                <w:sz w:val="20"/>
                <w:szCs w:val="20"/>
              </w:rPr>
            </w:pPr>
            <w:r w:rsidRPr="00923237">
              <w:rPr>
                <w:rFonts w:cstheme="minorHAnsi"/>
                <w:sz w:val="20"/>
                <w:szCs w:val="20"/>
              </w:rPr>
              <w:t>[0.064]</w:t>
            </w:r>
          </w:p>
        </w:tc>
        <w:tc>
          <w:tcPr>
            <w:tcW w:w="466" w:type="pct"/>
            <w:hideMark/>
          </w:tcPr>
          <w:p w14:paraId="4F4C09C5" w14:textId="77777777" w:rsidR="00A4606E" w:rsidRPr="00923237" w:rsidRDefault="00A4606E" w:rsidP="00F31DC2">
            <w:pPr>
              <w:pStyle w:val="NoSpacing"/>
              <w:rPr>
                <w:rFonts w:cstheme="minorHAnsi"/>
                <w:sz w:val="20"/>
                <w:szCs w:val="20"/>
              </w:rPr>
            </w:pPr>
            <w:r w:rsidRPr="00923237">
              <w:rPr>
                <w:rFonts w:cstheme="minorHAnsi"/>
                <w:sz w:val="20"/>
                <w:szCs w:val="20"/>
              </w:rPr>
              <w:t>[0.064]</w:t>
            </w:r>
          </w:p>
        </w:tc>
        <w:tc>
          <w:tcPr>
            <w:tcW w:w="466" w:type="pct"/>
            <w:hideMark/>
          </w:tcPr>
          <w:p w14:paraId="331F9F29" w14:textId="77777777" w:rsidR="00A4606E" w:rsidRPr="00923237" w:rsidRDefault="00A4606E" w:rsidP="00F31DC2">
            <w:pPr>
              <w:pStyle w:val="NoSpacing"/>
              <w:rPr>
                <w:rFonts w:cstheme="minorHAnsi"/>
                <w:sz w:val="20"/>
                <w:szCs w:val="20"/>
              </w:rPr>
            </w:pPr>
            <w:r w:rsidRPr="00923237">
              <w:rPr>
                <w:rFonts w:cstheme="minorHAnsi"/>
                <w:sz w:val="20"/>
                <w:szCs w:val="20"/>
              </w:rPr>
              <w:t>[0.069]</w:t>
            </w:r>
          </w:p>
        </w:tc>
        <w:tc>
          <w:tcPr>
            <w:tcW w:w="466" w:type="pct"/>
            <w:hideMark/>
          </w:tcPr>
          <w:p w14:paraId="5F29C481" w14:textId="77777777" w:rsidR="00A4606E" w:rsidRPr="00923237" w:rsidRDefault="00A4606E" w:rsidP="00F31DC2">
            <w:pPr>
              <w:pStyle w:val="NoSpacing"/>
              <w:rPr>
                <w:rFonts w:cstheme="minorHAnsi"/>
                <w:sz w:val="20"/>
                <w:szCs w:val="20"/>
              </w:rPr>
            </w:pPr>
            <w:r w:rsidRPr="00923237">
              <w:rPr>
                <w:rFonts w:cstheme="minorHAnsi"/>
                <w:sz w:val="20"/>
                <w:szCs w:val="20"/>
              </w:rPr>
              <w:t>[0.052]</w:t>
            </w:r>
          </w:p>
        </w:tc>
        <w:tc>
          <w:tcPr>
            <w:tcW w:w="466" w:type="pct"/>
            <w:hideMark/>
          </w:tcPr>
          <w:p w14:paraId="6064762F" w14:textId="77777777" w:rsidR="00A4606E" w:rsidRPr="00923237" w:rsidRDefault="00A4606E" w:rsidP="00F31DC2">
            <w:pPr>
              <w:pStyle w:val="NoSpacing"/>
              <w:rPr>
                <w:rFonts w:cstheme="minorHAnsi"/>
                <w:sz w:val="20"/>
                <w:szCs w:val="20"/>
              </w:rPr>
            </w:pPr>
            <w:r w:rsidRPr="00923237">
              <w:rPr>
                <w:rFonts w:cstheme="minorHAnsi"/>
                <w:sz w:val="20"/>
                <w:szCs w:val="20"/>
              </w:rPr>
              <w:t>[0.105]</w:t>
            </w:r>
          </w:p>
        </w:tc>
        <w:tc>
          <w:tcPr>
            <w:tcW w:w="427" w:type="pct"/>
            <w:hideMark/>
          </w:tcPr>
          <w:p w14:paraId="0916C371" w14:textId="77777777" w:rsidR="00A4606E" w:rsidRPr="00923237" w:rsidRDefault="00A4606E" w:rsidP="00F31DC2">
            <w:pPr>
              <w:pStyle w:val="NoSpacing"/>
              <w:rPr>
                <w:rFonts w:cstheme="minorHAnsi"/>
                <w:sz w:val="20"/>
                <w:szCs w:val="20"/>
              </w:rPr>
            </w:pPr>
            <w:r w:rsidRPr="00923237">
              <w:rPr>
                <w:rFonts w:cstheme="minorHAnsi"/>
                <w:sz w:val="20"/>
                <w:szCs w:val="20"/>
              </w:rPr>
              <w:t>[0.447]</w:t>
            </w:r>
          </w:p>
        </w:tc>
        <w:tc>
          <w:tcPr>
            <w:tcW w:w="466" w:type="pct"/>
            <w:hideMark/>
          </w:tcPr>
          <w:p w14:paraId="49547BC6" w14:textId="77777777" w:rsidR="00A4606E" w:rsidRPr="00923237" w:rsidRDefault="00A4606E" w:rsidP="00F31DC2">
            <w:pPr>
              <w:pStyle w:val="NoSpacing"/>
              <w:rPr>
                <w:rFonts w:cstheme="minorHAnsi"/>
                <w:sz w:val="20"/>
                <w:szCs w:val="20"/>
              </w:rPr>
            </w:pPr>
            <w:r w:rsidRPr="00923237">
              <w:rPr>
                <w:rFonts w:cstheme="minorHAnsi"/>
                <w:sz w:val="20"/>
                <w:szCs w:val="20"/>
              </w:rPr>
              <w:t>[0.8]</w:t>
            </w:r>
          </w:p>
        </w:tc>
      </w:tr>
      <w:tr w:rsidR="00A4606E" w:rsidRPr="00923237" w14:paraId="5BD46FCC" w14:textId="77777777" w:rsidTr="00F727E1">
        <w:tc>
          <w:tcPr>
            <w:tcW w:w="1311" w:type="pct"/>
            <w:hideMark/>
          </w:tcPr>
          <w:p w14:paraId="01DA0B98" w14:textId="77777777" w:rsidR="00A4606E" w:rsidRPr="00923237" w:rsidRDefault="00A4606E" w:rsidP="00F31DC2">
            <w:pPr>
              <w:pStyle w:val="NoSpacing"/>
              <w:rPr>
                <w:rFonts w:cstheme="minorHAnsi"/>
                <w:sz w:val="20"/>
                <w:szCs w:val="20"/>
              </w:rPr>
            </w:pPr>
            <w:proofErr w:type="gramStart"/>
            <w:r w:rsidRPr="00923237">
              <w:rPr>
                <w:rFonts w:cstheme="minorHAnsi"/>
                <w:sz w:val="20"/>
                <w:szCs w:val="20"/>
              </w:rPr>
              <w:t>Ln(</w:t>
            </w:r>
            <w:proofErr w:type="gramEnd"/>
            <w:r w:rsidRPr="00923237">
              <w:rPr>
                <w:rFonts w:cstheme="minorHAnsi"/>
                <w:sz w:val="20"/>
                <w:szCs w:val="20"/>
              </w:rPr>
              <w:t>board size)</w:t>
            </w:r>
          </w:p>
        </w:tc>
        <w:tc>
          <w:tcPr>
            <w:tcW w:w="466" w:type="pct"/>
            <w:hideMark/>
          </w:tcPr>
          <w:p w14:paraId="24FB7952" w14:textId="77777777" w:rsidR="00A4606E" w:rsidRPr="00923237" w:rsidRDefault="00A4606E" w:rsidP="00F31DC2">
            <w:pPr>
              <w:pStyle w:val="NoSpacing"/>
              <w:rPr>
                <w:rFonts w:cstheme="minorHAnsi"/>
                <w:sz w:val="20"/>
                <w:szCs w:val="20"/>
              </w:rPr>
            </w:pPr>
          </w:p>
        </w:tc>
        <w:tc>
          <w:tcPr>
            <w:tcW w:w="466" w:type="pct"/>
            <w:hideMark/>
          </w:tcPr>
          <w:p w14:paraId="5E6A13FC" w14:textId="77777777" w:rsidR="00A4606E" w:rsidRPr="00923237" w:rsidRDefault="00A4606E" w:rsidP="00F31DC2">
            <w:pPr>
              <w:pStyle w:val="NoSpacing"/>
              <w:rPr>
                <w:rFonts w:cstheme="minorHAnsi"/>
                <w:sz w:val="20"/>
                <w:szCs w:val="20"/>
              </w:rPr>
            </w:pPr>
            <w:r w:rsidRPr="00923237">
              <w:rPr>
                <w:rFonts w:cstheme="minorHAnsi"/>
                <w:sz w:val="20"/>
                <w:szCs w:val="20"/>
              </w:rPr>
              <w:t>−0.0031</w:t>
            </w:r>
          </w:p>
        </w:tc>
        <w:tc>
          <w:tcPr>
            <w:tcW w:w="466" w:type="pct"/>
            <w:hideMark/>
          </w:tcPr>
          <w:p w14:paraId="268D892F" w14:textId="77777777" w:rsidR="00A4606E" w:rsidRPr="00923237" w:rsidRDefault="00A4606E" w:rsidP="00F31DC2">
            <w:pPr>
              <w:pStyle w:val="NoSpacing"/>
              <w:rPr>
                <w:rFonts w:cstheme="minorHAnsi"/>
                <w:sz w:val="20"/>
                <w:szCs w:val="20"/>
              </w:rPr>
            </w:pPr>
            <w:r w:rsidRPr="00923237">
              <w:rPr>
                <w:rFonts w:cstheme="minorHAnsi"/>
                <w:sz w:val="20"/>
                <w:szCs w:val="20"/>
              </w:rPr>
              <w:t>−0.0024</w:t>
            </w:r>
          </w:p>
        </w:tc>
        <w:tc>
          <w:tcPr>
            <w:tcW w:w="466" w:type="pct"/>
            <w:hideMark/>
          </w:tcPr>
          <w:p w14:paraId="1ED4935D" w14:textId="77777777" w:rsidR="00A4606E" w:rsidRPr="00923237" w:rsidRDefault="00A4606E" w:rsidP="00F31DC2">
            <w:pPr>
              <w:pStyle w:val="NoSpacing"/>
              <w:rPr>
                <w:rFonts w:cstheme="minorHAnsi"/>
                <w:sz w:val="20"/>
                <w:szCs w:val="20"/>
              </w:rPr>
            </w:pPr>
            <w:r w:rsidRPr="00923237">
              <w:rPr>
                <w:rFonts w:cstheme="minorHAnsi"/>
                <w:sz w:val="20"/>
                <w:szCs w:val="20"/>
              </w:rPr>
              <w:t>−0.0025</w:t>
            </w:r>
          </w:p>
        </w:tc>
        <w:tc>
          <w:tcPr>
            <w:tcW w:w="466" w:type="pct"/>
            <w:hideMark/>
          </w:tcPr>
          <w:p w14:paraId="5C260E9B" w14:textId="77777777" w:rsidR="00A4606E" w:rsidRPr="00923237" w:rsidRDefault="00A4606E" w:rsidP="00F31DC2">
            <w:pPr>
              <w:pStyle w:val="NoSpacing"/>
              <w:rPr>
                <w:rFonts w:cstheme="minorHAnsi"/>
                <w:sz w:val="20"/>
                <w:szCs w:val="20"/>
              </w:rPr>
            </w:pPr>
            <w:r w:rsidRPr="00923237">
              <w:rPr>
                <w:rFonts w:cstheme="minorHAnsi"/>
                <w:sz w:val="20"/>
                <w:szCs w:val="20"/>
              </w:rPr>
              <w:t>−0.0038</w:t>
            </w:r>
          </w:p>
        </w:tc>
        <w:tc>
          <w:tcPr>
            <w:tcW w:w="466" w:type="pct"/>
            <w:hideMark/>
          </w:tcPr>
          <w:p w14:paraId="3B0B3683" w14:textId="77777777" w:rsidR="00A4606E" w:rsidRPr="00923237" w:rsidRDefault="00A4606E" w:rsidP="00F31DC2">
            <w:pPr>
              <w:pStyle w:val="NoSpacing"/>
              <w:rPr>
                <w:rFonts w:cstheme="minorHAnsi"/>
                <w:sz w:val="20"/>
                <w:szCs w:val="20"/>
              </w:rPr>
            </w:pPr>
            <w:r w:rsidRPr="00923237">
              <w:rPr>
                <w:rFonts w:cstheme="minorHAnsi"/>
                <w:sz w:val="20"/>
                <w:szCs w:val="20"/>
              </w:rPr>
              <w:t>−0.0039</w:t>
            </w:r>
          </w:p>
        </w:tc>
        <w:tc>
          <w:tcPr>
            <w:tcW w:w="427" w:type="pct"/>
            <w:hideMark/>
          </w:tcPr>
          <w:p w14:paraId="38371023" w14:textId="77777777" w:rsidR="00A4606E" w:rsidRPr="00923237" w:rsidRDefault="00A4606E" w:rsidP="00F31DC2">
            <w:pPr>
              <w:pStyle w:val="NoSpacing"/>
              <w:rPr>
                <w:rFonts w:cstheme="minorHAnsi"/>
                <w:sz w:val="20"/>
                <w:szCs w:val="20"/>
              </w:rPr>
            </w:pPr>
            <w:r w:rsidRPr="00923237">
              <w:rPr>
                <w:rFonts w:cstheme="minorHAnsi"/>
                <w:sz w:val="20"/>
                <w:szCs w:val="20"/>
              </w:rPr>
              <w:t>0.0318</w:t>
            </w:r>
          </w:p>
        </w:tc>
        <w:tc>
          <w:tcPr>
            <w:tcW w:w="466" w:type="pct"/>
            <w:hideMark/>
          </w:tcPr>
          <w:p w14:paraId="3372F2AC" w14:textId="77777777" w:rsidR="00A4606E" w:rsidRPr="00923237" w:rsidRDefault="00A4606E" w:rsidP="00F31DC2">
            <w:pPr>
              <w:pStyle w:val="NoSpacing"/>
              <w:rPr>
                <w:rFonts w:cstheme="minorHAnsi"/>
                <w:sz w:val="20"/>
                <w:szCs w:val="20"/>
              </w:rPr>
            </w:pPr>
            <w:r w:rsidRPr="00923237">
              <w:rPr>
                <w:rFonts w:cstheme="minorHAnsi"/>
                <w:sz w:val="20"/>
                <w:szCs w:val="20"/>
              </w:rPr>
              <w:t>−0.0282**</w:t>
            </w:r>
          </w:p>
        </w:tc>
      </w:tr>
      <w:tr w:rsidR="00A4606E" w:rsidRPr="00923237" w14:paraId="527368A1" w14:textId="77777777" w:rsidTr="00F727E1">
        <w:tc>
          <w:tcPr>
            <w:tcW w:w="1311" w:type="pct"/>
            <w:hideMark/>
          </w:tcPr>
          <w:p w14:paraId="7FD1D19A" w14:textId="77777777" w:rsidR="00A4606E" w:rsidRPr="00923237" w:rsidRDefault="00A4606E" w:rsidP="00F31DC2">
            <w:pPr>
              <w:pStyle w:val="NoSpacing"/>
              <w:rPr>
                <w:rFonts w:cstheme="minorHAnsi"/>
                <w:sz w:val="20"/>
                <w:szCs w:val="20"/>
              </w:rPr>
            </w:pPr>
          </w:p>
        </w:tc>
        <w:tc>
          <w:tcPr>
            <w:tcW w:w="466" w:type="pct"/>
            <w:hideMark/>
          </w:tcPr>
          <w:p w14:paraId="2F6301C0" w14:textId="77777777" w:rsidR="00A4606E" w:rsidRPr="00923237" w:rsidRDefault="00A4606E" w:rsidP="00F31DC2">
            <w:pPr>
              <w:pStyle w:val="NoSpacing"/>
              <w:rPr>
                <w:rFonts w:cstheme="minorHAnsi"/>
                <w:sz w:val="20"/>
                <w:szCs w:val="20"/>
              </w:rPr>
            </w:pPr>
          </w:p>
        </w:tc>
        <w:tc>
          <w:tcPr>
            <w:tcW w:w="466" w:type="pct"/>
            <w:hideMark/>
          </w:tcPr>
          <w:p w14:paraId="0446DF85" w14:textId="77777777" w:rsidR="00A4606E" w:rsidRPr="00923237" w:rsidRDefault="00A4606E" w:rsidP="00F31DC2">
            <w:pPr>
              <w:pStyle w:val="NoSpacing"/>
              <w:rPr>
                <w:rFonts w:cstheme="minorHAnsi"/>
                <w:sz w:val="20"/>
                <w:szCs w:val="20"/>
              </w:rPr>
            </w:pPr>
            <w:r w:rsidRPr="00923237">
              <w:rPr>
                <w:rFonts w:cstheme="minorHAnsi"/>
                <w:sz w:val="20"/>
                <w:szCs w:val="20"/>
              </w:rPr>
              <w:t>[0.608]</w:t>
            </w:r>
          </w:p>
        </w:tc>
        <w:tc>
          <w:tcPr>
            <w:tcW w:w="466" w:type="pct"/>
            <w:hideMark/>
          </w:tcPr>
          <w:p w14:paraId="2DF9B0B5" w14:textId="77777777" w:rsidR="00A4606E" w:rsidRPr="00923237" w:rsidRDefault="00A4606E" w:rsidP="00F31DC2">
            <w:pPr>
              <w:pStyle w:val="NoSpacing"/>
              <w:rPr>
                <w:rFonts w:cstheme="minorHAnsi"/>
                <w:sz w:val="20"/>
                <w:szCs w:val="20"/>
              </w:rPr>
            </w:pPr>
            <w:r w:rsidRPr="00923237">
              <w:rPr>
                <w:rFonts w:cstheme="minorHAnsi"/>
                <w:sz w:val="20"/>
                <w:szCs w:val="20"/>
              </w:rPr>
              <w:t>[0.686]</w:t>
            </w:r>
          </w:p>
        </w:tc>
        <w:tc>
          <w:tcPr>
            <w:tcW w:w="466" w:type="pct"/>
            <w:hideMark/>
          </w:tcPr>
          <w:p w14:paraId="5EFCDCDB" w14:textId="77777777" w:rsidR="00A4606E" w:rsidRPr="00923237" w:rsidRDefault="00A4606E" w:rsidP="00F31DC2">
            <w:pPr>
              <w:pStyle w:val="NoSpacing"/>
              <w:rPr>
                <w:rFonts w:cstheme="minorHAnsi"/>
                <w:sz w:val="20"/>
                <w:szCs w:val="20"/>
              </w:rPr>
            </w:pPr>
            <w:r w:rsidRPr="00923237">
              <w:rPr>
                <w:rFonts w:cstheme="minorHAnsi"/>
                <w:sz w:val="20"/>
                <w:szCs w:val="20"/>
              </w:rPr>
              <w:t>[0.675]</w:t>
            </w:r>
          </w:p>
        </w:tc>
        <w:tc>
          <w:tcPr>
            <w:tcW w:w="466" w:type="pct"/>
            <w:hideMark/>
          </w:tcPr>
          <w:p w14:paraId="25B193E1" w14:textId="77777777" w:rsidR="00A4606E" w:rsidRPr="00923237" w:rsidRDefault="00A4606E" w:rsidP="00F31DC2">
            <w:pPr>
              <w:pStyle w:val="NoSpacing"/>
              <w:rPr>
                <w:rFonts w:cstheme="minorHAnsi"/>
                <w:sz w:val="20"/>
                <w:szCs w:val="20"/>
              </w:rPr>
            </w:pPr>
            <w:r w:rsidRPr="00923237">
              <w:rPr>
                <w:rFonts w:cstheme="minorHAnsi"/>
                <w:sz w:val="20"/>
                <w:szCs w:val="20"/>
              </w:rPr>
              <w:t>[0.519]</w:t>
            </w:r>
          </w:p>
        </w:tc>
        <w:tc>
          <w:tcPr>
            <w:tcW w:w="466" w:type="pct"/>
            <w:hideMark/>
          </w:tcPr>
          <w:p w14:paraId="2882DBCE" w14:textId="77777777" w:rsidR="00A4606E" w:rsidRPr="00923237" w:rsidRDefault="00A4606E" w:rsidP="00F31DC2">
            <w:pPr>
              <w:pStyle w:val="NoSpacing"/>
              <w:rPr>
                <w:rFonts w:cstheme="minorHAnsi"/>
                <w:sz w:val="20"/>
                <w:szCs w:val="20"/>
              </w:rPr>
            </w:pPr>
            <w:r w:rsidRPr="00923237">
              <w:rPr>
                <w:rFonts w:cstheme="minorHAnsi"/>
                <w:sz w:val="20"/>
                <w:szCs w:val="20"/>
              </w:rPr>
              <w:t>[0.549]</w:t>
            </w:r>
          </w:p>
        </w:tc>
        <w:tc>
          <w:tcPr>
            <w:tcW w:w="427" w:type="pct"/>
            <w:hideMark/>
          </w:tcPr>
          <w:p w14:paraId="3F374919" w14:textId="77777777" w:rsidR="00A4606E" w:rsidRPr="00923237" w:rsidRDefault="00A4606E" w:rsidP="00F31DC2">
            <w:pPr>
              <w:pStyle w:val="NoSpacing"/>
              <w:rPr>
                <w:rFonts w:cstheme="minorHAnsi"/>
                <w:sz w:val="20"/>
                <w:szCs w:val="20"/>
              </w:rPr>
            </w:pPr>
            <w:r w:rsidRPr="00923237">
              <w:rPr>
                <w:rFonts w:cstheme="minorHAnsi"/>
                <w:sz w:val="20"/>
                <w:szCs w:val="20"/>
              </w:rPr>
              <w:t>[0.197]</w:t>
            </w:r>
          </w:p>
        </w:tc>
        <w:tc>
          <w:tcPr>
            <w:tcW w:w="466" w:type="pct"/>
            <w:hideMark/>
          </w:tcPr>
          <w:p w14:paraId="46FC2710" w14:textId="77777777" w:rsidR="00A4606E" w:rsidRPr="00923237" w:rsidRDefault="00A4606E" w:rsidP="00F31DC2">
            <w:pPr>
              <w:pStyle w:val="NoSpacing"/>
              <w:rPr>
                <w:rFonts w:cstheme="minorHAnsi"/>
                <w:sz w:val="20"/>
                <w:szCs w:val="20"/>
              </w:rPr>
            </w:pPr>
            <w:r w:rsidRPr="00923237">
              <w:rPr>
                <w:rFonts w:cstheme="minorHAnsi"/>
                <w:sz w:val="20"/>
                <w:szCs w:val="20"/>
              </w:rPr>
              <w:t>[0.014]</w:t>
            </w:r>
          </w:p>
        </w:tc>
      </w:tr>
      <w:tr w:rsidR="00A4606E" w:rsidRPr="00923237" w14:paraId="1E3745F4" w14:textId="77777777" w:rsidTr="00F727E1">
        <w:tc>
          <w:tcPr>
            <w:tcW w:w="1311" w:type="pct"/>
            <w:hideMark/>
          </w:tcPr>
          <w:p w14:paraId="3081BDD5" w14:textId="77777777" w:rsidR="00A4606E" w:rsidRPr="00923237" w:rsidRDefault="00A4606E" w:rsidP="00F31DC2">
            <w:pPr>
              <w:pStyle w:val="NoSpacing"/>
              <w:rPr>
                <w:rFonts w:cstheme="minorHAnsi"/>
                <w:sz w:val="20"/>
                <w:szCs w:val="20"/>
              </w:rPr>
            </w:pPr>
            <w:r w:rsidRPr="00923237">
              <w:rPr>
                <w:rFonts w:cstheme="minorHAnsi"/>
                <w:sz w:val="20"/>
                <w:szCs w:val="20"/>
              </w:rPr>
              <w:t>Board independence</w:t>
            </w:r>
          </w:p>
        </w:tc>
        <w:tc>
          <w:tcPr>
            <w:tcW w:w="466" w:type="pct"/>
            <w:hideMark/>
          </w:tcPr>
          <w:p w14:paraId="7C5C69F2" w14:textId="77777777" w:rsidR="00A4606E" w:rsidRPr="00923237" w:rsidRDefault="00A4606E" w:rsidP="00F31DC2">
            <w:pPr>
              <w:pStyle w:val="NoSpacing"/>
              <w:rPr>
                <w:rFonts w:cstheme="minorHAnsi"/>
                <w:sz w:val="20"/>
                <w:szCs w:val="20"/>
              </w:rPr>
            </w:pPr>
          </w:p>
        </w:tc>
        <w:tc>
          <w:tcPr>
            <w:tcW w:w="466" w:type="pct"/>
            <w:hideMark/>
          </w:tcPr>
          <w:p w14:paraId="00595364" w14:textId="77777777" w:rsidR="00A4606E" w:rsidRPr="00923237" w:rsidRDefault="00A4606E" w:rsidP="00F31DC2">
            <w:pPr>
              <w:pStyle w:val="NoSpacing"/>
              <w:rPr>
                <w:rFonts w:cstheme="minorHAnsi"/>
                <w:sz w:val="20"/>
                <w:szCs w:val="20"/>
              </w:rPr>
            </w:pPr>
            <w:r w:rsidRPr="00923237">
              <w:rPr>
                <w:rFonts w:cstheme="minorHAnsi"/>
                <w:sz w:val="20"/>
                <w:szCs w:val="20"/>
              </w:rPr>
              <w:t>−0.0266***</w:t>
            </w:r>
          </w:p>
        </w:tc>
        <w:tc>
          <w:tcPr>
            <w:tcW w:w="466" w:type="pct"/>
            <w:hideMark/>
          </w:tcPr>
          <w:p w14:paraId="7DE0DB25" w14:textId="77777777" w:rsidR="00A4606E" w:rsidRPr="00923237" w:rsidRDefault="00A4606E" w:rsidP="00F31DC2">
            <w:pPr>
              <w:pStyle w:val="NoSpacing"/>
              <w:rPr>
                <w:rFonts w:cstheme="minorHAnsi"/>
                <w:sz w:val="20"/>
                <w:szCs w:val="20"/>
              </w:rPr>
            </w:pPr>
            <w:r w:rsidRPr="00923237">
              <w:rPr>
                <w:rFonts w:cstheme="minorHAnsi"/>
                <w:sz w:val="20"/>
                <w:szCs w:val="20"/>
              </w:rPr>
              <w:t>−0.0263***</w:t>
            </w:r>
          </w:p>
        </w:tc>
        <w:tc>
          <w:tcPr>
            <w:tcW w:w="466" w:type="pct"/>
            <w:hideMark/>
          </w:tcPr>
          <w:p w14:paraId="36442702" w14:textId="77777777" w:rsidR="00A4606E" w:rsidRPr="00923237" w:rsidRDefault="00A4606E" w:rsidP="00F31DC2">
            <w:pPr>
              <w:pStyle w:val="NoSpacing"/>
              <w:rPr>
                <w:rFonts w:cstheme="minorHAnsi"/>
                <w:sz w:val="20"/>
                <w:szCs w:val="20"/>
              </w:rPr>
            </w:pPr>
            <w:r w:rsidRPr="00923237">
              <w:rPr>
                <w:rFonts w:cstheme="minorHAnsi"/>
                <w:sz w:val="20"/>
                <w:szCs w:val="20"/>
              </w:rPr>
              <w:t>−0.0264***</w:t>
            </w:r>
          </w:p>
        </w:tc>
        <w:tc>
          <w:tcPr>
            <w:tcW w:w="466" w:type="pct"/>
            <w:hideMark/>
          </w:tcPr>
          <w:p w14:paraId="6F9956A8" w14:textId="77777777" w:rsidR="00A4606E" w:rsidRPr="00923237" w:rsidRDefault="00A4606E" w:rsidP="00F31DC2">
            <w:pPr>
              <w:pStyle w:val="NoSpacing"/>
              <w:rPr>
                <w:rFonts w:cstheme="minorHAnsi"/>
                <w:sz w:val="20"/>
                <w:szCs w:val="20"/>
              </w:rPr>
            </w:pPr>
            <w:r w:rsidRPr="00923237">
              <w:rPr>
                <w:rFonts w:cstheme="minorHAnsi"/>
                <w:sz w:val="20"/>
                <w:szCs w:val="20"/>
              </w:rPr>
              <w:t>−0.0256***</w:t>
            </w:r>
          </w:p>
        </w:tc>
        <w:tc>
          <w:tcPr>
            <w:tcW w:w="466" w:type="pct"/>
            <w:hideMark/>
          </w:tcPr>
          <w:p w14:paraId="689E708D" w14:textId="77777777" w:rsidR="00A4606E" w:rsidRPr="00923237" w:rsidRDefault="00A4606E" w:rsidP="00F31DC2">
            <w:pPr>
              <w:pStyle w:val="NoSpacing"/>
              <w:rPr>
                <w:rFonts w:cstheme="minorHAnsi"/>
                <w:sz w:val="20"/>
                <w:szCs w:val="20"/>
              </w:rPr>
            </w:pPr>
            <w:r w:rsidRPr="00923237">
              <w:rPr>
                <w:rFonts w:cstheme="minorHAnsi"/>
                <w:sz w:val="20"/>
                <w:szCs w:val="20"/>
              </w:rPr>
              <w:t>−0.0231***</w:t>
            </w:r>
          </w:p>
        </w:tc>
        <w:tc>
          <w:tcPr>
            <w:tcW w:w="427" w:type="pct"/>
            <w:hideMark/>
          </w:tcPr>
          <w:p w14:paraId="2150C570" w14:textId="77777777" w:rsidR="00A4606E" w:rsidRPr="00923237" w:rsidRDefault="00A4606E" w:rsidP="00F31DC2">
            <w:pPr>
              <w:pStyle w:val="NoSpacing"/>
              <w:rPr>
                <w:rFonts w:cstheme="minorHAnsi"/>
                <w:sz w:val="20"/>
                <w:szCs w:val="20"/>
              </w:rPr>
            </w:pPr>
            <w:r w:rsidRPr="00923237">
              <w:rPr>
                <w:rFonts w:cstheme="minorHAnsi"/>
                <w:sz w:val="20"/>
                <w:szCs w:val="20"/>
              </w:rPr>
              <w:t>0.0014</w:t>
            </w:r>
          </w:p>
        </w:tc>
        <w:tc>
          <w:tcPr>
            <w:tcW w:w="466" w:type="pct"/>
            <w:hideMark/>
          </w:tcPr>
          <w:p w14:paraId="32B328F6" w14:textId="77777777" w:rsidR="00A4606E" w:rsidRPr="00923237" w:rsidRDefault="00A4606E" w:rsidP="00F31DC2">
            <w:pPr>
              <w:pStyle w:val="NoSpacing"/>
              <w:rPr>
                <w:rFonts w:cstheme="minorHAnsi"/>
                <w:sz w:val="20"/>
                <w:szCs w:val="20"/>
              </w:rPr>
            </w:pPr>
            <w:r w:rsidRPr="00923237">
              <w:rPr>
                <w:rFonts w:cstheme="minorHAnsi"/>
                <w:sz w:val="20"/>
                <w:szCs w:val="20"/>
              </w:rPr>
              <w:t>−0.0370***</w:t>
            </w:r>
          </w:p>
        </w:tc>
      </w:tr>
      <w:tr w:rsidR="00A4606E" w:rsidRPr="00923237" w14:paraId="64D0D120" w14:textId="77777777" w:rsidTr="00F727E1">
        <w:tc>
          <w:tcPr>
            <w:tcW w:w="1311" w:type="pct"/>
            <w:hideMark/>
          </w:tcPr>
          <w:p w14:paraId="49835A49" w14:textId="77777777" w:rsidR="00A4606E" w:rsidRPr="00923237" w:rsidRDefault="00A4606E" w:rsidP="00F31DC2">
            <w:pPr>
              <w:pStyle w:val="NoSpacing"/>
              <w:rPr>
                <w:rFonts w:cstheme="minorHAnsi"/>
                <w:sz w:val="20"/>
                <w:szCs w:val="20"/>
              </w:rPr>
            </w:pPr>
          </w:p>
        </w:tc>
        <w:tc>
          <w:tcPr>
            <w:tcW w:w="466" w:type="pct"/>
            <w:hideMark/>
          </w:tcPr>
          <w:p w14:paraId="4F2B88A5" w14:textId="77777777" w:rsidR="00A4606E" w:rsidRPr="00923237" w:rsidRDefault="00A4606E" w:rsidP="00F31DC2">
            <w:pPr>
              <w:pStyle w:val="NoSpacing"/>
              <w:rPr>
                <w:rFonts w:cstheme="minorHAnsi"/>
                <w:sz w:val="20"/>
                <w:szCs w:val="20"/>
              </w:rPr>
            </w:pPr>
          </w:p>
        </w:tc>
        <w:tc>
          <w:tcPr>
            <w:tcW w:w="466" w:type="pct"/>
            <w:hideMark/>
          </w:tcPr>
          <w:p w14:paraId="542611E2" w14:textId="77777777" w:rsidR="00A4606E" w:rsidRPr="00923237" w:rsidRDefault="00A4606E" w:rsidP="00F31DC2">
            <w:pPr>
              <w:pStyle w:val="NoSpacing"/>
              <w:rPr>
                <w:rFonts w:cstheme="minorHAnsi"/>
                <w:sz w:val="20"/>
                <w:szCs w:val="20"/>
              </w:rPr>
            </w:pPr>
            <w:r w:rsidRPr="00923237">
              <w:rPr>
                <w:rFonts w:cstheme="minorHAnsi"/>
                <w:sz w:val="20"/>
                <w:szCs w:val="20"/>
              </w:rPr>
              <w:t>[&lt;0.0001]</w:t>
            </w:r>
          </w:p>
        </w:tc>
        <w:tc>
          <w:tcPr>
            <w:tcW w:w="466" w:type="pct"/>
            <w:hideMark/>
          </w:tcPr>
          <w:p w14:paraId="5388F32D" w14:textId="77777777" w:rsidR="00A4606E" w:rsidRPr="00923237" w:rsidRDefault="00A4606E" w:rsidP="00F31DC2">
            <w:pPr>
              <w:pStyle w:val="NoSpacing"/>
              <w:rPr>
                <w:rFonts w:cstheme="minorHAnsi"/>
                <w:sz w:val="20"/>
                <w:szCs w:val="20"/>
              </w:rPr>
            </w:pPr>
            <w:r w:rsidRPr="00923237">
              <w:rPr>
                <w:rFonts w:cstheme="minorHAnsi"/>
                <w:sz w:val="20"/>
                <w:szCs w:val="20"/>
              </w:rPr>
              <w:t>[&lt;0.0001]</w:t>
            </w:r>
          </w:p>
        </w:tc>
        <w:tc>
          <w:tcPr>
            <w:tcW w:w="466" w:type="pct"/>
            <w:hideMark/>
          </w:tcPr>
          <w:p w14:paraId="47E5EAA7" w14:textId="77777777" w:rsidR="00A4606E" w:rsidRPr="00923237" w:rsidRDefault="00A4606E" w:rsidP="00F31DC2">
            <w:pPr>
              <w:pStyle w:val="NoSpacing"/>
              <w:rPr>
                <w:rFonts w:cstheme="minorHAnsi"/>
                <w:sz w:val="20"/>
                <w:szCs w:val="20"/>
              </w:rPr>
            </w:pPr>
            <w:r w:rsidRPr="00923237">
              <w:rPr>
                <w:rFonts w:cstheme="minorHAnsi"/>
                <w:sz w:val="20"/>
                <w:szCs w:val="20"/>
              </w:rPr>
              <w:t>[&lt;0.0001]</w:t>
            </w:r>
          </w:p>
        </w:tc>
        <w:tc>
          <w:tcPr>
            <w:tcW w:w="466" w:type="pct"/>
            <w:hideMark/>
          </w:tcPr>
          <w:p w14:paraId="5A67D252" w14:textId="77777777" w:rsidR="00A4606E" w:rsidRPr="00923237" w:rsidRDefault="00A4606E" w:rsidP="00F31DC2">
            <w:pPr>
              <w:pStyle w:val="NoSpacing"/>
              <w:rPr>
                <w:rFonts w:cstheme="minorHAnsi"/>
                <w:sz w:val="20"/>
                <w:szCs w:val="20"/>
              </w:rPr>
            </w:pPr>
            <w:r w:rsidRPr="00923237">
              <w:rPr>
                <w:rFonts w:cstheme="minorHAnsi"/>
                <w:sz w:val="20"/>
                <w:szCs w:val="20"/>
              </w:rPr>
              <w:t>[&lt;0.0001]</w:t>
            </w:r>
          </w:p>
        </w:tc>
        <w:tc>
          <w:tcPr>
            <w:tcW w:w="466" w:type="pct"/>
            <w:hideMark/>
          </w:tcPr>
          <w:p w14:paraId="5BFC82D5" w14:textId="77777777" w:rsidR="00A4606E" w:rsidRPr="00923237" w:rsidRDefault="00A4606E" w:rsidP="00F31DC2">
            <w:pPr>
              <w:pStyle w:val="NoSpacing"/>
              <w:rPr>
                <w:rFonts w:cstheme="minorHAnsi"/>
                <w:sz w:val="20"/>
                <w:szCs w:val="20"/>
              </w:rPr>
            </w:pPr>
            <w:r w:rsidRPr="00923237">
              <w:rPr>
                <w:rFonts w:cstheme="minorHAnsi"/>
                <w:sz w:val="20"/>
                <w:szCs w:val="20"/>
              </w:rPr>
              <w:t>[0.000]</w:t>
            </w:r>
          </w:p>
        </w:tc>
        <w:tc>
          <w:tcPr>
            <w:tcW w:w="427" w:type="pct"/>
            <w:hideMark/>
          </w:tcPr>
          <w:p w14:paraId="01340691" w14:textId="77777777" w:rsidR="00A4606E" w:rsidRPr="00923237" w:rsidRDefault="00A4606E" w:rsidP="00F31DC2">
            <w:pPr>
              <w:pStyle w:val="NoSpacing"/>
              <w:rPr>
                <w:rFonts w:cstheme="minorHAnsi"/>
                <w:sz w:val="20"/>
                <w:szCs w:val="20"/>
              </w:rPr>
            </w:pPr>
            <w:r w:rsidRPr="00923237">
              <w:rPr>
                <w:rFonts w:cstheme="minorHAnsi"/>
                <w:sz w:val="20"/>
                <w:szCs w:val="20"/>
              </w:rPr>
              <w:t>[0.959]</w:t>
            </w:r>
          </w:p>
        </w:tc>
        <w:tc>
          <w:tcPr>
            <w:tcW w:w="466" w:type="pct"/>
            <w:hideMark/>
          </w:tcPr>
          <w:p w14:paraId="43EC8C57" w14:textId="77777777" w:rsidR="00A4606E" w:rsidRPr="00923237" w:rsidRDefault="00A4606E" w:rsidP="00F31DC2">
            <w:pPr>
              <w:pStyle w:val="NoSpacing"/>
              <w:rPr>
                <w:rFonts w:cstheme="minorHAnsi"/>
                <w:sz w:val="20"/>
                <w:szCs w:val="20"/>
              </w:rPr>
            </w:pPr>
            <w:r w:rsidRPr="00923237">
              <w:rPr>
                <w:rFonts w:cstheme="minorHAnsi"/>
                <w:sz w:val="20"/>
                <w:szCs w:val="20"/>
              </w:rPr>
              <w:t>[0.000]</w:t>
            </w:r>
          </w:p>
        </w:tc>
      </w:tr>
      <w:tr w:rsidR="00A4606E" w:rsidRPr="00923237" w14:paraId="175E48C9" w14:textId="77777777" w:rsidTr="00F727E1">
        <w:tc>
          <w:tcPr>
            <w:tcW w:w="1311" w:type="pct"/>
            <w:hideMark/>
          </w:tcPr>
          <w:p w14:paraId="39F3B708" w14:textId="77777777" w:rsidR="00A4606E" w:rsidRPr="00923237" w:rsidRDefault="00A4606E" w:rsidP="00F31DC2">
            <w:pPr>
              <w:pStyle w:val="NoSpacing"/>
              <w:rPr>
                <w:rFonts w:cstheme="minorHAnsi"/>
                <w:sz w:val="20"/>
                <w:szCs w:val="20"/>
              </w:rPr>
            </w:pPr>
            <w:r w:rsidRPr="00923237">
              <w:rPr>
                <w:rFonts w:cstheme="minorHAnsi"/>
                <w:sz w:val="20"/>
                <w:szCs w:val="20"/>
              </w:rPr>
              <w:t>REIT types</w:t>
            </w:r>
          </w:p>
        </w:tc>
        <w:tc>
          <w:tcPr>
            <w:tcW w:w="466" w:type="pct"/>
            <w:hideMark/>
          </w:tcPr>
          <w:p w14:paraId="55C171CA" w14:textId="77777777" w:rsidR="00A4606E" w:rsidRPr="00923237" w:rsidRDefault="00A4606E" w:rsidP="00F31DC2">
            <w:pPr>
              <w:pStyle w:val="NoSpacing"/>
              <w:rPr>
                <w:rFonts w:cstheme="minorHAnsi"/>
                <w:sz w:val="20"/>
                <w:szCs w:val="20"/>
              </w:rPr>
            </w:pPr>
            <w:r w:rsidRPr="00923237">
              <w:rPr>
                <w:rFonts w:cstheme="minorHAnsi"/>
                <w:sz w:val="20"/>
                <w:szCs w:val="20"/>
              </w:rPr>
              <w:t>Yes</w:t>
            </w:r>
          </w:p>
        </w:tc>
        <w:tc>
          <w:tcPr>
            <w:tcW w:w="466" w:type="pct"/>
            <w:hideMark/>
          </w:tcPr>
          <w:p w14:paraId="793741F3" w14:textId="77777777" w:rsidR="00A4606E" w:rsidRPr="00923237" w:rsidRDefault="00A4606E" w:rsidP="00F31DC2">
            <w:pPr>
              <w:pStyle w:val="NoSpacing"/>
              <w:rPr>
                <w:rFonts w:cstheme="minorHAnsi"/>
                <w:sz w:val="20"/>
                <w:szCs w:val="20"/>
              </w:rPr>
            </w:pPr>
            <w:r w:rsidRPr="00923237">
              <w:rPr>
                <w:rFonts w:cstheme="minorHAnsi"/>
                <w:sz w:val="20"/>
                <w:szCs w:val="20"/>
              </w:rPr>
              <w:t>Yes</w:t>
            </w:r>
          </w:p>
        </w:tc>
        <w:tc>
          <w:tcPr>
            <w:tcW w:w="466" w:type="pct"/>
            <w:hideMark/>
          </w:tcPr>
          <w:p w14:paraId="57E9F2E0" w14:textId="77777777" w:rsidR="00A4606E" w:rsidRPr="00923237" w:rsidRDefault="00A4606E" w:rsidP="00F31DC2">
            <w:pPr>
              <w:pStyle w:val="NoSpacing"/>
              <w:rPr>
                <w:rFonts w:cstheme="minorHAnsi"/>
                <w:sz w:val="20"/>
                <w:szCs w:val="20"/>
              </w:rPr>
            </w:pPr>
            <w:r w:rsidRPr="00923237">
              <w:rPr>
                <w:rFonts w:cstheme="minorHAnsi"/>
                <w:sz w:val="20"/>
                <w:szCs w:val="20"/>
              </w:rPr>
              <w:t>Yes</w:t>
            </w:r>
          </w:p>
        </w:tc>
        <w:tc>
          <w:tcPr>
            <w:tcW w:w="466" w:type="pct"/>
            <w:hideMark/>
          </w:tcPr>
          <w:p w14:paraId="45174EEC" w14:textId="77777777" w:rsidR="00A4606E" w:rsidRPr="00923237" w:rsidRDefault="00A4606E" w:rsidP="00F31DC2">
            <w:pPr>
              <w:pStyle w:val="NoSpacing"/>
              <w:rPr>
                <w:rFonts w:cstheme="minorHAnsi"/>
                <w:sz w:val="20"/>
                <w:szCs w:val="20"/>
              </w:rPr>
            </w:pPr>
            <w:r w:rsidRPr="00923237">
              <w:rPr>
                <w:rFonts w:cstheme="minorHAnsi"/>
                <w:sz w:val="20"/>
                <w:szCs w:val="20"/>
              </w:rPr>
              <w:t>Yes</w:t>
            </w:r>
          </w:p>
        </w:tc>
        <w:tc>
          <w:tcPr>
            <w:tcW w:w="466" w:type="pct"/>
            <w:hideMark/>
          </w:tcPr>
          <w:p w14:paraId="2A3B7B84" w14:textId="77777777" w:rsidR="00A4606E" w:rsidRPr="00923237" w:rsidRDefault="00A4606E" w:rsidP="00F31DC2">
            <w:pPr>
              <w:pStyle w:val="NoSpacing"/>
              <w:rPr>
                <w:rFonts w:cstheme="minorHAnsi"/>
                <w:sz w:val="20"/>
                <w:szCs w:val="20"/>
              </w:rPr>
            </w:pPr>
            <w:r w:rsidRPr="00923237">
              <w:rPr>
                <w:rFonts w:cstheme="minorHAnsi"/>
                <w:sz w:val="20"/>
                <w:szCs w:val="20"/>
              </w:rPr>
              <w:t>Yes</w:t>
            </w:r>
          </w:p>
        </w:tc>
        <w:tc>
          <w:tcPr>
            <w:tcW w:w="466" w:type="pct"/>
            <w:hideMark/>
          </w:tcPr>
          <w:p w14:paraId="46FE513E" w14:textId="77777777" w:rsidR="00A4606E" w:rsidRPr="00923237" w:rsidRDefault="00A4606E" w:rsidP="00F31DC2">
            <w:pPr>
              <w:pStyle w:val="NoSpacing"/>
              <w:rPr>
                <w:rFonts w:cstheme="minorHAnsi"/>
                <w:sz w:val="20"/>
                <w:szCs w:val="20"/>
              </w:rPr>
            </w:pPr>
            <w:r w:rsidRPr="00923237">
              <w:rPr>
                <w:rFonts w:cstheme="minorHAnsi"/>
                <w:sz w:val="20"/>
                <w:szCs w:val="20"/>
              </w:rPr>
              <w:t>Yes</w:t>
            </w:r>
          </w:p>
        </w:tc>
        <w:tc>
          <w:tcPr>
            <w:tcW w:w="427" w:type="pct"/>
            <w:hideMark/>
          </w:tcPr>
          <w:p w14:paraId="257F8CA5" w14:textId="77777777" w:rsidR="00A4606E" w:rsidRPr="00923237" w:rsidRDefault="00A4606E" w:rsidP="00F31DC2">
            <w:pPr>
              <w:pStyle w:val="NoSpacing"/>
              <w:rPr>
                <w:rFonts w:cstheme="minorHAnsi"/>
                <w:sz w:val="20"/>
                <w:szCs w:val="20"/>
              </w:rPr>
            </w:pPr>
            <w:r w:rsidRPr="00923237">
              <w:rPr>
                <w:rFonts w:cstheme="minorHAnsi"/>
                <w:sz w:val="20"/>
                <w:szCs w:val="20"/>
              </w:rPr>
              <w:t>Yes</w:t>
            </w:r>
          </w:p>
        </w:tc>
        <w:tc>
          <w:tcPr>
            <w:tcW w:w="466" w:type="pct"/>
            <w:hideMark/>
          </w:tcPr>
          <w:p w14:paraId="2943569B" w14:textId="77777777" w:rsidR="00A4606E" w:rsidRPr="00923237" w:rsidRDefault="00A4606E" w:rsidP="00F31DC2">
            <w:pPr>
              <w:pStyle w:val="NoSpacing"/>
              <w:rPr>
                <w:rFonts w:cstheme="minorHAnsi"/>
                <w:sz w:val="20"/>
                <w:szCs w:val="20"/>
              </w:rPr>
            </w:pPr>
            <w:r w:rsidRPr="00923237">
              <w:rPr>
                <w:rFonts w:cstheme="minorHAnsi"/>
                <w:sz w:val="20"/>
                <w:szCs w:val="20"/>
              </w:rPr>
              <w:t>Yes</w:t>
            </w:r>
          </w:p>
        </w:tc>
      </w:tr>
      <w:tr w:rsidR="00A4606E" w:rsidRPr="00923237" w14:paraId="0BE8957E" w14:textId="77777777" w:rsidTr="00F727E1">
        <w:tc>
          <w:tcPr>
            <w:tcW w:w="1311" w:type="pct"/>
            <w:hideMark/>
          </w:tcPr>
          <w:p w14:paraId="171AFDA5" w14:textId="77777777" w:rsidR="00A4606E" w:rsidRPr="00923237" w:rsidRDefault="00A4606E" w:rsidP="00F31DC2">
            <w:pPr>
              <w:pStyle w:val="NoSpacing"/>
              <w:rPr>
                <w:rFonts w:cstheme="minorHAnsi"/>
                <w:sz w:val="20"/>
                <w:szCs w:val="20"/>
              </w:rPr>
            </w:pPr>
            <w:r w:rsidRPr="00923237">
              <w:rPr>
                <w:rFonts w:cstheme="minorHAnsi"/>
                <w:sz w:val="20"/>
                <w:szCs w:val="20"/>
              </w:rPr>
              <w:t xml:space="preserve">Num of </w:t>
            </w:r>
            <w:proofErr w:type="spellStart"/>
            <w:r w:rsidRPr="00923237">
              <w:rPr>
                <w:rFonts w:cstheme="minorHAnsi"/>
                <w:sz w:val="20"/>
                <w:szCs w:val="20"/>
              </w:rPr>
              <w:t>obs</w:t>
            </w:r>
            <w:proofErr w:type="spellEnd"/>
          </w:p>
        </w:tc>
        <w:tc>
          <w:tcPr>
            <w:tcW w:w="466" w:type="pct"/>
            <w:hideMark/>
          </w:tcPr>
          <w:p w14:paraId="01816662" w14:textId="77777777" w:rsidR="00A4606E" w:rsidRPr="00923237" w:rsidRDefault="00A4606E" w:rsidP="00F31DC2">
            <w:pPr>
              <w:pStyle w:val="NoSpacing"/>
              <w:rPr>
                <w:rFonts w:cstheme="minorHAnsi"/>
                <w:sz w:val="20"/>
                <w:szCs w:val="20"/>
              </w:rPr>
            </w:pPr>
            <w:r w:rsidRPr="00923237">
              <w:rPr>
                <w:rFonts w:cstheme="minorHAnsi"/>
                <w:sz w:val="20"/>
                <w:szCs w:val="20"/>
              </w:rPr>
              <w:t>674</w:t>
            </w:r>
          </w:p>
        </w:tc>
        <w:tc>
          <w:tcPr>
            <w:tcW w:w="466" w:type="pct"/>
            <w:hideMark/>
          </w:tcPr>
          <w:p w14:paraId="5C415CFF" w14:textId="77777777" w:rsidR="00A4606E" w:rsidRPr="00923237" w:rsidRDefault="00A4606E" w:rsidP="00F31DC2">
            <w:pPr>
              <w:pStyle w:val="NoSpacing"/>
              <w:rPr>
                <w:rFonts w:cstheme="minorHAnsi"/>
                <w:sz w:val="20"/>
                <w:szCs w:val="20"/>
              </w:rPr>
            </w:pPr>
            <w:r w:rsidRPr="00923237">
              <w:rPr>
                <w:rFonts w:cstheme="minorHAnsi"/>
                <w:sz w:val="20"/>
                <w:szCs w:val="20"/>
              </w:rPr>
              <w:t>500</w:t>
            </w:r>
          </w:p>
        </w:tc>
        <w:tc>
          <w:tcPr>
            <w:tcW w:w="466" w:type="pct"/>
            <w:hideMark/>
          </w:tcPr>
          <w:p w14:paraId="52998099" w14:textId="77777777" w:rsidR="00A4606E" w:rsidRPr="00923237" w:rsidRDefault="00A4606E" w:rsidP="00F31DC2">
            <w:pPr>
              <w:pStyle w:val="NoSpacing"/>
              <w:rPr>
                <w:rFonts w:cstheme="minorHAnsi"/>
                <w:sz w:val="20"/>
                <w:szCs w:val="20"/>
              </w:rPr>
            </w:pPr>
            <w:r w:rsidRPr="00923237">
              <w:rPr>
                <w:rFonts w:cstheme="minorHAnsi"/>
                <w:sz w:val="20"/>
                <w:szCs w:val="20"/>
              </w:rPr>
              <w:t>500</w:t>
            </w:r>
          </w:p>
        </w:tc>
        <w:tc>
          <w:tcPr>
            <w:tcW w:w="466" w:type="pct"/>
            <w:hideMark/>
          </w:tcPr>
          <w:p w14:paraId="65E74A57" w14:textId="77777777" w:rsidR="00A4606E" w:rsidRPr="00923237" w:rsidRDefault="00A4606E" w:rsidP="00F31DC2">
            <w:pPr>
              <w:pStyle w:val="NoSpacing"/>
              <w:rPr>
                <w:rFonts w:cstheme="minorHAnsi"/>
                <w:sz w:val="20"/>
                <w:szCs w:val="20"/>
              </w:rPr>
            </w:pPr>
            <w:r w:rsidRPr="00923237">
              <w:rPr>
                <w:rFonts w:cstheme="minorHAnsi"/>
                <w:sz w:val="20"/>
                <w:szCs w:val="20"/>
              </w:rPr>
              <w:t>500</w:t>
            </w:r>
          </w:p>
        </w:tc>
        <w:tc>
          <w:tcPr>
            <w:tcW w:w="466" w:type="pct"/>
            <w:hideMark/>
          </w:tcPr>
          <w:p w14:paraId="751BE6DC" w14:textId="77777777" w:rsidR="00A4606E" w:rsidRPr="00923237" w:rsidRDefault="00A4606E" w:rsidP="00F31DC2">
            <w:pPr>
              <w:pStyle w:val="NoSpacing"/>
              <w:rPr>
                <w:rFonts w:cstheme="minorHAnsi"/>
                <w:sz w:val="20"/>
                <w:szCs w:val="20"/>
              </w:rPr>
            </w:pPr>
            <w:r w:rsidRPr="00923237">
              <w:rPr>
                <w:rFonts w:cstheme="minorHAnsi"/>
                <w:sz w:val="20"/>
                <w:szCs w:val="20"/>
              </w:rPr>
              <w:t>500</w:t>
            </w:r>
          </w:p>
        </w:tc>
        <w:tc>
          <w:tcPr>
            <w:tcW w:w="466" w:type="pct"/>
            <w:hideMark/>
          </w:tcPr>
          <w:p w14:paraId="4A747E68" w14:textId="77777777" w:rsidR="00A4606E" w:rsidRPr="00923237" w:rsidRDefault="00A4606E" w:rsidP="00F31DC2">
            <w:pPr>
              <w:pStyle w:val="NoSpacing"/>
              <w:rPr>
                <w:rFonts w:cstheme="minorHAnsi"/>
                <w:sz w:val="20"/>
                <w:szCs w:val="20"/>
              </w:rPr>
            </w:pPr>
            <w:r w:rsidRPr="00923237">
              <w:rPr>
                <w:rFonts w:cstheme="minorHAnsi"/>
                <w:sz w:val="20"/>
                <w:szCs w:val="20"/>
              </w:rPr>
              <w:t>434</w:t>
            </w:r>
          </w:p>
        </w:tc>
        <w:tc>
          <w:tcPr>
            <w:tcW w:w="427" w:type="pct"/>
            <w:hideMark/>
          </w:tcPr>
          <w:p w14:paraId="7222389D" w14:textId="77777777" w:rsidR="00A4606E" w:rsidRPr="00923237" w:rsidRDefault="00A4606E" w:rsidP="00F31DC2">
            <w:pPr>
              <w:pStyle w:val="NoSpacing"/>
              <w:rPr>
                <w:rFonts w:cstheme="minorHAnsi"/>
                <w:sz w:val="20"/>
                <w:szCs w:val="20"/>
              </w:rPr>
            </w:pPr>
            <w:r w:rsidRPr="00923237">
              <w:rPr>
                <w:rFonts w:cstheme="minorHAnsi"/>
                <w:sz w:val="20"/>
                <w:szCs w:val="20"/>
              </w:rPr>
              <w:t>63</w:t>
            </w:r>
          </w:p>
        </w:tc>
        <w:tc>
          <w:tcPr>
            <w:tcW w:w="466" w:type="pct"/>
            <w:hideMark/>
          </w:tcPr>
          <w:p w14:paraId="25E2E143" w14:textId="77777777" w:rsidR="00A4606E" w:rsidRPr="00923237" w:rsidRDefault="00A4606E" w:rsidP="00F31DC2">
            <w:pPr>
              <w:pStyle w:val="NoSpacing"/>
              <w:rPr>
                <w:rFonts w:cstheme="minorHAnsi"/>
                <w:sz w:val="20"/>
                <w:szCs w:val="20"/>
              </w:rPr>
            </w:pPr>
            <w:r w:rsidRPr="00923237">
              <w:rPr>
                <w:rFonts w:cstheme="minorHAnsi"/>
                <w:sz w:val="20"/>
                <w:szCs w:val="20"/>
              </w:rPr>
              <w:t>106</w:t>
            </w:r>
          </w:p>
        </w:tc>
      </w:tr>
      <w:tr w:rsidR="00A4606E" w:rsidRPr="00923237" w14:paraId="13C2580A" w14:textId="77777777" w:rsidTr="00F727E1">
        <w:tc>
          <w:tcPr>
            <w:tcW w:w="1311" w:type="pct"/>
            <w:hideMark/>
          </w:tcPr>
          <w:p w14:paraId="74BBC78E" w14:textId="77777777" w:rsidR="00A4606E" w:rsidRPr="00923237" w:rsidRDefault="00A4606E" w:rsidP="00F31DC2">
            <w:pPr>
              <w:pStyle w:val="NoSpacing"/>
              <w:rPr>
                <w:rFonts w:cstheme="minorHAnsi"/>
                <w:sz w:val="20"/>
                <w:szCs w:val="20"/>
              </w:rPr>
            </w:pPr>
            <w:r w:rsidRPr="00923237">
              <w:rPr>
                <w:rFonts w:cstheme="minorHAnsi"/>
                <w:sz w:val="20"/>
                <w:szCs w:val="20"/>
              </w:rPr>
              <w:t>Adj R-</w:t>
            </w:r>
            <w:proofErr w:type="spellStart"/>
            <w:r w:rsidRPr="00923237">
              <w:rPr>
                <w:rFonts w:cstheme="minorHAnsi"/>
                <w:sz w:val="20"/>
                <w:szCs w:val="20"/>
              </w:rPr>
              <w:t>Sq</w:t>
            </w:r>
            <w:proofErr w:type="spellEnd"/>
          </w:p>
        </w:tc>
        <w:tc>
          <w:tcPr>
            <w:tcW w:w="466" w:type="pct"/>
            <w:hideMark/>
          </w:tcPr>
          <w:p w14:paraId="62E3890C" w14:textId="77777777" w:rsidR="00A4606E" w:rsidRPr="00923237" w:rsidRDefault="00A4606E" w:rsidP="00F31DC2">
            <w:pPr>
              <w:pStyle w:val="NoSpacing"/>
              <w:rPr>
                <w:rFonts w:cstheme="minorHAnsi"/>
                <w:sz w:val="20"/>
                <w:szCs w:val="20"/>
              </w:rPr>
            </w:pPr>
            <w:r w:rsidRPr="00923237">
              <w:rPr>
                <w:rFonts w:cstheme="minorHAnsi"/>
                <w:sz w:val="20"/>
                <w:szCs w:val="20"/>
              </w:rPr>
              <w:t>0.3434</w:t>
            </w:r>
          </w:p>
        </w:tc>
        <w:tc>
          <w:tcPr>
            <w:tcW w:w="466" w:type="pct"/>
            <w:hideMark/>
          </w:tcPr>
          <w:p w14:paraId="4E0D71F1" w14:textId="77777777" w:rsidR="00A4606E" w:rsidRPr="00923237" w:rsidRDefault="00A4606E" w:rsidP="00F31DC2">
            <w:pPr>
              <w:pStyle w:val="NoSpacing"/>
              <w:rPr>
                <w:rFonts w:cstheme="minorHAnsi"/>
                <w:sz w:val="20"/>
                <w:szCs w:val="20"/>
              </w:rPr>
            </w:pPr>
            <w:r w:rsidRPr="00923237">
              <w:rPr>
                <w:rFonts w:cstheme="minorHAnsi"/>
                <w:sz w:val="20"/>
                <w:szCs w:val="20"/>
              </w:rPr>
              <w:t>0.3870</w:t>
            </w:r>
          </w:p>
        </w:tc>
        <w:tc>
          <w:tcPr>
            <w:tcW w:w="466" w:type="pct"/>
            <w:hideMark/>
          </w:tcPr>
          <w:p w14:paraId="74D9098F" w14:textId="77777777" w:rsidR="00A4606E" w:rsidRPr="00923237" w:rsidRDefault="00A4606E" w:rsidP="00F31DC2">
            <w:pPr>
              <w:pStyle w:val="NoSpacing"/>
              <w:rPr>
                <w:rFonts w:cstheme="minorHAnsi"/>
                <w:sz w:val="20"/>
                <w:szCs w:val="20"/>
              </w:rPr>
            </w:pPr>
            <w:r w:rsidRPr="00923237">
              <w:rPr>
                <w:rFonts w:cstheme="minorHAnsi"/>
                <w:sz w:val="20"/>
                <w:szCs w:val="20"/>
              </w:rPr>
              <w:t>0.3906</w:t>
            </w:r>
          </w:p>
        </w:tc>
        <w:tc>
          <w:tcPr>
            <w:tcW w:w="466" w:type="pct"/>
            <w:hideMark/>
          </w:tcPr>
          <w:p w14:paraId="45509914" w14:textId="77777777" w:rsidR="00A4606E" w:rsidRPr="00923237" w:rsidRDefault="00A4606E" w:rsidP="00F31DC2">
            <w:pPr>
              <w:pStyle w:val="NoSpacing"/>
              <w:rPr>
                <w:rFonts w:cstheme="minorHAnsi"/>
                <w:sz w:val="20"/>
                <w:szCs w:val="20"/>
              </w:rPr>
            </w:pPr>
            <w:r w:rsidRPr="00923237">
              <w:rPr>
                <w:rFonts w:cstheme="minorHAnsi"/>
                <w:sz w:val="20"/>
                <w:szCs w:val="20"/>
              </w:rPr>
              <w:t>0.3842</w:t>
            </w:r>
          </w:p>
        </w:tc>
        <w:tc>
          <w:tcPr>
            <w:tcW w:w="466" w:type="pct"/>
            <w:hideMark/>
          </w:tcPr>
          <w:p w14:paraId="400D5DEC" w14:textId="77777777" w:rsidR="00A4606E" w:rsidRPr="00923237" w:rsidRDefault="00A4606E" w:rsidP="00F31DC2">
            <w:pPr>
              <w:pStyle w:val="NoSpacing"/>
              <w:rPr>
                <w:rFonts w:cstheme="minorHAnsi"/>
                <w:sz w:val="20"/>
                <w:szCs w:val="20"/>
              </w:rPr>
            </w:pPr>
            <w:r w:rsidRPr="00923237">
              <w:rPr>
                <w:rFonts w:cstheme="minorHAnsi"/>
                <w:sz w:val="20"/>
                <w:szCs w:val="20"/>
              </w:rPr>
              <w:t>0.4022</w:t>
            </w:r>
          </w:p>
        </w:tc>
        <w:tc>
          <w:tcPr>
            <w:tcW w:w="466" w:type="pct"/>
            <w:hideMark/>
          </w:tcPr>
          <w:p w14:paraId="5BD8EF6A" w14:textId="77777777" w:rsidR="00A4606E" w:rsidRPr="00923237" w:rsidRDefault="00A4606E" w:rsidP="00F31DC2">
            <w:pPr>
              <w:pStyle w:val="NoSpacing"/>
              <w:rPr>
                <w:rFonts w:cstheme="minorHAnsi"/>
                <w:sz w:val="20"/>
                <w:szCs w:val="20"/>
              </w:rPr>
            </w:pPr>
            <w:r w:rsidRPr="00923237">
              <w:rPr>
                <w:rFonts w:cstheme="minorHAnsi"/>
                <w:sz w:val="20"/>
                <w:szCs w:val="20"/>
              </w:rPr>
              <w:t>0.3653</w:t>
            </w:r>
          </w:p>
        </w:tc>
        <w:tc>
          <w:tcPr>
            <w:tcW w:w="427" w:type="pct"/>
            <w:hideMark/>
          </w:tcPr>
          <w:p w14:paraId="2C6596B1" w14:textId="77777777" w:rsidR="00A4606E" w:rsidRPr="00923237" w:rsidRDefault="00A4606E" w:rsidP="00F31DC2">
            <w:pPr>
              <w:pStyle w:val="NoSpacing"/>
              <w:rPr>
                <w:rFonts w:cstheme="minorHAnsi"/>
                <w:sz w:val="20"/>
                <w:szCs w:val="20"/>
              </w:rPr>
            </w:pPr>
            <w:r w:rsidRPr="00923237">
              <w:rPr>
                <w:rFonts w:cstheme="minorHAnsi"/>
                <w:sz w:val="20"/>
                <w:szCs w:val="20"/>
              </w:rPr>
              <w:t>0.8110</w:t>
            </w:r>
          </w:p>
        </w:tc>
        <w:tc>
          <w:tcPr>
            <w:tcW w:w="466" w:type="pct"/>
            <w:hideMark/>
          </w:tcPr>
          <w:p w14:paraId="5052CE54" w14:textId="77777777" w:rsidR="00A4606E" w:rsidRPr="00923237" w:rsidRDefault="00A4606E" w:rsidP="00F31DC2">
            <w:pPr>
              <w:pStyle w:val="NoSpacing"/>
              <w:rPr>
                <w:rFonts w:cstheme="minorHAnsi"/>
                <w:sz w:val="20"/>
                <w:szCs w:val="20"/>
              </w:rPr>
            </w:pPr>
            <w:r w:rsidRPr="00923237">
              <w:rPr>
                <w:rFonts w:cstheme="minorHAnsi"/>
                <w:sz w:val="20"/>
                <w:szCs w:val="20"/>
              </w:rPr>
              <w:t>0.8307</w:t>
            </w:r>
          </w:p>
        </w:tc>
      </w:tr>
    </w:tbl>
    <w:p w14:paraId="18FB987E" w14:textId="77777777" w:rsidR="00F727E1" w:rsidRPr="00923237" w:rsidRDefault="00F727E1" w:rsidP="00F31DC2">
      <w:pPr>
        <w:rPr>
          <w:rFonts w:cstheme="minorHAnsi"/>
        </w:rPr>
      </w:pPr>
    </w:p>
    <w:p w14:paraId="6B8C751E" w14:textId="77777777" w:rsidR="00F727E1" w:rsidRPr="00923237" w:rsidRDefault="00F727E1">
      <w:pPr>
        <w:rPr>
          <w:rFonts w:cstheme="minorHAnsi"/>
        </w:rPr>
      </w:pPr>
      <w:r w:rsidRPr="00923237">
        <w:rPr>
          <w:rFonts w:cstheme="minorHAnsi"/>
        </w:rPr>
        <w:br w:type="page"/>
      </w:r>
    </w:p>
    <w:p w14:paraId="1FB898DF" w14:textId="77777777" w:rsidR="00DE24EB" w:rsidRDefault="00DE24EB" w:rsidP="00F31DC2">
      <w:pPr>
        <w:rPr>
          <w:rFonts w:cstheme="minorHAnsi"/>
        </w:rPr>
        <w:sectPr w:rsidR="00DE24EB" w:rsidSect="00DE24EB">
          <w:pgSz w:w="15840" w:h="12240" w:orient="landscape"/>
          <w:pgMar w:top="1080" w:right="1080" w:bottom="1080" w:left="1080" w:header="720" w:footer="720" w:gutter="0"/>
          <w:cols w:space="720"/>
          <w:docGrid w:linePitch="360"/>
        </w:sectPr>
      </w:pPr>
    </w:p>
    <w:p w14:paraId="21B84436" w14:textId="4869D90D" w:rsidR="00A4606E" w:rsidRPr="00923237" w:rsidRDefault="00A4606E" w:rsidP="00F31DC2">
      <w:pPr>
        <w:rPr>
          <w:rFonts w:cstheme="minorHAnsi"/>
        </w:rPr>
      </w:pPr>
      <w:r w:rsidRPr="00923237">
        <w:rPr>
          <w:rFonts w:cstheme="minorHAnsi"/>
        </w:rPr>
        <w:t>The results in </w:t>
      </w:r>
      <w:hyperlink r:id="rId141" w:anchor="t0035" w:history="1">
        <w:r w:rsidRPr="00923237">
          <w:rPr>
            <w:rStyle w:val="Hyperlink"/>
            <w:rFonts w:eastAsiaTheme="majorEastAsia" w:cstheme="minorHAnsi"/>
            <w:color w:val="0C7DBB"/>
          </w:rPr>
          <w:t>Table 7</w:t>
        </w:r>
      </w:hyperlink>
      <w:r w:rsidRPr="00923237">
        <w:rPr>
          <w:rFonts w:cstheme="minorHAnsi"/>
        </w:rPr>
        <w:t> suggest that, absent any conditioning on the pre-crisis leverage, different measures of excess board activity are negatively associated with </w:t>
      </w:r>
      <w:r w:rsidRPr="00923237">
        <w:rPr>
          <w:rStyle w:val="Emphasis"/>
          <w:rFonts w:eastAsiaTheme="majorEastAsia" w:cstheme="minorHAnsi"/>
          <w:color w:val="2E2E2E"/>
        </w:rPr>
        <w:t>Change in Leverage</w:t>
      </w:r>
      <w:r w:rsidRPr="00923237">
        <w:rPr>
          <w:rFonts w:cstheme="minorHAnsi"/>
        </w:rPr>
        <w:t> post-crisis. In terms of economic significance, for example, a one-standard-deviation change in </w:t>
      </w:r>
      <w:r w:rsidRPr="00923237">
        <w:rPr>
          <w:rStyle w:val="Emphasis"/>
          <w:rFonts w:eastAsiaTheme="majorEastAsia" w:cstheme="minorHAnsi"/>
          <w:color w:val="2E2E2E"/>
        </w:rPr>
        <w:t>Abnormal Board Meetings</w:t>
      </w:r>
      <w:r w:rsidRPr="00923237">
        <w:rPr>
          <w:rFonts w:cstheme="minorHAnsi"/>
        </w:rPr>
        <w:t> is associated with 0.7% change in post-crisis leverage (Model 2) while a one-standard-deviation change in </w:t>
      </w:r>
      <w:r w:rsidRPr="00923237">
        <w:rPr>
          <w:rStyle w:val="Emphasis"/>
          <w:rFonts w:eastAsiaTheme="majorEastAsia" w:cstheme="minorHAnsi"/>
          <w:color w:val="2E2E2E"/>
        </w:rPr>
        <w:t>Experience</w:t>
      </w:r>
      <w:r w:rsidRPr="00923237">
        <w:rPr>
          <w:rFonts w:cstheme="minorHAnsi"/>
        </w:rPr>
        <w:t>-</w:t>
      </w:r>
      <w:r w:rsidRPr="00923237">
        <w:rPr>
          <w:rStyle w:val="Emphasis"/>
          <w:rFonts w:eastAsiaTheme="majorEastAsia" w:cstheme="minorHAnsi"/>
          <w:color w:val="2E2E2E"/>
        </w:rPr>
        <w:t>weighted Abnormal Board Meetings</w:t>
      </w:r>
      <w:r w:rsidRPr="00923237">
        <w:rPr>
          <w:rFonts w:cstheme="minorHAnsi"/>
        </w:rPr>
        <w:t> is associated with 0.1% change in post-crisis leverage (Model 3). When we separate director experience into real estate and finance experience, we find that </w:t>
      </w:r>
      <w:r w:rsidRPr="00923237">
        <w:rPr>
          <w:rStyle w:val="Emphasis"/>
          <w:rFonts w:eastAsiaTheme="majorEastAsia" w:cstheme="minorHAnsi"/>
          <w:color w:val="2E2E2E"/>
        </w:rPr>
        <w:t>FIN Experience</w:t>
      </w:r>
      <w:r w:rsidRPr="00923237">
        <w:rPr>
          <w:rFonts w:cstheme="minorHAnsi"/>
        </w:rPr>
        <w:t>-</w:t>
      </w:r>
      <w:r w:rsidRPr="00923237">
        <w:rPr>
          <w:rStyle w:val="Emphasis"/>
          <w:rFonts w:eastAsiaTheme="majorEastAsia" w:cstheme="minorHAnsi"/>
          <w:color w:val="2E2E2E"/>
        </w:rPr>
        <w:t>weighted Abnormal Board Meetings</w:t>
      </w:r>
      <w:r w:rsidRPr="00923237">
        <w:rPr>
          <w:rFonts w:cstheme="minorHAnsi"/>
        </w:rPr>
        <w:t> is negatively associated with </w:t>
      </w:r>
      <w:r w:rsidRPr="00923237">
        <w:rPr>
          <w:rStyle w:val="Emphasis"/>
          <w:rFonts w:eastAsiaTheme="majorEastAsia" w:cstheme="minorHAnsi"/>
          <w:color w:val="2E2E2E"/>
        </w:rPr>
        <w:t>Change in Leverage</w:t>
      </w:r>
      <w:r w:rsidRPr="00923237">
        <w:rPr>
          <w:rFonts w:cstheme="minorHAnsi"/>
        </w:rPr>
        <w:t> post-crisis (Model 5). However, there is no significant association between </w:t>
      </w:r>
      <w:r w:rsidRPr="00923237">
        <w:rPr>
          <w:rStyle w:val="Emphasis"/>
          <w:rFonts w:eastAsiaTheme="majorEastAsia" w:cstheme="minorHAnsi"/>
          <w:color w:val="2E2E2E"/>
        </w:rPr>
        <w:t>RE Experience</w:t>
      </w:r>
      <w:r w:rsidRPr="00923237">
        <w:rPr>
          <w:rFonts w:cstheme="minorHAnsi"/>
        </w:rPr>
        <w:t>-</w:t>
      </w:r>
      <w:r w:rsidRPr="00923237">
        <w:rPr>
          <w:rStyle w:val="Emphasis"/>
          <w:rFonts w:eastAsiaTheme="majorEastAsia" w:cstheme="minorHAnsi"/>
          <w:color w:val="2E2E2E"/>
        </w:rPr>
        <w:t>weighted Abnormal Board Meetings</w:t>
      </w:r>
      <w:r w:rsidRPr="00923237">
        <w:rPr>
          <w:rFonts w:cstheme="minorHAnsi"/>
        </w:rPr>
        <w:t> and </w:t>
      </w:r>
      <w:r w:rsidRPr="00923237">
        <w:rPr>
          <w:rStyle w:val="Emphasis"/>
          <w:rFonts w:eastAsiaTheme="majorEastAsia" w:cstheme="minorHAnsi"/>
          <w:color w:val="2E2E2E"/>
        </w:rPr>
        <w:t>Change in Leverage</w:t>
      </w:r>
      <w:r w:rsidRPr="00923237">
        <w:rPr>
          <w:rFonts w:cstheme="minorHAnsi"/>
        </w:rPr>
        <w:t> post-crisis (Model 4). These findings are consistent with the argument that financial experience (rather than the real estate experience) is more relevant in making </w:t>
      </w:r>
      <w:hyperlink r:id="rId142" w:tooltip="Learn more about Capital Structure from ScienceDirect's AI-generated Topic Pages" w:history="1">
        <w:r w:rsidRPr="00923237">
          <w:rPr>
            <w:rStyle w:val="Hyperlink"/>
            <w:rFonts w:eastAsiaTheme="majorEastAsia" w:cstheme="minorHAnsi"/>
            <w:color w:val="0C7DBB"/>
          </w:rPr>
          <w:t>capital structure</w:t>
        </w:r>
      </w:hyperlink>
      <w:r w:rsidRPr="00923237">
        <w:rPr>
          <w:rFonts w:cstheme="minorHAnsi"/>
        </w:rPr>
        <w:t> decisions during our sample period. We also find that firms whose return is less than cost of debt (i.e. negative leverage in 2006) lower their leverage post-crisis (Model 6).</w:t>
      </w:r>
    </w:p>
    <w:p w14:paraId="351D9785" w14:textId="77777777" w:rsidR="00A4606E" w:rsidRPr="00923237" w:rsidRDefault="00A4606E" w:rsidP="00F31DC2">
      <w:pPr>
        <w:rPr>
          <w:rFonts w:cstheme="minorHAnsi"/>
        </w:rPr>
      </w:pPr>
      <w:r w:rsidRPr="00923237">
        <w:rPr>
          <w:rFonts w:cstheme="minorHAnsi"/>
        </w:rPr>
        <w:t xml:space="preserve">In terms of control variables, we find that larger firms, firms with higher Tobin's Q and higher Cash/Total Assets tends to lower their leverage post-crisis (Models 1–5). For example, one standard deviation increase in </w:t>
      </w:r>
      <w:proofErr w:type="gramStart"/>
      <w:r w:rsidRPr="00923237">
        <w:rPr>
          <w:rFonts w:cstheme="minorHAnsi"/>
        </w:rPr>
        <w:t>ln(</w:t>
      </w:r>
      <w:proofErr w:type="gramEnd"/>
      <w:r w:rsidRPr="00923237">
        <w:rPr>
          <w:rStyle w:val="Emphasis"/>
          <w:rFonts w:eastAsiaTheme="majorEastAsia" w:cstheme="minorHAnsi"/>
          <w:color w:val="2E2E2E"/>
        </w:rPr>
        <w:t>Total Assets</w:t>
      </w:r>
      <w:r w:rsidRPr="00923237">
        <w:rPr>
          <w:rFonts w:cstheme="minorHAnsi"/>
        </w:rPr>
        <w:t>), </w:t>
      </w:r>
      <w:r w:rsidRPr="00923237">
        <w:rPr>
          <w:rStyle w:val="Emphasis"/>
          <w:rFonts w:eastAsiaTheme="majorEastAsia" w:cstheme="minorHAnsi"/>
          <w:color w:val="2E2E2E"/>
        </w:rPr>
        <w:t>Firm Q</w:t>
      </w:r>
      <w:r w:rsidRPr="00923237">
        <w:rPr>
          <w:rFonts w:cstheme="minorHAnsi"/>
        </w:rPr>
        <w:t>, or </w:t>
      </w:r>
      <w:r w:rsidRPr="00923237">
        <w:rPr>
          <w:rStyle w:val="Emphasis"/>
          <w:rFonts w:eastAsiaTheme="majorEastAsia" w:cstheme="minorHAnsi"/>
          <w:color w:val="2E2E2E"/>
        </w:rPr>
        <w:t>Cash</w:t>
      </w:r>
      <w:r w:rsidRPr="00923237">
        <w:rPr>
          <w:rFonts w:cstheme="minorHAnsi"/>
        </w:rPr>
        <w:t>/</w:t>
      </w:r>
      <w:r w:rsidRPr="00923237">
        <w:rPr>
          <w:rStyle w:val="Emphasis"/>
          <w:rFonts w:eastAsiaTheme="majorEastAsia" w:cstheme="minorHAnsi"/>
          <w:color w:val="2E2E2E"/>
        </w:rPr>
        <w:t>Total Assets</w:t>
      </w:r>
      <w:r w:rsidRPr="00923237">
        <w:rPr>
          <w:rFonts w:cstheme="minorHAnsi"/>
        </w:rPr>
        <w:t> in associated with 1–3% decrease in leverage after the financial crisis (Model 1). In addition, prior year's leverage is positively associated with the change in leverage. A one-standard-deviation change in the prior year's leverage is associated with 5–6% increase in the change in post-crisis leverage (Models 1–5).</w:t>
      </w:r>
    </w:p>
    <w:p w14:paraId="4B4AA33B" w14:textId="77777777" w:rsidR="00A4606E" w:rsidRPr="00923237" w:rsidRDefault="00A4606E" w:rsidP="00F31DC2">
      <w:pPr>
        <w:rPr>
          <w:rFonts w:cstheme="minorHAnsi"/>
        </w:rPr>
      </w:pPr>
      <w:r w:rsidRPr="00923237">
        <w:rPr>
          <w:rFonts w:cstheme="minorHAnsi"/>
        </w:rPr>
        <w:t>When we divide our sample into firms with high and low pre-crisis leverage, we find that excess board activity as measured by </w:t>
      </w:r>
      <w:r w:rsidRPr="00923237">
        <w:rPr>
          <w:rStyle w:val="Emphasis"/>
          <w:rFonts w:eastAsiaTheme="majorEastAsia" w:cstheme="minorHAnsi"/>
          <w:color w:val="2E2E2E"/>
        </w:rPr>
        <w:t>FIN Experience</w:t>
      </w:r>
      <w:r w:rsidRPr="00923237">
        <w:rPr>
          <w:rFonts w:cstheme="minorHAnsi"/>
        </w:rPr>
        <w:t>-</w:t>
      </w:r>
      <w:r w:rsidRPr="00923237">
        <w:rPr>
          <w:rStyle w:val="Emphasis"/>
          <w:rFonts w:eastAsiaTheme="majorEastAsia" w:cstheme="minorHAnsi"/>
          <w:color w:val="2E2E2E"/>
        </w:rPr>
        <w:t>weighted Abnormal Board Meetings</w:t>
      </w:r>
      <w:r w:rsidRPr="00923237">
        <w:rPr>
          <w:rFonts w:cstheme="minorHAnsi"/>
        </w:rPr>
        <w:t xml:space="preserve"> is negatively associated with the change in leverage post-crisis for both samples but more so among high levered firms. </w:t>
      </w:r>
      <w:proofErr w:type="gramStart"/>
      <w:r w:rsidRPr="00923237">
        <w:rPr>
          <w:rFonts w:cstheme="minorHAnsi"/>
        </w:rPr>
        <w:t>In particular, a</w:t>
      </w:r>
      <w:proofErr w:type="gramEnd"/>
      <w:r w:rsidRPr="00923237">
        <w:rPr>
          <w:rFonts w:cstheme="minorHAnsi"/>
        </w:rPr>
        <w:t xml:space="preserve"> one-standard-deviation change in </w:t>
      </w:r>
      <w:r w:rsidRPr="00923237">
        <w:rPr>
          <w:rStyle w:val="Emphasis"/>
          <w:rFonts w:eastAsiaTheme="majorEastAsia" w:cstheme="minorHAnsi"/>
          <w:color w:val="2E2E2E"/>
        </w:rPr>
        <w:t>FIN Experience</w:t>
      </w:r>
      <w:r w:rsidRPr="00923237">
        <w:rPr>
          <w:rFonts w:cstheme="minorHAnsi"/>
        </w:rPr>
        <w:t>-</w:t>
      </w:r>
      <w:r w:rsidRPr="00923237">
        <w:rPr>
          <w:rStyle w:val="Emphasis"/>
          <w:rFonts w:eastAsiaTheme="majorEastAsia" w:cstheme="minorHAnsi"/>
          <w:color w:val="2E2E2E"/>
        </w:rPr>
        <w:t>weighted Abnormal Board Meetings</w:t>
      </w:r>
      <w:r w:rsidRPr="00923237">
        <w:rPr>
          <w:rFonts w:cstheme="minorHAnsi"/>
        </w:rPr>
        <w:t> is associated with a 0.5% change in post-crisis leverage for high levered firms (Model 6) and 0.1% for low levered firms (Model 7). Interestingly, negative leverage is still negatively associated with decreasing leverage, but only for the sample of low levered firms. Overall, the results in </w:t>
      </w:r>
      <w:hyperlink r:id="rId143" w:anchor="t0035" w:history="1">
        <w:r w:rsidRPr="00923237">
          <w:rPr>
            <w:rStyle w:val="Hyperlink"/>
            <w:rFonts w:eastAsiaTheme="majorEastAsia" w:cstheme="minorHAnsi"/>
            <w:color w:val="0C7DBB"/>
          </w:rPr>
          <w:t>Table 7</w:t>
        </w:r>
      </w:hyperlink>
      <w:bookmarkEnd w:id="81"/>
      <w:r w:rsidRPr="00923237">
        <w:rPr>
          <w:rFonts w:cstheme="minorHAnsi"/>
        </w:rPr>
        <w:t> are consistent with the findings in </w:t>
      </w:r>
      <w:hyperlink r:id="rId144" w:anchor="t0030" w:history="1">
        <w:r w:rsidRPr="00923237">
          <w:rPr>
            <w:rStyle w:val="Hyperlink"/>
            <w:rFonts w:eastAsiaTheme="majorEastAsia" w:cstheme="minorHAnsi"/>
            <w:color w:val="0C7DBB"/>
          </w:rPr>
          <w:t>Table 6</w:t>
        </w:r>
      </w:hyperlink>
      <w:bookmarkEnd w:id="80"/>
      <w:r w:rsidRPr="00923237">
        <w:rPr>
          <w:rFonts w:cstheme="minorHAnsi"/>
        </w:rPr>
        <w:t> and with the hypothesis that post-crisis, firms with high pre-crisis leverage and more active boards lower their leverage. The potential explanation is that active boards learn from their experience during the crisis and adjust to a more conservative capital structure.</w:t>
      </w:r>
    </w:p>
    <w:p w14:paraId="0964E714" w14:textId="77777777" w:rsidR="00A4606E" w:rsidRPr="00923237" w:rsidRDefault="00A4606E" w:rsidP="00F31DC2">
      <w:pPr>
        <w:rPr>
          <w:rFonts w:cstheme="minorHAnsi"/>
        </w:rPr>
      </w:pPr>
      <w:r w:rsidRPr="00923237">
        <w:rPr>
          <w:rFonts w:cstheme="minorHAnsi"/>
        </w:rPr>
        <w:t>Finally, we examine the association between board activity, leverage, and firm performance after the financial crisis. Our dependent variable is the cumulative stock return from March 2009 to December 2016 (</w:t>
      </w:r>
      <w:r w:rsidRPr="00923237">
        <w:rPr>
          <w:rStyle w:val="Emphasis"/>
          <w:rFonts w:eastAsiaTheme="majorEastAsia" w:cstheme="minorHAnsi"/>
          <w:color w:val="2E2E2E"/>
        </w:rPr>
        <w:t>Cumulative Return 2009</w:t>
      </w:r>
      <w:r w:rsidRPr="00923237">
        <w:rPr>
          <w:rFonts w:cstheme="minorHAnsi"/>
        </w:rPr>
        <w:t>–</w:t>
      </w:r>
      <w:r w:rsidRPr="00923237">
        <w:rPr>
          <w:rStyle w:val="Emphasis"/>
          <w:rFonts w:eastAsiaTheme="majorEastAsia" w:cstheme="minorHAnsi"/>
          <w:color w:val="2E2E2E"/>
        </w:rPr>
        <w:t>2016</w:t>
      </w:r>
      <w:r w:rsidRPr="00923237">
        <w:rPr>
          <w:rFonts w:cstheme="minorHAnsi"/>
        </w:rPr>
        <w:t>). In </w:t>
      </w:r>
      <w:bookmarkStart w:id="82" w:name="bt0040"/>
      <w:r w:rsidRPr="00923237">
        <w:rPr>
          <w:rFonts w:cstheme="minorHAnsi"/>
        </w:rPr>
        <w:fldChar w:fldCharType="begin"/>
      </w:r>
      <w:r w:rsidRPr="00923237">
        <w:rPr>
          <w:rFonts w:cstheme="minorHAnsi"/>
        </w:rPr>
        <w:instrText xml:space="preserve"> HYPERLINK "https://0-www-sciencedirect-com.libus.csd.mu.edu/science/article/pii/S0929119917307344" \l "t0040" </w:instrText>
      </w:r>
      <w:r w:rsidRPr="00923237">
        <w:rPr>
          <w:rFonts w:cstheme="minorHAnsi"/>
        </w:rPr>
        <w:fldChar w:fldCharType="separate"/>
      </w:r>
      <w:r w:rsidRPr="00923237">
        <w:rPr>
          <w:rStyle w:val="Hyperlink"/>
          <w:rFonts w:eastAsiaTheme="majorEastAsia" w:cstheme="minorHAnsi"/>
          <w:color w:val="0C7DBB"/>
        </w:rPr>
        <w:t>Table 8</w:t>
      </w:r>
      <w:r w:rsidRPr="00923237">
        <w:rPr>
          <w:rFonts w:cstheme="minorHAnsi"/>
        </w:rPr>
        <w:fldChar w:fldCharType="end"/>
      </w:r>
      <w:r w:rsidRPr="00923237">
        <w:rPr>
          <w:rFonts w:cstheme="minorHAnsi"/>
        </w:rPr>
        <w:t>, Model 1 is similar to </w:t>
      </w:r>
      <w:hyperlink r:id="rId145" w:anchor="bb0275" w:history="1">
        <w:r w:rsidRPr="00923237">
          <w:rPr>
            <w:rStyle w:val="Hyperlink"/>
            <w:rFonts w:eastAsiaTheme="majorEastAsia" w:cstheme="minorHAnsi"/>
            <w:color w:val="0C7DBB"/>
          </w:rPr>
          <w:t xml:space="preserve">Sun </w:t>
        </w:r>
        <w:proofErr w:type="spellStart"/>
        <w:r w:rsidRPr="00923237">
          <w:rPr>
            <w:rStyle w:val="Hyperlink"/>
            <w:rFonts w:eastAsiaTheme="majorEastAsia" w:cstheme="minorHAnsi"/>
            <w:color w:val="0C7DBB"/>
          </w:rPr>
          <w:t>et</w:t>
        </w:r>
        <w:proofErr w:type="spellEnd"/>
        <w:r w:rsidRPr="00923237">
          <w:rPr>
            <w:rStyle w:val="Hyperlink"/>
            <w:rFonts w:eastAsiaTheme="majorEastAsia" w:cstheme="minorHAnsi"/>
            <w:color w:val="0C7DBB"/>
          </w:rPr>
          <w:t xml:space="preserve"> al.'s (2015)</w:t>
        </w:r>
      </w:hyperlink>
      <w:r w:rsidRPr="00923237">
        <w:rPr>
          <w:rFonts w:cstheme="minorHAnsi"/>
        </w:rPr>
        <w:t> in order to facilitate a comparison of results (although their sample ends in 2011). In Models 2 and 3, we add </w:t>
      </w:r>
      <w:r w:rsidRPr="00923237">
        <w:rPr>
          <w:rStyle w:val="Emphasis"/>
          <w:rFonts w:eastAsiaTheme="majorEastAsia" w:cstheme="minorHAnsi"/>
          <w:color w:val="2E2E2E"/>
        </w:rPr>
        <w:t>Abnormal Board Meetings</w:t>
      </w:r>
      <w:r w:rsidRPr="00923237">
        <w:rPr>
          <w:rFonts w:cstheme="minorHAnsi"/>
        </w:rPr>
        <w:t> and </w:t>
      </w:r>
      <w:r w:rsidRPr="00923237">
        <w:rPr>
          <w:rStyle w:val="Emphasis"/>
          <w:rFonts w:eastAsiaTheme="majorEastAsia" w:cstheme="minorHAnsi"/>
          <w:color w:val="2E2E2E"/>
        </w:rPr>
        <w:t>Experience</w:t>
      </w:r>
      <w:r w:rsidRPr="00923237">
        <w:rPr>
          <w:rFonts w:cstheme="minorHAnsi"/>
        </w:rPr>
        <w:t>-</w:t>
      </w:r>
      <w:r w:rsidRPr="00923237">
        <w:rPr>
          <w:rStyle w:val="Emphasis"/>
          <w:rFonts w:eastAsiaTheme="majorEastAsia" w:cstheme="minorHAnsi"/>
          <w:color w:val="2E2E2E"/>
        </w:rPr>
        <w:t>weighted Abnormal Board Meetings</w:t>
      </w:r>
      <w:r w:rsidRPr="00923237">
        <w:rPr>
          <w:rFonts w:cstheme="minorHAnsi"/>
        </w:rPr>
        <w:t> during the financial crisis, respectively. In Model 4 we incorporate board size and board independence and in Model 5 we include an indicator (</w:t>
      </w:r>
      <w:r w:rsidRPr="00923237">
        <w:rPr>
          <w:rStyle w:val="Emphasis"/>
          <w:rFonts w:eastAsiaTheme="majorEastAsia" w:cstheme="minorHAnsi"/>
          <w:color w:val="2E2E2E"/>
        </w:rPr>
        <w:t>S</w:t>
      </w:r>
      <w:r w:rsidRPr="00923237">
        <w:rPr>
          <w:rFonts w:cstheme="minorHAnsi"/>
        </w:rPr>
        <w:t>&amp;</w:t>
      </w:r>
      <w:r w:rsidRPr="00923237">
        <w:rPr>
          <w:rStyle w:val="Emphasis"/>
          <w:rFonts w:eastAsiaTheme="majorEastAsia" w:cstheme="minorHAnsi"/>
          <w:color w:val="2E2E2E"/>
        </w:rPr>
        <w:t>L Crisis Exp</w:t>
      </w:r>
      <w:r w:rsidRPr="00923237">
        <w:rPr>
          <w:rFonts w:cstheme="minorHAnsi"/>
        </w:rPr>
        <w:t>.) that takes a value of one if the board has at least on director whose managerial experience include the Savings and Loans crisis in the early 1980s. Lastly, we include an indicator variable </w:t>
      </w:r>
      <w:r w:rsidRPr="00923237">
        <w:rPr>
          <w:rStyle w:val="Emphasis"/>
          <w:rFonts w:eastAsiaTheme="majorEastAsia" w:cstheme="minorHAnsi"/>
          <w:color w:val="2E2E2E"/>
        </w:rPr>
        <w:t>High Leverage</w:t>
      </w:r>
      <w:r w:rsidRPr="00923237">
        <w:rPr>
          <w:rFonts w:cstheme="minorHAnsi"/>
        </w:rPr>
        <w:t> and the interaction of </w:t>
      </w:r>
      <w:r w:rsidRPr="00923237">
        <w:rPr>
          <w:rStyle w:val="Emphasis"/>
          <w:rFonts w:eastAsiaTheme="majorEastAsia" w:cstheme="minorHAnsi"/>
          <w:color w:val="2E2E2E"/>
        </w:rPr>
        <w:t>High Leverage</w:t>
      </w:r>
      <w:r w:rsidRPr="00923237">
        <w:rPr>
          <w:rFonts w:cstheme="minorHAnsi"/>
        </w:rPr>
        <w:t> with </w:t>
      </w:r>
      <w:r w:rsidRPr="00923237">
        <w:rPr>
          <w:rStyle w:val="Emphasis"/>
          <w:rFonts w:eastAsiaTheme="majorEastAsia" w:cstheme="minorHAnsi"/>
          <w:color w:val="2E2E2E"/>
        </w:rPr>
        <w:t>Experience</w:t>
      </w:r>
      <w:r w:rsidRPr="00923237">
        <w:rPr>
          <w:rFonts w:cstheme="minorHAnsi"/>
        </w:rPr>
        <w:t>-</w:t>
      </w:r>
      <w:r w:rsidRPr="00923237">
        <w:rPr>
          <w:rStyle w:val="Emphasis"/>
          <w:rFonts w:eastAsiaTheme="majorEastAsia" w:cstheme="minorHAnsi"/>
          <w:color w:val="2E2E2E"/>
        </w:rPr>
        <w:t>weighted Abnormal Board Meetings</w:t>
      </w:r>
      <w:r w:rsidRPr="00923237">
        <w:rPr>
          <w:rFonts w:cstheme="minorHAnsi"/>
        </w:rPr>
        <w:t xml:space="preserve"> during the financial crisis (Model 6). Again, except for board </w:t>
      </w:r>
      <w:proofErr w:type="gramStart"/>
      <w:r w:rsidRPr="00923237">
        <w:rPr>
          <w:rFonts w:cstheme="minorHAnsi"/>
        </w:rPr>
        <w:t>activity</w:t>
      </w:r>
      <w:proofErr w:type="gramEnd"/>
      <w:r w:rsidRPr="00923237">
        <w:rPr>
          <w:rFonts w:cstheme="minorHAnsi"/>
        </w:rPr>
        <w:t xml:space="preserve"> which is measured during the financial crisis, all other explanatory variables are measured at the end of 2006, the pre-crisis level.</w:t>
      </w:r>
    </w:p>
    <w:p w14:paraId="2034D233" w14:textId="77777777" w:rsidR="00160D46" w:rsidRPr="00923237" w:rsidRDefault="00160D46">
      <w:pPr>
        <w:rPr>
          <w:rStyle w:val="label"/>
          <w:rFonts w:cstheme="minorHAnsi"/>
          <w:color w:val="323232"/>
          <w:sz w:val="21"/>
          <w:szCs w:val="21"/>
        </w:rPr>
      </w:pPr>
      <w:r w:rsidRPr="00923237">
        <w:rPr>
          <w:rStyle w:val="label"/>
          <w:rFonts w:cstheme="minorHAnsi"/>
          <w:color w:val="323232"/>
          <w:sz w:val="21"/>
          <w:szCs w:val="21"/>
        </w:rPr>
        <w:br w:type="page"/>
      </w:r>
    </w:p>
    <w:p w14:paraId="6DF5472B" w14:textId="77777777" w:rsidR="00160D46" w:rsidRPr="00923237" w:rsidRDefault="00160D46" w:rsidP="00F31DC2">
      <w:pPr>
        <w:pStyle w:val="NoSpacing"/>
        <w:rPr>
          <w:rStyle w:val="label"/>
          <w:rFonts w:cstheme="minorHAnsi"/>
          <w:color w:val="323232"/>
          <w:sz w:val="21"/>
          <w:szCs w:val="21"/>
        </w:rPr>
        <w:sectPr w:rsidR="00160D46" w:rsidRPr="00923237" w:rsidSect="00DE24EB">
          <w:pgSz w:w="12240" w:h="15840"/>
          <w:pgMar w:top="1080" w:right="1080" w:bottom="1080" w:left="1080" w:header="720" w:footer="720" w:gutter="0"/>
          <w:cols w:space="720"/>
          <w:docGrid w:linePitch="360"/>
        </w:sectPr>
      </w:pPr>
    </w:p>
    <w:p w14:paraId="7F01992B" w14:textId="2570A84D" w:rsidR="00A4606E" w:rsidRPr="00923237" w:rsidRDefault="00A4606E" w:rsidP="00F31DC2">
      <w:pPr>
        <w:pStyle w:val="NoSpacing"/>
        <w:rPr>
          <w:rFonts w:cstheme="minorHAnsi"/>
          <w:color w:val="323232"/>
        </w:rPr>
      </w:pPr>
      <w:r w:rsidRPr="00923237">
        <w:rPr>
          <w:rStyle w:val="label"/>
          <w:rFonts w:cstheme="minorHAnsi"/>
          <w:color w:val="323232"/>
          <w:sz w:val="21"/>
          <w:szCs w:val="21"/>
        </w:rPr>
        <w:t>Table 8</w:t>
      </w:r>
      <w:r w:rsidRPr="00923237">
        <w:rPr>
          <w:rFonts w:cstheme="minorHAnsi"/>
          <w:color w:val="323232"/>
        </w:rPr>
        <w:t>. Board activity, </w:t>
      </w:r>
      <w:hyperlink r:id="rId146" w:tooltip="Learn more about Leverage from ScienceDirect's AI-generated Topic Pages" w:history="1">
        <w:r w:rsidRPr="00923237">
          <w:rPr>
            <w:rStyle w:val="Hyperlink"/>
            <w:rFonts w:eastAsiaTheme="majorEastAsia" w:cstheme="minorHAnsi"/>
            <w:color w:val="0C7DBB"/>
          </w:rPr>
          <w:t>leverage</w:t>
        </w:r>
      </w:hyperlink>
      <w:r w:rsidRPr="00923237">
        <w:rPr>
          <w:rFonts w:cstheme="minorHAnsi"/>
          <w:color w:val="323232"/>
        </w:rPr>
        <w:t> and firm performance post-crisis.</w:t>
      </w:r>
    </w:p>
    <w:p w14:paraId="36D0F8D1" w14:textId="77777777" w:rsidR="00F31DC2" w:rsidRPr="00923237" w:rsidRDefault="00F31DC2" w:rsidP="00F31DC2">
      <w:pPr>
        <w:pStyle w:val="NoSpacing"/>
        <w:rPr>
          <w:rFonts w:cstheme="minorHAnsi"/>
          <w:color w:val="323232"/>
        </w:rPr>
      </w:pPr>
    </w:p>
    <w:p w14:paraId="7B5DFB95" w14:textId="77777777" w:rsidR="00A4606E" w:rsidRPr="00923237" w:rsidRDefault="00A4606E" w:rsidP="00F31DC2">
      <w:pPr>
        <w:pStyle w:val="NoSpacing"/>
        <w:ind w:left="720"/>
        <w:rPr>
          <w:rFonts w:cstheme="minorHAnsi"/>
          <w:color w:val="323232"/>
        </w:rPr>
      </w:pPr>
      <w:r w:rsidRPr="00923237">
        <w:rPr>
          <w:rFonts w:cstheme="minorHAnsi"/>
          <w:color w:val="323232"/>
        </w:rPr>
        <w:t>This table reports the association between board activity, leverage and firm performance after the </w:t>
      </w:r>
      <w:hyperlink r:id="rId147" w:tooltip="Learn more about Financial Crisis from ScienceDirect's AI-generated Topic Pages" w:history="1">
        <w:r w:rsidRPr="00923237">
          <w:rPr>
            <w:rStyle w:val="Hyperlink"/>
            <w:rFonts w:eastAsiaTheme="majorEastAsia" w:cstheme="minorHAnsi"/>
            <w:color w:val="0C7DBB"/>
          </w:rPr>
          <w:t>financial crisis</w:t>
        </w:r>
      </w:hyperlink>
      <w:r w:rsidRPr="00923237">
        <w:rPr>
          <w:rFonts w:cstheme="minorHAnsi"/>
          <w:color w:val="323232"/>
        </w:rPr>
        <w:t>. The dependent variable is cumulative monthly </w:t>
      </w:r>
      <w:hyperlink r:id="rId148" w:tooltip="Learn more about Capital Market Returns from ScienceDirect's AI-generated Topic Pages" w:history="1">
        <w:r w:rsidRPr="00923237">
          <w:rPr>
            <w:rStyle w:val="Hyperlink"/>
            <w:rFonts w:eastAsiaTheme="majorEastAsia" w:cstheme="minorHAnsi"/>
            <w:color w:val="0C7DBB"/>
          </w:rPr>
          <w:t>stock returns</w:t>
        </w:r>
      </w:hyperlink>
      <w:r w:rsidRPr="00923237">
        <w:rPr>
          <w:rFonts w:cstheme="minorHAnsi"/>
          <w:color w:val="323232"/>
        </w:rPr>
        <w:t> between March 2009 and December 2016 (</w:t>
      </w:r>
      <w:r w:rsidRPr="00923237">
        <w:rPr>
          <w:rStyle w:val="Emphasis"/>
          <w:rFonts w:eastAsiaTheme="majorEastAsia" w:cstheme="minorHAnsi"/>
          <w:color w:val="323232"/>
        </w:rPr>
        <w:t>Cumulative Return 2009</w:t>
      </w:r>
      <w:r w:rsidRPr="00923237">
        <w:rPr>
          <w:rFonts w:cstheme="minorHAnsi"/>
          <w:color w:val="323232"/>
        </w:rPr>
        <w:t>–</w:t>
      </w:r>
      <w:r w:rsidRPr="00923237">
        <w:rPr>
          <w:rStyle w:val="Emphasis"/>
          <w:rFonts w:eastAsiaTheme="majorEastAsia" w:cstheme="minorHAnsi"/>
          <w:color w:val="323232"/>
        </w:rPr>
        <w:t>2016</w:t>
      </w:r>
      <w:r w:rsidRPr="00923237">
        <w:rPr>
          <w:rFonts w:cstheme="minorHAnsi"/>
          <w:color w:val="323232"/>
        </w:rPr>
        <w:t>). </w:t>
      </w:r>
      <w:r w:rsidRPr="00923237">
        <w:rPr>
          <w:rStyle w:val="Emphasis"/>
          <w:rFonts w:eastAsiaTheme="majorEastAsia" w:cstheme="minorHAnsi"/>
          <w:color w:val="323232"/>
        </w:rPr>
        <w:t>Market Leverage</w:t>
      </w:r>
      <w:r w:rsidRPr="00923237">
        <w:rPr>
          <w:rFonts w:cstheme="minorHAnsi"/>
          <w:color w:val="323232"/>
        </w:rPr>
        <w:t> is defined as the ratio of total debt (the book value of debt due in one year plus long-term debt) to market value of the firm (total debt plus book value of preferred stock plus market capitalization). </w:t>
      </w:r>
      <w:r w:rsidRPr="00923237">
        <w:rPr>
          <w:rStyle w:val="Emphasis"/>
          <w:rFonts w:eastAsiaTheme="majorEastAsia" w:cstheme="minorHAnsi"/>
          <w:color w:val="323232"/>
        </w:rPr>
        <w:t>Abnormal Board Meetings</w:t>
      </w:r>
      <w:r w:rsidRPr="00923237">
        <w:rPr>
          <w:rFonts w:cstheme="minorHAnsi"/>
          <w:color w:val="323232"/>
        </w:rPr>
        <w:t> during the financial crisis is measured as the difference between the number of board meetings during 2007 and 2008 and the average number of board meetings from 2003 to 2006 (i.e. the pre-crisis period). </w:t>
      </w:r>
      <w:r w:rsidRPr="00923237">
        <w:rPr>
          <w:rStyle w:val="Emphasis"/>
          <w:rFonts w:eastAsiaTheme="majorEastAsia" w:cstheme="minorHAnsi"/>
          <w:color w:val="323232"/>
        </w:rPr>
        <w:t>Exp</w:t>
      </w:r>
      <w:r w:rsidRPr="00923237">
        <w:rPr>
          <w:rFonts w:cstheme="minorHAnsi"/>
          <w:color w:val="323232"/>
        </w:rPr>
        <w:t>. </w:t>
      </w:r>
      <w:r w:rsidRPr="00923237">
        <w:rPr>
          <w:rStyle w:val="Emphasis"/>
          <w:rFonts w:eastAsiaTheme="majorEastAsia" w:cstheme="minorHAnsi"/>
          <w:color w:val="323232"/>
        </w:rPr>
        <w:t>Weighted Abnormal Board Meetings</w:t>
      </w:r>
      <w:r w:rsidRPr="00923237">
        <w:rPr>
          <w:rFonts w:cstheme="minorHAnsi"/>
          <w:color w:val="323232"/>
        </w:rPr>
        <w:t> is calculated as the product of </w:t>
      </w:r>
      <w:r w:rsidRPr="00923237">
        <w:rPr>
          <w:rStyle w:val="Emphasis"/>
          <w:rFonts w:eastAsiaTheme="majorEastAsia" w:cstheme="minorHAnsi"/>
          <w:color w:val="323232"/>
        </w:rPr>
        <w:t>FIN</w:t>
      </w:r>
      <w:r w:rsidRPr="00923237">
        <w:rPr>
          <w:rFonts w:cstheme="minorHAnsi"/>
          <w:color w:val="323232"/>
        </w:rPr>
        <w:t>&amp;</w:t>
      </w:r>
      <w:r w:rsidRPr="00923237">
        <w:rPr>
          <w:rStyle w:val="Emphasis"/>
          <w:rFonts w:eastAsiaTheme="majorEastAsia" w:cstheme="minorHAnsi"/>
          <w:color w:val="323232"/>
        </w:rPr>
        <w:t>RE Experience</w:t>
      </w:r>
      <w:r w:rsidRPr="00923237">
        <w:rPr>
          <w:rFonts w:cstheme="minorHAnsi"/>
          <w:color w:val="323232"/>
        </w:rPr>
        <w:t> and </w:t>
      </w:r>
      <w:r w:rsidRPr="00923237">
        <w:rPr>
          <w:rStyle w:val="Emphasis"/>
          <w:rFonts w:eastAsiaTheme="majorEastAsia" w:cstheme="minorHAnsi"/>
          <w:color w:val="323232"/>
        </w:rPr>
        <w:t>Abnormal Board Meetings</w:t>
      </w:r>
      <w:r w:rsidRPr="00923237">
        <w:rPr>
          <w:rFonts w:cstheme="minorHAnsi"/>
          <w:color w:val="323232"/>
        </w:rPr>
        <w:t>. </w:t>
      </w:r>
      <w:r w:rsidRPr="00923237">
        <w:rPr>
          <w:rStyle w:val="Emphasis"/>
          <w:rFonts w:eastAsiaTheme="majorEastAsia" w:cstheme="minorHAnsi"/>
          <w:color w:val="323232"/>
        </w:rPr>
        <w:t>S</w:t>
      </w:r>
      <w:r w:rsidRPr="00923237">
        <w:rPr>
          <w:rFonts w:cstheme="minorHAnsi"/>
          <w:color w:val="323232"/>
        </w:rPr>
        <w:t>&amp;</w:t>
      </w:r>
      <w:r w:rsidRPr="00923237">
        <w:rPr>
          <w:rStyle w:val="Emphasis"/>
          <w:rFonts w:eastAsiaTheme="majorEastAsia" w:cstheme="minorHAnsi"/>
          <w:color w:val="323232"/>
        </w:rPr>
        <w:t>L Crisis Exp</w:t>
      </w:r>
      <w:r w:rsidRPr="00923237">
        <w:rPr>
          <w:rFonts w:cstheme="minorHAnsi"/>
          <w:color w:val="323232"/>
        </w:rPr>
        <w:t>. is an indicator variable that takes the value of one if at least one director has managerial experience in real estate or finance in the 1980s. </w:t>
      </w:r>
      <w:r w:rsidRPr="00923237">
        <w:rPr>
          <w:rStyle w:val="Emphasis"/>
          <w:rFonts w:eastAsiaTheme="majorEastAsia" w:cstheme="minorHAnsi"/>
          <w:color w:val="323232"/>
        </w:rPr>
        <w:t>High Leverage</w:t>
      </w:r>
      <w:r w:rsidRPr="00923237">
        <w:rPr>
          <w:rFonts w:cstheme="minorHAnsi"/>
          <w:color w:val="323232"/>
        </w:rPr>
        <w:t> is an indicator variable that takes the value of one if the firm's market leverage is in the top quartile, and zero otherwise (see </w:t>
      </w:r>
      <w:hyperlink r:id="rId149" w:anchor="s0055" w:history="1">
        <w:r w:rsidRPr="00923237">
          <w:rPr>
            <w:rStyle w:val="Hyperlink"/>
            <w:rFonts w:eastAsiaTheme="majorEastAsia" w:cstheme="minorHAnsi"/>
            <w:color w:val="0C7DBB"/>
          </w:rPr>
          <w:t>Appendix 2</w:t>
        </w:r>
      </w:hyperlink>
      <w:bookmarkEnd w:id="67"/>
      <w:r w:rsidRPr="00923237">
        <w:rPr>
          <w:rFonts w:cstheme="minorHAnsi"/>
          <w:color w:val="323232"/>
        </w:rPr>
        <w:t> for other variable definitions). Explanatory variables are measured at the end of 2006 and are standardized at the mean and have unit variance. P-values are reported in brackets. *, **, and *** denote significance at the 10%, 5%, and 1% levels, respectively, in two-tailed tests.</w:t>
      </w:r>
    </w:p>
    <w:tbl>
      <w:tblPr>
        <w:tblStyle w:val="TableGrid"/>
        <w:tblW w:w="5000" w:type="pct"/>
        <w:tblLook w:val="04A0" w:firstRow="1" w:lastRow="0" w:firstColumn="1" w:lastColumn="0" w:noHBand="0" w:noVBand="1"/>
      </w:tblPr>
      <w:tblGrid>
        <w:gridCol w:w="5254"/>
        <w:gridCol w:w="1320"/>
        <w:gridCol w:w="1320"/>
        <w:gridCol w:w="1444"/>
        <w:gridCol w:w="1444"/>
        <w:gridCol w:w="1444"/>
        <w:gridCol w:w="1444"/>
      </w:tblGrid>
      <w:tr w:rsidR="00A4606E" w:rsidRPr="00923237" w14:paraId="4602BE79" w14:textId="77777777" w:rsidTr="00160D46">
        <w:tc>
          <w:tcPr>
            <w:tcW w:w="1922" w:type="pct"/>
            <w:hideMark/>
          </w:tcPr>
          <w:p w14:paraId="5F8971CC" w14:textId="77777777" w:rsidR="00A4606E" w:rsidRPr="00923237" w:rsidRDefault="00A4606E" w:rsidP="00F31DC2">
            <w:pPr>
              <w:pStyle w:val="NoSpacing"/>
              <w:rPr>
                <w:rFonts w:cstheme="minorHAnsi"/>
                <w:sz w:val="20"/>
                <w:szCs w:val="20"/>
              </w:rPr>
            </w:pPr>
            <w:r w:rsidRPr="00923237">
              <w:rPr>
                <w:rFonts w:cstheme="minorHAnsi"/>
                <w:sz w:val="20"/>
                <w:szCs w:val="20"/>
              </w:rPr>
              <w:t>Variable</w:t>
            </w:r>
          </w:p>
        </w:tc>
        <w:tc>
          <w:tcPr>
            <w:tcW w:w="483" w:type="pct"/>
            <w:hideMark/>
          </w:tcPr>
          <w:p w14:paraId="36DF83E4" w14:textId="77777777" w:rsidR="00A4606E" w:rsidRPr="00923237" w:rsidRDefault="00A4606E" w:rsidP="00F31DC2">
            <w:pPr>
              <w:pStyle w:val="NoSpacing"/>
              <w:rPr>
                <w:rFonts w:cstheme="minorHAnsi"/>
                <w:sz w:val="20"/>
                <w:szCs w:val="20"/>
              </w:rPr>
            </w:pPr>
            <w:r w:rsidRPr="00923237">
              <w:rPr>
                <w:rFonts w:cstheme="minorHAnsi"/>
                <w:sz w:val="20"/>
                <w:szCs w:val="20"/>
              </w:rPr>
              <w:t>Model 1</w:t>
            </w:r>
          </w:p>
        </w:tc>
        <w:tc>
          <w:tcPr>
            <w:tcW w:w="483" w:type="pct"/>
            <w:hideMark/>
          </w:tcPr>
          <w:p w14:paraId="37D38112" w14:textId="77777777" w:rsidR="00A4606E" w:rsidRPr="00923237" w:rsidRDefault="00A4606E" w:rsidP="00F31DC2">
            <w:pPr>
              <w:pStyle w:val="NoSpacing"/>
              <w:rPr>
                <w:rFonts w:cstheme="minorHAnsi"/>
                <w:sz w:val="20"/>
                <w:szCs w:val="20"/>
              </w:rPr>
            </w:pPr>
            <w:r w:rsidRPr="00923237">
              <w:rPr>
                <w:rFonts w:cstheme="minorHAnsi"/>
                <w:sz w:val="20"/>
                <w:szCs w:val="20"/>
              </w:rPr>
              <w:t>Model 2</w:t>
            </w:r>
          </w:p>
        </w:tc>
        <w:tc>
          <w:tcPr>
            <w:tcW w:w="528" w:type="pct"/>
            <w:hideMark/>
          </w:tcPr>
          <w:p w14:paraId="480B4EB4" w14:textId="77777777" w:rsidR="00A4606E" w:rsidRPr="00923237" w:rsidRDefault="00A4606E" w:rsidP="00F31DC2">
            <w:pPr>
              <w:pStyle w:val="NoSpacing"/>
              <w:rPr>
                <w:rFonts w:cstheme="minorHAnsi"/>
                <w:sz w:val="20"/>
                <w:szCs w:val="20"/>
              </w:rPr>
            </w:pPr>
            <w:r w:rsidRPr="00923237">
              <w:rPr>
                <w:rFonts w:cstheme="minorHAnsi"/>
                <w:sz w:val="20"/>
                <w:szCs w:val="20"/>
              </w:rPr>
              <w:t>Model 3</w:t>
            </w:r>
          </w:p>
        </w:tc>
        <w:tc>
          <w:tcPr>
            <w:tcW w:w="528" w:type="pct"/>
            <w:hideMark/>
          </w:tcPr>
          <w:p w14:paraId="74D72DF2" w14:textId="77777777" w:rsidR="00A4606E" w:rsidRPr="00923237" w:rsidRDefault="00A4606E" w:rsidP="00F31DC2">
            <w:pPr>
              <w:pStyle w:val="NoSpacing"/>
              <w:rPr>
                <w:rFonts w:cstheme="minorHAnsi"/>
                <w:sz w:val="20"/>
                <w:szCs w:val="20"/>
              </w:rPr>
            </w:pPr>
            <w:r w:rsidRPr="00923237">
              <w:rPr>
                <w:rFonts w:cstheme="minorHAnsi"/>
                <w:sz w:val="20"/>
                <w:szCs w:val="20"/>
              </w:rPr>
              <w:t>Model 4</w:t>
            </w:r>
          </w:p>
        </w:tc>
        <w:tc>
          <w:tcPr>
            <w:tcW w:w="528" w:type="pct"/>
            <w:hideMark/>
          </w:tcPr>
          <w:p w14:paraId="7E0AA5F4" w14:textId="77777777" w:rsidR="00A4606E" w:rsidRPr="00923237" w:rsidRDefault="00A4606E" w:rsidP="00F31DC2">
            <w:pPr>
              <w:pStyle w:val="NoSpacing"/>
              <w:rPr>
                <w:rFonts w:cstheme="minorHAnsi"/>
                <w:sz w:val="20"/>
                <w:szCs w:val="20"/>
              </w:rPr>
            </w:pPr>
            <w:r w:rsidRPr="00923237">
              <w:rPr>
                <w:rFonts w:cstheme="minorHAnsi"/>
                <w:sz w:val="20"/>
                <w:szCs w:val="20"/>
              </w:rPr>
              <w:t>Model 5</w:t>
            </w:r>
          </w:p>
        </w:tc>
        <w:tc>
          <w:tcPr>
            <w:tcW w:w="528" w:type="pct"/>
            <w:hideMark/>
          </w:tcPr>
          <w:p w14:paraId="798D8A62" w14:textId="77777777" w:rsidR="00A4606E" w:rsidRPr="00923237" w:rsidRDefault="00A4606E" w:rsidP="00F31DC2">
            <w:pPr>
              <w:pStyle w:val="NoSpacing"/>
              <w:rPr>
                <w:rFonts w:cstheme="minorHAnsi"/>
                <w:sz w:val="20"/>
                <w:szCs w:val="20"/>
              </w:rPr>
            </w:pPr>
            <w:r w:rsidRPr="00923237">
              <w:rPr>
                <w:rFonts w:cstheme="minorHAnsi"/>
                <w:sz w:val="20"/>
                <w:szCs w:val="20"/>
              </w:rPr>
              <w:t>Model 6</w:t>
            </w:r>
          </w:p>
        </w:tc>
      </w:tr>
      <w:tr w:rsidR="00F727E1" w:rsidRPr="00923237" w14:paraId="76E49C0F" w14:textId="77777777" w:rsidTr="00160D46">
        <w:tc>
          <w:tcPr>
            <w:tcW w:w="1922" w:type="pct"/>
            <w:hideMark/>
          </w:tcPr>
          <w:p w14:paraId="7251FEF2" w14:textId="77777777" w:rsidR="00F727E1" w:rsidRPr="00923237" w:rsidRDefault="00F727E1" w:rsidP="00F31DC2">
            <w:pPr>
              <w:pStyle w:val="NoSpacing"/>
              <w:rPr>
                <w:rFonts w:cstheme="minorHAnsi"/>
                <w:sz w:val="20"/>
                <w:szCs w:val="20"/>
              </w:rPr>
            </w:pPr>
            <w:r w:rsidRPr="00923237">
              <w:rPr>
                <w:rFonts w:cstheme="minorHAnsi"/>
                <w:sz w:val="20"/>
                <w:szCs w:val="20"/>
              </w:rPr>
              <w:t>Intercept</w:t>
            </w:r>
          </w:p>
        </w:tc>
        <w:tc>
          <w:tcPr>
            <w:tcW w:w="483" w:type="pct"/>
            <w:hideMark/>
          </w:tcPr>
          <w:p w14:paraId="4EAE85B2" w14:textId="77777777" w:rsidR="00F727E1" w:rsidRPr="00923237" w:rsidRDefault="00F727E1" w:rsidP="00F31DC2">
            <w:pPr>
              <w:pStyle w:val="NoSpacing"/>
              <w:rPr>
                <w:rFonts w:cstheme="minorHAnsi"/>
                <w:sz w:val="20"/>
                <w:szCs w:val="20"/>
              </w:rPr>
            </w:pPr>
            <w:r w:rsidRPr="00923237">
              <w:rPr>
                <w:rFonts w:cstheme="minorHAnsi"/>
                <w:sz w:val="20"/>
                <w:szCs w:val="20"/>
              </w:rPr>
              <w:t>4.8297***</w:t>
            </w:r>
          </w:p>
        </w:tc>
        <w:tc>
          <w:tcPr>
            <w:tcW w:w="483" w:type="pct"/>
            <w:hideMark/>
          </w:tcPr>
          <w:p w14:paraId="184BDA34" w14:textId="77777777" w:rsidR="00F727E1" w:rsidRPr="00923237" w:rsidRDefault="00F727E1" w:rsidP="00F31DC2">
            <w:pPr>
              <w:pStyle w:val="NoSpacing"/>
              <w:rPr>
                <w:rFonts w:cstheme="minorHAnsi"/>
                <w:sz w:val="20"/>
                <w:szCs w:val="20"/>
              </w:rPr>
            </w:pPr>
            <w:r w:rsidRPr="00923237">
              <w:rPr>
                <w:rFonts w:cstheme="minorHAnsi"/>
                <w:sz w:val="20"/>
                <w:szCs w:val="20"/>
              </w:rPr>
              <w:t>4.3256***</w:t>
            </w:r>
          </w:p>
        </w:tc>
        <w:tc>
          <w:tcPr>
            <w:tcW w:w="528" w:type="pct"/>
            <w:hideMark/>
          </w:tcPr>
          <w:p w14:paraId="30FEBCE1" w14:textId="77777777" w:rsidR="00F727E1" w:rsidRPr="00923237" w:rsidRDefault="00F727E1" w:rsidP="00F31DC2">
            <w:pPr>
              <w:pStyle w:val="NoSpacing"/>
              <w:rPr>
                <w:rFonts w:cstheme="minorHAnsi"/>
                <w:sz w:val="20"/>
                <w:szCs w:val="20"/>
              </w:rPr>
            </w:pPr>
            <w:r w:rsidRPr="00923237">
              <w:rPr>
                <w:rFonts w:cstheme="minorHAnsi"/>
                <w:sz w:val="20"/>
                <w:szCs w:val="20"/>
              </w:rPr>
              <w:t>4.3955***</w:t>
            </w:r>
          </w:p>
        </w:tc>
        <w:tc>
          <w:tcPr>
            <w:tcW w:w="528" w:type="pct"/>
            <w:hideMark/>
          </w:tcPr>
          <w:p w14:paraId="37A0E239" w14:textId="77777777" w:rsidR="00F727E1" w:rsidRPr="00923237" w:rsidRDefault="00F727E1" w:rsidP="00F31DC2">
            <w:pPr>
              <w:pStyle w:val="NoSpacing"/>
              <w:rPr>
                <w:rFonts w:cstheme="minorHAnsi"/>
                <w:sz w:val="20"/>
                <w:szCs w:val="20"/>
              </w:rPr>
            </w:pPr>
            <w:r w:rsidRPr="00923237">
              <w:rPr>
                <w:rFonts w:cstheme="minorHAnsi"/>
                <w:sz w:val="20"/>
                <w:szCs w:val="20"/>
              </w:rPr>
              <w:t>4.3890***</w:t>
            </w:r>
          </w:p>
        </w:tc>
        <w:tc>
          <w:tcPr>
            <w:tcW w:w="528" w:type="pct"/>
            <w:hideMark/>
          </w:tcPr>
          <w:p w14:paraId="3213806C" w14:textId="77777777" w:rsidR="00F727E1" w:rsidRPr="00923237" w:rsidRDefault="00F727E1" w:rsidP="00F31DC2">
            <w:pPr>
              <w:pStyle w:val="NoSpacing"/>
              <w:rPr>
                <w:rFonts w:cstheme="minorHAnsi"/>
                <w:sz w:val="20"/>
                <w:szCs w:val="20"/>
              </w:rPr>
            </w:pPr>
            <w:r w:rsidRPr="00923237">
              <w:rPr>
                <w:rFonts w:cstheme="minorHAnsi"/>
                <w:sz w:val="20"/>
                <w:szCs w:val="20"/>
              </w:rPr>
              <w:t>4.7959***</w:t>
            </w:r>
          </w:p>
        </w:tc>
        <w:tc>
          <w:tcPr>
            <w:tcW w:w="528" w:type="pct"/>
            <w:hideMark/>
          </w:tcPr>
          <w:p w14:paraId="31326F4D" w14:textId="77777777" w:rsidR="00F727E1" w:rsidRPr="00923237" w:rsidRDefault="00F727E1" w:rsidP="00F31DC2">
            <w:pPr>
              <w:pStyle w:val="NoSpacing"/>
              <w:rPr>
                <w:rFonts w:cstheme="minorHAnsi"/>
                <w:sz w:val="20"/>
                <w:szCs w:val="20"/>
              </w:rPr>
            </w:pPr>
            <w:r w:rsidRPr="00923237">
              <w:rPr>
                <w:rFonts w:cstheme="minorHAnsi"/>
                <w:sz w:val="20"/>
                <w:szCs w:val="20"/>
              </w:rPr>
              <w:t>4.7711***</w:t>
            </w:r>
          </w:p>
        </w:tc>
      </w:tr>
      <w:tr w:rsidR="00F727E1" w:rsidRPr="00923237" w14:paraId="6DF98790" w14:textId="77777777" w:rsidTr="00160D46">
        <w:tc>
          <w:tcPr>
            <w:tcW w:w="1922" w:type="pct"/>
            <w:hideMark/>
          </w:tcPr>
          <w:p w14:paraId="3B43E967" w14:textId="77777777" w:rsidR="00F727E1" w:rsidRPr="00923237" w:rsidRDefault="00F727E1" w:rsidP="00F31DC2">
            <w:pPr>
              <w:pStyle w:val="NoSpacing"/>
              <w:rPr>
                <w:rFonts w:cstheme="minorHAnsi"/>
                <w:sz w:val="20"/>
                <w:szCs w:val="20"/>
              </w:rPr>
            </w:pPr>
          </w:p>
        </w:tc>
        <w:tc>
          <w:tcPr>
            <w:tcW w:w="483" w:type="pct"/>
            <w:hideMark/>
          </w:tcPr>
          <w:p w14:paraId="375DFB4C" w14:textId="77777777" w:rsidR="00F727E1" w:rsidRPr="00923237" w:rsidRDefault="00F727E1" w:rsidP="00F31DC2">
            <w:pPr>
              <w:pStyle w:val="NoSpacing"/>
              <w:rPr>
                <w:rFonts w:cstheme="minorHAnsi"/>
                <w:sz w:val="20"/>
                <w:szCs w:val="20"/>
              </w:rPr>
            </w:pPr>
            <w:r w:rsidRPr="00923237">
              <w:rPr>
                <w:rFonts w:cstheme="minorHAnsi"/>
                <w:sz w:val="20"/>
                <w:szCs w:val="20"/>
              </w:rPr>
              <w:t>[0.001]</w:t>
            </w:r>
          </w:p>
        </w:tc>
        <w:tc>
          <w:tcPr>
            <w:tcW w:w="483" w:type="pct"/>
            <w:hideMark/>
          </w:tcPr>
          <w:p w14:paraId="2B7E5526" w14:textId="77777777" w:rsidR="00F727E1" w:rsidRPr="00923237" w:rsidRDefault="00F727E1" w:rsidP="00F31DC2">
            <w:pPr>
              <w:pStyle w:val="NoSpacing"/>
              <w:rPr>
                <w:rFonts w:cstheme="minorHAnsi"/>
                <w:sz w:val="20"/>
                <w:szCs w:val="20"/>
              </w:rPr>
            </w:pPr>
            <w:r w:rsidRPr="00923237">
              <w:rPr>
                <w:rFonts w:cstheme="minorHAnsi"/>
                <w:sz w:val="20"/>
                <w:szCs w:val="20"/>
              </w:rPr>
              <w:t>[0.003]</w:t>
            </w:r>
          </w:p>
        </w:tc>
        <w:tc>
          <w:tcPr>
            <w:tcW w:w="528" w:type="pct"/>
            <w:hideMark/>
          </w:tcPr>
          <w:p w14:paraId="289551AC" w14:textId="77777777" w:rsidR="00F727E1" w:rsidRPr="00923237" w:rsidRDefault="00F727E1" w:rsidP="00F31DC2">
            <w:pPr>
              <w:pStyle w:val="NoSpacing"/>
              <w:rPr>
                <w:rFonts w:cstheme="minorHAnsi"/>
                <w:sz w:val="20"/>
                <w:szCs w:val="20"/>
              </w:rPr>
            </w:pPr>
            <w:r w:rsidRPr="00923237">
              <w:rPr>
                <w:rFonts w:cstheme="minorHAnsi"/>
                <w:sz w:val="20"/>
                <w:szCs w:val="20"/>
              </w:rPr>
              <w:t>[0.002]</w:t>
            </w:r>
          </w:p>
        </w:tc>
        <w:tc>
          <w:tcPr>
            <w:tcW w:w="528" w:type="pct"/>
            <w:hideMark/>
          </w:tcPr>
          <w:p w14:paraId="036AF62D" w14:textId="77777777" w:rsidR="00F727E1" w:rsidRPr="00923237" w:rsidRDefault="00F727E1" w:rsidP="00F31DC2">
            <w:pPr>
              <w:pStyle w:val="NoSpacing"/>
              <w:rPr>
                <w:rFonts w:cstheme="minorHAnsi"/>
                <w:sz w:val="20"/>
                <w:szCs w:val="20"/>
              </w:rPr>
            </w:pPr>
            <w:r w:rsidRPr="00923237">
              <w:rPr>
                <w:rFonts w:cstheme="minorHAnsi"/>
                <w:sz w:val="20"/>
                <w:szCs w:val="20"/>
              </w:rPr>
              <w:t>[0.003]</w:t>
            </w:r>
          </w:p>
        </w:tc>
        <w:tc>
          <w:tcPr>
            <w:tcW w:w="528" w:type="pct"/>
            <w:hideMark/>
          </w:tcPr>
          <w:p w14:paraId="3972C2C9" w14:textId="77777777" w:rsidR="00F727E1" w:rsidRPr="00923237" w:rsidRDefault="00F727E1" w:rsidP="00F31DC2">
            <w:pPr>
              <w:pStyle w:val="NoSpacing"/>
              <w:rPr>
                <w:rFonts w:cstheme="minorHAnsi"/>
                <w:sz w:val="20"/>
                <w:szCs w:val="20"/>
              </w:rPr>
            </w:pPr>
            <w:r w:rsidRPr="00923237">
              <w:rPr>
                <w:rFonts w:cstheme="minorHAnsi"/>
                <w:sz w:val="20"/>
                <w:szCs w:val="20"/>
              </w:rPr>
              <w:t>[0.003]</w:t>
            </w:r>
          </w:p>
        </w:tc>
        <w:tc>
          <w:tcPr>
            <w:tcW w:w="528" w:type="pct"/>
            <w:hideMark/>
          </w:tcPr>
          <w:p w14:paraId="02A779D5" w14:textId="77777777" w:rsidR="00F727E1" w:rsidRPr="00923237" w:rsidRDefault="00F727E1" w:rsidP="00F31DC2">
            <w:pPr>
              <w:pStyle w:val="NoSpacing"/>
              <w:rPr>
                <w:rFonts w:cstheme="minorHAnsi"/>
                <w:sz w:val="20"/>
                <w:szCs w:val="20"/>
              </w:rPr>
            </w:pPr>
            <w:r w:rsidRPr="00923237">
              <w:rPr>
                <w:rFonts w:cstheme="minorHAnsi"/>
                <w:sz w:val="20"/>
                <w:szCs w:val="20"/>
              </w:rPr>
              <w:t>[0.005]</w:t>
            </w:r>
          </w:p>
        </w:tc>
      </w:tr>
      <w:tr w:rsidR="00A4606E" w:rsidRPr="00923237" w14:paraId="15A4D217" w14:textId="77777777" w:rsidTr="00160D46">
        <w:tc>
          <w:tcPr>
            <w:tcW w:w="1922" w:type="pct"/>
            <w:hideMark/>
          </w:tcPr>
          <w:p w14:paraId="18D29F72" w14:textId="77777777" w:rsidR="00A4606E" w:rsidRPr="00923237" w:rsidRDefault="00A4606E" w:rsidP="00F31DC2">
            <w:pPr>
              <w:pStyle w:val="NoSpacing"/>
              <w:rPr>
                <w:rFonts w:cstheme="minorHAnsi"/>
                <w:sz w:val="20"/>
                <w:szCs w:val="20"/>
              </w:rPr>
            </w:pPr>
            <w:r w:rsidRPr="00923237">
              <w:rPr>
                <w:rFonts w:cstheme="minorHAnsi"/>
                <w:sz w:val="20"/>
                <w:szCs w:val="20"/>
              </w:rPr>
              <w:t>Market leverage</w:t>
            </w:r>
          </w:p>
        </w:tc>
        <w:tc>
          <w:tcPr>
            <w:tcW w:w="483" w:type="pct"/>
            <w:hideMark/>
          </w:tcPr>
          <w:p w14:paraId="633B93D5" w14:textId="77777777" w:rsidR="00A4606E" w:rsidRPr="00923237" w:rsidRDefault="00A4606E" w:rsidP="00F31DC2">
            <w:pPr>
              <w:pStyle w:val="NoSpacing"/>
              <w:rPr>
                <w:rFonts w:cstheme="minorHAnsi"/>
                <w:sz w:val="20"/>
                <w:szCs w:val="20"/>
              </w:rPr>
            </w:pPr>
            <w:r w:rsidRPr="00923237">
              <w:rPr>
                <w:rFonts w:cstheme="minorHAnsi"/>
                <w:sz w:val="20"/>
                <w:szCs w:val="20"/>
              </w:rPr>
              <w:t>0.9897</w:t>
            </w:r>
          </w:p>
        </w:tc>
        <w:tc>
          <w:tcPr>
            <w:tcW w:w="483" w:type="pct"/>
            <w:hideMark/>
          </w:tcPr>
          <w:p w14:paraId="7FA32DCA" w14:textId="77777777" w:rsidR="00A4606E" w:rsidRPr="00923237" w:rsidRDefault="00A4606E" w:rsidP="00F31DC2">
            <w:pPr>
              <w:pStyle w:val="NoSpacing"/>
              <w:rPr>
                <w:rFonts w:cstheme="minorHAnsi"/>
                <w:sz w:val="20"/>
                <w:szCs w:val="20"/>
              </w:rPr>
            </w:pPr>
            <w:r w:rsidRPr="00923237">
              <w:rPr>
                <w:rFonts w:cstheme="minorHAnsi"/>
                <w:sz w:val="20"/>
                <w:szCs w:val="20"/>
              </w:rPr>
              <w:t>0.6887</w:t>
            </w:r>
          </w:p>
        </w:tc>
        <w:tc>
          <w:tcPr>
            <w:tcW w:w="528" w:type="pct"/>
            <w:hideMark/>
          </w:tcPr>
          <w:p w14:paraId="32208F4D" w14:textId="77777777" w:rsidR="00A4606E" w:rsidRPr="00923237" w:rsidRDefault="00A4606E" w:rsidP="00F31DC2">
            <w:pPr>
              <w:pStyle w:val="NoSpacing"/>
              <w:rPr>
                <w:rFonts w:cstheme="minorHAnsi"/>
                <w:sz w:val="20"/>
                <w:szCs w:val="20"/>
              </w:rPr>
            </w:pPr>
            <w:r w:rsidRPr="00923237">
              <w:rPr>
                <w:rFonts w:cstheme="minorHAnsi"/>
                <w:sz w:val="20"/>
                <w:szCs w:val="20"/>
              </w:rPr>
              <w:t>0.6686</w:t>
            </w:r>
          </w:p>
        </w:tc>
        <w:tc>
          <w:tcPr>
            <w:tcW w:w="528" w:type="pct"/>
            <w:hideMark/>
          </w:tcPr>
          <w:p w14:paraId="26264CA0" w14:textId="77777777" w:rsidR="00A4606E" w:rsidRPr="00923237" w:rsidRDefault="00A4606E" w:rsidP="00F31DC2">
            <w:pPr>
              <w:pStyle w:val="NoSpacing"/>
              <w:rPr>
                <w:rFonts w:cstheme="minorHAnsi"/>
                <w:sz w:val="20"/>
                <w:szCs w:val="20"/>
              </w:rPr>
            </w:pPr>
            <w:r w:rsidRPr="00923237">
              <w:rPr>
                <w:rFonts w:cstheme="minorHAnsi"/>
                <w:sz w:val="20"/>
                <w:szCs w:val="20"/>
              </w:rPr>
              <w:t>0.7998</w:t>
            </w:r>
          </w:p>
        </w:tc>
        <w:tc>
          <w:tcPr>
            <w:tcW w:w="528" w:type="pct"/>
            <w:hideMark/>
          </w:tcPr>
          <w:p w14:paraId="26564CD3" w14:textId="77777777" w:rsidR="00A4606E" w:rsidRPr="00923237" w:rsidRDefault="00A4606E" w:rsidP="00F31DC2">
            <w:pPr>
              <w:pStyle w:val="NoSpacing"/>
              <w:rPr>
                <w:rFonts w:cstheme="minorHAnsi"/>
                <w:sz w:val="20"/>
                <w:szCs w:val="20"/>
              </w:rPr>
            </w:pPr>
            <w:r w:rsidRPr="00923237">
              <w:rPr>
                <w:rFonts w:cstheme="minorHAnsi"/>
                <w:sz w:val="20"/>
                <w:szCs w:val="20"/>
              </w:rPr>
              <w:t>0.8260</w:t>
            </w:r>
          </w:p>
        </w:tc>
        <w:tc>
          <w:tcPr>
            <w:tcW w:w="528" w:type="pct"/>
            <w:hideMark/>
          </w:tcPr>
          <w:p w14:paraId="57CE050E" w14:textId="77777777" w:rsidR="00A4606E" w:rsidRPr="00923237" w:rsidRDefault="00A4606E" w:rsidP="00F31DC2">
            <w:pPr>
              <w:pStyle w:val="NoSpacing"/>
              <w:rPr>
                <w:rFonts w:cstheme="minorHAnsi"/>
                <w:sz w:val="20"/>
                <w:szCs w:val="20"/>
              </w:rPr>
            </w:pPr>
          </w:p>
        </w:tc>
      </w:tr>
      <w:tr w:rsidR="00A4606E" w:rsidRPr="00923237" w14:paraId="2C321E83" w14:textId="77777777" w:rsidTr="00160D46">
        <w:tc>
          <w:tcPr>
            <w:tcW w:w="1922" w:type="pct"/>
            <w:hideMark/>
          </w:tcPr>
          <w:p w14:paraId="6F1C7453" w14:textId="77777777" w:rsidR="00A4606E" w:rsidRPr="00923237" w:rsidRDefault="00A4606E" w:rsidP="00F31DC2">
            <w:pPr>
              <w:pStyle w:val="NoSpacing"/>
              <w:rPr>
                <w:rFonts w:cstheme="minorHAnsi"/>
                <w:sz w:val="20"/>
                <w:szCs w:val="20"/>
              </w:rPr>
            </w:pPr>
          </w:p>
        </w:tc>
        <w:tc>
          <w:tcPr>
            <w:tcW w:w="483" w:type="pct"/>
            <w:hideMark/>
          </w:tcPr>
          <w:p w14:paraId="31A7884B" w14:textId="77777777" w:rsidR="00A4606E" w:rsidRPr="00923237" w:rsidRDefault="00A4606E" w:rsidP="00F31DC2">
            <w:pPr>
              <w:pStyle w:val="NoSpacing"/>
              <w:rPr>
                <w:rFonts w:cstheme="minorHAnsi"/>
                <w:sz w:val="20"/>
                <w:szCs w:val="20"/>
              </w:rPr>
            </w:pPr>
            <w:r w:rsidRPr="00923237">
              <w:rPr>
                <w:rFonts w:cstheme="minorHAnsi"/>
                <w:sz w:val="20"/>
                <w:szCs w:val="20"/>
              </w:rPr>
              <w:t>[0.158]</w:t>
            </w:r>
          </w:p>
        </w:tc>
        <w:tc>
          <w:tcPr>
            <w:tcW w:w="483" w:type="pct"/>
            <w:hideMark/>
          </w:tcPr>
          <w:p w14:paraId="03246DB5" w14:textId="77777777" w:rsidR="00A4606E" w:rsidRPr="00923237" w:rsidRDefault="00A4606E" w:rsidP="00F31DC2">
            <w:pPr>
              <w:pStyle w:val="NoSpacing"/>
              <w:rPr>
                <w:rFonts w:cstheme="minorHAnsi"/>
                <w:sz w:val="20"/>
                <w:szCs w:val="20"/>
              </w:rPr>
            </w:pPr>
            <w:r w:rsidRPr="00923237">
              <w:rPr>
                <w:rFonts w:cstheme="minorHAnsi"/>
                <w:sz w:val="20"/>
                <w:szCs w:val="20"/>
              </w:rPr>
              <w:t>[0.328]</w:t>
            </w:r>
          </w:p>
        </w:tc>
        <w:tc>
          <w:tcPr>
            <w:tcW w:w="528" w:type="pct"/>
            <w:hideMark/>
          </w:tcPr>
          <w:p w14:paraId="27915EAB" w14:textId="77777777" w:rsidR="00A4606E" w:rsidRPr="00923237" w:rsidRDefault="00A4606E" w:rsidP="00F31DC2">
            <w:pPr>
              <w:pStyle w:val="NoSpacing"/>
              <w:rPr>
                <w:rFonts w:cstheme="minorHAnsi"/>
                <w:sz w:val="20"/>
                <w:szCs w:val="20"/>
              </w:rPr>
            </w:pPr>
            <w:r w:rsidRPr="00923237">
              <w:rPr>
                <w:rFonts w:cstheme="minorHAnsi"/>
                <w:sz w:val="20"/>
                <w:szCs w:val="20"/>
              </w:rPr>
              <w:t>[0.344]</w:t>
            </w:r>
          </w:p>
        </w:tc>
        <w:tc>
          <w:tcPr>
            <w:tcW w:w="528" w:type="pct"/>
            <w:hideMark/>
          </w:tcPr>
          <w:p w14:paraId="0EE99C85" w14:textId="77777777" w:rsidR="00A4606E" w:rsidRPr="00923237" w:rsidRDefault="00A4606E" w:rsidP="00F31DC2">
            <w:pPr>
              <w:pStyle w:val="NoSpacing"/>
              <w:rPr>
                <w:rFonts w:cstheme="minorHAnsi"/>
                <w:sz w:val="20"/>
                <w:szCs w:val="20"/>
              </w:rPr>
            </w:pPr>
            <w:r w:rsidRPr="00923237">
              <w:rPr>
                <w:rFonts w:cstheme="minorHAnsi"/>
                <w:sz w:val="20"/>
                <w:szCs w:val="20"/>
              </w:rPr>
              <w:t>[0.268]</w:t>
            </w:r>
          </w:p>
        </w:tc>
        <w:tc>
          <w:tcPr>
            <w:tcW w:w="528" w:type="pct"/>
            <w:hideMark/>
          </w:tcPr>
          <w:p w14:paraId="33264EFE" w14:textId="77777777" w:rsidR="00A4606E" w:rsidRPr="00923237" w:rsidRDefault="00A4606E" w:rsidP="00F31DC2">
            <w:pPr>
              <w:pStyle w:val="NoSpacing"/>
              <w:rPr>
                <w:rFonts w:cstheme="minorHAnsi"/>
                <w:sz w:val="20"/>
                <w:szCs w:val="20"/>
              </w:rPr>
            </w:pPr>
            <w:r w:rsidRPr="00923237">
              <w:rPr>
                <w:rFonts w:cstheme="minorHAnsi"/>
                <w:sz w:val="20"/>
                <w:szCs w:val="20"/>
              </w:rPr>
              <w:t>[0.255]</w:t>
            </w:r>
          </w:p>
        </w:tc>
        <w:tc>
          <w:tcPr>
            <w:tcW w:w="528" w:type="pct"/>
            <w:hideMark/>
          </w:tcPr>
          <w:p w14:paraId="5FB13459" w14:textId="77777777" w:rsidR="00A4606E" w:rsidRPr="00923237" w:rsidRDefault="00A4606E" w:rsidP="00F31DC2">
            <w:pPr>
              <w:pStyle w:val="NoSpacing"/>
              <w:rPr>
                <w:rFonts w:cstheme="minorHAnsi"/>
                <w:sz w:val="20"/>
                <w:szCs w:val="20"/>
              </w:rPr>
            </w:pPr>
          </w:p>
        </w:tc>
      </w:tr>
      <w:tr w:rsidR="00A4606E" w:rsidRPr="00923237" w14:paraId="73F15410" w14:textId="77777777" w:rsidTr="00160D46">
        <w:tc>
          <w:tcPr>
            <w:tcW w:w="1922" w:type="pct"/>
            <w:hideMark/>
          </w:tcPr>
          <w:p w14:paraId="19C95BD0" w14:textId="77777777" w:rsidR="00A4606E" w:rsidRPr="00923237" w:rsidRDefault="00A4606E" w:rsidP="00F31DC2">
            <w:pPr>
              <w:pStyle w:val="NoSpacing"/>
              <w:rPr>
                <w:rFonts w:cstheme="minorHAnsi"/>
                <w:sz w:val="20"/>
                <w:szCs w:val="20"/>
              </w:rPr>
            </w:pPr>
            <w:r w:rsidRPr="00923237">
              <w:rPr>
                <w:rFonts w:cstheme="minorHAnsi"/>
                <w:sz w:val="20"/>
                <w:szCs w:val="20"/>
              </w:rPr>
              <w:t>Ab. board meetings during crisis</w:t>
            </w:r>
          </w:p>
        </w:tc>
        <w:tc>
          <w:tcPr>
            <w:tcW w:w="483" w:type="pct"/>
            <w:hideMark/>
          </w:tcPr>
          <w:p w14:paraId="5CD3F455" w14:textId="77777777" w:rsidR="00A4606E" w:rsidRPr="00923237" w:rsidRDefault="00A4606E" w:rsidP="00F31DC2">
            <w:pPr>
              <w:pStyle w:val="NoSpacing"/>
              <w:rPr>
                <w:rFonts w:cstheme="minorHAnsi"/>
                <w:sz w:val="20"/>
                <w:szCs w:val="20"/>
              </w:rPr>
            </w:pPr>
          </w:p>
        </w:tc>
        <w:tc>
          <w:tcPr>
            <w:tcW w:w="483" w:type="pct"/>
            <w:hideMark/>
          </w:tcPr>
          <w:p w14:paraId="4A513C71" w14:textId="77777777" w:rsidR="00A4606E" w:rsidRPr="00923237" w:rsidRDefault="00A4606E" w:rsidP="00F31DC2">
            <w:pPr>
              <w:pStyle w:val="NoSpacing"/>
              <w:rPr>
                <w:rFonts w:cstheme="minorHAnsi"/>
                <w:sz w:val="20"/>
                <w:szCs w:val="20"/>
              </w:rPr>
            </w:pPr>
            <w:r w:rsidRPr="00923237">
              <w:rPr>
                <w:rFonts w:cstheme="minorHAnsi"/>
                <w:sz w:val="20"/>
                <w:szCs w:val="20"/>
              </w:rPr>
              <w:t>0.7935*</w:t>
            </w:r>
          </w:p>
        </w:tc>
        <w:tc>
          <w:tcPr>
            <w:tcW w:w="528" w:type="pct"/>
            <w:hideMark/>
          </w:tcPr>
          <w:p w14:paraId="2988938B" w14:textId="77777777" w:rsidR="00A4606E" w:rsidRPr="00923237" w:rsidRDefault="00A4606E" w:rsidP="00F31DC2">
            <w:pPr>
              <w:pStyle w:val="NoSpacing"/>
              <w:rPr>
                <w:rFonts w:cstheme="minorHAnsi"/>
                <w:sz w:val="20"/>
                <w:szCs w:val="20"/>
              </w:rPr>
            </w:pPr>
          </w:p>
        </w:tc>
        <w:tc>
          <w:tcPr>
            <w:tcW w:w="528" w:type="pct"/>
            <w:hideMark/>
          </w:tcPr>
          <w:p w14:paraId="779102D3" w14:textId="77777777" w:rsidR="00A4606E" w:rsidRPr="00923237" w:rsidRDefault="00A4606E" w:rsidP="00F31DC2">
            <w:pPr>
              <w:pStyle w:val="NoSpacing"/>
              <w:rPr>
                <w:rFonts w:cstheme="minorHAnsi"/>
                <w:sz w:val="20"/>
                <w:szCs w:val="20"/>
              </w:rPr>
            </w:pPr>
          </w:p>
        </w:tc>
        <w:tc>
          <w:tcPr>
            <w:tcW w:w="528" w:type="pct"/>
            <w:hideMark/>
          </w:tcPr>
          <w:p w14:paraId="112655DC" w14:textId="77777777" w:rsidR="00A4606E" w:rsidRPr="00923237" w:rsidRDefault="00A4606E" w:rsidP="00F31DC2">
            <w:pPr>
              <w:pStyle w:val="NoSpacing"/>
              <w:rPr>
                <w:rFonts w:cstheme="minorHAnsi"/>
                <w:sz w:val="20"/>
                <w:szCs w:val="20"/>
              </w:rPr>
            </w:pPr>
          </w:p>
        </w:tc>
        <w:tc>
          <w:tcPr>
            <w:tcW w:w="528" w:type="pct"/>
            <w:hideMark/>
          </w:tcPr>
          <w:p w14:paraId="06B8A07B" w14:textId="77777777" w:rsidR="00A4606E" w:rsidRPr="00923237" w:rsidRDefault="00A4606E" w:rsidP="00F31DC2">
            <w:pPr>
              <w:pStyle w:val="NoSpacing"/>
              <w:rPr>
                <w:rFonts w:cstheme="minorHAnsi"/>
                <w:sz w:val="20"/>
                <w:szCs w:val="20"/>
              </w:rPr>
            </w:pPr>
          </w:p>
        </w:tc>
      </w:tr>
      <w:tr w:rsidR="00A4606E" w:rsidRPr="00923237" w14:paraId="19A8420C" w14:textId="77777777" w:rsidTr="00160D46">
        <w:tc>
          <w:tcPr>
            <w:tcW w:w="1922" w:type="pct"/>
            <w:hideMark/>
          </w:tcPr>
          <w:p w14:paraId="0C32F1A9" w14:textId="77777777" w:rsidR="00A4606E" w:rsidRPr="00923237" w:rsidRDefault="00A4606E" w:rsidP="00F31DC2">
            <w:pPr>
              <w:pStyle w:val="NoSpacing"/>
              <w:rPr>
                <w:rFonts w:cstheme="minorHAnsi"/>
                <w:sz w:val="20"/>
                <w:szCs w:val="20"/>
              </w:rPr>
            </w:pPr>
          </w:p>
        </w:tc>
        <w:tc>
          <w:tcPr>
            <w:tcW w:w="483" w:type="pct"/>
            <w:hideMark/>
          </w:tcPr>
          <w:p w14:paraId="196DA003" w14:textId="77777777" w:rsidR="00A4606E" w:rsidRPr="00923237" w:rsidRDefault="00A4606E" w:rsidP="00F31DC2">
            <w:pPr>
              <w:pStyle w:val="NoSpacing"/>
              <w:rPr>
                <w:rFonts w:cstheme="minorHAnsi"/>
                <w:sz w:val="20"/>
                <w:szCs w:val="20"/>
              </w:rPr>
            </w:pPr>
          </w:p>
        </w:tc>
        <w:tc>
          <w:tcPr>
            <w:tcW w:w="483" w:type="pct"/>
            <w:hideMark/>
          </w:tcPr>
          <w:p w14:paraId="1DA04EBC" w14:textId="77777777" w:rsidR="00A4606E" w:rsidRPr="00923237" w:rsidRDefault="00A4606E" w:rsidP="00F31DC2">
            <w:pPr>
              <w:pStyle w:val="NoSpacing"/>
              <w:rPr>
                <w:rFonts w:cstheme="minorHAnsi"/>
                <w:sz w:val="20"/>
                <w:szCs w:val="20"/>
              </w:rPr>
            </w:pPr>
            <w:r w:rsidRPr="00923237">
              <w:rPr>
                <w:rFonts w:cstheme="minorHAnsi"/>
                <w:sz w:val="20"/>
                <w:szCs w:val="20"/>
              </w:rPr>
              <w:t>[0.054]</w:t>
            </w:r>
          </w:p>
        </w:tc>
        <w:tc>
          <w:tcPr>
            <w:tcW w:w="528" w:type="pct"/>
            <w:hideMark/>
          </w:tcPr>
          <w:p w14:paraId="29F94C41" w14:textId="77777777" w:rsidR="00A4606E" w:rsidRPr="00923237" w:rsidRDefault="00A4606E" w:rsidP="00F31DC2">
            <w:pPr>
              <w:pStyle w:val="NoSpacing"/>
              <w:rPr>
                <w:rFonts w:cstheme="minorHAnsi"/>
                <w:sz w:val="20"/>
                <w:szCs w:val="20"/>
              </w:rPr>
            </w:pPr>
          </w:p>
        </w:tc>
        <w:tc>
          <w:tcPr>
            <w:tcW w:w="528" w:type="pct"/>
            <w:hideMark/>
          </w:tcPr>
          <w:p w14:paraId="5BEF17CD" w14:textId="77777777" w:rsidR="00A4606E" w:rsidRPr="00923237" w:rsidRDefault="00A4606E" w:rsidP="00F31DC2">
            <w:pPr>
              <w:pStyle w:val="NoSpacing"/>
              <w:rPr>
                <w:rFonts w:cstheme="minorHAnsi"/>
                <w:sz w:val="20"/>
                <w:szCs w:val="20"/>
              </w:rPr>
            </w:pPr>
          </w:p>
        </w:tc>
        <w:tc>
          <w:tcPr>
            <w:tcW w:w="528" w:type="pct"/>
            <w:hideMark/>
          </w:tcPr>
          <w:p w14:paraId="7E710A88" w14:textId="77777777" w:rsidR="00A4606E" w:rsidRPr="00923237" w:rsidRDefault="00A4606E" w:rsidP="00F31DC2">
            <w:pPr>
              <w:pStyle w:val="NoSpacing"/>
              <w:rPr>
                <w:rFonts w:cstheme="minorHAnsi"/>
                <w:sz w:val="20"/>
                <w:szCs w:val="20"/>
              </w:rPr>
            </w:pPr>
          </w:p>
        </w:tc>
        <w:tc>
          <w:tcPr>
            <w:tcW w:w="528" w:type="pct"/>
            <w:hideMark/>
          </w:tcPr>
          <w:p w14:paraId="51ADF54C" w14:textId="77777777" w:rsidR="00A4606E" w:rsidRPr="00923237" w:rsidRDefault="00A4606E" w:rsidP="00F31DC2">
            <w:pPr>
              <w:pStyle w:val="NoSpacing"/>
              <w:rPr>
                <w:rFonts w:cstheme="minorHAnsi"/>
                <w:sz w:val="20"/>
                <w:szCs w:val="20"/>
              </w:rPr>
            </w:pPr>
          </w:p>
        </w:tc>
      </w:tr>
      <w:tr w:rsidR="00A4606E" w:rsidRPr="00923237" w14:paraId="39F1290C" w14:textId="77777777" w:rsidTr="00160D46">
        <w:tc>
          <w:tcPr>
            <w:tcW w:w="1922" w:type="pct"/>
            <w:hideMark/>
          </w:tcPr>
          <w:p w14:paraId="66FA8D3D" w14:textId="77777777" w:rsidR="00A4606E" w:rsidRPr="00923237" w:rsidRDefault="00A4606E" w:rsidP="00F31DC2">
            <w:pPr>
              <w:pStyle w:val="NoSpacing"/>
              <w:rPr>
                <w:rFonts w:cstheme="minorHAnsi"/>
                <w:sz w:val="20"/>
                <w:szCs w:val="20"/>
              </w:rPr>
            </w:pPr>
            <w:r w:rsidRPr="00923237">
              <w:rPr>
                <w:rFonts w:cstheme="minorHAnsi"/>
                <w:sz w:val="20"/>
                <w:szCs w:val="20"/>
              </w:rPr>
              <w:t>Exp. weighted ab. board Meetings during crisis</w:t>
            </w:r>
          </w:p>
        </w:tc>
        <w:tc>
          <w:tcPr>
            <w:tcW w:w="483" w:type="pct"/>
            <w:hideMark/>
          </w:tcPr>
          <w:p w14:paraId="350956EB" w14:textId="77777777" w:rsidR="00A4606E" w:rsidRPr="00923237" w:rsidRDefault="00A4606E" w:rsidP="00F31DC2">
            <w:pPr>
              <w:pStyle w:val="NoSpacing"/>
              <w:rPr>
                <w:rFonts w:cstheme="minorHAnsi"/>
                <w:sz w:val="20"/>
                <w:szCs w:val="20"/>
              </w:rPr>
            </w:pPr>
          </w:p>
        </w:tc>
        <w:tc>
          <w:tcPr>
            <w:tcW w:w="483" w:type="pct"/>
            <w:hideMark/>
          </w:tcPr>
          <w:p w14:paraId="42585594" w14:textId="77777777" w:rsidR="00A4606E" w:rsidRPr="00923237" w:rsidRDefault="00A4606E" w:rsidP="00F31DC2">
            <w:pPr>
              <w:pStyle w:val="NoSpacing"/>
              <w:rPr>
                <w:rFonts w:cstheme="minorHAnsi"/>
                <w:sz w:val="20"/>
                <w:szCs w:val="20"/>
              </w:rPr>
            </w:pPr>
          </w:p>
        </w:tc>
        <w:tc>
          <w:tcPr>
            <w:tcW w:w="528" w:type="pct"/>
            <w:hideMark/>
          </w:tcPr>
          <w:p w14:paraId="51D7F14C" w14:textId="77777777" w:rsidR="00A4606E" w:rsidRPr="00923237" w:rsidRDefault="00A4606E" w:rsidP="00F31DC2">
            <w:pPr>
              <w:pStyle w:val="NoSpacing"/>
              <w:rPr>
                <w:rFonts w:cstheme="minorHAnsi"/>
                <w:sz w:val="20"/>
                <w:szCs w:val="20"/>
              </w:rPr>
            </w:pPr>
            <w:r w:rsidRPr="00923237">
              <w:rPr>
                <w:rFonts w:cstheme="minorHAnsi"/>
                <w:sz w:val="20"/>
                <w:szCs w:val="20"/>
              </w:rPr>
              <w:t>0.0885*</w:t>
            </w:r>
          </w:p>
        </w:tc>
        <w:tc>
          <w:tcPr>
            <w:tcW w:w="528" w:type="pct"/>
            <w:hideMark/>
          </w:tcPr>
          <w:p w14:paraId="6450C4FA" w14:textId="77777777" w:rsidR="00A4606E" w:rsidRPr="00923237" w:rsidRDefault="00A4606E" w:rsidP="00F31DC2">
            <w:pPr>
              <w:pStyle w:val="NoSpacing"/>
              <w:rPr>
                <w:rFonts w:cstheme="minorHAnsi"/>
                <w:sz w:val="20"/>
                <w:szCs w:val="20"/>
              </w:rPr>
            </w:pPr>
            <w:r w:rsidRPr="00923237">
              <w:rPr>
                <w:rFonts w:cstheme="minorHAnsi"/>
                <w:sz w:val="20"/>
                <w:szCs w:val="20"/>
              </w:rPr>
              <w:t>0.1015**</w:t>
            </w:r>
          </w:p>
        </w:tc>
        <w:tc>
          <w:tcPr>
            <w:tcW w:w="528" w:type="pct"/>
            <w:hideMark/>
          </w:tcPr>
          <w:p w14:paraId="09A198E5" w14:textId="77777777" w:rsidR="00A4606E" w:rsidRPr="00923237" w:rsidRDefault="00A4606E" w:rsidP="00F31DC2">
            <w:pPr>
              <w:pStyle w:val="NoSpacing"/>
              <w:rPr>
                <w:rFonts w:cstheme="minorHAnsi"/>
                <w:sz w:val="20"/>
                <w:szCs w:val="20"/>
              </w:rPr>
            </w:pPr>
            <w:r w:rsidRPr="00923237">
              <w:rPr>
                <w:rFonts w:cstheme="minorHAnsi"/>
                <w:sz w:val="20"/>
                <w:szCs w:val="20"/>
              </w:rPr>
              <w:t>0.1067**</w:t>
            </w:r>
          </w:p>
        </w:tc>
        <w:tc>
          <w:tcPr>
            <w:tcW w:w="528" w:type="pct"/>
            <w:hideMark/>
          </w:tcPr>
          <w:p w14:paraId="17733627" w14:textId="77777777" w:rsidR="00A4606E" w:rsidRPr="00923237" w:rsidRDefault="00A4606E" w:rsidP="00F31DC2">
            <w:pPr>
              <w:pStyle w:val="NoSpacing"/>
              <w:rPr>
                <w:rFonts w:cstheme="minorHAnsi"/>
                <w:sz w:val="20"/>
                <w:szCs w:val="20"/>
              </w:rPr>
            </w:pPr>
            <w:r w:rsidRPr="00923237">
              <w:rPr>
                <w:rFonts w:cstheme="minorHAnsi"/>
                <w:sz w:val="20"/>
                <w:szCs w:val="20"/>
              </w:rPr>
              <w:t>0.1777***</w:t>
            </w:r>
          </w:p>
        </w:tc>
      </w:tr>
      <w:tr w:rsidR="00A4606E" w:rsidRPr="00923237" w14:paraId="54BB0175" w14:textId="77777777" w:rsidTr="00160D46">
        <w:tc>
          <w:tcPr>
            <w:tcW w:w="1922" w:type="pct"/>
            <w:hideMark/>
          </w:tcPr>
          <w:p w14:paraId="73C071A5" w14:textId="77777777" w:rsidR="00A4606E" w:rsidRPr="00923237" w:rsidRDefault="00A4606E" w:rsidP="00F31DC2">
            <w:pPr>
              <w:pStyle w:val="NoSpacing"/>
              <w:rPr>
                <w:rFonts w:cstheme="minorHAnsi"/>
                <w:sz w:val="20"/>
                <w:szCs w:val="20"/>
              </w:rPr>
            </w:pPr>
          </w:p>
        </w:tc>
        <w:tc>
          <w:tcPr>
            <w:tcW w:w="483" w:type="pct"/>
            <w:hideMark/>
          </w:tcPr>
          <w:p w14:paraId="38D4C14D" w14:textId="77777777" w:rsidR="00A4606E" w:rsidRPr="00923237" w:rsidRDefault="00A4606E" w:rsidP="00F31DC2">
            <w:pPr>
              <w:pStyle w:val="NoSpacing"/>
              <w:rPr>
                <w:rFonts w:cstheme="minorHAnsi"/>
                <w:sz w:val="20"/>
                <w:szCs w:val="20"/>
              </w:rPr>
            </w:pPr>
          </w:p>
        </w:tc>
        <w:tc>
          <w:tcPr>
            <w:tcW w:w="483" w:type="pct"/>
            <w:hideMark/>
          </w:tcPr>
          <w:p w14:paraId="55087246" w14:textId="77777777" w:rsidR="00A4606E" w:rsidRPr="00923237" w:rsidRDefault="00A4606E" w:rsidP="00F31DC2">
            <w:pPr>
              <w:pStyle w:val="NoSpacing"/>
              <w:rPr>
                <w:rFonts w:cstheme="minorHAnsi"/>
                <w:sz w:val="20"/>
                <w:szCs w:val="20"/>
              </w:rPr>
            </w:pPr>
          </w:p>
        </w:tc>
        <w:tc>
          <w:tcPr>
            <w:tcW w:w="528" w:type="pct"/>
            <w:hideMark/>
          </w:tcPr>
          <w:p w14:paraId="4014D653" w14:textId="77777777" w:rsidR="00A4606E" w:rsidRPr="00923237" w:rsidRDefault="00A4606E" w:rsidP="00F31DC2">
            <w:pPr>
              <w:pStyle w:val="NoSpacing"/>
              <w:rPr>
                <w:rFonts w:cstheme="minorHAnsi"/>
                <w:sz w:val="20"/>
                <w:szCs w:val="20"/>
              </w:rPr>
            </w:pPr>
            <w:r w:rsidRPr="00923237">
              <w:rPr>
                <w:rFonts w:cstheme="minorHAnsi"/>
                <w:sz w:val="20"/>
                <w:szCs w:val="20"/>
              </w:rPr>
              <w:t>[0.057]</w:t>
            </w:r>
          </w:p>
        </w:tc>
        <w:tc>
          <w:tcPr>
            <w:tcW w:w="528" w:type="pct"/>
            <w:hideMark/>
          </w:tcPr>
          <w:p w14:paraId="7A6F0165" w14:textId="77777777" w:rsidR="00A4606E" w:rsidRPr="00923237" w:rsidRDefault="00A4606E" w:rsidP="00F31DC2">
            <w:pPr>
              <w:pStyle w:val="NoSpacing"/>
              <w:rPr>
                <w:rFonts w:cstheme="minorHAnsi"/>
                <w:sz w:val="20"/>
                <w:szCs w:val="20"/>
              </w:rPr>
            </w:pPr>
            <w:r w:rsidRPr="00923237">
              <w:rPr>
                <w:rFonts w:cstheme="minorHAnsi"/>
                <w:sz w:val="20"/>
                <w:szCs w:val="20"/>
              </w:rPr>
              <w:t>[0.04]</w:t>
            </w:r>
          </w:p>
        </w:tc>
        <w:tc>
          <w:tcPr>
            <w:tcW w:w="528" w:type="pct"/>
            <w:hideMark/>
          </w:tcPr>
          <w:p w14:paraId="0F957854" w14:textId="77777777" w:rsidR="00A4606E" w:rsidRPr="00923237" w:rsidRDefault="00A4606E" w:rsidP="00F31DC2">
            <w:pPr>
              <w:pStyle w:val="NoSpacing"/>
              <w:rPr>
                <w:rFonts w:cstheme="minorHAnsi"/>
                <w:sz w:val="20"/>
                <w:szCs w:val="20"/>
              </w:rPr>
            </w:pPr>
            <w:r w:rsidRPr="00923237">
              <w:rPr>
                <w:rFonts w:cstheme="minorHAnsi"/>
                <w:sz w:val="20"/>
                <w:szCs w:val="20"/>
              </w:rPr>
              <w:t>[0.034]</w:t>
            </w:r>
          </w:p>
        </w:tc>
        <w:tc>
          <w:tcPr>
            <w:tcW w:w="528" w:type="pct"/>
            <w:hideMark/>
          </w:tcPr>
          <w:p w14:paraId="7435F312" w14:textId="77777777" w:rsidR="00A4606E" w:rsidRPr="00923237" w:rsidRDefault="00A4606E" w:rsidP="00F31DC2">
            <w:pPr>
              <w:pStyle w:val="NoSpacing"/>
              <w:rPr>
                <w:rFonts w:cstheme="minorHAnsi"/>
                <w:sz w:val="20"/>
                <w:szCs w:val="20"/>
              </w:rPr>
            </w:pPr>
            <w:r w:rsidRPr="00923237">
              <w:rPr>
                <w:rFonts w:cstheme="minorHAnsi"/>
                <w:sz w:val="20"/>
                <w:szCs w:val="20"/>
              </w:rPr>
              <w:t>[0.009]</w:t>
            </w:r>
          </w:p>
        </w:tc>
      </w:tr>
      <w:tr w:rsidR="00A4606E" w:rsidRPr="00923237" w14:paraId="521F0238" w14:textId="77777777" w:rsidTr="00160D46">
        <w:tc>
          <w:tcPr>
            <w:tcW w:w="1922" w:type="pct"/>
            <w:hideMark/>
          </w:tcPr>
          <w:p w14:paraId="2533D287" w14:textId="77777777" w:rsidR="00A4606E" w:rsidRPr="00923237" w:rsidRDefault="00A4606E" w:rsidP="00F31DC2">
            <w:pPr>
              <w:pStyle w:val="NoSpacing"/>
              <w:rPr>
                <w:rFonts w:cstheme="minorHAnsi"/>
                <w:sz w:val="20"/>
                <w:szCs w:val="20"/>
              </w:rPr>
            </w:pPr>
            <w:r w:rsidRPr="00923237">
              <w:rPr>
                <w:rFonts w:cstheme="minorHAnsi"/>
                <w:sz w:val="20"/>
                <w:szCs w:val="20"/>
              </w:rPr>
              <w:t>S&amp;L crisis exp.</w:t>
            </w:r>
          </w:p>
        </w:tc>
        <w:tc>
          <w:tcPr>
            <w:tcW w:w="483" w:type="pct"/>
            <w:hideMark/>
          </w:tcPr>
          <w:p w14:paraId="50204388" w14:textId="77777777" w:rsidR="00A4606E" w:rsidRPr="00923237" w:rsidRDefault="00A4606E" w:rsidP="00F31DC2">
            <w:pPr>
              <w:pStyle w:val="NoSpacing"/>
              <w:rPr>
                <w:rFonts w:cstheme="minorHAnsi"/>
                <w:sz w:val="20"/>
                <w:szCs w:val="20"/>
              </w:rPr>
            </w:pPr>
          </w:p>
        </w:tc>
        <w:tc>
          <w:tcPr>
            <w:tcW w:w="483" w:type="pct"/>
            <w:hideMark/>
          </w:tcPr>
          <w:p w14:paraId="00CBA4FB" w14:textId="77777777" w:rsidR="00A4606E" w:rsidRPr="00923237" w:rsidRDefault="00A4606E" w:rsidP="00F31DC2">
            <w:pPr>
              <w:pStyle w:val="NoSpacing"/>
              <w:rPr>
                <w:rFonts w:cstheme="minorHAnsi"/>
                <w:sz w:val="20"/>
                <w:szCs w:val="20"/>
              </w:rPr>
            </w:pPr>
          </w:p>
        </w:tc>
        <w:tc>
          <w:tcPr>
            <w:tcW w:w="528" w:type="pct"/>
            <w:hideMark/>
          </w:tcPr>
          <w:p w14:paraId="1F84EC3B" w14:textId="77777777" w:rsidR="00A4606E" w:rsidRPr="00923237" w:rsidRDefault="00A4606E" w:rsidP="00F31DC2">
            <w:pPr>
              <w:pStyle w:val="NoSpacing"/>
              <w:rPr>
                <w:rFonts w:cstheme="minorHAnsi"/>
                <w:sz w:val="20"/>
                <w:szCs w:val="20"/>
              </w:rPr>
            </w:pPr>
          </w:p>
        </w:tc>
        <w:tc>
          <w:tcPr>
            <w:tcW w:w="528" w:type="pct"/>
            <w:hideMark/>
          </w:tcPr>
          <w:p w14:paraId="49674C01" w14:textId="77777777" w:rsidR="00A4606E" w:rsidRPr="00923237" w:rsidRDefault="00A4606E" w:rsidP="00F31DC2">
            <w:pPr>
              <w:pStyle w:val="NoSpacing"/>
              <w:rPr>
                <w:rFonts w:cstheme="minorHAnsi"/>
                <w:sz w:val="20"/>
                <w:szCs w:val="20"/>
              </w:rPr>
            </w:pPr>
          </w:p>
        </w:tc>
        <w:tc>
          <w:tcPr>
            <w:tcW w:w="528" w:type="pct"/>
            <w:hideMark/>
          </w:tcPr>
          <w:p w14:paraId="1ADBAD07" w14:textId="77777777" w:rsidR="00A4606E" w:rsidRPr="00923237" w:rsidRDefault="00A4606E" w:rsidP="00F31DC2">
            <w:pPr>
              <w:pStyle w:val="NoSpacing"/>
              <w:rPr>
                <w:rFonts w:cstheme="minorHAnsi"/>
                <w:sz w:val="20"/>
                <w:szCs w:val="20"/>
              </w:rPr>
            </w:pPr>
            <w:r w:rsidRPr="00923237">
              <w:rPr>
                <w:rFonts w:cstheme="minorHAnsi"/>
                <w:sz w:val="20"/>
                <w:szCs w:val="20"/>
              </w:rPr>
              <w:t>−0.7033</w:t>
            </w:r>
          </w:p>
        </w:tc>
        <w:tc>
          <w:tcPr>
            <w:tcW w:w="528" w:type="pct"/>
            <w:hideMark/>
          </w:tcPr>
          <w:p w14:paraId="78899B7D" w14:textId="77777777" w:rsidR="00A4606E" w:rsidRPr="00923237" w:rsidRDefault="00A4606E" w:rsidP="00F31DC2">
            <w:pPr>
              <w:pStyle w:val="NoSpacing"/>
              <w:rPr>
                <w:rFonts w:cstheme="minorHAnsi"/>
                <w:sz w:val="20"/>
                <w:szCs w:val="20"/>
              </w:rPr>
            </w:pPr>
            <w:r w:rsidRPr="00923237">
              <w:rPr>
                <w:rFonts w:cstheme="minorHAnsi"/>
                <w:sz w:val="20"/>
                <w:szCs w:val="20"/>
              </w:rPr>
              <w:t>−0.8007</w:t>
            </w:r>
          </w:p>
        </w:tc>
      </w:tr>
      <w:tr w:rsidR="00A4606E" w:rsidRPr="00923237" w14:paraId="2125E41A" w14:textId="77777777" w:rsidTr="00160D46">
        <w:tc>
          <w:tcPr>
            <w:tcW w:w="1922" w:type="pct"/>
            <w:hideMark/>
          </w:tcPr>
          <w:p w14:paraId="0AA50945" w14:textId="77777777" w:rsidR="00A4606E" w:rsidRPr="00923237" w:rsidRDefault="00A4606E" w:rsidP="00F31DC2">
            <w:pPr>
              <w:pStyle w:val="NoSpacing"/>
              <w:rPr>
                <w:rFonts w:cstheme="minorHAnsi"/>
                <w:sz w:val="20"/>
                <w:szCs w:val="20"/>
              </w:rPr>
            </w:pPr>
          </w:p>
        </w:tc>
        <w:tc>
          <w:tcPr>
            <w:tcW w:w="483" w:type="pct"/>
            <w:hideMark/>
          </w:tcPr>
          <w:p w14:paraId="78615742" w14:textId="77777777" w:rsidR="00A4606E" w:rsidRPr="00923237" w:rsidRDefault="00A4606E" w:rsidP="00F31DC2">
            <w:pPr>
              <w:pStyle w:val="NoSpacing"/>
              <w:rPr>
                <w:rFonts w:cstheme="minorHAnsi"/>
                <w:sz w:val="20"/>
                <w:szCs w:val="20"/>
              </w:rPr>
            </w:pPr>
          </w:p>
        </w:tc>
        <w:tc>
          <w:tcPr>
            <w:tcW w:w="483" w:type="pct"/>
            <w:hideMark/>
          </w:tcPr>
          <w:p w14:paraId="495D6BD9" w14:textId="77777777" w:rsidR="00A4606E" w:rsidRPr="00923237" w:rsidRDefault="00A4606E" w:rsidP="00F31DC2">
            <w:pPr>
              <w:pStyle w:val="NoSpacing"/>
              <w:rPr>
                <w:rFonts w:cstheme="minorHAnsi"/>
                <w:sz w:val="20"/>
                <w:szCs w:val="20"/>
              </w:rPr>
            </w:pPr>
          </w:p>
        </w:tc>
        <w:tc>
          <w:tcPr>
            <w:tcW w:w="528" w:type="pct"/>
            <w:hideMark/>
          </w:tcPr>
          <w:p w14:paraId="1FFF3AD3" w14:textId="77777777" w:rsidR="00A4606E" w:rsidRPr="00923237" w:rsidRDefault="00A4606E" w:rsidP="00F31DC2">
            <w:pPr>
              <w:pStyle w:val="NoSpacing"/>
              <w:rPr>
                <w:rFonts w:cstheme="minorHAnsi"/>
                <w:sz w:val="20"/>
                <w:szCs w:val="20"/>
              </w:rPr>
            </w:pPr>
          </w:p>
        </w:tc>
        <w:tc>
          <w:tcPr>
            <w:tcW w:w="528" w:type="pct"/>
            <w:hideMark/>
          </w:tcPr>
          <w:p w14:paraId="1D808613" w14:textId="77777777" w:rsidR="00A4606E" w:rsidRPr="00923237" w:rsidRDefault="00A4606E" w:rsidP="00F31DC2">
            <w:pPr>
              <w:pStyle w:val="NoSpacing"/>
              <w:rPr>
                <w:rFonts w:cstheme="minorHAnsi"/>
                <w:sz w:val="20"/>
                <w:szCs w:val="20"/>
              </w:rPr>
            </w:pPr>
          </w:p>
        </w:tc>
        <w:tc>
          <w:tcPr>
            <w:tcW w:w="528" w:type="pct"/>
            <w:hideMark/>
          </w:tcPr>
          <w:p w14:paraId="66A43D13" w14:textId="77777777" w:rsidR="00A4606E" w:rsidRPr="00923237" w:rsidRDefault="00A4606E" w:rsidP="00F31DC2">
            <w:pPr>
              <w:pStyle w:val="NoSpacing"/>
              <w:rPr>
                <w:rFonts w:cstheme="minorHAnsi"/>
                <w:sz w:val="20"/>
                <w:szCs w:val="20"/>
              </w:rPr>
            </w:pPr>
            <w:r w:rsidRPr="00923237">
              <w:rPr>
                <w:rFonts w:cstheme="minorHAnsi"/>
                <w:sz w:val="20"/>
                <w:szCs w:val="20"/>
              </w:rPr>
              <w:t>[0.422]</w:t>
            </w:r>
          </w:p>
        </w:tc>
        <w:tc>
          <w:tcPr>
            <w:tcW w:w="528" w:type="pct"/>
            <w:hideMark/>
          </w:tcPr>
          <w:p w14:paraId="45C7E841" w14:textId="77777777" w:rsidR="00A4606E" w:rsidRPr="00923237" w:rsidRDefault="00A4606E" w:rsidP="00F31DC2">
            <w:pPr>
              <w:pStyle w:val="NoSpacing"/>
              <w:rPr>
                <w:rFonts w:cstheme="minorHAnsi"/>
                <w:sz w:val="20"/>
                <w:szCs w:val="20"/>
              </w:rPr>
            </w:pPr>
            <w:r w:rsidRPr="00923237">
              <w:rPr>
                <w:rFonts w:cstheme="minorHAnsi"/>
                <w:sz w:val="20"/>
                <w:szCs w:val="20"/>
              </w:rPr>
              <w:t>[0.371]</w:t>
            </w:r>
          </w:p>
        </w:tc>
      </w:tr>
      <w:tr w:rsidR="00A4606E" w:rsidRPr="00923237" w14:paraId="51BE0217" w14:textId="77777777" w:rsidTr="00160D46">
        <w:tc>
          <w:tcPr>
            <w:tcW w:w="1922" w:type="pct"/>
            <w:hideMark/>
          </w:tcPr>
          <w:p w14:paraId="45AC6ECB" w14:textId="77777777" w:rsidR="00A4606E" w:rsidRPr="00923237" w:rsidRDefault="00A4606E" w:rsidP="00F31DC2">
            <w:pPr>
              <w:pStyle w:val="NoSpacing"/>
              <w:rPr>
                <w:rFonts w:cstheme="minorHAnsi"/>
                <w:sz w:val="20"/>
                <w:szCs w:val="20"/>
              </w:rPr>
            </w:pPr>
            <w:r w:rsidRPr="00923237">
              <w:rPr>
                <w:rFonts w:cstheme="minorHAnsi"/>
                <w:sz w:val="20"/>
                <w:szCs w:val="20"/>
              </w:rPr>
              <w:t>High leverage</w:t>
            </w:r>
          </w:p>
        </w:tc>
        <w:tc>
          <w:tcPr>
            <w:tcW w:w="483" w:type="pct"/>
            <w:hideMark/>
          </w:tcPr>
          <w:p w14:paraId="0323482D" w14:textId="77777777" w:rsidR="00A4606E" w:rsidRPr="00923237" w:rsidRDefault="00A4606E" w:rsidP="00F31DC2">
            <w:pPr>
              <w:pStyle w:val="NoSpacing"/>
              <w:rPr>
                <w:rFonts w:cstheme="minorHAnsi"/>
                <w:sz w:val="20"/>
                <w:szCs w:val="20"/>
              </w:rPr>
            </w:pPr>
          </w:p>
        </w:tc>
        <w:tc>
          <w:tcPr>
            <w:tcW w:w="483" w:type="pct"/>
            <w:hideMark/>
          </w:tcPr>
          <w:p w14:paraId="7B94A56F" w14:textId="77777777" w:rsidR="00A4606E" w:rsidRPr="00923237" w:rsidRDefault="00A4606E" w:rsidP="00F31DC2">
            <w:pPr>
              <w:pStyle w:val="NoSpacing"/>
              <w:rPr>
                <w:rFonts w:cstheme="minorHAnsi"/>
                <w:sz w:val="20"/>
                <w:szCs w:val="20"/>
              </w:rPr>
            </w:pPr>
          </w:p>
        </w:tc>
        <w:tc>
          <w:tcPr>
            <w:tcW w:w="528" w:type="pct"/>
            <w:hideMark/>
          </w:tcPr>
          <w:p w14:paraId="109B9149" w14:textId="77777777" w:rsidR="00A4606E" w:rsidRPr="00923237" w:rsidRDefault="00A4606E" w:rsidP="00F31DC2">
            <w:pPr>
              <w:pStyle w:val="NoSpacing"/>
              <w:rPr>
                <w:rFonts w:cstheme="minorHAnsi"/>
                <w:sz w:val="20"/>
                <w:szCs w:val="20"/>
              </w:rPr>
            </w:pPr>
          </w:p>
        </w:tc>
        <w:tc>
          <w:tcPr>
            <w:tcW w:w="528" w:type="pct"/>
            <w:hideMark/>
          </w:tcPr>
          <w:p w14:paraId="3B214E99" w14:textId="77777777" w:rsidR="00A4606E" w:rsidRPr="00923237" w:rsidRDefault="00A4606E" w:rsidP="00F31DC2">
            <w:pPr>
              <w:pStyle w:val="NoSpacing"/>
              <w:rPr>
                <w:rFonts w:cstheme="minorHAnsi"/>
                <w:sz w:val="20"/>
                <w:szCs w:val="20"/>
              </w:rPr>
            </w:pPr>
          </w:p>
        </w:tc>
        <w:tc>
          <w:tcPr>
            <w:tcW w:w="528" w:type="pct"/>
            <w:hideMark/>
          </w:tcPr>
          <w:p w14:paraId="07D11C73" w14:textId="77777777" w:rsidR="00A4606E" w:rsidRPr="00923237" w:rsidRDefault="00A4606E" w:rsidP="00F31DC2">
            <w:pPr>
              <w:pStyle w:val="NoSpacing"/>
              <w:rPr>
                <w:rFonts w:cstheme="minorHAnsi"/>
                <w:sz w:val="20"/>
                <w:szCs w:val="20"/>
              </w:rPr>
            </w:pPr>
          </w:p>
        </w:tc>
        <w:tc>
          <w:tcPr>
            <w:tcW w:w="528" w:type="pct"/>
            <w:hideMark/>
          </w:tcPr>
          <w:p w14:paraId="7C3D2B96" w14:textId="77777777" w:rsidR="00A4606E" w:rsidRPr="00923237" w:rsidRDefault="00A4606E" w:rsidP="00F31DC2">
            <w:pPr>
              <w:pStyle w:val="NoSpacing"/>
              <w:rPr>
                <w:rFonts w:cstheme="minorHAnsi"/>
                <w:sz w:val="20"/>
                <w:szCs w:val="20"/>
              </w:rPr>
            </w:pPr>
            <w:r w:rsidRPr="00923237">
              <w:rPr>
                <w:rFonts w:cstheme="minorHAnsi"/>
                <w:sz w:val="20"/>
                <w:szCs w:val="20"/>
              </w:rPr>
              <w:t>0.9696</w:t>
            </w:r>
          </w:p>
        </w:tc>
      </w:tr>
      <w:tr w:rsidR="00A4606E" w:rsidRPr="00923237" w14:paraId="34FB1283" w14:textId="77777777" w:rsidTr="00160D46">
        <w:tc>
          <w:tcPr>
            <w:tcW w:w="1922" w:type="pct"/>
            <w:hideMark/>
          </w:tcPr>
          <w:p w14:paraId="01631C14" w14:textId="77777777" w:rsidR="00A4606E" w:rsidRPr="00923237" w:rsidRDefault="00A4606E" w:rsidP="00F31DC2">
            <w:pPr>
              <w:pStyle w:val="NoSpacing"/>
              <w:rPr>
                <w:rFonts w:cstheme="minorHAnsi"/>
                <w:sz w:val="20"/>
                <w:szCs w:val="20"/>
              </w:rPr>
            </w:pPr>
          </w:p>
        </w:tc>
        <w:tc>
          <w:tcPr>
            <w:tcW w:w="483" w:type="pct"/>
            <w:hideMark/>
          </w:tcPr>
          <w:p w14:paraId="5238D812" w14:textId="77777777" w:rsidR="00A4606E" w:rsidRPr="00923237" w:rsidRDefault="00A4606E" w:rsidP="00F31DC2">
            <w:pPr>
              <w:pStyle w:val="NoSpacing"/>
              <w:rPr>
                <w:rFonts w:cstheme="minorHAnsi"/>
                <w:sz w:val="20"/>
                <w:szCs w:val="20"/>
              </w:rPr>
            </w:pPr>
          </w:p>
        </w:tc>
        <w:tc>
          <w:tcPr>
            <w:tcW w:w="483" w:type="pct"/>
            <w:hideMark/>
          </w:tcPr>
          <w:p w14:paraId="69C61C34" w14:textId="77777777" w:rsidR="00A4606E" w:rsidRPr="00923237" w:rsidRDefault="00A4606E" w:rsidP="00F31DC2">
            <w:pPr>
              <w:pStyle w:val="NoSpacing"/>
              <w:rPr>
                <w:rFonts w:cstheme="minorHAnsi"/>
                <w:sz w:val="20"/>
                <w:szCs w:val="20"/>
              </w:rPr>
            </w:pPr>
          </w:p>
        </w:tc>
        <w:tc>
          <w:tcPr>
            <w:tcW w:w="528" w:type="pct"/>
            <w:hideMark/>
          </w:tcPr>
          <w:p w14:paraId="7034F13F" w14:textId="77777777" w:rsidR="00A4606E" w:rsidRPr="00923237" w:rsidRDefault="00A4606E" w:rsidP="00F31DC2">
            <w:pPr>
              <w:pStyle w:val="NoSpacing"/>
              <w:rPr>
                <w:rFonts w:cstheme="minorHAnsi"/>
                <w:sz w:val="20"/>
                <w:szCs w:val="20"/>
              </w:rPr>
            </w:pPr>
          </w:p>
        </w:tc>
        <w:tc>
          <w:tcPr>
            <w:tcW w:w="528" w:type="pct"/>
            <w:hideMark/>
          </w:tcPr>
          <w:p w14:paraId="3A17EF7B" w14:textId="77777777" w:rsidR="00A4606E" w:rsidRPr="00923237" w:rsidRDefault="00A4606E" w:rsidP="00F31DC2">
            <w:pPr>
              <w:pStyle w:val="NoSpacing"/>
              <w:rPr>
                <w:rFonts w:cstheme="minorHAnsi"/>
                <w:sz w:val="20"/>
                <w:szCs w:val="20"/>
              </w:rPr>
            </w:pPr>
          </w:p>
        </w:tc>
        <w:tc>
          <w:tcPr>
            <w:tcW w:w="528" w:type="pct"/>
            <w:hideMark/>
          </w:tcPr>
          <w:p w14:paraId="434B033F" w14:textId="77777777" w:rsidR="00A4606E" w:rsidRPr="00923237" w:rsidRDefault="00A4606E" w:rsidP="00F31DC2">
            <w:pPr>
              <w:pStyle w:val="NoSpacing"/>
              <w:rPr>
                <w:rFonts w:cstheme="minorHAnsi"/>
                <w:sz w:val="20"/>
                <w:szCs w:val="20"/>
              </w:rPr>
            </w:pPr>
          </w:p>
        </w:tc>
        <w:tc>
          <w:tcPr>
            <w:tcW w:w="528" w:type="pct"/>
            <w:hideMark/>
          </w:tcPr>
          <w:p w14:paraId="2FC85F41" w14:textId="77777777" w:rsidR="00A4606E" w:rsidRPr="00923237" w:rsidRDefault="00A4606E" w:rsidP="00F31DC2">
            <w:pPr>
              <w:pStyle w:val="NoSpacing"/>
              <w:rPr>
                <w:rFonts w:cstheme="minorHAnsi"/>
                <w:sz w:val="20"/>
                <w:szCs w:val="20"/>
              </w:rPr>
            </w:pPr>
            <w:r w:rsidRPr="00923237">
              <w:rPr>
                <w:rFonts w:cstheme="minorHAnsi"/>
                <w:sz w:val="20"/>
                <w:szCs w:val="20"/>
              </w:rPr>
              <w:t>[0.363]</w:t>
            </w:r>
          </w:p>
        </w:tc>
      </w:tr>
      <w:tr w:rsidR="00A4606E" w:rsidRPr="00923237" w14:paraId="49717103" w14:textId="77777777" w:rsidTr="00160D46">
        <w:tc>
          <w:tcPr>
            <w:tcW w:w="1922" w:type="pct"/>
            <w:hideMark/>
          </w:tcPr>
          <w:p w14:paraId="1F01F386" w14:textId="77777777" w:rsidR="00A4606E" w:rsidRPr="00923237" w:rsidRDefault="00A4606E" w:rsidP="00F31DC2">
            <w:pPr>
              <w:pStyle w:val="NoSpacing"/>
              <w:rPr>
                <w:rFonts w:cstheme="minorHAnsi"/>
                <w:sz w:val="20"/>
                <w:szCs w:val="20"/>
              </w:rPr>
            </w:pPr>
            <w:r w:rsidRPr="00923237">
              <w:rPr>
                <w:rFonts w:cstheme="minorHAnsi"/>
                <w:sz w:val="20"/>
                <w:szCs w:val="20"/>
              </w:rPr>
              <w:t>High leverage* exp. Weighted ab. board meetings</w:t>
            </w:r>
          </w:p>
        </w:tc>
        <w:tc>
          <w:tcPr>
            <w:tcW w:w="483" w:type="pct"/>
            <w:hideMark/>
          </w:tcPr>
          <w:p w14:paraId="28E81D8B" w14:textId="77777777" w:rsidR="00A4606E" w:rsidRPr="00923237" w:rsidRDefault="00A4606E" w:rsidP="00F31DC2">
            <w:pPr>
              <w:pStyle w:val="NoSpacing"/>
              <w:rPr>
                <w:rFonts w:cstheme="minorHAnsi"/>
                <w:sz w:val="20"/>
                <w:szCs w:val="20"/>
              </w:rPr>
            </w:pPr>
          </w:p>
        </w:tc>
        <w:tc>
          <w:tcPr>
            <w:tcW w:w="483" w:type="pct"/>
            <w:hideMark/>
          </w:tcPr>
          <w:p w14:paraId="6BC22A5F" w14:textId="77777777" w:rsidR="00A4606E" w:rsidRPr="00923237" w:rsidRDefault="00A4606E" w:rsidP="00F31DC2">
            <w:pPr>
              <w:pStyle w:val="NoSpacing"/>
              <w:rPr>
                <w:rFonts w:cstheme="minorHAnsi"/>
                <w:sz w:val="20"/>
                <w:szCs w:val="20"/>
              </w:rPr>
            </w:pPr>
          </w:p>
        </w:tc>
        <w:tc>
          <w:tcPr>
            <w:tcW w:w="528" w:type="pct"/>
            <w:hideMark/>
          </w:tcPr>
          <w:p w14:paraId="12E0664A" w14:textId="77777777" w:rsidR="00A4606E" w:rsidRPr="00923237" w:rsidRDefault="00A4606E" w:rsidP="00F31DC2">
            <w:pPr>
              <w:pStyle w:val="NoSpacing"/>
              <w:rPr>
                <w:rFonts w:cstheme="minorHAnsi"/>
                <w:sz w:val="20"/>
                <w:szCs w:val="20"/>
              </w:rPr>
            </w:pPr>
          </w:p>
        </w:tc>
        <w:tc>
          <w:tcPr>
            <w:tcW w:w="528" w:type="pct"/>
            <w:hideMark/>
          </w:tcPr>
          <w:p w14:paraId="45C0EE63" w14:textId="77777777" w:rsidR="00A4606E" w:rsidRPr="00923237" w:rsidRDefault="00A4606E" w:rsidP="00F31DC2">
            <w:pPr>
              <w:pStyle w:val="NoSpacing"/>
              <w:rPr>
                <w:rFonts w:cstheme="minorHAnsi"/>
                <w:sz w:val="20"/>
                <w:szCs w:val="20"/>
              </w:rPr>
            </w:pPr>
          </w:p>
        </w:tc>
        <w:tc>
          <w:tcPr>
            <w:tcW w:w="528" w:type="pct"/>
            <w:hideMark/>
          </w:tcPr>
          <w:p w14:paraId="15862D13" w14:textId="77777777" w:rsidR="00A4606E" w:rsidRPr="00923237" w:rsidRDefault="00A4606E" w:rsidP="00F31DC2">
            <w:pPr>
              <w:pStyle w:val="NoSpacing"/>
              <w:rPr>
                <w:rFonts w:cstheme="minorHAnsi"/>
                <w:sz w:val="20"/>
                <w:szCs w:val="20"/>
              </w:rPr>
            </w:pPr>
          </w:p>
        </w:tc>
        <w:tc>
          <w:tcPr>
            <w:tcW w:w="528" w:type="pct"/>
            <w:hideMark/>
          </w:tcPr>
          <w:p w14:paraId="577BF4F6" w14:textId="77777777" w:rsidR="00A4606E" w:rsidRPr="00923237" w:rsidRDefault="00A4606E" w:rsidP="00F31DC2">
            <w:pPr>
              <w:pStyle w:val="NoSpacing"/>
              <w:rPr>
                <w:rFonts w:cstheme="minorHAnsi"/>
                <w:sz w:val="20"/>
                <w:szCs w:val="20"/>
              </w:rPr>
            </w:pPr>
            <w:r w:rsidRPr="00923237">
              <w:rPr>
                <w:rFonts w:cstheme="minorHAnsi"/>
                <w:sz w:val="20"/>
                <w:szCs w:val="20"/>
              </w:rPr>
              <w:t>−0.1480</w:t>
            </w:r>
          </w:p>
        </w:tc>
      </w:tr>
      <w:tr w:rsidR="00A4606E" w:rsidRPr="00923237" w14:paraId="15501001" w14:textId="77777777" w:rsidTr="00160D46">
        <w:tc>
          <w:tcPr>
            <w:tcW w:w="1922" w:type="pct"/>
            <w:hideMark/>
          </w:tcPr>
          <w:p w14:paraId="20094C4B" w14:textId="77777777" w:rsidR="00A4606E" w:rsidRPr="00923237" w:rsidRDefault="00A4606E" w:rsidP="00F31DC2">
            <w:pPr>
              <w:pStyle w:val="NoSpacing"/>
              <w:rPr>
                <w:rFonts w:cstheme="minorHAnsi"/>
                <w:sz w:val="20"/>
                <w:szCs w:val="20"/>
              </w:rPr>
            </w:pPr>
          </w:p>
        </w:tc>
        <w:tc>
          <w:tcPr>
            <w:tcW w:w="483" w:type="pct"/>
            <w:hideMark/>
          </w:tcPr>
          <w:p w14:paraId="1FC0A8AC" w14:textId="77777777" w:rsidR="00A4606E" w:rsidRPr="00923237" w:rsidRDefault="00A4606E" w:rsidP="00F31DC2">
            <w:pPr>
              <w:pStyle w:val="NoSpacing"/>
              <w:rPr>
                <w:rFonts w:cstheme="minorHAnsi"/>
                <w:sz w:val="20"/>
                <w:szCs w:val="20"/>
              </w:rPr>
            </w:pPr>
          </w:p>
        </w:tc>
        <w:tc>
          <w:tcPr>
            <w:tcW w:w="483" w:type="pct"/>
            <w:hideMark/>
          </w:tcPr>
          <w:p w14:paraId="3D1396A4" w14:textId="77777777" w:rsidR="00A4606E" w:rsidRPr="00923237" w:rsidRDefault="00A4606E" w:rsidP="00F31DC2">
            <w:pPr>
              <w:pStyle w:val="NoSpacing"/>
              <w:rPr>
                <w:rFonts w:cstheme="minorHAnsi"/>
                <w:sz w:val="20"/>
                <w:szCs w:val="20"/>
              </w:rPr>
            </w:pPr>
          </w:p>
        </w:tc>
        <w:tc>
          <w:tcPr>
            <w:tcW w:w="528" w:type="pct"/>
            <w:hideMark/>
          </w:tcPr>
          <w:p w14:paraId="3386E859" w14:textId="77777777" w:rsidR="00A4606E" w:rsidRPr="00923237" w:rsidRDefault="00A4606E" w:rsidP="00F31DC2">
            <w:pPr>
              <w:pStyle w:val="NoSpacing"/>
              <w:rPr>
                <w:rFonts w:cstheme="minorHAnsi"/>
                <w:sz w:val="20"/>
                <w:szCs w:val="20"/>
              </w:rPr>
            </w:pPr>
          </w:p>
        </w:tc>
        <w:tc>
          <w:tcPr>
            <w:tcW w:w="528" w:type="pct"/>
            <w:hideMark/>
          </w:tcPr>
          <w:p w14:paraId="598C5ED8" w14:textId="77777777" w:rsidR="00A4606E" w:rsidRPr="00923237" w:rsidRDefault="00A4606E" w:rsidP="00F31DC2">
            <w:pPr>
              <w:pStyle w:val="NoSpacing"/>
              <w:rPr>
                <w:rFonts w:cstheme="minorHAnsi"/>
                <w:sz w:val="20"/>
                <w:szCs w:val="20"/>
              </w:rPr>
            </w:pPr>
          </w:p>
        </w:tc>
        <w:tc>
          <w:tcPr>
            <w:tcW w:w="528" w:type="pct"/>
            <w:hideMark/>
          </w:tcPr>
          <w:p w14:paraId="791F6D5D" w14:textId="77777777" w:rsidR="00A4606E" w:rsidRPr="00923237" w:rsidRDefault="00A4606E" w:rsidP="00F31DC2">
            <w:pPr>
              <w:pStyle w:val="NoSpacing"/>
              <w:rPr>
                <w:rFonts w:cstheme="minorHAnsi"/>
                <w:sz w:val="20"/>
                <w:szCs w:val="20"/>
              </w:rPr>
            </w:pPr>
          </w:p>
        </w:tc>
        <w:tc>
          <w:tcPr>
            <w:tcW w:w="528" w:type="pct"/>
            <w:hideMark/>
          </w:tcPr>
          <w:p w14:paraId="45B39460" w14:textId="77777777" w:rsidR="00A4606E" w:rsidRPr="00923237" w:rsidRDefault="00A4606E" w:rsidP="00F31DC2">
            <w:pPr>
              <w:pStyle w:val="NoSpacing"/>
              <w:rPr>
                <w:rFonts w:cstheme="minorHAnsi"/>
                <w:sz w:val="20"/>
                <w:szCs w:val="20"/>
              </w:rPr>
            </w:pPr>
            <w:r w:rsidRPr="00923237">
              <w:rPr>
                <w:rFonts w:cstheme="minorHAnsi"/>
                <w:sz w:val="20"/>
                <w:szCs w:val="20"/>
              </w:rPr>
              <w:t>[0.130]</w:t>
            </w:r>
          </w:p>
        </w:tc>
      </w:tr>
      <w:tr w:rsidR="00A4606E" w:rsidRPr="00923237" w14:paraId="289E9E25" w14:textId="77777777" w:rsidTr="00160D46">
        <w:tc>
          <w:tcPr>
            <w:tcW w:w="1922" w:type="pct"/>
            <w:hideMark/>
          </w:tcPr>
          <w:p w14:paraId="3B82A3C5" w14:textId="77777777" w:rsidR="00A4606E" w:rsidRPr="00923237" w:rsidRDefault="00A4606E" w:rsidP="00F31DC2">
            <w:pPr>
              <w:pStyle w:val="NoSpacing"/>
              <w:rPr>
                <w:rFonts w:cstheme="minorHAnsi"/>
                <w:sz w:val="20"/>
                <w:szCs w:val="20"/>
              </w:rPr>
            </w:pPr>
            <w:proofErr w:type="gramStart"/>
            <w:r w:rsidRPr="00923237">
              <w:rPr>
                <w:rFonts w:cstheme="minorHAnsi"/>
                <w:sz w:val="20"/>
                <w:szCs w:val="20"/>
              </w:rPr>
              <w:t>Ln(</w:t>
            </w:r>
            <w:proofErr w:type="gramEnd"/>
            <w:r w:rsidRPr="00923237">
              <w:rPr>
                <w:rFonts w:cstheme="minorHAnsi"/>
                <w:sz w:val="20"/>
                <w:szCs w:val="20"/>
              </w:rPr>
              <w:t>total assets)</w:t>
            </w:r>
          </w:p>
        </w:tc>
        <w:tc>
          <w:tcPr>
            <w:tcW w:w="483" w:type="pct"/>
            <w:hideMark/>
          </w:tcPr>
          <w:p w14:paraId="1DD19941" w14:textId="77777777" w:rsidR="00A4606E" w:rsidRPr="00923237" w:rsidRDefault="00A4606E" w:rsidP="00F31DC2">
            <w:pPr>
              <w:pStyle w:val="NoSpacing"/>
              <w:rPr>
                <w:rFonts w:cstheme="minorHAnsi"/>
                <w:sz w:val="20"/>
                <w:szCs w:val="20"/>
              </w:rPr>
            </w:pPr>
            <w:r w:rsidRPr="00923237">
              <w:rPr>
                <w:rFonts w:cstheme="minorHAnsi"/>
                <w:sz w:val="20"/>
                <w:szCs w:val="20"/>
              </w:rPr>
              <w:t>0.5298</w:t>
            </w:r>
          </w:p>
        </w:tc>
        <w:tc>
          <w:tcPr>
            <w:tcW w:w="483" w:type="pct"/>
            <w:hideMark/>
          </w:tcPr>
          <w:p w14:paraId="0CF1208B" w14:textId="77777777" w:rsidR="00A4606E" w:rsidRPr="00923237" w:rsidRDefault="00A4606E" w:rsidP="00F31DC2">
            <w:pPr>
              <w:pStyle w:val="NoSpacing"/>
              <w:rPr>
                <w:rFonts w:cstheme="minorHAnsi"/>
                <w:sz w:val="20"/>
                <w:szCs w:val="20"/>
              </w:rPr>
            </w:pPr>
            <w:r w:rsidRPr="00923237">
              <w:rPr>
                <w:rFonts w:cstheme="minorHAnsi"/>
                <w:sz w:val="20"/>
                <w:szCs w:val="20"/>
              </w:rPr>
              <w:t>0.3779</w:t>
            </w:r>
          </w:p>
        </w:tc>
        <w:tc>
          <w:tcPr>
            <w:tcW w:w="528" w:type="pct"/>
            <w:hideMark/>
          </w:tcPr>
          <w:p w14:paraId="197A2461" w14:textId="77777777" w:rsidR="00A4606E" w:rsidRPr="00923237" w:rsidRDefault="00A4606E" w:rsidP="00F31DC2">
            <w:pPr>
              <w:pStyle w:val="NoSpacing"/>
              <w:rPr>
                <w:rFonts w:cstheme="minorHAnsi"/>
                <w:sz w:val="20"/>
                <w:szCs w:val="20"/>
              </w:rPr>
            </w:pPr>
            <w:r w:rsidRPr="00923237">
              <w:rPr>
                <w:rFonts w:cstheme="minorHAnsi"/>
                <w:sz w:val="20"/>
                <w:szCs w:val="20"/>
              </w:rPr>
              <w:t>0.3385</w:t>
            </w:r>
          </w:p>
        </w:tc>
        <w:tc>
          <w:tcPr>
            <w:tcW w:w="528" w:type="pct"/>
            <w:hideMark/>
          </w:tcPr>
          <w:p w14:paraId="7DD25355" w14:textId="77777777" w:rsidR="00A4606E" w:rsidRPr="00923237" w:rsidRDefault="00A4606E" w:rsidP="00F31DC2">
            <w:pPr>
              <w:pStyle w:val="NoSpacing"/>
              <w:rPr>
                <w:rFonts w:cstheme="minorHAnsi"/>
                <w:sz w:val="20"/>
                <w:szCs w:val="20"/>
              </w:rPr>
            </w:pPr>
            <w:r w:rsidRPr="00923237">
              <w:rPr>
                <w:rFonts w:cstheme="minorHAnsi"/>
                <w:sz w:val="20"/>
                <w:szCs w:val="20"/>
              </w:rPr>
              <w:t>0.0065</w:t>
            </w:r>
          </w:p>
        </w:tc>
        <w:tc>
          <w:tcPr>
            <w:tcW w:w="528" w:type="pct"/>
            <w:hideMark/>
          </w:tcPr>
          <w:p w14:paraId="08D3E9A1" w14:textId="77777777" w:rsidR="00A4606E" w:rsidRPr="00923237" w:rsidRDefault="00A4606E" w:rsidP="00F31DC2">
            <w:pPr>
              <w:pStyle w:val="NoSpacing"/>
              <w:rPr>
                <w:rFonts w:cstheme="minorHAnsi"/>
                <w:sz w:val="20"/>
                <w:szCs w:val="20"/>
              </w:rPr>
            </w:pPr>
            <w:r w:rsidRPr="00923237">
              <w:rPr>
                <w:rFonts w:cstheme="minorHAnsi"/>
                <w:sz w:val="20"/>
                <w:szCs w:val="20"/>
              </w:rPr>
              <w:t>0.1306</w:t>
            </w:r>
          </w:p>
        </w:tc>
        <w:tc>
          <w:tcPr>
            <w:tcW w:w="528" w:type="pct"/>
            <w:hideMark/>
          </w:tcPr>
          <w:p w14:paraId="44B681CE" w14:textId="77777777" w:rsidR="00A4606E" w:rsidRPr="00923237" w:rsidRDefault="00A4606E" w:rsidP="00F31DC2">
            <w:pPr>
              <w:pStyle w:val="NoSpacing"/>
              <w:rPr>
                <w:rFonts w:cstheme="minorHAnsi"/>
                <w:sz w:val="20"/>
                <w:szCs w:val="20"/>
              </w:rPr>
            </w:pPr>
            <w:r w:rsidRPr="00923237">
              <w:rPr>
                <w:rFonts w:cstheme="minorHAnsi"/>
                <w:sz w:val="20"/>
                <w:szCs w:val="20"/>
              </w:rPr>
              <w:t>0.2824</w:t>
            </w:r>
          </w:p>
        </w:tc>
      </w:tr>
      <w:tr w:rsidR="00A4606E" w:rsidRPr="00923237" w14:paraId="05374D75" w14:textId="77777777" w:rsidTr="00160D46">
        <w:tc>
          <w:tcPr>
            <w:tcW w:w="1922" w:type="pct"/>
            <w:hideMark/>
          </w:tcPr>
          <w:p w14:paraId="6825B0E7" w14:textId="77777777" w:rsidR="00A4606E" w:rsidRPr="00923237" w:rsidRDefault="00A4606E" w:rsidP="00F31DC2">
            <w:pPr>
              <w:pStyle w:val="NoSpacing"/>
              <w:rPr>
                <w:rFonts w:cstheme="minorHAnsi"/>
                <w:sz w:val="20"/>
                <w:szCs w:val="20"/>
              </w:rPr>
            </w:pPr>
          </w:p>
        </w:tc>
        <w:tc>
          <w:tcPr>
            <w:tcW w:w="483" w:type="pct"/>
            <w:hideMark/>
          </w:tcPr>
          <w:p w14:paraId="0900885B" w14:textId="77777777" w:rsidR="00A4606E" w:rsidRPr="00923237" w:rsidRDefault="00A4606E" w:rsidP="00F31DC2">
            <w:pPr>
              <w:pStyle w:val="NoSpacing"/>
              <w:rPr>
                <w:rFonts w:cstheme="minorHAnsi"/>
                <w:sz w:val="20"/>
                <w:szCs w:val="20"/>
              </w:rPr>
            </w:pPr>
            <w:r w:rsidRPr="00923237">
              <w:rPr>
                <w:rFonts w:cstheme="minorHAnsi"/>
                <w:sz w:val="20"/>
                <w:szCs w:val="20"/>
              </w:rPr>
              <w:t>[0.344]</w:t>
            </w:r>
          </w:p>
        </w:tc>
        <w:tc>
          <w:tcPr>
            <w:tcW w:w="483" w:type="pct"/>
            <w:hideMark/>
          </w:tcPr>
          <w:p w14:paraId="747BB6E4" w14:textId="77777777" w:rsidR="00A4606E" w:rsidRPr="00923237" w:rsidRDefault="00A4606E" w:rsidP="00F31DC2">
            <w:pPr>
              <w:pStyle w:val="NoSpacing"/>
              <w:rPr>
                <w:rFonts w:cstheme="minorHAnsi"/>
                <w:sz w:val="20"/>
                <w:szCs w:val="20"/>
              </w:rPr>
            </w:pPr>
            <w:r w:rsidRPr="00923237">
              <w:rPr>
                <w:rFonts w:cstheme="minorHAnsi"/>
                <w:sz w:val="20"/>
                <w:szCs w:val="20"/>
              </w:rPr>
              <w:t>[0.497]</w:t>
            </w:r>
          </w:p>
        </w:tc>
        <w:tc>
          <w:tcPr>
            <w:tcW w:w="528" w:type="pct"/>
            <w:hideMark/>
          </w:tcPr>
          <w:p w14:paraId="49242CA2" w14:textId="77777777" w:rsidR="00A4606E" w:rsidRPr="00923237" w:rsidRDefault="00A4606E" w:rsidP="00F31DC2">
            <w:pPr>
              <w:pStyle w:val="NoSpacing"/>
              <w:rPr>
                <w:rFonts w:cstheme="minorHAnsi"/>
                <w:sz w:val="20"/>
                <w:szCs w:val="20"/>
              </w:rPr>
            </w:pPr>
            <w:r w:rsidRPr="00923237">
              <w:rPr>
                <w:rFonts w:cstheme="minorHAnsi"/>
                <w:sz w:val="20"/>
                <w:szCs w:val="20"/>
              </w:rPr>
              <w:t>[0.546]</w:t>
            </w:r>
          </w:p>
        </w:tc>
        <w:tc>
          <w:tcPr>
            <w:tcW w:w="528" w:type="pct"/>
            <w:hideMark/>
          </w:tcPr>
          <w:p w14:paraId="0BD11A99" w14:textId="77777777" w:rsidR="00A4606E" w:rsidRPr="00923237" w:rsidRDefault="00A4606E" w:rsidP="00F31DC2">
            <w:pPr>
              <w:pStyle w:val="NoSpacing"/>
              <w:rPr>
                <w:rFonts w:cstheme="minorHAnsi"/>
                <w:sz w:val="20"/>
                <w:szCs w:val="20"/>
              </w:rPr>
            </w:pPr>
            <w:r w:rsidRPr="00923237">
              <w:rPr>
                <w:rFonts w:cstheme="minorHAnsi"/>
                <w:sz w:val="20"/>
                <w:szCs w:val="20"/>
              </w:rPr>
              <w:t>[0.991]</w:t>
            </w:r>
          </w:p>
        </w:tc>
        <w:tc>
          <w:tcPr>
            <w:tcW w:w="528" w:type="pct"/>
            <w:hideMark/>
          </w:tcPr>
          <w:p w14:paraId="6FF60797" w14:textId="77777777" w:rsidR="00A4606E" w:rsidRPr="00923237" w:rsidRDefault="00A4606E" w:rsidP="00F31DC2">
            <w:pPr>
              <w:pStyle w:val="NoSpacing"/>
              <w:rPr>
                <w:rFonts w:cstheme="minorHAnsi"/>
                <w:sz w:val="20"/>
                <w:szCs w:val="20"/>
              </w:rPr>
            </w:pPr>
            <w:r w:rsidRPr="00923237">
              <w:rPr>
                <w:rFonts w:cstheme="minorHAnsi"/>
                <w:sz w:val="20"/>
                <w:szCs w:val="20"/>
              </w:rPr>
              <w:t>[0.836]</w:t>
            </w:r>
          </w:p>
        </w:tc>
        <w:tc>
          <w:tcPr>
            <w:tcW w:w="528" w:type="pct"/>
            <w:hideMark/>
          </w:tcPr>
          <w:p w14:paraId="4C8E2BE8" w14:textId="77777777" w:rsidR="00A4606E" w:rsidRPr="00923237" w:rsidRDefault="00A4606E" w:rsidP="00F31DC2">
            <w:pPr>
              <w:pStyle w:val="NoSpacing"/>
              <w:rPr>
                <w:rFonts w:cstheme="minorHAnsi"/>
                <w:sz w:val="20"/>
                <w:szCs w:val="20"/>
              </w:rPr>
            </w:pPr>
            <w:r w:rsidRPr="00923237">
              <w:rPr>
                <w:rFonts w:cstheme="minorHAnsi"/>
                <w:sz w:val="20"/>
                <w:szCs w:val="20"/>
              </w:rPr>
              <w:t>[0.656]</w:t>
            </w:r>
          </w:p>
        </w:tc>
      </w:tr>
      <w:tr w:rsidR="00A4606E" w:rsidRPr="00923237" w14:paraId="113D0CDA" w14:textId="77777777" w:rsidTr="00160D46">
        <w:tc>
          <w:tcPr>
            <w:tcW w:w="1922" w:type="pct"/>
            <w:hideMark/>
          </w:tcPr>
          <w:p w14:paraId="35A343BE" w14:textId="77777777" w:rsidR="00A4606E" w:rsidRPr="00923237" w:rsidRDefault="00A4606E" w:rsidP="00F31DC2">
            <w:pPr>
              <w:pStyle w:val="NoSpacing"/>
              <w:rPr>
                <w:rFonts w:cstheme="minorHAnsi"/>
                <w:sz w:val="20"/>
                <w:szCs w:val="20"/>
              </w:rPr>
            </w:pPr>
            <w:r w:rsidRPr="00923237">
              <w:rPr>
                <w:rFonts w:cstheme="minorHAnsi"/>
                <w:sz w:val="20"/>
                <w:szCs w:val="20"/>
              </w:rPr>
              <w:t>Firm Q</w:t>
            </w:r>
          </w:p>
        </w:tc>
        <w:tc>
          <w:tcPr>
            <w:tcW w:w="483" w:type="pct"/>
            <w:hideMark/>
          </w:tcPr>
          <w:p w14:paraId="536A9961" w14:textId="77777777" w:rsidR="00A4606E" w:rsidRPr="00923237" w:rsidRDefault="00A4606E" w:rsidP="00F31DC2">
            <w:pPr>
              <w:pStyle w:val="NoSpacing"/>
              <w:rPr>
                <w:rFonts w:cstheme="minorHAnsi"/>
                <w:sz w:val="20"/>
                <w:szCs w:val="20"/>
              </w:rPr>
            </w:pPr>
            <w:r w:rsidRPr="00923237">
              <w:rPr>
                <w:rFonts w:cstheme="minorHAnsi"/>
                <w:sz w:val="20"/>
                <w:szCs w:val="20"/>
              </w:rPr>
              <w:t>−0.404</w:t>
            </w:r>
          </w:p>
        </w:tc>
        <w:tc>
          <w:tcPr>
            <w:tcW w:w="483" w:type="pct"/>
            <w:hideMark/>
          </w:tcPr>
          <w:p w14:paraId="3B8AF169" w14:textId="77777777" w:rsidR="00A4606E" w:rsidRPr="00923237" w:rsidRDefault="00A4606E" w:rsidP="00F31DC2">
            <w:pPr>
              <w:pStyle w:val="NoSpacing"/>
              <w:rPr>
                <w:rFonts w:cstheme="minorHAnsi"/>
                <w:sz w:val="20"/>
                <w:szCs w:val="20"/>
              </w:rPr>
            </w:pPr>
            <w:r w:rsidRPr="00923237">
              <w:rPr>
                <w:rFonts w:cstheme="minorHAnsi"/>
                <w:sz w:val="20"/>
                <w:szCs w:val="20"/>
              </w:rPr>
              <w:t>−0.521</w:t>
            </w:r>
          </w:p>
        </w:tc>
        <w:tc>
          <w:tcPr>
            <w:tcW w:w="528" w:type="pct"/>
            <w:hideMark/>
          </w:tcPr>
          <w:p w14:paraId="5C5C1472" w14:textId="77777777" w:rsidR="00A4606E" w:rsidRPr="00923237" w:rsidRDefault="00A4606E" w:rsidP="00F31DC2">
            <w:pPr>
              <w:pStyle w:val="NoSpacing"/>
              <w:rPr>
                <w:rFonts w:cstheme="minorHAnsi"/>
                <w:sz w:val="20"/>
                <w:szCs w:val="20"/>
              </w:rPr>
            </w:pPr>
            <w:r w:rsidRPr="00923237">
              <w:rPr>
                <w:rFonts w:cstheme="minorHAnsi"/>
                <w:sz w:val="20"/>
                <w:szCs w:val="20"/>
              </w:rPr>
              <w:t>−0.5826</w:t>
            </w:r>
          </w:p>
        </w:tc>
        <w:tc>
          <w:tcPr>
            <w:tcW w:w="528" w:type="pct"/>
            <w:hideMark/>
          </w:tcPr>
          <w:p w14:paraId="5389484F" w14:textId="77777777" w:rsidR="00A4606E" w:rsidRPr="00923237" w:rsidRDefault="00A4606E" w:rsidP="00F31DC2">
            <w:pPr>
              <w:pStyle w:val="NoSpacing"/>
              <w:rPr>
                <w:rFonts w:cstheme="minorHAnsi"/>
                <w:sz w:val="20"/>
                <w:szCs w:val="20"/>
              </w:rPr>
            </w:pPr>
            <w:r w:rsidRPr="00923237">
              <w:rPr>
                <w:rFonts w:cstheme="minorHAnsi"/>
                <w:sz w:val="20"/>
                <w:szCs w:val="20"/>
              </w:rPr>
              <w:t>−0.4821</w:t>
            </w:r>
          </w:p>
        </w:tc>
        <w:tc>
          <w:tcPr>
            <w:tcW w:w="528" w:type="pct"/>
            <w:hideMark/>
          </w:tcPr>
          <w:p w14:paraId="54A7D1F2" w14:textId="77777777" w:rsidR="00A4606E" w:rsidRPr="00923237" w:rsidRDefault="00A4606E" w:rsidP="00F31DC2">
            <w:pPr>
              <w:pStyle w:val="NoSpacing"/>
              <w:rPr>
                <w:rFonts w:cstheme="minorHAnsi"/>
                <w:sz w:val="20"/>
                <w:szCs w:val="20"/>
              </w:rPr>
            </w:pPr>
            <w:r w:rsidRPr="00923237">
              <w:rPr>
                <w:rFonts w:cstheme="minorHAnsi"/>
                <w:sz w:val="20"/>
                <w:szCs w:val="20"/>
              </w:rPr>
              <w:t>−0.3259</w:t>
            </w:r>
          </w:p>
        </w:tc>
        <w:tc>
          <w:tcPr>
            <w:tcW w:w="528" w:type="pct"/>
            <w:hideMark/>
          </w:tcPr>
          <w:p w14:paraId="452E032F" w14:textId="77777777" w:rsidR="00A4606E" w:rsidRPr="00923237" w:rsidRDefault="00A4606E" w:rsidP="00F31DC2">
            <w:pPr>
              <w:pStyle w:val="NoSpacing"/>
              <w:rPr>
                <w:rFonts w:cstheme="minorHAnsi"/>
                <w:sz w:val="20"/>
                <w:szCs w:val="20"/>
              </w:rPr>
            </w:pPr>
            <w:r w:rsidRPr="00923237">
              <w:rPr>
                <w:rFonts w:cstheme="minorHAnsi"/>
                <w:sz w:val="20"/>
                <w:szCs w:val="20"/>
              </w:rPr>
              <w:t>−0.6688</w:t>
            </w:r>
          </w:p>
        </w:tc>
      </w:tr>
      <w:tr w:rsidR="00A4606E" w:rsidRPr="00923237" w14:paraId="5CFC2DB1" w14:textId="77777777" w:rsidTr="00160D46">
        <w:tc>
          <w:tcPr>
            <w:tcW w:w="1922" w:type="pct"/>
            <w:hideMark/>
          </w:tcPr>
          <w:p w14:paraId="6E22B473" w14:textId="77777777" w:rsidR="00A4606E" w:rsidRPr="00923237" w:rsidRDefault="00A4606E" w:rsidP="00F31DC2">
            <w:pPr>
              <w:pStyle w:val="NoSpacing"/>
              <w:rPr>
                <w:rFonts w:cstheme="minorHAnsi"/>
                <w:sz w:val="20"/>
                <w:szCs w:val="20"/>
              </w:rPr>
            </w:pPr>
          </w:p>
        </w:tc>
        <w:tc>
          <w:tcPr>
            <w:tcW w:w="483" w:type="pct"/>
            <w:hideMark/>
          </w:tcPr>
          <w:p w14:paraId="447194E4" w14:textId="77777777" w:rsidR="00A4606E" w:rsidRPr="00923237" w:rsidRDefault="00A4606E" w:rsidP="00F31DC2">
            <w:pPr>
              <w:pStyle w:val="NoSpacing"/>
              <w:rPr>
                <w:rFonts w:cstheme="minorHAnsi"/>
                <w:sz w:val="20"/>
                <w:szCs w:val="20"/>
              </w:rPr>
            </w:pPr>
            <w:r w:rsidRPr="00923237">
              <w:rPr>
                <w:rFonts w:cstheme="minorHAnsi"/>
                <w:sz w:val="20"/>
                <w:szCs w:val="20"/>
              </w:rPr>
              <w:t>[0.590]</w:t>
            </w:r>
          </w:p>
        </w:tc>
        <w:tc>
          <w:tcPr>
            <w:tcW w:w="483" w:type="pct"/>
            <w:hideMark/>
          </w:tcPr>
          <w:p w14:paraId="5469C512" w14:textId="77777777" w:rsidR="00A4606E" w:rsidRPr="00923237" w:rsidRDefault="00A4606E" w:rsidP="00F31DC2">
            <w:pPr>
              <w:pStyle w:val="NoSpacing"/>
              <w:rPr>
                <w:rFonts w:cstheme="minorHAnsi"/>
                <w:sz w:val="20"/>
                <w:szCs w:val="20"/>
              </w:rPr>
            </w:pPr>
            <w:r w:rsidRPr="00923237">
              <w:rPr>
                <w:rFonts w:cstheme="minorHAnsi"/>
                <w:sz w:val="20"/>
                <w:szCs w:val="20"/>
              </w:rPr>
              <w:t>[0.482]</w:t>
            </w:r>
          </w:p>
        </w:tc>
        <w:tc>
          <w:tcPr>
            <w:tcW w:w="528" w:type="pct"/>
            <w:hideMark/>
          </w:tcPr>
          <w:p w14:paraId="78BA1FFF" w14:textId="77777777" w:rsidR="00A4606E" w:rsidRPr="00923237" w:rsidRDefault="00A4606E" w:rsidP="00F31DC2">
            <w:pPr>
              <w:pStyle w:val="NoSpacing"/>
              <w:rPr>
                <w:rFonts w:cstheme="minorHAnsi"/>
                <w:sz w:val="20"/>
                <w:szCs w:val="20"/>
              </w:rPr>
            </w:pPr>
            <w:r w:rsidRPr="00923237">
              <w:rPr>
                <w:rFonts w:cstheme="minorHAnsi"/>
                <w:sz w:val="20"/>
                <w:szCs w:val="20"/>
              </w:rPr>
              <w:t>[0.434]</w:t>
            </w:r>
          </w:p>
        </w:tc>
        <w:tc>
          <w:tcPr>
            <w:tcW w:w="528" w:type="pct"/>
            <w:hideMark/>
          </w:tcPr>
          <w:p w14:paraId="176A7F63" w14:textId="77777777" w:rsidR="00A4606E" w:rsidRPr="00923237" w:rsidRDefault="00A4606E" w:rsidP="00F31DC2">
            <w:pPr>
              <w:pStyle w:val="NoSpacing"/>
              <w:rPr>
                <w:rFonts w:cstheme="minorHAnsi"/>
                <w:sz w:val="20"/>
                <w:szCs w:val="20"/>
              </w:rPr>
            </w:pPr>
            <w:r w:rsidRPr="00923237">
              <w:rPr>
                <w:rFonts w:cstheme="minorHAnsi"/>
                <w:sz w:val="20"/>
                <w:szCs w:val="20"/>
              </w:rPr>
              <w:t>[0.530]</w:t>
            </w:r>
          </w:p>
        </w:tc>
        <w:tc>
          <w:tcPr>
            <w:tcW w:w="528" w:type="pct"/>
            <w:hideMark/>
          </w:tcPr>
          <w:p w14:paraId="6BA5B548" w14:textId="77777777" w:rsidR="00A4606E" w:rsidRPr="00923237" w:rsidRDefault="00A4606E" w:rsidP="00F31DC2">
            <w:pPr>
              <w:pStyle w:val="NoSpacing"/>
              <w:rPr>
                <w:rFonts w:cstheme="minorHAnsi"/>
                <w:sz w:val="20"/>
                <w:szCs w:val="20"/>
              </w:rPr>
            </w:pPr>
            <w:r w:rsidRPr="00923237">
              <w:rPr>
                <w:rFonts w:cstheme="minorHAnsi"/>
                <w:sz w:val="20"/>
                <w:szCs w:val="20"/>
              </w:rPr>
              <w:t>[0.681]</w:t>
            </w:r>
          </w:p>
        </w:tc>
        <w:tc>
          <w:tcPr>
            <w:tcW w:w="528" w:type="pct"/>
            <w:hideMark/>
          </w:tcPr>
          <w:p w14:paraId="4F286D76" w14:textId="77777777" w:rsidR="00A4606E" w:rsidRPr="00923237" w:rsidRDefault="00A4606E" w:rsidP="00F31DC2">
            <w:pPr>
              <w:pStyle w:val="NoSpacing"/>
              <w:rPr>
                <w:rFonts w:cstheme="minorHAnsi"/>
                <w:sz w:val="20"/>
                <w:szCs w:val="20"/>
              </w:rPr>
            </w:pPr>
            <w:r w:rsidRPr="00923237">
              <w:rPr>
                <w:rFonts w:cstheme="minorHAnsi"/>
                <w:sz w:val="20"/>
                <w:szCs w:val="20"/>
              </w:rPr>
              <w:t>[0.334]</w:t>
            </w:r>
          </w:p>
        </w:tc>
      </w:tr>
      <w:tr w:rsidR="00A4606E" w:rsidRPr="00923237" w14:paraId="05559F1E" w14:textId="77777777" w:rsidTr="00160D46">
        <w:tc>
          <w:tcPr>
            <w:tcW w:w="1922" w:type="pct"/>
            <w:hideMark/>
          </w:tcPr>
          <w:p w14:paraId="5171D9BC" w14:textId="77777777" w:rsidR="00A4606E" w:rsidRPr="00923237" w:rsidRDefault="00A4606E" w:rsidP="00F31DC2">
            <w:pPr>
              <w:pStyle w:val="NoSpacing"/>
              <w:rPr>
                <w:rFonts w:cstheme="minorHAnsi"/>
                <w:sz w:val="20"/>
                <w:szCs w:val="20"/>
              </w:rPr>
            </w:pPr>
            <w:r w:rsidRPr="00923237">
              <w:rPr>
                <w:rFonts w:cstheme="minorHAnsi"/>
                <w:sz w:val="20"/>
                <w:szCs w:val="20"/>
              </w:rPr>
              <w:t>FFO per share</w:t>
            </w:r>
          </w:p>
        </w:tc>
        <w:tc>
          <w:tcPr>
            <w:tcW w:w="483" w:type="pct"/>
            <w:hideMark/>
          </w:tcPr>
          <w:p w14:paraId="17BAD37F" w14:textId="77777777" w:rsidR="00A4606E" w:rsidRPr="00923237" w:rsidRDefault="00A4606E" w:rsidP="00F31DC2">
            <w:pPr>
              <w:pStyle w:val="NoSpacing"/>
              <w:rPr>
                <w:rFonts w:cstheme="minorHAnsi"/>
                <w:sz w:val="20"/>
                <w:szCs w:val="20"/>
              </w:rPr>
            </w:pPr>
            <w:r w:rsidRPr="00923237">
              <w:rPr>
                <w:rFonts w:cstheme="minorHAnsi"/>
                <w:sz w:val="20"/>
                <w:szCs w:val="20"/>
              </w:rPr>
              <w:t>−0.935**</w:t>
            </w:r>
          </w:p>
        </w:tc>
        <w:tc>
          <w:tcPr>
            <w:tcW w:w="483" w:type="pct"/>
            <w:hideMark/>
          </w:tcPr>
          <w:p w14:paraId="75506C93" w14:textId="77777777" w:rsidR="00A4606E" w:rsidRPr="00923237" w:rsidRDefault="00A4606E" w:rsidP="00F31DC2">
            <w:pPr>
              <w:pStyle w:val="NoSpacing"/>
              <w:rPr>
                <w:rFonts w:cstheme="minorHAnsi"/>
                <w:sz w:val="20"/>
                <w:szCs w:val="20"/>
              </w:rPr>
            </w:pPr>
            <w:r w:rsidRPr="00923237">
              <w:rPr>
                <w:rFonts w:cstheme="minorHAnsi"/>
                <w:sz w:val="20"/>
                <w:szCs w:val="20"/>
              </w:rPr>
              <w:t>−0.974***</w:t>
            </w:r>
          </w:p>
        </w:tc>
        <w:tc>
          <w:tcPr>
            <w:tcW w:w="528" w:type="pct"/>
            <w:hideMark/>
          </w:tcPr>
          <w:p w14:paraId="29624182" w14:textId="77777777" w:rsidR="00A4606E" w:rsidRPr="00923237" w:rsidRDefault="00A4606E" w:rsidP="00F31DC2">
            <w:pPr>
              <w:pStyle w:val="NoSpacing"/>
              <w:rPr>
                <w:rFonts w:cstheme="minorHAnsi"/>
                <w:sz w:val="20"/>
                <w:szCs w:val="20"/>
              </w:rPr>
            </w:pPr>
            <w:r w:rsidRPr="00923237">
              <w:rPr>
                <w:rFonts w:cstheme="minorHAnsi"/>
                <w:sz w:val="20"/>
                <w:szCs w:val="20"/>
              </w:rPr>
              <w:t>−0.9785***</w:t>
            </w:r>
          </w:p>
        </w:tc>
        <w:tc>
          <w:tcPr>
            <w:tcW w:w="528" w:type="pct"/>
            <w:hideMark/>
          </w:tcPr>
          <w:p w14:paraId="3977E6AD" w14:textId="77777777" w:rsidR="00A4606E" w:rsidRPr="00923237" w:rsidRDefault="00A4606E" w:rsidP="00F31DC2">
            <w:pPr>
              <w:pStyle w:val="NoSpacing"/>
              <w:rPr>
                <w:rFonts w:cstheme="minorHAnsi"/>
                <w:sz w:val="20"/>
                <w:szCs w:val="20"/>
              </w:rPr>
            </w:pPr>
            <w:r w:rsidRPr="00923237">
              <w:rPr>
                <w:rFonts w:cstheme="minorHAnsi"/>
                <w:sz w:val="20"/>
                <w:szCs w:val="20"/>
              </w:rPr>
              <w:t>−1.0703***</w:t>
            </w:r>
          </w:p>
        </w:tc>
        <w:tc>
          <w:tcPr>
            <w:tcW w:w="528" w:type="pct"/>
            <w:hideMark/>
          </w:tcPr>
          <w:p w14:paraId="47D95B81" w14:textId="77777777" w:rsidR="00A4606E" w:rsidRPr="00923237" w:rsidRDefault="00A4606E" w:rsidP="00F31DC2">
            <w:pPr>
              <w:pStyle w:val="NoSpacing"/>
              <w:rPr>
                <w:rFonts w:cstheme="minorHAnsi"/>
                <w:sz w:val="20"/>
                <w:szCs w:val="20"/>
              </w:rPr>
            </w:pPr>
            <w:r w:rsidRPr="00923237">
              <w:rPr>
                <w:rFonts w:cstheme="minorHAnsi"/>
                <w:sz w:val="20"/>
                <w:szCs w:val="20"/>
              </w:rPr>
              <w:t>−0.9975***</w:t>
            </w:r>
          </w:p>
        </w:tc>
        <w:tc>
          <w:tcPr>
            <w:tcW w:w="528" w:type="pct"/>
            <w:hideMark/>
          </w:tcPr>
          <w:p w14:paraId="789849D6" w14:textId="77777777" w:rsidR="00A4606E" w:rsidRPr="00923237" w:rsidRDefault="00A4606E" w:rsidP="00F31DC2">
            <w:pPr>
              <w:pStyle w:val="NoSpacing"/>
              <w:rPr>
                <w:rFonts w:cstheme="minorHAnsi"/>
                <w:sz w:val="20"/>
                <w:szCs w:val="20"/>
              </w:rPr>
            </w:pPr>
            <w:r w:rsidRPr="00923237">
              <w:rPr>
                <w:rFonts w:cstheme="minorHAnsi"/>
                <w:sz w:val="20"/>
                <w:szCs w:val="20"/>
              </w:rPr>
              <w:t>−1.0296***</w:t>
            </w:r>
          </w:p>
        </w:tc>
      </w:tr>
      <w:tr w:rsidR="00A4606E" w:rsidRPr="00923237" w14:paraId="1FBB391D" w14:textId="77777777" w:rsidTr="00160D46">
        <w:tc>
          <w:tcPr>
            <w:tcW w:w="1922" w:type="pct"/>
            <w:hideMark/>
          </w:tcPr>
          <w:p w14:paraId="40C5E57D" w14:textId="77777777" w:rsidR="00A4606E" w:rsidRPr="00923237" w:rsidRDefault="00A4606E" w:rsidP="00F31DC2">
            <w:pPr>
              <w:pStyle w:val="NoSpacing"/>
              <w:rPr>
                <w:rFonts w:cstheme="minorHAnsi"/>
                <w:sz w:val="20"/>
                <w:szCs w:val="20"/>
              </w:rPr>
            </w:pPr>
          </w:p>
        </w:tc>
        <w:tc>
          <w:tcPr>
            <w:tcW w:w="483" w:type="pct"/>
            <w:hideMark/>
          </w:tcPr>
          <w:p w14:paraId="0301D0F8" w14:textId="77777777" w:rsidR="00A4606E" w:rsidRPr="00923237" w:rsidRDefault="00A4606E" w:rsidP="00F31DC2">
            <w:pPr>
              <w:pStyle w:val="NoSpacing"/>
              <w:rPr>
                <w:rFonts w:cstheme="minorHAnsi"/>
                <w:sz w:val="20"/>
                <w:szCs w:val="20"/>
              </w:rPr>
            </w:pPr>
            <w:r w:rsidRPr="00923237">
              <w:rPr>
                <w:rFonts w:cstheme="minorHAnsi"/>
                <w:sz w:val="20"/>
                <w:szCs w:val="20"/>
              </w:rPr>
              <w:t>[0.01]</w:t>
            </w:r>
          </w:p>
        </w:tc>
        <w:tc>
          <w:tcPr>
            <w:tcW w:w="483" w:type="pct"/>
            <w:hideMark/>
          </w:tcPr>
          <w:p w14:paraId="77BA646D" w14:textId="77777777" w:rsidR="00A4606E" w:rsidRPr="00923237" w:rsidRDefault="00A4606E" w:rsidP="00F31DC2">
            <w:pPr>
              <w:pStyle w:val="NoSpacing"/>
              <w:rPr>
                <w:rFonts w:cstheme="minorHAnsi"/>
                <w:sz w:val="20"/>
                <w:szCs w:val="20"/>
              </w:rPr>
            </w:pPr>
            <w:r w:rsidRPr="00923237">
              <w:rPr>
                <w:rFonts w:cstheme="minorHAnsi"/>
                <w:sz w:val="20"/>
                <w:szCs w:val="20"/>
              </w:rPr>
              <w:t>[0.006]</w:t>
            </w:r>
          </w:p>
        </w:tc>
        <w:tc>
          <w:tcPr>
            <w:tcW w:w="528" w:type="pct"/>
            <w:hideMark/>
          </w:tcPr>
          <w:p w14:paraId="44AB9B7E" w14:textId="77777777" w:rsidR="00A4606E" w:rsidRPr="00923237" w:rsidRDefault="00A4606E" w:rsidP="00F31DC2">
            <w:pPr>
              <w:pStyle w:val="NoSpacing"/>
              <w:rPr>
                <w:rFonts w:cstheme="minorHAnsi"/>
                <w:sz w:val="20"/>
                <w:szCs w:val="20"/>
              </w:rPr>
            </w:pPr>
            <w:r w:rsidRPr="00923237">
              <w:rPr>
                <w:rFonts w:cstheme="minorHAnsi"/>
                <w:sz w:val="20"/>
                <w:szCs w:val="20"/>
              </w:rPr>
              <w:t>[0.006]</w:t>
            </w:r>
          </w:p>
        </w:tc>
        <w:tc>
          <w:tcPr>
            <w:tcW w:w="528" w:type="pct"/>
            <w:hideMark/>
          </w:tcPr>
          <w:p w14:paraId="0678FEED" w14:textId="77777777" w:rsidR="00A4606E" w:rsidRPr="00923237" w:rsidRDefault="00A4606E" w:rsidP="00F31DC2">
            <w:pPr>
              <w:pStyle w:val="NoSpacing"/>
              <w:rPr>
                <w:rFonts w:cstheme="minorHAnsi"/>
                <w:sz w:val="20"/>
                <w:szCs w:val="20"/>
              </w:rPr>
            </w:pPr>
            <w:r w:rsidRPr="00923237">
              <w:rPr>
                <w:rFonts w:cstheme="minorHAnsi"/>
                <w:sz w:val="20"/>
                <w:szCs w:val="20"/>
              </w:rPr>
              <w:t>[0.003]</w:t>
            </w:r>
          </w:p>
        </w:tc>
        <w:tc>
          <w:tcPr>
            <w:tcW w:w="528" w:type="pct"/>
            <w:hideMark/>
          </w:tcPr>
          <w:p w14:paraId="6AD88EE1" w14:textId="77777777" w:rsidR="00A4606E" w:rsidRPr="00923237" w:rsidRDefault="00A4606E" w:rsidP="00F31DC2">
            <w:pPr>
              <w:pStyle w:val="NoSpacing"/>
              <w:rPr>
                <w:rFonts w:cstheme="minorHAnsi"/>
                <w:sz w:val="20"/>
                <w:szCs w:val="20"/>
              </w:rPr>
            </w:pPr>
            <w:r w:rsidRPr="00923237">
              <w:rPr>
                <w:rFonts w:cstheme="minorHAnsi"/>
                <w:sz w:val="20"/>
                <w:szCs w:val="20"/>
              </w:rPr>
              <w:t>[0.008]</w:t>
            </w:r>
          </w:p>
        </w:tc>
        <w:tc>
          <w:tcPr>
            <w:tcW w:w="528" w:type="pct"/>
            <w:hideMark/>
          </w:tcPr>
          <w:p w14:paraId="10EE4434" w14:textId="77777777" w:rsidR="00A4606E" w:rsidRPr="00923237" w:rsidRDefault="00A4606E" w:rsidP="00F31DC2">
            <w:pPr>
              <w:pStyle w:val="NoSpacing"/>
              <w:rPr>
                <w:rFonts w:cstheme="minorHAnsi"/>
                <w:sz w:val="20"/>
                <w:szCs w:val="20"/>
              </w:rPr>
            </w:pPr>
            <w:r w:rsidRPr="00923237">
              <w:rPr>
                <w:rFonts w:cstheme="minorHAnsi"/>
                <w:sz w:val="20"/>
                <w:szCs w:val="20"/>
              </w:rPr>
              <w:t>[0.007]</w:t>
            </w:r>
          </w:p>
        </w:tc>
      </w:tr>
      <w:tr w:rsidR="00A4606E" w:rsidRPr="00923237" w14:paraId="01483826" w14:textId="77777777" w:rsidTr="00160D46">
        <w:tc>
          <w:tcPr>
            <w:tcW w:w="1922" w:type="pct"/>
            <w:hideMark/>
          </w:tcPr>
          <w:p w14:paraId="6C8AC62E" w14:textId="77777777" w:rsidR="00A4606E" w:rsidRPr="00923237" w:rsidRDefault="00A4606E" w:rsidP="00F31DC2">
            <w:pPr>
              <w:pStyle w:val="NoSpacing"/>
              <w:rPr>
                <w:rFonts w:cstheme="minorHAnsi"/>
                <w:sz w:val="20"/>
                <w:szCs w:val="20"/>
              </w:rPr>
            </w:pPr>
            <w:r w:rsidRPr="00923237">
              <w:rPr>
                <w:rFonts w:cstheme="minorHAnsi"/>
                <w:sz w:val="20"/>
                <w:szCs w:val="20"/>
              </w:rPr>
              <w:t>Cash/total assets</w:t>
            </w:r>
          </w:p>
        </w:tc>
        <w:tc>
          <w:tcPr>
            <w:tcW w:w="483" w:type="pct"/>
            <w:hideMark/>
          </w:tcPr>
          <w:p w14:paraId="22E1B8D7" w14:textId="77777777" w:rsidR="00A4606E" w:rsidRPr="00923237" w:rsidRDefault="00A4606E" w:rsidP="00F31DC2">
            <w:pPr>
              <w:pStyle w:val="NoSpacing"/>
              <w:rPr>
                <w:rFonts w:cstheme="minorHAnsi"/>
                <w:sz w:val="20"/>
                <w:szCs w:val="20"/>
              </w:rPr>
            </w:pPr>
            <w:r w:rsidRPr="00923237">
              <w:rPr>
                <w:rFonts w:cstheme="minorHAnsi"/>
                <w:sz w:val="20"/>
                <w:szCs w:val="20"/>
              </w:rPr>
              <w:t>0.4974</w:t>
            </w:r>
          </w:p>
        </w:tc>
        <w:tc>
          <w:tcPr>
            <w:tcW w:w="483" w:type="pct"/>
            <w:hideMark/>
          </w:tcPr>
          <w:p w14:paraId="487CD9C3" w14:textId="77777777" w:rsidR="00A4606E" w:rsidRPr="00923237" w:rsidRDefault="00A4606E" w:rsidP="00F31DC2">
            <w:pPr>
              <w:pStyle w:val="NoSpacing"/>
              <w:rPr>
                <w:rFonts w:cstheme="minorHAnsi"/>
                <w:sz w:val="20"/>
                <w:szCs w:val="20"/>
              </w:rPr>
            </w:pPr>
            <w:r w:rsidRPr="00923237">
              <w:rPr>
                <w:rFonts w:cstheme="minorHAnsi"/>
                <w:sz w:val="20"/>
                <w:szCs w:val="20"/>
              </w:rPr>
              <w:t>0.3189</w:t>
            </w:r>
          </w:p>
        </w:tc>
        <w:tc>
          <w:tcPr>
            <w:tcW w:w="528" w:type="pct"/>
            <w:hideMark/>
          </w:tcPr>
          <w:p w14:paraId="78BAD684" w14:textId="77777777" w:rsidR="00A4606E" w:rsidRPr="00923237" w:rsidRDefault="00A4606E" w:rsidP="00F31DC2">
            <w:pPr>
              <w:pStyle w:val="NoSpacing"/>
              <w:rPr>
                <w:rFonts w:cstheme="minorHAnsi"/>
                <w:sz w:val="20"/>
                <w:szCs w:val="20"/>
              </w:rPr>
            </w:pPr>
            <w:r w:rsidRPr="00923237">
              <w:rPr>
                <w:rFonts w:cstheme="minorHAnsi"/>
                <w:sz w:val="20"/>
                <w:szCs w:val="20"/>
              </w:rPr>
              <w:t>0.3859</w:t>
            </w:r>
          </w:p>
        </w:tc>
        <w:tc>
          <w:tcPr>
            <w:tcW w:w="528" w:type="pct"/>
            <w:hideMark/>
          </w:tcPr>
          <w:p w14:paraId="32C48D80" w14:textId="77777777" w:rsidR="00A4606E" w:rsidRPr="00923237" w:rsidRDefault="00A4606E" w:rsidP="00F31DC2">
            <w:pPr>
              <w:pStyle w:val="NoSpacing"/>
              <w:rPr>
                <w:rFonts w:cstheme="minorHAnsi"/>
                <w:sz w:val="20"/>
                <w:szCs w:val="20"/>
              </w:rPr>
            </w:pPr>
            <w:r w:rsidRPr="00923237">
              <w:rPr>
                <w:rFonts w:cstheme="minorHAnsi"/>
                <w:sz w:val="20"/>
                <w:szCs w:val="20"/>
              </w:rPr>
              <w:t>0.5618</w:t>
            </w:r>
          </w:p>
        </w:tc>
        <w:tc>
          <w:tcPr>
            <w:tcW w:w="528" w:type="pct"/>
            <w:hideMark/>
          </w:tcPr>
          <w:p w14:paraId="3975319B" w14:textId="77777777" w:rsidR="00A4606E" w:rsidRPr="00923237" w:rsidRDefault="00A4606E" w:rsidP="00F31DC2">
            <w:pPr>
              <w:pStyle w:val="NoSpacing"/>
              <w:rPr>
                <w:rFonts w:cstheme="minorHAnsi"/>
                <w:sz w:val="20"/>
                <w:szCs w:val="20"/>
              </w:rPr>
            </w:pPr>
            <w:r w:rsidRPr="00923237">
              <w:rPr>
                <w:rFonts w:cstheme="minorHAnsi"/>
                <w:sz w:val="20"/>
                <w:szCs w:val="20"/>
              </w:rPr>
              <w:t>0.5926</w:t>
            </w:r>
          </w:p>
        </w:tc>
        <w:tc>
          <w:tcPr>
            <w:tcW w:w="528" w:type="pct"/>
            <w:hideMark/>
          </w:tcPr>
          <w:p w14:paraId="5FFCD36F" w14:textId="77777777" w:rsidR="00A4606E" w:rsidRPr="00923237" w:rsidRDefault="00A4606E" w:rsidP="00F31DC2">
            <w:pPr>
              <w:pStyle w:val="NoSpacing"/>
              <w:rPr>
                <w:rFonts w:cstheme="minorHAnsi"/>
                <w:sz w:val="20"/>
                <w:szCs w:val="20"/>
              </w:rPr>
            </w:pPr>
            <w:r w:rsidRPr="00923237">
              <w:rPr>
                <w:rFonts w:cstheme="minorHAnsi"/>
                <w:sz w:val="20"/>
                <w:szCs w:val="20"/>
              </w:rPr>
              <w:t>0.2885</w:t>
            </w:r>
          </w:p>
        </w:tc>
      </w:tr>
      <w:tr w:rsidR="00A4606E" w:rsidRPr="00923237" w14:paraId="5467A5EA" w14:textId="77777777" w:rsidTr="00160D46">
        <w:tc>
          <w:tcPr>
            <w:tcW w:w="1922" w:type="pct"/>
            <w:hideMark/>
          </w:tcPr>
          <w:p w14:paraId="4A9EAFB8" w14:textId="77777777" w:rsidR="00A4606E" w:rsidRPr="00923237" w:rsidRDefault="00A4606E" w:rsidP="00F31DC2">
            <w:pPr>
              <w:pStyle w:val="NoSpacing"/>
              <w:rPr>
                <w:rFonts w:cstheme="minorHAnsi"/>
                <w:sz w:val="20"/>
                <w:szCs w:val="20"/>
              </w:rPr>
            </w:pPr>
          </w:p>
        </w:tc>
        <w:tc>
          <w:tcPr>
            <w:tcW w:w="483" w:type="pct"/>
            <w:hideMark/>
          </w:tcPr>
          <w:p w14:paraId="44C7FC3D" w14:textId="77777777" w:rsidR="00A4606E" w:rsidRPr="00923237" w:rsidRDefault="00A4606E" w:rsidP="00F31DC2">
            <w:pPr>
              <w:pStyle w:val="NoSpacing"/>
              <w:rPr>
                <w:rFonts w:cstheme="minorHAnsi"/>
                <w:sz w:val="20"/>
                <w:szCs w:val="20"/>
              </w:rPr>
            </w:pPr>
            <w:r w:rsidRPr="00923237">
              <w:rPr>
                <w:rFonts w:cstheme="minorHAnsi"/>
                <w:sz w:val="20"/>
                <w:szCs w:val="20"/>
              </w:rPr>
              <w:t>[0.552]</w:t>
            </w:r>
          </w:p>
        </w:tc>
        <w:tc>
          <w:tcPr>
            <w:tcW w:w="483" w:type="pct"/>
            <w:hideMark/>
          </w:tcPr>
          <w:p w14:paraId="47247FA9" w14:textId="77777777" w:rsidR="00A4606E" w:rsidRPr="00923237" w:rsidRDefault="00A4606E" w:rsidP="00F31DC2">
            <w:pPr>
              <w:pStyle w:val="NoSpacing"/>
              <w:rPr>
                <w:rFonts w:cstheme="minorHAnsi"/>
                <w:sz w:val="20"/>
                <w:szCs w:val="20"/>
              </w:rPr>
            </w:pPr>
            <w:r w:rsidRPr="00923237">
              <w:rPr>
                <w:rFonts w:cstheme="minorHAnsi"/>
                <w:sz w:val="20"/>
                <w:szCs w:val="20"/>
              </w:rPr>
              <w:t>[0.701]</w:t>
            </w:r>
          </w:p>
        </w:tc>
        <w:tc>
          <w:tcPr>
            <w:tcW w:w="528" w:type="pct"/>
            <w:hideMark/>
          </w:tcPr>
          <w:p w14:paraId="5E424584" w14:textId="77777777" w:rsidR="00A4606E" w:rsidRPr="00923237" w:rsidRDefault="00A4606E" w:rsidP="00F31DC2">
            <w:pPr>
              <w:pStyle w:val="NoSpacing"/>
              <w:rPr>
                <w:rFonts w:cstheme="minorHAnsi"/>
                <w:sz w:val="20"/>
                <w:szCs w:val="20"/>
              </w:rPr>
            </w:pPr>
            <w:r w:rsidRPr="00923237">
              <w:rPr>
                <w:rFonts w:cstheme="minorHAnsi"/>
                <w:sz w:val="20"/>
                <w:szCs w:val="20"/>
              </w:rPr>
              <w:t>[0.642]</w:t>
            </w:r>
          </w:p>
        </w:tc>
        <w:tc>
          <w:tcPr>
            <w:tcW w:w="528" w:type="pct"/>
            <w:hideMark/>
          </w:tcPr>
          <w:p w14:paraId="2F71D1F7" w14:textId="77777777" w:rsidR="00A4606E" w:rsidRPr="00923237" w:rsidRDefault="00A4606E" w:rsidP="00F31DC2">
            <w:pPr>
              <w:pStyle w:val="NoSpacing"/>
              <w:rPr>
                <w:rFonts w:cstheme="minorHAnsi"/>
                <w:sz w:val="20"/>
                <w:szCs w:val="20"/>
              </w:rPr>
            </w:pPr>
            <w:r w:rsidRPr="00923237">
              <w:rPr>
                <w:rFonts w:cstheme="minorHAnsi"/>
                <w:sz w:val="20"/>
                <w:szCs w:val="20"/>
              </w:rPr>
              <w:t>[0.512]</w:t>
            </w:r>
          </w:p>
        </w:tc>
        <w:tc>
          <w:tcPr>
            <w:tcW w:w="528" w:type="pct"/>
            <w:hideMark/>
          </w:tcPr>
          <w:p w14:paraId="3C90B19E" w14:textId="77777777" w:rsidR="00A4606E" w:rsidRPr="00923237" w:rsidRDefault="00A4606E" w:rsidP="00F31DC2">
            <w:pPr>
              <w:pStyle w:val="NoSpacing"/>
              <w:rPr>
                <w:rFonts w:cstheme="minorHAnsi"/>
                <w:sz w:val="20"/>
                <w:szCs w:val="20"/>
              </w:rPr>
            </w:pPr>
            <w:r w:rsidRPr="00923237">
              <w:rPr>
                <w:rFonts w:cstheme="minorHAnsi"/>
                <w:sz w:val="20"/>
                <w:szCs w:val="20"/>
              </w:rPr>
              <w:t>[0.491]</w:t>
            </w:r>
          </w:p>
        </w:tc>
        <w:tc>
          <w:tcPr>
            <w:tcW w:w="528" w:type="pct"/>
            <w:hideMark/>
          </w:tcPr>
          <w:p w14:paraId="15FADFC8" w14:textId="77777777" w:rsidR="00A4606E" w:rsidRPr="00923237" w:rsidRDefault="00A4606E" w:rsidP="00F31DC2">
            <w:pPr>
              <w:pStyle w:val="NoSpacing"/>
              <w:rPr>
                <w:rFonts w:cstheme="minorHAnsi"/>
                <w:sz w:val="20"/>
                <w:szCs w:val="20"/>
              </w:rPr>
            </w:pPr>
            <w:r w:rsidRPr="00923237">
              <w:rPr>
                <w:rFonts w:cstheme="minorHAnsi"/>
                <w:sz w:val="20"/>
                <w:szCs w:val="20"/>
              </w:rPr>
              <w:t>[0.73]</w:t>
            </w:r>
          </w:p>
        </w:tc>
      </w:tr>
      <w:tr w:rsidR="00A4606E" w:rsidRPr="00923237" w14:paraId="23753494" w14:textId="77777777" w:rsidTr="00160D46">
        <w:tc>
          <w:tcPr>
            <w:tcW w:w="1922" w:type="pct"/>
            <w:hideMark/>
          </w:tcPr>
          <w:p w14:paraId="2754ECEF" w14:textId="77777777" w:rsidR="00A4606E" w:rsidRPr="00923237" w:rsidRDefault="00A4606E" w:rsidP="00F31DC2">
            <w:pPr>
              <w:pStyle w:val="NoSpacing"/>
              <w:rPr>
                <w:rFonts w:cstheme="minorHAnsi"/>
                <w:sz w:val="20"/>
                <w:szCs w:val="20"/>
              </w:rPr>
            </w:pPr>
            <w:r w:rsidRPr="00923237">
              <w:rPr>
                <w:rFonts w:cstheme="minorHAnsi"/>
                <w:sz w:val="20"/>
                <w:szCs w:val="20"/>
              </w:rPr>
              <w:t>Variable rate debt/total debt</w:t>
            </w:r>
          </w:p>
        </w:tc>
        <w:tc>
          <w:tcPr>
            <w:tcW w:w="483" w:type="pct"/>
            <w:hideMark/>
          </w:tcPr>
          <w:p w14:paraId="00124806" w14:textId="77777777" w:rsidR="00A4606E" w:rsidRPr="00923237" w:rsidRDefault="00A4606E" w:rsidP="00F31DC2">
            <w:pPr>
              <w:pStyle w:val="NoSpacing"/>
              <w:rPr>
                <w:rFonts w:cstheme="minorHAnsi"/>
                <w:sz w:val="20"/>
                <w:szCs w:val="20"/>
              </w:rPr>
            </w:pPr>
            <w:r w:rsidRPr="00923237">
              <w:rPr>
                <w:rFonts w:cstheme="minorHAnsi"/>
                <w:sz w:val="20"/>
                <w:szCs w:val="20"/>
              </w:rPr>
              <w:t>0.4318</w:t>
            </w:r>
          </w:p>
        </w:tc>
        <w:tc>
          <w:tcPr>
            <w:tcW w:w="483" w:type="pct"/>
            <w:hideMark/>
          </w:tcPr>
          <w:p w14:paraId="5861AE53" w14:textId="77777777" w:rsidR="00A4606E" w:rsidRPr="00923237" w:rsidRDefault="00A4606E" w:rsidP="00F31DC2">
            <w:pPr>
              <w:pStyle w:val="NoSpacing"/>
              <w:rPr>
                <w:rFonts w:cstheme="minorHAnsi"/>
                <w:sz w:val="20"/>
                <w:szCs w:val="20"/>
              </w:rPr>
            </w:pPr>
            <w:r w:rsidRPr="00923237">
              <w:rPr>
                <w:rFonts w:cstheme="minorHAnsi"/>
                <w:sz w:val="20"/>
                <w:szCs w:val="20"/>
              </w:rPr>
              <w:t>0.3857</w:t>
            </w:r>
          </w:p>
        </w:tc>
        <w:tc>
          <w:tcPr>
            <w:tcW w:w="528" w:type="pct"/>
            <w:hideMark/>
          </w:tcPr>
          <w:p w14:paraId="36697D12" w14:textId="77777777" w:rsidR="00A4606E" w:rsidRPr="00923237" w:rsidRDefault="00A4606E" w:rsidP="00F31DC2">
            <w:pPr>
              <w:pStyle w:val="NoSpacing"/>
              <w:rPr>
                <w:rFonts w:cstheme="minorHAnsi"/>
                <w:sz w:val="20"/>
                <w:szCs w:val="20"/>
              </w:rPr>
            </w:pPr>
            <w:r w:rsidRPr="00923237">
              <w:rPr>
                <w:rFonts w:cstheme="minorHAnsi"/>
                <w:sz w:val="20"/>
                <w:szCs w:val="20"/>
              </w:rPr>
              <w:t>0.3843</w:t>
            </w:r>
          </w:p>
        </w:tc>
        <w:tc>
          <w:tcPr>
            <w:tcW w:w="528" w:type="pct"/>
            <w:hideMark/>
          </w:tcPr>
          <w:p w14:paraId="07EFF7A1" w14:textId="77777777" w:rsidR="00A4606E" w:rsidRPr="00923237" w:rsidRDefault="00A4606E" w:rsidP="00F31DC2">
            <w:pPr>
              <w:pStyle w:val="NoSpacing"/>
              <w:rPr>
                <w:rFonts w:cstheme="minorHAnsi"/>
                <w:sz w:val="20"/>
                <w:szCs w:val="20"/>
              </w:rPr>
            </w:pPr>
            <w:r w:rsidRPr="00923237">
              <w:rPr>
                <w:rFonts w:cstheme="minorHAnsi"/>
                <w:sz w:val="20"/>
                <w:szCs w:val="20"/>
              </w:rPr>
              <w:t>0.5166</w:t>
            </w:r>
          </w:p>
        </w:tc>
        <w:tc>
          <w:tcPr>
            <w:tcW w:w="528" w:type="pct"/>
            <w:hideMark/>
          </w:tcPr>
          <w:p w14:paraId="1BFB9808" w14:textId="77777777" w:rsidR="00A4606E" w:rsidRPr="00923237" w:rsidRDefault="00A4606E" w:rsidP="00F31DC2">
            <w:pPr>
              <w:pStyle w:val="NoSpacing"/>
              <w:rPr>
                <w:rFonts w:cstheme="minorHAnsi"/>
                <w:sz w:val="20"/>
                <w:szCs w:val="20"/>
              </w:rPr>
            </w:pPr>
            <w:r w:rsidRPr="00923237">
              <w:rPr>
                <w:rFonts w:cstheme="minorHAnsi"/>
                <w:sz w:val="20"/>
                <w:szCs w:val="20"/>
              </w:rPr>
              <w:t>0.5012</w:t>
            </w:r>
          </w:p>
        </w:tc>
        <w:tc>
          <w:tcPr>
            <w:tcW w:w="528" w:type="pct"/>
            <w:hideMark/>
          </w:tcPr>
          <w:p w14:paraId="1E043BC2" w14:textId="77777777" w:rsidR="00A4606E" w:rsidRPr="00923237" w:rsidRDefault="00A4606E" w:rsidP="00F31DC2">
            <w:pPr>
              <w:pStyle w:val="NoSpacing"/>
              <w:rPr>
                <w:rFonts w:cstheme="minorHAnsi"/>
                <w:sz w:val="20"/>
                <w:szCs w:val="20"/>
              </w:rPr>
            </w:pPr>
            <w:r w:rsidRPr="00923237">
              <w:rPr>
                <w:rFonts w:cstheme="minorHAnsi"/>
                <w:sz w:val="20"/>
                <w:szCs w:val="20"/>
              </w:rPr>
              <w:t>0.5311</w:t>
            </w:r>
          </w:p>
        </w:tc>
      </w:tr>
      <w:tr w:rsidR="00A4606E" w:rsidRPr="00923237" w14:paraId="1A7274E4" w14:textId="77777777" w:rsidTr="00160D46">
        <w:tc>
          <w:tcPr>
            <w:tcW w:w="1922" w:type="pct"/>
            <w:hideMark/>
          </w:tcPr>
          <w:p w14:paraId="626EE6F5" w14:textId="77777777" w:rsidR="00A4606E" w:rsidRPr="00923237" w:rsidRDefault="00A4606E" w:rsidP="00F31DC2">
            <w:pPr>
              <w:pStyle w:val="NoSpacing"/>
              <w:rPr>
                <w:rFonts w:cstheme="minorHAnsi"/>
                <w:sz w:val="20"/>
                <w:szCs w:val="20"/>
              </w:rPr>
            </w:pPr>
          </w:p>
        </w:tc>
        <w:tc>
          <w:tcPr>
            <w:tcW w:w="483" w:type="pct"/>
            <w:hideMark/>
          </w:tcPr>
          <w:p w14:paraId="539F32FF" w14:textId="77777777" w:rsidR="00A4606E" w:rsidRPr="00923237" w:rsidRDefault="00A4606E" w:rsidP="00F31DC2">
            <w:pPr>
              <w:pStyle w:val="NoSpacing"/>
              <w:rPr>
                <w:rFonts w:cstheme="minorHAnsi"/>
                <w:sz w:val="20"/>
                <w:szCs w:val="20"/>
              </w:rPr>
            </w:pPr>
            <w:r w:rsidRPr="00923237">
              <w:rPr>
                <w:rFonts w:cstheme="minorHAnsi"/>
                <w:sz w:val="20"/>
                <w:szCs w:val="20"/>
              </w:rPr>
              <w:t>[0.253]</w:t>
            </w:r>
          </w:p>
        </w:tc>
        <w:tc>
          <w:tcPr>
            <w:tcW w:w="483" w:type="pct"/>
            <w:hideMark/>
          </w:tcPr>
          <w:p w14:paraId="1D74535B" w14:textId="77777777" w:rsidR="00A4606E" w:rsidRPr="00923237" w:rsidRDefault="00A4606E" w:rsidP="00F31DC2">
            <w:pPr>
              <w:pStyle w:val="NoSpacing"/>
              <w:rPr>
                <w:rFonts w:cstheme="minorHAnsi"/>
                <w:sz w:val="20"/>
                <w:szCs w:val="20"/>
              </w:rPr>
            </w:pPr>
            <w:r w:rsidRPr="00923237">
              <w:rPr>
                <w:rFonts w:cstheme="minorHAnsi"/>
                <w:sz w:val="20"/>
                <w:szCs w:val="20"/>
              </w:rPr>
              <w:t>[0.301]</w:t>
            </w:r>
          </w:p>
        </w:tc>
        <w:tc>
          <w:tcPr>
            <w:tcW w:w="528" w:type="pct"/>
            <w:hideMark/>
          </w:tcPr>
          <w:p w14:paraId="12AE810F" w14:textId="77777777" w:rsidR="00A4606E" w:rsidRPr="00923237" w:rsidRDefault="00A4606E" w:rsidP="00F31DC2">
            <w:pPr>
              <w:pStyle w:val="NoSpacing"/>
              <w:rPr>
                <w:rFonts w:cstheme="minorHAnsi"/>
                <w:sz w:val="20"/>
                <w:szCs w:val="20"/>
              </w:rPr>
            </w:pPr>
            <w:r w:rsidRPr="00923237">
              <w:rPr>
                <w:rFonts w:cstheme="minorHAnsi"/>
                <w:sz w:val="20"/>
                <w:szCs w:val="20"/>
              </w:rPr>
              <w:t>[0.303]</w:t>
            </w:r>
          </w:p>
        </w:tc>
        <w:tc>
          <w:tcPr>
            <w:tcW w:w="528" w:type="pct"/>
            <w:hideMark/>
          </w:tcPr>
          <w:p w14:paraId="4B99DC5D" w14:textId="77777777" w:rsidR="00A4606E" w:rsidRPr="00923237" w:rsidRDefault="00A4606E" w:rsidP="00F31DC2">
            <w:pPr>
              <w:pStyle w:val="NoSpacing"/>
              <w:rPr>
                <w:rFonts w:cstheme="minorHAnsi"/>
                <w:sz w:val="20"/>
                <w:szCs w:val="20"/>
              </w:rPr>
            </w:pPr>
            <w:r w:rsidRPr="00923237">
              <w:rPr>
                <w:rFonts w:cstheme="minorHAnsi"/>
                <w:sz w:val="20"/>
                <w:szCs w:val="20"/>
              </w:rPr>
              <w:t>[0.18]</w:t>
            </w:r>
          </w:p>
        </w:tc>
        <w:tc>
          <w:tcPr>
            <w:tcW w:w="528" w:type="pct"/>
            <w:hideMark/>
          </w:tcPr>
          <w:p w14:paraId="68A7B34D" w14:textId="77777777" w:rsidR="00A4606E" w:rsidRPr="00923237" w:rsidRDefault="00A4606E" w:rsidP="00F31DC2">
            <w:pPr>
              <w:pStyle w:val="NoSpacing"/>
              <w:rPr>
                <w:rFonts w:cstheme="minorHAnsi"/>
                <w:sz w:val="20"/>
                <w:szCs w:val="20"/>
              </w:rPr>
            </w:pPr>
            <w:r w:rsidRPr="00923237">
              <w:rPr>
                <w:rFonts w:cstheme="minorHAnsi"/>
                <w:sz w:val="20"/>
                <w:szCs w:val="20"/>
              </w:rPr>
              <w:t>[0.19]</w:t>
            </w:r>
          </w:p>
        </w:tc>
        <w:tc>
          <w:tcPr>
            <w:tcW w:w="528" w:type="pct"/>
            <w:hideMark/>
          </w:tcPr>
          <w:p w14:paraId="049670CF" w14:textId="77777777" w:rsidR="00A4606E" w:rsidRPr="00923237" w:rsidRDefault="00A4606E" w:rsidP="00F31DC2">
            <w:pPr>
              <w:pStyle w:val="NoSpacing"/>
              <w:rPr>
                <w:rFonts w:cstheme="minorHAnsi"/>
                <w:sz w:val="20"/>
                <w:szCs w:val="20"/>
              </w:rPr>
            </w:pPr>
            <w:r w:rsidRPr="00923237">
              <w:rPr>
                <w:rFonts w:cstheme="minorHAnsi"/>
                <w:sz w:val="20"/>
                <w:szCs w:val="20"/>
              </w:rPr>
              <w:t>[0.179]</w:t>
            </w:r>
          </w:p>
        </w:tc>
      </w:tr>
      <w:tr w:rsidR="00A4606E" w:rsidRPr="00923237" w14:paraId="729BE245" w14:textId="77777777" w:rsidTr="00160D46">
        <w:tc>
          <w:tcPr>
            <w:tcW w:w="1922" w:type="pct"/>
            <w:hideMark/>
          </w:tcPr>
          <w:p w14:paraId="33FB1171" w14:textId="77777777" w:rsidR="00A4606E" w:rsidRPr="00923237" w:rsidRDefault="00A4606E" w:rsidP="00F31DC2">
            <w:pPr>
              <w:pStyle w:val="NoSpacing"/>
              <w:rPr>
                <w:rFonts w:cstheme="minorHAnsi"/>
                <w:sz w:val="20"/>
                <w:szCs w:val="20"/>
              </w:rPr>
            </w:pPr>
            <w:r w:rsidRPr="00923237">
              <w:rPr>
                <w:rFonts w:cstheme="minorHAnsi"/>
                <w:sz w:val="20"/>
                <w:szCs w:val="20"/>
              </w:rPr>
              <w:t>Debt due in 1 year/total debt</w:t>
            </w:r>
          </w:p>
        </w:tc>
        <w:tc>
          <w:tcPr>
            <w:tcW w:w="483" w:type="pct"/>
            <w:hideMark/>
          </w:tcPr>
          <w:p w14:paraId="41D8E1E2" w14:textId="77777777" w:rsidR="00A4606E" w:rsidRPr="00923237" w:rsidRDefault="00A4606E" w:rsidP="00F31DC2">
            <w:pPr>
              <w:pStyle w:val="NoSpacing"/>
              <w:rPr>
                <w:rFonts w:cstheme="minorHAnsi"/>
                <w:sz w:val="20"/>
                <w:szCs w:val="20"/>
              </w:rPr>
            </w:pPr>
            <w:r w:rsidRPr="00923237">
              <w:rPr>
                <w:rFonts w:cstheme="minorHAnsi"/>
                <w:sz w:val="20"/>
                <w:szCs w:val="20"/>
              </w:rPr>
              <w:t>1.18</w:t>
            </w:r>
          </w:p>
        </w:tc>
        <w:tc>
          <w:tcPr>
            <w:tcW w:w="483" w:type="pct"/>
            <w:hideMark/>
          </w:tcPr>
          <w:p w14:paraId="385E8008" w14:textId="77777777" w:rsidR="00A4606E" w:rsidRPr="00923237" w:rsidRDefault="00A4606E" w:rsidP="00F31DC2">
            <w:pPr>
              <w:pStyle w:val="NoSpacing"/>
              <w:rPr>
                <w:rFonts w:cstheme="minorHAnsi"/>
                <w:sz w:val="20"/>
                <w:szCs w:val="20"/>
              </w:rPr>
            </w:pPr>
            <w:r w:rsidRPr="00923237">
              <w:rPr>
                <w:rFonts w:cstheme="minorHAnsi"/>
                <w:sz w:val="20"/>
                <w:szCs w:val="20"/>
              </w:rPr>
              <w:t>0.9713</w:t>
            </w:r>
          </w:p>
        </w:tc>
        <w:tc>
          <w:tcPr>
            <w:tcW w:w="528" w:type="pct"/>
            <w:hideMark/>
          </w:tcPr>
          <w:p w14:paraId="1C628016" w14:textId="77777777" w:rsidR="00A4606E" w:rsidRPr="00923237" w:rsidRDefault="00A4606E" w:rsidP="00F31DC2">
            <w:pPr>
              <w:pStyle w:val="NoSpacing"/>
              <w:rPr>
                <w:rFonts w:cstheme="minorHAnsi"/>
                <w:sz w:val="20"/>
                <w:szCs w:val="20"/>
              </w:rPr>
            </w:pPr>
            <w:r w:rsidRPr="00923237">
              <w:rPr>
                <w:rFonts w:cstheme="minorHAnsi"/>
                <w:sz w:val="20"/>
                <w:szCs w:val="20"/>
              </w:rPr>
              <w:t>1.1920</w:t>
            </w:r>
          </w:p>
        </w:tc>
        <w:tc>
          <w:tcPr>
            <w:tcW w:w="528" w:type="pct"/>
            <w:hideMark/>
          </w:tcPr>
          <w:p w14:paraId="09D882EB" w14:textId="77777777" w:rsidR="00A4606E" w:rsidRPr="00923237" w:rsidRDefault="00A4606E" w:rsidP="00F31DC2">
            <w:pPr>
              <w:pStyle w:val="NoSpacing"/>
              <w:rPr>
                <w:rFonts w:cstheme="minorHAnsi"/>
                <w:sz w:val="20"/>
                <w:szCs w:val="20"/>
              </w:rPr>
            </w:pPr>
            <w:r w:rsidRPr="00923237">
              <w:rPr>
                <w:rFonts w:cstheme="minorHAnsi"/>
                <w:sz w:val="20"/>
                <w:szCs w:val="20"/>
              </w:rPr>
              <w:t>0.7583</w:t>
            </w:r>
          </w:p>
        </w:tc>
        <w:tc>
          <w:tcPr>
            <w:tcW w:w="528" w:type="pct"/>
            <w:hideMark/>
          </w:tcPr>
          <w:p w14:paraId="52232A51" w14:textId="77777777" w:rsidR="00A4606E" w:rsidRPr="00923237" w:rsidRDefault="00A4606E" w:rsidP="00F31DC2">
            <w:pPr>
              <w:pStyle w:val="NoSpacing"/>
              <w:rPr>
                <w:rFonts w:cstheme="minorHAnsi"/>
                <w:sz w:val="20"/>
                <w:szCs w:val="20"/>
              </w:rPr>
            </w:pPr>
            <w:r w:rsidRPr="00923237">
              <w:rPr>
                <w:rFonts w:cstheme="minorHAnsi"/>
                <w:sz w:val="20"/>
                <w:szCs w:val="20"/>
              </w:rPr>
              <w:t>0.7285</w:t>
            </w:r>
          </w:p>
        </w:tc>
        <w:tc>
          <w:tcPr>
            <w:tcW w:w="528" w:type="pct"/>
            <w:hideMark/>
          </w:tcPr>
          <w:p w14:paraId="2A1B4111" w14:textId="77777777" w:rsidR="00A4606E" w:rsidRPr="00923237" w:rsidRDefault="00A4606E" w:rsidP="00F31DC2">
            <w:pPr>
              <w:pStyle w:val="NoSpacing"/>
              <w:rPr>
                <w:rFonts w:cstheme="minorHAnsi"/>
                <w:sz w:val="20"/>
                <w:szCs w:val="20"/>
              </w:rPr>
            </w:pPr>
            <w:r w:rsidRPr="00923237">
              <w:rPr>
                <w:rFonts w:cstheme="minorHAnsi"/>
                <w:sz w:val="20"/>
                <w:szCs w:val="20"/>
              </w:rPr>
              <w:t>1.1198</w:t>
            </w:r>
          </w:p>
        </w:tc>
      </w:tr>
      <w:tr w:rsidR="00A4606E" w:rsidRPr="00923237" w14:paraId="79ADCDB6" w14:textId="77777777" w:rsidTr="00160D46">
        <w:tc>
          <w:tcPr>
            <w:tcW w:w="1922" w:type="pct"/>
            <w:hideMark/>
          </w:tcPr>
          <w:p w14:paraId="61445AA3" w14:textId="77777777" w:rsidR="00A4606E" w:rsidRPr="00923237" w:rsidRDefault="00A4606E" w:rsidP="00F31DC2">
            <w:pPr>
              <w:pStyle w:val="NoSpacing"/>
              <w:rPr>
                <w:rFonts w:cstheme="minorHAnsi"/>
                <w:sz w:val="20"/>
                <w:szCs w:val="20"/>
              </w:rPr>
            </w:pPr>
          </w:p>
        </w:tc>
        <w:tc>
          <w:tcPr>
            <w:tcW w:w="483" w:type="pct"/>
            <w:hideMark/>
          </w:tcPr>
          <w:p w14:paraId="16561CDF" w14:textId="77777777" w:rsidR="00A4606E" w:rsidRPr="00923237" w:rsidRDefault="00A4606E" w:rsidP="00F31DC2">
            <w:pPr>
              <w:pStyle w:val="NoSpacing"/>
              <w:rPr>
                <w:rFonts w:cstheme="minorHAnsi"/>
                <w:sz w:val="20"/>
                <w:szCs w:val="20"/>
              </w:rPr>
            </w:pPr>
            <w:r w:rsidRPr="00923237">
              <w:rPr>
                <w:rFonts w:cstheme="minorHAnsi"/>
                <w:sz w:val="20"/>
                <w:szCs w:val="20"/>
              </w:rPr>
              <w:t>[0.608]</w:t>
            </w:r>
          </w:p>
        </w:tc>
        <w:tc>
          <w:tcPr>
            <w:tcW w:w="483" w:type="pct"/>
            <w:hideMark/>
          </w:tcPr>
          <w:p w14:paraId="009E61F2" w14:textId="77777777" w:rsidR="00A4606E" w:rsidRPr="00923237" w:rsidRDefault="00A4606E" w:rsidP="00F31DC2">
            <w:pPr>
              <w:pStyle w:val="NoSpacing"/>
              <w:rPr>
                <w:rFonts w:cstheme="minorHAnsi"/>
                <w:sz w:val="20"/>
                <w:szCs w:val="20"/>
              </w:rPr>
            </w:pPr>
            <w:r w:rsidRPr="00923237">
              <w:rPr>
                <w:rFonts w:cstheme="minorHAnsi"/>
                <w:sz w:val="20"/>
                <w:szCs w:val="20"/>
              </w:rPr>
              <w:t>[0.669]</w:t>
            </w:r>
          </w:p>
        </w:tc>
        <w:tc>
          <w:tcPr>
            <w:tcW w:w="528" w:type="pct"/>
            <w:hideMark/>
          </w:tcPr>
          <w:p w14:paraId="5720269A" w14:textId="77777777" w:rsidR="00A4606E" w:rsidRPr="00923237" w:rsidRDefault="00A4606E" w:rsidP="00F31DC2">
            <w:pPr>
              <w:pStyle w:val="NoSpacing"/>
              <w:rPr>
                <w:rFonts w:cstheme="minorHAnsi"/>
                <w:sz w:val="20"/>
                <w:szCs w:val="20"/>
              </w:rPr>
            </w:pPr>
            <w:r w:rsidRPr="00923237">
              <w:rPr>
                <w:rFonts w:cstheme="minorHAnsi"/>
                <w:sz w:val="20"/>
                <w:szCs w:val="20"/>
              </w:rPr>
              <w:t>[0.600]</w:t>
            </w:r>
          </w:p>
        </w:tc>
        <w:tc>
          <w:tcPr>
            <w:tcW w:w="528" w:type="pct"/>
            <w:hideMark/>
          </w:tcPr>
          <w:p w14:paraId="0775C9CD" w14:textId="77777777" w:rsidR="00A4606E" w:rsidRPr="00923237" w:rsidRDefault="00A4606E" w:rsidP="00F31DC2">
            <w:pPr>
              <w:pStyle w:val="NoSpacing"/>
              <w:rPr>
                <w:rFonts w:cstheme="minorHAnsi"/>
                <w:sz w:val="20"/>
                <w:szCs w:val="20"/>
              </w:rPr>
            </w:pPr>
            <w:r w:rsidRPr="00923237">
              <w:rPr>
                <w:rFonts w:cstheme="minorHAnsi"/>
                <w:sz w:val="20"/>
                <w:szCs w:val="20"/>
              </w:rPr>
              <w:t>[0.74]</w:t>
            </w:r>
          </w:p>
        </w:tc>
        <w:tc>
          <w:tcPr>
            <w:tcW w:w="528" w:type="pct"/>
            <w:hideMark/>
          </w:tcPr>
          <w:p w14:paraId="4CCB72F9" w14:textId="77777777" w:rsidR="00A4606E" w:rsidRPr="00923237" w:rsidRDefault="00A4606E" w:rsidP="00F31DC2">
            <w:pPr>
              <w:pStyle w:val="NoSpacing"/>
              <w:rPr>
                <w:rFonts w:cstheme="minorHAnsi"/>
                <w:sz w:val="20"/>
                <w:szCs w:val="20"/>
              </w:rPr>
            </w:pPr>
            <w:r w:rsidRPr="00923237">
              <w:rPr>
                <w:rFonts w:cstheme="minorHAnsi"/>
                <w:sz w:val="20"/>
                <w:szCs w:val="20"/>
              </w:rPr>
              <w:t>[0.752]</w:t>
            </w:r>
          </w:p>
        </w:tc>
        <w:tc>
          <w:tcPr>
            <w:tcW w:w="528" w:type="pct"/>
            <w:hideMark/>
          </w:tcPr>
          <w:p w14:paraId="34068875" w14:textId="77777777" w:rsidR="00A4606E" w:rsidRPr="00923237" w:rsidRDefault="00A4606E" w:rsidP="00F31DC2">
            <w:pPr>
              <w:pStyle w:val="NoSpacing"/>
              <w:rPr>
                <w:rFonts w:cstheme="minorHAnsi"/>
                <w:sz w:val="20"/>
                <w:szCs w:val="20"/>
              </w:rPr>
            </w:pPr>
            <w:r w:rsidRPr="00923237">
              <w:rPr>
                <w:rFonts w:cstheme="minorHAnsi"/>
                <w:sz w:val="20"/>
                <w:szCs w:val="20"/>
              </w:rPr>
              <w:t>[0.630]</w:t>
            </w:r>
          </w:p>
        </w:tc>
      </w:tr>
      <w:tr w:rsidR="00A4606E" w:rsidRPr="00923237" w14:paraId="5E5EBB07" w14:textId="77777777" w:rsidTr="00160D46">
        <w:tc>
          <w:tcPr>
            <w:tcW w:w="1922" w:type="pct"/>
            <w:hideMark/>
          </w:tcPr>
          <w:p w14:paraId="1BB9BDD3" w14:textId="77777777" w:rsidR="00A4606E" w:rsidRPr="00923237" w:rsidRDefault="00A4606E" w:rsidP="00F31DC2">
            <w:pPr>
              <w:pStyle w:val="NoSpacing"/>
              <w:rPr>
                <w:rFonts w:cstheme="minorHAnsi"/>
                <w:sz w:val="20"/>
                <w:szCs w:val="20"/>
              </w:rPr>
            </w:pPr>
            <w:r w:rsidRPr="00923237">
              <w:rPr>
                <w:rFonts w:cstheme="minorHAnsi"/>
                <w:sz w:val="20"/>
                <w:szCs w:val="20"/>
              </w:rPr>
              <w:t>Debt due in 2–3 year/total debt</w:t>
            </w:r>
          </w:p>
        </w:tc>
        <w:tc>
          <w:tcPr>
            <w:tcW w:w="483" w:type="pct"/>
            <w:hideMark/>
          </w:tcPr>
          <w:p w14:paraId="3FB4011F" w14:textId="77777777" w:rsidR="00A4606E" w:rsidRPr="00923237" w:rsidRDefault="00A4606E" w:rsidP="00F31DC2">
            <w:pPr>
              <w:pStyle w:val="NoSpacing"/>
              <w:rPr>
                <w:rFonts w:cstheme="minorHAnsi"/>
                <w:sz w:val="20"/>
                <w:szCs w:val="20"/>
              </w:rPr>
            </w:pPr>
            <w:r w:rsidRPr="00923237">
              <w:rPr>
                <w:rFonts w:cstheme="minorHAnsi"/>
                <w:sz w:val="20"/>
                <w:szCs w:val="20"/>
              </w:rPr>
              <w:t>−1.167</w:t>
            </w:r>
          </w:p>
        </w:tc>
        <w:tc>
          <w:tcPr>
            <w:tcW w:w="483" w:type="pct"/>
            <w:hideMark/>
          </w:tcPr>
          <w:p w14:paraId="779BE850" w14:textId="77777777" w:rsidR="00A4606E" w:rsidRPr="00923237" w:rsidRDefault="00A4606E" w:rsidP="00F31DC2">
            <w:pPr>
              <w:pStyle w:val="NoSpacing"/>
              <w:rPr>
                <w:rFonts w:cstheme="minorHAnsi"/>
                <w:sz w:val="20"/>
                <w:szCs w:val="20"/>
              </w:rPr>
            </w:pPr>
            <w:r w:rsidRPr="00923237">
              <w:rPr>
                <w:rFonts w:cstheme="minorHAnsi"/>
                <w:sz w:val="20"/>
                <w:szCs w:val="20"/>
              </w:rPr>
              <w:t>−1.146</w:t>
            </w:r>
          </w:p>
        </w:tc>
        <w:tc>
          <w:tcPr>
            <w:tcW w:w="528" w:type="pct"/>
            <w:hideMark/>
          </w:tcPr>
          <w:p w14:paraId="332C2E0A" w14:textId="77777777" w:rsidR="00A4606E" w:rsidRPr="00923237" w:rsidRDefault="00A4606E" w:rsidP="00F31DC2">
            <w:pPr>
              <w:pStyle w:val="NoSpacing"/>
              <w:rPr>
                <w:rFonts w:cstheme="minorHAnsi"/>
                <w:sz w:val="20"/>
                <w:szCs w:val="20"/>
              </w:rPr>
            </w:pPr>
            <w:r w:rsidRPr="00923237">
              <w:rPr>
                <w:rFonts w:cstheme="minorHAnsi"/>
                <w:sz w:val="20"/>
                <w:szCs w:val="20"/>
              </w:rPr>
              <w:t>−1.1628</w:t>
            </w:r>
          </w:p>
        </w:tc>
        <w:tc>
          <w:tcPr>
            <w:tcW w:w="528" w:type="pct"/>
            <w:hideMark/>
          </w:tcPr>
          <w:p w14:paraId="40EEFB8B" w14:textId="77777777" w:rsidR="00A4606E" w:rsidRPr="00923237" w:rsidRDefault="00A4606E" w:rsidP="00F31DC2">
            <w:pPr>
              <w:pStyle w:val="NoSpacing"/>
              <w:rPr>
                <w:rFonts w:cstheme="minorHAnsi"/>
                <w:sz w:val="20"/>
                <w:szCs w:val="20"/>
              </w:rPr>
            </w:pPr>
            <w:r w:rsidRPr="00923237">
              <w:rPr>
                <w:rFonts w:cstheme="minorHAnsi"/>
                <w:sz w:val="20"/>
                <w:szCs w:val="20"/>
              </w:rPr>
              <w:t>−1.0912</w:t>
            </w:r>
          </w:p>
        </w:tc>
        <w:tc>
          <w:tcPr>
            <w:tcW w:w="528" w:type="pct"/>
            <w:hideMark/>
          </w:tcPr>
          <w:p w14:paraId="2B34C908" w14:textId="77777777" w:rsidR="00A4606E" w:rsidRPr="00923237" w:rsidRDefault="00A4606E" w:rsidP="00F31DC2">
            <w:pPr>
              <w:pStyle w:val="NoSpacing"/>
              <w:rPr>
                <w:rFonts w:cstheme="minorHAnsi"/>
                <w:sz w:val="20"/>
                <w:szCs w:val="20"/>
              </w:rPr>
            </w:pPr>
            <w:r w:rsidRPr="00923237">
              <w:rPr>
                <w:rFonts w:cstheme="minorHAnsi"/>
                <w:sz w:val="20"/>
                <w:szCs w:val="20"/>
              </w:rPr>
              <w:t>−0.9474</w:t>
            </w:r>
          </w:p>
        </w:tc>
        <w:tc>
          <w:tcPr>
            <w:tcW w:w="528" w:type="pct"/>
            <w:hideMark/>
          </w:tcPr>
          <w:p w14:paraId="231100F7" w14:textId="77777777" w:rsidR="00A4606E" w:rsidRPr="00923237" w:rsidRDefault="00A4606E" w:rsidP="00F31DC2">
            <w:pPr>
              <w:pStyle w:val="NoSpacing"/>
              <w:rPr>
                <w:rFonts w:cstheme="minorHAnsi"/>
                <w:sz w:val="20"/>
                <w:szCs w:val="20"/>
              </w:rPr>
            </w:pPr>
            <w:r w:rsidRPr="00923237">
              <w:rPr>
                <w:rFonts w:cstheme="minorHAnsi"/>
                <w:sz w:val="20"/>
                <w:szCs w:val="20"/>
              </w:rPr>
              <w:t>−0.7746</w:t>
            </w:r>
          </w:p>
        </w:tc>
      </w:tr>
      <w:tr w:rsidR="00A4606E" w:rsidRPr="00923237" w14:paraId="291F7C73" w14:textId="77777777" w:rsidTr="00160D46">
        <w:tc>
          <w:tcPr>
            <w:tcW w:w="1922" w:type="pct"/>
            <w:hideMark/>
          </w:tcPr>
          <w:p w14:paraId="7339D754" w14:textId="77777777" w:rsidR="00A4606E" w:rsidRPr="00923237" w:rsidRDefault="00A4606E" w:rsidP="00F31DC2">
            <w:pPr>
              <w:pStyle w:val="NoSpacing"/>
              <w:rPr>
                <w:rFonts w:cstheme="minorHAnsi"/>
                <w:sz w:val="20"/>
                <w:szCs w:val="20"/>
              </w:rPr>
            </w:pPr>
          </w:p>
        </w:tc>
        <w:tc>
          <w:tcPr>
            <w:tcW w:w="483" w:type="pct"/>
            <w:hideMark/>
          </w:tcPr>
          <w:p w14:paraId="0D069EEA" w14:textId="77777777" w:rsidR="00A4606E" w:rsidRPr="00923237" w:rsidRDefault="00A4606E" w:rsidP="00F31DC2">
            <w:pPr>
              <w:pStyle w:val="NoSpacing"/>
              <w:rPr>
                <w:rFonts w:cstheme="minorHAnsi"/>
                <w:sz w:val="20"/>
                <w:szCs w:val="20"/>
              </w:rPr>
            </w:pPr>
            <w:r w:rsidRPr="00923237">
              <w:rPr>
                <w:rFonts w:cstheme="minorHAnsi"/>
                <w:sz w:val="20"/>
                <w:szCs w:val="20"/>
              </w:rPr>
              <w:t>[0.192]</w:t>
            </w:r>
          </w:p>
        </w:tc>
        <w:tc>
          <w:tcPr>
            <w:tcW w:w="483" w:type="pct"/>
            <w:hideMark/>
          </w:tcPr>
          <w:p w14:paraId="520B31FA" w14:textId="77777777" w:rsidR="00A4606E" w:rsidRPr="00923237" w:rsidRDefault="00A4606E" w:rsidP="00F31DC2">
            <w:pPr>
              <w:pStyle w:val="NoSpacing"/>
              <w:rPr>
                <w:rFonts w:cstheme="minorHAnsi"/>
                <w:sz w:val="20"/>
                <w:szCs w:val="20"/>
              </w:rPr>
            </w:pPr>
            <w:r w:rsidRPr="00923237">
              <w:rPr>
                <w:rFonts w:cstheme="minorHAnsi"/>
                <w:sz w:val="20"/>
                <w:szCs w:val="20"/>
              </w:rPr>
              <w:t>[0.197]</w:t>
            </w:r>
          </w:p>
        </w:tc>
        <w:tc>
          <w:tcPr>
            <w:tcW w:w="528" w:type="pct"/>
            <w:hideMark/>
          </w:tcPr>
          <w:p w14:paraId="12891BCA" w14:textId="77777777" w:rsidR="00A4606E" w:rsidRPr="00923237" w:rsidRDefault="00A4606E" w:rsidP="00F31DC2">
            <w:pPr>
              <w:pStyle w:val="NoSpacing"/>
              <w:rPr>
                <w:rFonts w:cstheme="minorHAnsi"/>
                <w:sz w:val="20"/>
                <w:szCs w:val="20"/>
              </w:rPr>
            </w:pPr>
            <w:r w:rsidRPr="00923237">
              <w:rPr>
                <w:rFonts w:cstheme="minorHAnsi"/>
                <w:sz w:val="20"/>
                <w:szCs w:val="20"/>
              </w:rPr>
              <w:t>[0.1]</w:t>
            </w:r>
          </w:p>
        </w:tc>
        <w:tc>
          <w:tcPr>
            <w:tcW w:w="528" w:type="pct"/>
            <w:hideMark/>
          </w:tcPr>
          <w:p w14:paraId="30FBD14D" w14:textId="77777777" w:rsidR="00A4606E" w:rsidRPr="00923237" w:rsidRDefault="00A4606E" w:rsidP="00F31DC2">
            <w:pPr>
              <w:pStyle w:val="NoSpacing"/>
              <w:rPr>
                <w:rFonts w:cstheme="minorHAnsi"/>
                <w:sz w:val="20"/>
                <w:szCs w:val="20"/>
              </w:rPr>
            </w:pPr>
            <w:r w:rsidRPr="00923237">
              <w:rPr>
                <w:rFonts w:cstheme="minorHAnsi"/>
                <w:sz w:val="20"/>
                <w:szCs w:val="20"/>
              </w:rPr>
              <w:t>[0.226]</w:t>
            </w:r>
          </w:p>
        </w:tc>
        <w:tc>
          <w:tcPr>
            <w:tcW w:w="528" w:type="pct"/>
            <w:hideMark/>
          </w:tcPr>
          <w:p w14:paraId="4799444C" w14:textId="77777777" w:rsidR="00A4606E" w:rsidRPr="00923237" w:rsidRDefault="00A4606E" w:rsidP="00F31DC2">
            <w:pPr>
              <w:pStyle w:val="NoSpacing"/>
              <w:rPr>
                <w:rFonts w:cstheme="minorHAnsi"/>
                <w:sz w:val="20"/>
                <w:szCs w:val="20"/>
              </w:rPr>
            </w:pPr>
            <w:r w:rsidRPr="00923237">
              <w:rPr>
                <w:rFonts w:cstheme="minorHAnsi"/>
                <w:sz w:val="20"/>
                <w:szCs w:val="20"/>
              </w:rPr>
              <w:t>[0.303]</w:t>
            </w:r>
          </w:p>
        </w:tc>
        <w:tc>
          <w:tcPr>
            <w:tcW w:w="528" w:type="pct"/>
            <w:hideMark/>
          </w:tcPr>
          <w:p w14:paraId="5DDE02D5" w14:textId="77777777" w:rsidR="00A4606E" w:rsidRPr="00923237" w:rsidRDefault="00A4606E" w:rsidP="00F31DC2">
            <w:pPr>
              <w:pStyle w:val="NoSpacing"/>
              <w:rPr>
                <w:rFonts w:cstheme="minorHAnsi"/>
                <w:sz w:val="20"/>
                <w:szCs w:val="20"/>
              </w:rPr>
            </w:pPr>
            <w:r w:rsidRPr="00923237">
              <w:rPr>
                <w:rFonts w:cstheme="minorHAnsi"/>
                <w:sz w:val="20"/>
                <w:szCs w:val="20"/>
              </w:rPr>
              <w:t>[0.400]</w:t>
            </w:r>
          </w:p>
        </w:tc>
      </w:tr>
      <w:tr w:rsidR="00A4606E" w:rsidRPr="00923237" w14:paraId="61DCA77E" w14:textId="77777777" w:rsidTr="00160D46">
        <w:tc>
          <w:tcPr>
            <w:tcW w:w="1922" w:type="pct"/>
            <w:hideMark/>
          </w:tcPr>
          <w:p w14:paraId="37F5FDCD" w14:textId="77777777" w:rsidR="00A4606E" w:rsidRPr="00923237" w:rsidRDefault="00A4606E" w:rsidP="00F31DC2">
            <w:pPr>
              <w:pStyle w:val="NoSpacing"/>
              <w:rPr>
                <w:rFonts w:cstheme="minorHAnsi"/>
                <w:sz w:val="20"/>
                <w:szCs w:val="20"/>
              </w:rPr>
            </w:pPr>
            <w:proofErr w:type="gramStart"/>
            <w:r w:rsidRPr="00923237">
              <w:rPr>
                <w:rFonts w:cstheme="minorHAnsi"/>
                <w:sz w:val="20"/>
                <w:szCs w:val="20"/>
              </w:rPr>
              <w:t>Ln(</w:t>
            </w:r>
            <w:proofErr w:type="gramEnd"/>
            <w:r w:rsidRPr="00923237">
              <w:rPr>
                <w:rFonts w:cstheme="minorHAnsi"/>
                <w:sz w:val="20"/>
                <w:szCs w:val="20"/>
              </w:rPr>
              <w:t>board size)</w:t>
            </w:r>
          </w:p>
        </w:tc>
        <w:tc>
          <w:tcPr>
            <w:tcW w:w="483" w:type="pct"/>
            <w:hideMark/>
          </w:tcPr>
          <w:p w14:paraId="731679E3" w14:textId="77777777" w:rsidR="00A4606E" w:rsidRPr="00923237" w:rsidRDefault="00A4606E" w:rsidP="00F31DC2">
            <w:pPr>
              <w:pStyle w:val="NoSpacing"/>
              <w:rPr>
                <w:rFonts w:cstheme="minorHAnsi"/>
                <w:sz w:val="20"/>
                <w:szCs w:val="20"/>
              </w:rPr>
            </w:pPr>
          </w:p>
        </w:tc>
        <w:tc>
          <w:tcPr>
            <w:tcW w:w="483" w:type="pct"/>
            <w:hideMark/>
          </w:tcPr>
          <w:p w14:paraId="404EE031" w14:textId="77777777" w:rsidR="00A4606E" w:rsidRPr="00923237" w:rsidRDefault="00A4606E" w:rsidP="00F31DC2">
            <w:pPr>
              <w:pStyle w:val="NoSpacing"/>
              <w:rPr>
                <w:rFonts w:cstheme="minorHAnsi"/>
                <w:sz w:val="20"/>
                <w:szCs w:val="20"/>
              </w:rPr>
            </w:pPr>
          </w:p>
        </w:tc>
        <w:tc>
          <w:tcPr>
            <w:tcW w:w="528" w:type="pct"/>
            <w:hideMark/>
          </w:tcPr>
          <w:p w14:paraId="2CFB92D7" w14:textId="77777777" w:rsidR="00A4606E" w:rsidRPr="00923237" w:rsidRDefault="00A4606E" w:rsidP="00F31DC2">
            <w:pPr>
              <w:pStyle w:val="NoSpacing"/>
              <w:rPr>
                <w:rFonts w:cstheme="minorHAnsi"/>
                <w:sz w:val="20"/>
                <w:szCs w:val="20"/>
              </w:rPr>
            </w:pPr>
          </w:p>
        </w:tc>
        <w:tc>
          <w:tcPr>
            <w:tcW w:w="528" w:type="pct"/>
            <w:hideMark/>
          </w:tcPr>
          <w:p w14:paraId="4A3D102E" w14:textId="77777777" w:rsidR="00A4606E" w:rsidRPr="00923237" w:rsidRDefault="00A4606E" w:rsidP="00F31DC2">
            <w:pPr>
              <w:pStyle w:val="NoSpacing"/>
              <w:rPr>
                <w:rFonts w:cstheme="minorHAnsi"/>
                <w:sz w:val="20"/>
                <w:szCs w:val="20"/>
              </w:rPr>
            </w:pPr>
            <w:r w:rsidRPr="00923237">
              <w:rPr>
                <w:rFonts w:cstheme="minorHAnsi"/>
                <w:sz w:val="20"/>
                <w:szCs w:val="20"/>
              </w:rPr>
              <w:t>0.5588</w:t>
            </w:r>
          </w:p>
        </w:tc>
        <w:tc>
          <w:tcPr>
            <w:tcW w:w="528" w:type="pct"/>
            <w:hideMark/>
          </w:tcPr>
          <w:p w14:paraId="23A298E4" w14:textId="77777777" w:rsidR="00A4606E" w:rsidRPr="00923237" w:rsidRDefault="00A4606E" w:rsidP="00F31DC2">
            <w:pPr>
              <w:pStyle w:val="NoSpacing"/>
              <w:rPr>
                <w:rFonts w:cstheme="minorHAnsi"/>
                <w:sz w:val="20"/>
                <w:szCs w:val="20"/>
              </w:rPr>
            </w:pPr>
            <w:r w:rsidRPr="00923237">
              <w:rPr>
                <w:rFonts w:cstheme="minorHAnsi"/>
                <w:sz w:val="20"/>
                <w:szCs w:val="20"/>
              </w:rPr>
              <w:t>0.6383</w:t>
            </w:r>
          </w:p>
        </w:tc>
        <w:tc>
          <w:tcPr>
            <w:tcW w:w="528" w:type="pct"/>
            <w:hideMark/>
          </w:tcPr>
          <w:p w14:paraId="2FD0370D" w14:textId="77777777" w:rsidR="00A4606E" w:rsidRPr="00923237" w:rsidRDefault="00A4606E" w:rsidP="00F31DC2">
            <w:pPr>
              <w:pStyle w:val="NoSpacing"/>
              <w:rPr>
                <w:rFonts w:cstheme="minorHAnsi"/>
                <w:sz w:val="20"/>
                <w:szCs w:val="20"/>
              </w:rPr>
            </w:pPr>
            <w:r w:rsidRPr="00923237">
              <w:rPr>
                <w:rFonts w:cstheme="minorHAnsi"/>
                <w:sz w:val="20"/>
                <w:szCs w:val="20"/>
              </w:rPr>
              <w:t>0.6040</w:t>
            </w:r>
          </w:p>
        </w:tc>
      </w:tr>
      <w:tr w:rsidR="00A4606E" w:rsidRPr="00923237" w14:paraId="3AD02CA8" w14:textId="77777777" w:rsidTr="00160D46">
        <w:tc>
          <w:tcPr>
            <w:tcW w:w="1922" w:type="pct"/>
            <w:hideMark/>
          </w:tcPr>
          <w:p w14:paraId="69126855" w14:textId="77777777" w:rsidR="00A4606E" w:rsidRPr="00923237" w:rsidRDefault="00A4606E" w:rsidP="00F31DC2">
            <w:pPr>
              <w:pStyle w:val="NoSpacing"/>
              <w:rPr>
                <w:rFonts w:cstheme="minorHAnsi"/>
                <w:sz w:val="20"/>
                <w:szCs w:val="20"/>
              </w:rPr>
            </w:pPr>
          </w:p>
        </w:tc>
        <w:tc>
          <w:tcPr>
            <w:tcW w:w="483" w:type="pct"/>
            <w:hideMark/>
          </w:tcPr>
          <w:p w14:paraId="023983BD" w14:textId="77777777" w:rsidR="00A4606E" w:rsidRPr="00923237" w:rsidRDefault="00A4606E" w:rsidP="00F31DC2">
            <w:pPr>
              <w:pStyle w:val="NoSpacing"/>
              <w:rPr>
                <w:rFonts w:cstheme="minorHAnsi"/>
                <w:sz w:val="20"/>
                <w:szCs w:val="20"/>
              </w:rPr>
            </w:pPr>
          </w:p>
        </w:tc>
        <w:tc>
          <w:tcPr>
            <w:tcW w:w="483" w:type="pct"/>
            <w:hideMark/>
          </w:tcPr>
          <w:p w14:paraId="737F8AA0" w14:textId="77777777" w:rsidR="00A4606E" w:rsidRPr="00923237" w:rsidRDefault="00A4606E" w:rsidP="00F31DC2">
            <w:pPr>
              <w:pStyle w:val="NoSpacing"/>
              <w:rPr>
                <w:rFonts w:cstheme="minorHAnsi"/>
                <w:sz w:val="20"/>
                <w:szCs w:val="20"/>
              </w:rPr>
            </w:pPr>
          </w:p>
        </w:tc>
        <w:tc>
          <w:tcPr>
            <w:tcW w:w="528" w:type="pct"/>
            <w:hideMark/>
          </w:tcPr>
          <w:p w14:paraId="7EF61954" w14:textId="77777777" w:rsidR="00A4606E" w:rsidRPr="00923237" w:rsidRDefault="00A4606E" w:rsidP="00F31DC2">
            <w:pPr>
              <w:pStyle w:val="NoSpacing"/>
              <w:rPr>
                <w:rFonts w:cstheme="minorHAnsi"/>
                <w:sz w:val="20"/>
                <w:szCs w:val="20"/>
              </w:rPr>
            </w:pPr>
          </w:p>
        </w:tc>
        <w:tc>
          <w:tcPr>
            <w:tcW w:w="528" w:type="pct"/>
            <w:hideMark/>
          </w:tcPr>
          <w:p w14:paraId="4236B05D" w14:textId="77777777" w:rsidR="00A4606E" w:rsidRPr="00923237" w:rsidRDefault="00A4606E" w:rsidP="00F31DC2">
            <w:pPr>
              <w:pStyle w:val="NoSpacing"/>
              <w:rPr>
                <w:rFonts w:cstheme="minorHAnsi"/>
                <w:sz w:val="20"/>
                <w:szCs w:val="20"/>
              </w:rPr>
            </w:pPr>
            <w:r w:rsidRPr="00923237">
              <w:rPr>
                <w:rFonts w:cstheme="minorHAnsi"/>
                <w:sz w:val="20"/>
                <w:szCs w:val="20"/>
              </w:rPr>
              <w:t>[0.20]</w:t>
            </w:r>
          </w:p>
        </w:tc>
        <w:tc>
          <w:tcPr>
            <w:tcW w:w="528" w:type="pct"/>
            <w:hideMark/>
          </w:tcPr>
          <w:p w14:paraId="4718BB92" w14:textId="77777777" w:rsidR="00A4606E" w:rsidRPr="00923237" w:rsidRDefault="00A4606E" w:rsidP="00F31DC2">
            <w:pPr>
              <w:pStyle w:val="NoSpacing"/>
              <w:rPr>
                <w:rFonts w:cstheme="minorHAnsi"/>
                <w:sz w:val="20"/>
                <w:szCs w:val="20"/>
              </w:rPr>
            </w:pPr>
            <w:r w:rsidRPr="00923237">
              <w:rPr>
                <w:rFonts w:cstheme="minorHAnsi"/>
                <w:sz w:val="20"/>
                <w:szCs w:val="20"/>
              </w:rPr>
              <w:t>[0.161]</w:t>
            </w:r>
          </w:p>
        </w:tc>
        <w:tc>
          <w:tcPr>
            <w:tcW w:w="528" w:type="pct"/>
            <w:hideMark/>
          </w:tcPr>
          <w:p w14:paraId="1AE0BD70" w14:textId="77777777" w:rsidR="00A4606E" w:rsidRPr="00923237" w:rsidRDefault="00A4606E" w:rsidP="00F31DC2">
            <w:pPr>
              <w:pStyle w:val="NoSpacing"/>
              <w:rPr>
                <w:rFonts w:cstheme="minorHAnsi"/>
                <w:sz w:val="20"/>
                <w:szCs w:val="20"/>
              </w:rPr>
            </w:pPr>
            <w:r w:rsidRPr="00923237">
              <w:rPr>
                <w:rFonts w:cstheme="minorHAnsi"/>
                <w:sz w:val="20"/>
                <w:szCs w:val="20"/>
              </w:rPr>
              <w:t>[0.186]</w:t>
            </w:r>
          </w:p>
        </w:tc>
      </w:tr>
      <w:tr w:rsidR="00A4606E" w:rsidRPr="00923237" w14:paraId="137DA7D4" w14:textId="77777777" w:rsidTr="00160D46">
        <w:tc>
          <w:tcPr>
            <w:tcW w:w="1922" w:type="pct"/>
            <w:hideMark/>
          </w:tcPr>
          <w:p w14:paraId="5F4E00FF" w14:textId="77777777" w:rsidR="00A4606E" w:rsidRPr="00923237" w:rsidRDefault="00A4606E" w:rsidP="00F31DC2">
            <w:pPr>
              <w:pStyle w:val="NoSpacing"/>
              <w:rPr>
                <w:rFonts w:cstheme="minorHAnsi"/>
                <w:sz w:val="20"/>
                <w:szCs w:val="20"/>
              </w:rPr>
            </w:pPr>
            <w:r w:rsidRPr="00923237">
              <w:rPr>
                <w:rFonts w:cstheme="minorHAnsi"/>
                <w:sz w:val="20"/>
                <w:szCs w:val="20"/>
              </w:rPr>
              <w:t>Board independence</w:t>
            </w:r>
          </w:p>
        </w:tc>
        <w:tc>
          <w:tcPr>
            <w:tcW w:w="483" w:type="pct"/>
            <w:hideMark/>
          </w:tcPr>
          <w:p w14:paraId="4E8919EB" w14:textId="77777777" w:rsidR="00A4606E" w:rsidRPr="00923237" w:rsidRDefault="00A4606E" w:rsidP="00F31DC2">
            <w:pPr>
              <w:pStyle w:val="NoSpacing"/>
              <w:rPr>
                <w:rFonts w:cstheme="minorHAnsi"/>
                <w:sz w:val="20"/>
                <w:szCs w:val="20"/>
              </w:rPr>
            </w:pPr>
          </w:p>
        </w:tc>
        <w:tc>
          <w:tcPr>
            <w:tcW w:w="483" w:type="pct"/>
            <w:hideMark/>
          </w:tcPr>
          <w:p w14:paraId="7CB419B2" w14:textId="77777777" w:rsidR="00A4606E" w:rsidRPr="00923237" w:rsidRDefault="00A4606E" w:rsidP="00F31DC2">
            <w:pPr>
              <w:pStyle w:val="NoSpacing"/>
              <w:rPr>
                <w:rFonts w:cstheme="minorHAnsi"/>
                <w:sz w:val="20"/>
                <w:szCs w:val="20"/>
              </w:rPr>
            </w:pPr>
          </w:p>
        </w:tc>
        <w:tc>
          <w:tcPr>
            <w:tcW w:w="528" w:type="pct"/>
            <w:hideMark/>
          </w:tcPr>
          <w:p w14:paraId="244AACE3" w14:textId="77777777" w:rsidR="00A4606E" w:rsidRPr="00923237" w:rsidRDefault="00A4606E" w:rsidP="00F31DC2">
            <w:pPr>
              <w:pStyle w:val="NoSpacing"/>
              <w:rPr>
                <w:rFonts w:cstheme="minorHAnsi"/>
                <w:sz w:val="20"/>
                <w:szCs w:val="20"/>
              </w:rPr>
            </w:pPr>
          </w:p>
        </w:tc>
        <w:tc>
          <w:tcPr>
            <w:tcW w:w="528" w:type="pct"/>
            <w:hideMark/>
          </w:tcPr>
          <w:p w14:paraId="5FD7579B" w14:textId="77777777" w:rsidR="00A4606E" w:rsidRPr="00923237" w:rsidRDefault="00A4606E" w:rsidP="00F31DC2">
            <w:pPr>
              <w:pStyle w:val="NoSpacing"/>
              <w:rPr>
                <w:rFonts w:cstheme="minorHAnsi"/>
                <w:sz w:val="20"/>
                <w:szCs w:val="20"/>
              </w:rPr>
            </w:pPr>
            <w:r w:rsidRPr="00923237">
              <w:rPr>
                <w:rFonts w:cstheme="minorHAnsi"/>
                <w:sz w:val="20"/>
                <w:szCs w:val="20"/>
              </w:rPr>
              <w:t>0.2048</w:t>
            </w:r>
          </w:p>
        </w:tc>
        <w:tc>
          <w:tcPr>
            <w:tcW w:w="528" w:type="pct"/>
            <w:hideMark/>
          </w:tcPr>
          <w:p w14:paraId="6348B8A9" w14:textId="77777777" w:rsidR="00A4606E" w:rsidRPr="00923237" w:rsidRDefault="00A4606E" w:rsidP="00F31DC2">
            <w:pPr>
              <w:pStyle w:val="NoSpacing"/>
              <w:rPr>
                <w:rFonts w:cstheme="minorHAnsi"/>
                <w:sz w:val="20"/>
                <w:szCs w:val="20"/>
              </w:rPr>
            </w:pPr>
            <w:r w:rsidRPr="00923237">
              <w:rPr>
                <w:rFonts w:cstheme="minorHAnsi"/>
                <w:sz w:val="20"/>
                <w:szCs w:val="20"/>
              </w:rPr>
              <w:t>0.2366</w:t>
            </w:r>
          </w:p>
        </w:tc>
        <w:tc>
          <w:tcPr>
            <w:tcW w:w="528" w:type="pct"/>
            <w:hideMark/>
          </w:tcPr>
          <w:p w14:paraId="77E1260D" w14:textId="77777777" w:rsidR="00A4606E" w:rsidRPr="00923237" w:rsidRDefault="00A4606E" w:rsidP="00F31DC2">
            <w:pPr>
              <w:pStyle w:val="NoSpacing"/>
              <w:rPr>
                <w:rFonts w:cstheme="minorHAnsi"/>
                <w:sz w:val="20"/>
                <w:szCs w:val="20"/>
              </w:rPr>
            </w:pPr>
            <w:r w:rsidRPr="00923237">
              <w:rPr>
                <w:rFonts w:cstheme="minorHAnsi"/>
                <w:sz w:val="20"/>
                <w:szCs w:val="20"/>
              </w:rPr>
              <w:t>0.4458</w:t>
            </w:r>
          </w:p>
        </w:tc>
      </w:tr>
      <w:tr w:rsidR="00A4606E" w:rsidRPr="00923237" w14:paraId="2EBD5B34" w14:textId="77777777" w:rsidTr="00160D46">
        <w:tc>
          <w:tcPr>
            <w:tcW w:w="1922" w:type="pct"/>
            <w:hideMark/>
          </w:tcPr>
          <w:p w14:paraId="569C2118" w14:textId="77777777" w:rsidR="00A4606E" w:rsidRPr="00923237" w:rsidRDefault="00A4606E" w:rsidP="00F31DC2">
            <w:pPr>
              <w:pStyle w:val="NoSpacing"/>
              <w:rPr>
                <w:rFonts w:cstheme="minorHAnsi"/>
                <w:sz w:val="20"/>
                <w:szCs w:val="20"/>
              </w:rPr>
            </w:pPr>
          </w:p>
        </w:tc>
        <w:tc>
          <w:tcPr>
            <w:tcW w:w="483" w:type="pct"/>
            <w:hideMark/>
          </w:tcPr>
          <w:p w14:paraId="3EAE6E96" w14:textId="77777777" w:rsidR="00A4606E" w:rsidRPr="00923237" w:rsidRDefault="00A4606E" w:rsidP="00F31DC2">
            <w:pPr>
              <w:pStyle w:val="NoSpacing"/>
              <w:rPr>
                <w:rFonts w:cstheme="minorHAnsi"/>
                <w:sz w:val="20"/>
                <w:szCs w:val="20"/>
              </w:rPr>
            </w:pPr>
          </w:p>
        </w:tc>
        <w:tc>
          <w:tcPr>
            <w:tcW w:w="483" w:type="pct"/>
            <w:hideMark/>
          </w:tcPr>
          <w:p w14:paraId="44D5344D" w14:textId="77777777" w:rsidR="00A4606E" w:rsidRPr="00923237" w:rsidRDefault="00A4606E" w:rsidP="00F31DC2">
            <w:pPr>
              <w:pStyle w:val="NoSpacing"/>
              <w:rPr>
                <w:rFonts w:cstheme="minorHAnsi"/>
                <w:sz w:val="20"/>
                <w:szCs w:val="20"/>
              </w:rPr>
            </w:pPr>
          </w:p>
        </w:tc>
        <w:tc>
          <w:tcPr>
            <w:tcW w:w="528" w:type="pct"/>
            <w:hideMark/>
          </w:tcPr>
          <w:p w14:paraId="42445693" w14:textId="77777777" w:rsidR="00A4606E" w:rsidRPr="00923237" w:rsidRDefault="00A4606E" w:rsidP="00F31DC2">
            <w:pPr>
              <w:pStyle w:val="NoSpacing"/>
              <w:rPr>
                <w:rFonts w:cstheme="minorHAnsi"/>
                <w:sz w:val="20"/>
                <w:szCs w:val="20"/>
              </w:rPr>
            </w:pPr>
          </w:p>
        </w:tc>
        <w:tc>
          <w:tcPr>
            <w:tcW w:w="528" w:type="pct"/>
            <w:hideMark/>
          </w:tcPr>
          <w:p w14:paraId="52BA0EC2" w14:textId="77777777" w:rsidR="00A4606E" w:rsidRPr="00923237" w:rsidRDefault="00A4606E" w:rsidP="00F31DC2">
            <w:pPr>
              <w:pStyle w:val="NoSpacing"/>
              <w:rPr>
                <w:rFonts w:cstheme="minorHAnsi"/>
                <w:sz w:val="20"/>
                <w:szCs w:val="20"/>
              </w:rPr>
            </w:pPr>
            <w:r w:rsidRPr="00923237">
              <w:rPr>
                <w:rFonts w:cstheme="minorHAnsi"/>
                <w:sz w:val="20"/>
                <w:szCs w:val="20"/>
              </w:rPr>
              <w:t>[0.645]</w:t>
            </w:r>
          </w:p>
        </w:tc>
        <w:tc>
          <w:tcPr>
            <w:tcW w:w="528" w:type="pct"/>
            <w:hideMark/>
          </w:tcPr>
          <w:p w14:paraId="46D4FBA6" w14:textId="77777777" w:rsidR="00A4606E" w:rsidRPr="00923237" w:rsidRDefault="00A4606E" w:rsidP="00F31DC2">
            <w:pPr>
              <w:pStyle w:val="NoSpacing"/>
              <w:rPr>
                <w:rFonts w:cstheme="minorHAnsi"/>
                <w:sz w:val="20"/>
                <w:szCs w:val="20"/>
              </w:rPr>
            </w:pPr>
            <w:r w:rsidRPr="00923237">
              <w:rPr>
                <w:rFonts w:cstheme="minorHAnsi"/>
                <w:sz w:val="20"/>
                <w:szCs w:val="20"/>
              </w:rPr>
              <w:t>[0.597]</w:t>
            </w:r>
          </w:p>
        </w:tc>
        <w:tc>
          <w:tcPr>
            <w:tcW w:w="528" w:type="pct"/>
            <w:hideMark/>
          </w:tcPr>
          <w:p w14:paraId="73C6DA9B" w14:textId="77777777" w:rsidR="00A4606E" w:rsidRPr="00923237" w:rsidRDefault="00A4606E" w:rsidP="00F31DC2">
            <w:pPr>
              <w:pStyle w:val="NoSpacing"/>
              <w:rPr>
                <w:rFonts w:cstheme="minorHAnsi"/>
                <w:sz w:val="20"/>
                <w:szCs w:val="20"/>
              </w:rPr>
            </w:pPr>
            <w:r w:rsidRPr="00923237">
              <w:rPr>
                <w:rFonts w:cstheme="minorHAnsi"/>
                <w:sz w:val="20"/>
                <w:szCs w:val="20"/>
              </w:rPr>
              <w:t>[0.326]</w:t>
            </w:r>
          </w:p>
        </w:tc>
      </w:tr>
      <w:tr w:rsidR="00A4606E" w:rsidRPr="00923237" w14:paraId="4177EF41" w14:textId="77777777" w:rsidTr="00160D46">
        <w:tc>
          <w:tcPr>
            <w:tcW w:w="1922" w:type="pct"/>
            <w:hideMark/>
          </w:tcPr>
          <w:p w14:paraId="3160AD23" w14:textId="77777777" w:rsidR="00A4606E" w:rsidRPr="00923237" w:rsidRDefault="00A4606E" w:rsidP="00F31DC2">
            <w:pPr>
              <w:pStyle w:val="NoSpacing"/>
              <w:rPr>
                <w:rFonts w:cstheme="minorHAnsi"/>
                <w:sz w:val="20"/>
                <w:szCs w:val="20"/>
              </w:rPr>
            </w:pPr>
            <w:r w:rsidRPr="00923237">
              <w:rPr>
                <w:rFonts w:cstheme="minorHAnsi"/>
                <w:sz w:val="20"/>
                <w:szCs w:val="20"/>
              </w:rPr>
              <w:t>REIT types</w:t>
            </w:r>
          </w:p>
        </w:tc>
        <w:tc>
          <w:tcPr>
            <w:tcW w:w="483" w:type="pct"/>
            <w:hideMark/>
          </w:tcPr>
          <w:p w14:paraId="64DEE9FC" w14:textId="77777777" w:rsidR="00A4606E" w:rsidRPr="00923237" w:rsidRDefault="00A4606E" w:rsidP="00F31DC2">
            <w:pPr>
              <w:pStyle w:val="NoSpacing"/>
              <w:rPr>
                <w:rFonts w:cstheme="minorHAnsi"/>
                <w:sz w:val="20"/>
                <w:szCs w:val="20"/>
              </w:rPr>
            </w:pPr>
            <w:r w:rsidRPr="00923237">
              <w:rPr>
                <w:rFonts w:cstheme="minorHAnsi"/>
                <w:sz w:val="20"/>
                <w:szCs w:val="20"/>
              </w:rPr>
              <w:t>Yes</w:t>
            </w:r>
          </w:p>
        </w:tc>
        <w:tc>
          <w:tcPr>
            <w:tcW w:w="483" w:type="pct"/>
            <w:hideMark/>
          </w:tcPr>
          <w:p w14:paraId="56C35352" w14:textId="77777777" w:rsidR="00A4606E" w:rsidRPr="00923237" w:rsidRDefault="00A4606E" w:rsidP="00F31DC2">
            <w:pPr>
              <w:pStyle w:val="NoSpacing"/>
              <w:rPr>
                <w:rFonts w:cstheme="minorHAnsi"/>
                <w:sz w:val="20"/>
                <w:szCs w:val="20"/>
              </w:rPr>
            </w:pPr>
            <w:r w:rsidRPr="00923237">
              <w:rPr>
                <w:rFonts w:cstheme="minorHAnsi"/>
                <w:sz w:val="20"/>
                <w:szCs w:val="20"/>
              </w:rPr>
              <w:t>Yes</w:t>
            </w:r>
          </w:p>
        </w:tc>
        <w:tc>
          <w:tcPr>
            <w:tcW w:w="528" w:type="pct"/>
            <w:hideMark/>
          </w:tcPr>
          <w:p w14:paraId="1E604469" w14:textId="77777777" w:rsidR="00A4606E" w:rsidRPr="00923237" w:rsidRDefault="00A4606E" w:rsidP="00F31DC2">
            <w:pPr>
              <w:pStyle w:val="NoSpacing"/>
              <w:rPr>
                <w:rFonts w:cstheme="minorHAnsi"/>
                <w:sz w:val="20"/>
                <w:szCs w:val="20"/>
              </w:rPr>
            </w:pPr>
            <w:r w:rsidRPr="00923237">
              <w:rPr>
                <w:rFonts w:cstheme="minorHAnsi"/>
                <w:sz w:val="20"/>
                <w:szCs w:val="20"/>
              </w:rPr>
              <w:t>Yes</w:t>
            </w:r>
          </w:p>
        </w:tc>
        <w:tc>
          <w:tcPr>
            <w:tcW w:w="528" w:type="pct"/>
            <w:hideMark/>
          </w:tcPr>
          <w:p w14:paraId="6E2D3EE4" w14:textId="77777777" w:rsidR="00A4606E" w:rsidRPr="00923237" w:rsidRDefault="00A4606E" w:rsidP="00F31DC2">
            <w:pPr>
              <w:pStyle w:val="NoSpacing"/>
              <w:rPr>
                <w:rFonts w:cstheme="minorHAnsi"/>
                <w:sz w:val="20"/>
                <w:szCs w:val="20"/>
              </w:rPr>
            </w:pPr>
            <w:r w:rsidRPr="00923237">
              <w:rPr>
                <w:rFonts w:cstheme="minorHAnsi"/>
                <w:sz w:val="20"/>
                <w:szCs w:val="20"/>
              </w:rPr>
              <w:t>Yes</w:t>
            </w:r>
          </w:p>
        </w:tc>
        <w:tc>
          <w:tcPr>
            <w:tcW w:w="528" w:type="pct"/>
            <w:hideMark/>
          </w:tcPr>
          <w:p w14:paraId="58D2AD5C" w14:textId="77777777" w:rsidR="00A4606E" w:rsidRPr="00923237" w:rsidRDefault="00A4606E" w:rsidP="00F31DC2">
            <w:pPr>
              <w:pStyle w:val="NoSpacing"/>
              <w:rPr>
                <w:rFonts w:cstheme="minorHAnsi"/>
                <w:sz w:val="20"/>
                <w:szCs w:val="20"/>
              </w:rPr>
            </w:pPr>
            <w:r w:rsidRPr="00923237">
              <w:rPr>
                <w:rFonts w:cstheme="minorHAnsi"/>
                <w:sz w:val="20"/>
                <w:szCs w:val="20"/>
              </w:rPr>
              <w:t>Yes</w:t>
            </w:r>
          </w:p>
        </w:tc>
        <w:tc>
          <w:tcPr>
            <w:tcW w:w="528" w:type="pct"/>
            <w:hideMark/>
          </w:tcPr>
          <w:p w14:paraId="25517811" w14:textId="77777777" w:rsidR="00A4606E" w:rsidRPr="00923237" w:rsidRDefault="00A4606E" w:rsidP="00F31DC2">
            <w:pPr>
              <w:pStyle w:val="NoSpacing"/>
              <w:rPr>
                <w:rFonts w:cstheme="minorHAnsi"/>
                <w:sz w:val="20"/>
                <w:szCs w:val="20"/>
              </w:rPr>
            </w:pPr>
            <w:r w:rsidRPr="00923237">
              <w:rPr>
                <w:rFonts w:cstheme="minorHAnsi"/>
                <w:sz w:val="20"/>
                <w:szCs w:val="20"/>
              </w:rPr>
              <w:t>Yes</w:t>
            </w:r>
          </w:p>
        </w:tc>
      </w:tr>
      <w:tr w:rsidR="00A4606E" w:rsidRPr="00923237" w14:paraId="64BC0EC4" w14:textId="77777777" w:rsidTr="00160D46">
        <w:tc>
          <w:tcPr>
            <w:tcW w:w="1922" w:type="pct"/>
            <w:hideMark/>
          </w:tcPr>
          <w:p w14:paraId="31226A9A" w14:textId="77777777" w:rsidR="00A4606E" w:rsidRPr="00923237" w:rsidRDefault="00A4606E" w:rsidP="00F31DC2">
            <w:pPr>
              <w:pStyle w:val="NoSpacing"/>
              <w:rPr>
                <w:rFonts w:cstheme="minorHAnsi"/>
                <w:sz w:val="20"/>
                <w:szCs w:val="20"/>
              </w:rPr>
            </w:pPr>
            <w:r w:rsidRPr="00923237">
              <w:rPr>
                <w:rFonts w:cstheme="minorHAnsi"/>
                <w:sz w:val="20"/>
                <w:szCs w:val="20"/>
              </w:rPr>
              <w:t xml:space="preserve">Num of </w:t>
            </w:r>
            <w:proofErr w:type="spellStart"/>
            <w:r w:rsidRPr="00923237">
              <w:rPr>
                <w:rFonts w:cstheme="minorHAnsi"/>
                <w:sz w:val="20"/>
                <w:szCs w:val="20"/>
              </w:rPr>
              <w:t>obs</w:t>
            </w:r>
            <w:proofErr w:type="spellEnd"/>
          </w:p>
        </w:tc>
        <w:tc>
          <w:tcPr>
            <w:tcW w:w="483" w:type="pct"/>
            <w:hideMark/>
          </w:tcPr>
          <w:p w14:paraId="1060758F" w14:textId="77777777" w:rsidR="00A4606E" w:rsidRPr="00923237" w:rsidRDefault="00A4606E" w:rsidP="00F31DC2">
            <w:pPr>
              <w:pStyle w:val="NoSpacing"/>
              <w:rPr>
                <w:rFonts w:cstheme="minorHAnsi"/>
                <w:sz w:val="20"/>
                <w:szCs w:val="20"/>
              </w:rPr>
            </w:pPr>
            <w:r w:rsidRPr="00923237">
              <w:rPr>
                <w:rFonts w:cstheme="minorHAnsi"/>
                <w:sz w:val="20"/>
                <w:szCs w:val="20"/>
              </w:rPr>
              <w:t>93</w:t>
            </w:r>
          </w:p>
        </w:tc>
        <w:tc>
          <w:tcPr>
            <w:tcW w:w="483" w:type="pct"/>
            <w:hideMark/>
          </w:tcPr>
          <w:p w14:paraId="5F8A99BB" w14:textId="77777777" w:rsidR="00A4606E" w:rsidRPr="00923237" w:rsidRDefault="00A4606E" w:rsidP="00F31DC2">
            <w:pPr>
              <w:pStyle w:val="NoSpacing"/>
              <w:rPr>
                <w:rFonts w:cstheme="minorHAnsi"/>
                <w:sz w:val="20"/>
                <w:szCs w:val="20"/>
              </w:rPr>
            </w:pPr>
            <w:r w:rsidRPr="00923237">
              <w:rPr>
                <w:rFonts w:cstheme="minorHAnsi"/>
                <w:sz w:val="20"/>
                <w:szCs w:val="20"/>
              </w:rPr>
              <w:t>93</w:t>
            </w:r>
          </w:p>
        </w:tc>
        <w:tc>
          <w:tcPr>
            <w:tcW w:w="528" w:type="pct"/>
            <w:hideMark/>
          </w:tcPr>
          <w:p w14:paraId="63389045" w14:textId="77777777" w:rsidR="00A4606E" w:rsidRPr="00923237" w:rsidRDefault="00A4606E" w:rsidP="00F31DC2">
            <w:pPr>
              <w:pStyle w:val="NoSpacing"/>
              <w:rPr>
                <w:rFonts w:cstheme="minorHAnsi"/>
                <w:sz w:val="20"/>
                <w:szCs w:val="20"/>
              </w:rPr>
            </w:pPr>
            <w:r w:rsidRPr="00923237">
              <w:rPr>
                <w:rFonts w:cstheme="minorHAnsi"/>
                <w:sz w:val="20"/>
                <w:szCs w:val="20"/>
              </w:rPr>
              <w:t>93</w:t>
            </w:r>
          </w:p>
        </w:tc>
        <w:tc>
          <w:tcPr>
            <w:tcW w:w="528" w:type="pct"/>
            <w:hideMark/>
          </w:tcPr>
          <w:p w14:paraId="0C039224" w14:textId="77777777" w:rsidR="00A4606E" w:rsidRPr="00923237" w:rsidRDefault="00A4606E" w:rsidP="00F31DC2">
            <w:pPr>
              <w:pStyle w:val="NoSpacing"/>
              <w:rPr>
                <w:rFonts w:cstheme="minorHAnsi"/>
                <w:sz w:val="20"/>
                <w:szCs w:val="20"/>
              </w:rPr>
            </w:pPr>
            <w:r w:rsidRPr="00923237">
              <w:rPr>
                <w:rFonts w:cstheme="minorHAnsi"/>
                <w:sz w:val="20"/>
                <w:szCs w:val="20"/>
              </w:rPr>
              <w:t>92</w:t>
            </w:r>
          </w:p>
        </w:tc>
        <w:tc>
          <w:tcPr>
            <w:tcW w:w="528" w:type="pct"/>
            <w:hideMark/>
          </w:tcPr>
          <w:p w14:paraId="000A3836" w14:textId="77777777" w:rsidR="00A4606E" w:rsidRPr="00923237" w:rsidRDefault="00A4606E" w:rsidP="00F31DC2">
            <w:pPr>
              <w:pStyle w:val="NoSpacing"/>
              <w:rPr>
                <w:rFonts w:cstheme="minorHAnsi"/>
                <w:sz w:val="20"/>
                <w:szCs w:val="20"/>
              </w:rPr>
            </w:pPr>
            <w:r w:rsidRPr="00923237">
              <w:rPr>
                <w:rFonts w:cstheme="minorHAnsi"/>
                <w:sz w:val="20"/>
                <w:szCs w:val="20"/>
              </w:rPr>
              <w:t>91</w:t>
            </w:r>
          </w:p>
        </w:tc>
        <w:tc>
          <w:tcPr>
            <w:tcW w:w="528" w:type="pct"/>
            <w:hideMark/>
          </w:tcPr>
          <w:p w14:paraId="231B2DE2" w14:textId="77777777" w:rsidR="00A4606E" w:rsidRPr="00923237" w:rsidRDefault="00A4606E" w:rsidP="00F31DC2">
            <w:pPr>
              <w:pStyle w:val="NoSpacing"/>
              <w:rPr>
                <w:rFonts w:cstheme="minorHAnsi"/>
                <w:sz w:val="20"/>
                <w:szCs w:val="20"/>
              </w:rPr>
            </w:pPr>
            <w:r w:rsidRPr="00923237">
              <w:rPr>
                <w:rFonts w:cstheme="minorHAnsi"/>
                <w:sz w:val="20"/>
                <w:szCs w:val="20"/>
              </w:rPr>
              <w:t>91</w:t>
            </w:r>
          </w:p>
        </w:tc>
      </w:tr>
      <w:tr w:rsidR="00A4606E" w:rsidRPr="00923237" w14:paraId="240A6B9A" w14:textId="77777777" w:rsidTr="00160D46">
        <w:tc>
          <w:tcPr>
            <w:tcW w:w="1922" w:type="pct"/>
            <w:hideMark/>
          </w:tcPr>
          <w:p w14:paraId="1D8F709D" w14:textId="77777777" w:rsidR="00A4606E" w:rsidRPr="00923237" w:rsidRDefault="00A4606E" w:rsidP="00F31DC2">
            <w:pPr>
              <w:pStyle w:val="NoSpacing"/>
              <w:rPr>
                <w:rFonts w:cstheme="minorHAnsi"/>
                <w:sz w:val="20"/>
                <w:szCs w:val="20"/>
              </w:rPr>
            </w:pPr>
            <w:r w:rsidRPr="00923237">
              <w:rPr>
                <w:rFonts w:cstheme="minorHAnsi"/>
                <w:sz w:val="20"/>
                <w:szCs w:val="20"/>
              </w:rPr>
              <w:t>R-square</w:t>
            </w:r>
          </w:p>
        </w:tc>
        <w:tc>
          <w:tcPr>
            <w:tcW w:w="483" w:type="pct"/>
            <w:hideMark/>
          </w:tcPr>
          <w:p w14:paraId="22DFF0BB" w14:textId="77777777" w:rsidR="00A4606E" w:rsidRPr="00923237" w:rsidRDefault="00A4606E" w:rsidP="00F31DC2">
            <w:pPr>
              <w:pStyle w:val="NoSpacing"/>
              <w:rPr>
                <w:rFonts w:cstheme="minorHAnsi"/>
                <w:sz w:val="20"/>
                <w:szCs w:val="20"/>
              </w:rPr>
            </w:pPr>
            <w:r w:rsidRPr="00923237">
              <w:rPr>
                <w:rFonts w:cstheme="minorHAnsi"/>
                <w:sz w:val="20"/>
                <w:szCs w:val="20"/>
              </w:rPr>
              <w:t>0.3527</w:t>
            </w:r>
          </w:p>
        </w:tc>
        <w:tc>
          <w:tcPr>
            <w:tcW w:w="483" w:type="pct"/>
            <w:hideMark/>
          </w:tcPr>
          <w:p w14:paraId="04230A88" w14:textId="77777777" w:rsidR="00A4606E" w:rsidRPr="00923237" w:rsidRDefault="00A4606E" w:rsidP="00F31DC2">
            <w:pPr>
              <w:pStyle w:val="NoSpacing"/>
              <w:rPr>
                <w:rFonts w:cstheme="minorHAnsi"/>
                <w:sz w:val="20"/>
                <w:szCs w:val="20"/>
              </w:rPr>
            </w:pPr>
            <w:r w:rsidRPr="00923237">
              <w:rPr>
                <w:rFonts w:cstheme="minorHAnsi"/>
                <w:sz w:val="20"/>
                <w:szCs w:val="20"/>
              </w:rPr>
              <w:t>0.3854</w:t>
            </w:r>
          </w:p>
        </w:tc>
        <w:tc>
          <w:tcPr>
            <w:tcW w:w="528" w:type="pct"/>
            <w:hideMark/>
          </w:tcPr>
          <w:p w14:paraId="4F57B9A7" w14:textId="77777777" w:rsidR="00A4606E" w:rsidRPr="00923237" w:rsidRDefault="00A4606E" w:rsidP="00F31DC2">
            <w:pPr>
              <w:pStyle w:val="NoSpacing"/>
              <w:rPr>
                <w:rFonts w:cstheme="minorHAnsi"/>
                <w:sz w:val="20"/>
                <w:szCs w:val="20"/>
              </w:rPr>
            </w:pPr>
            <w:r w:rsidRPr="00923237">
              <w:rPr>
                <w:rFonts w:cstheme="minorHAnsi"/>
                <w:sz w:val="20"/>
                <w:szCs w:val="20"/>
              </w:rPr>
              <w:t>0.3848</w:t>
            </w:r>
          </w:p>
        </w:tc>
        <w:tc>
          <w:tcPr>
            <w:tcW w:w="528" w:type="pct"/>
            <w:hideMark/>
          </w:tcPr>
          <w:p w14:paraId="737A28FC" w14:textId="77777777" w:rsidR="00A4606E" w:rsidRPr="00923237" w:rsidRDefault="00A4606E" w:rsidP="00F31DC2">
            <w:pPr>
              <w:pStyle w:val="NoSpacing"/>
              <w:rPr>
                <w:rFonts w:cstheme="minorHAnsi"/>
                <w:sz w:val="20"/>
                <w:szCs w:val="20"/>
              </w:rPr>
            </w:pPr>
            <w:r w:rsidRPr="00923237">
              <w:rPr>
                <w:rFonts w:cstheme="minorHAnsi"/>
                <w:sz w:val="20"/>
                <w:szCs w:val="20"/>
              </w:rPr>
              <w:t>0.4055</w:t>
            </w:r>
          </w:p>
        </w:tc>
        <w:tc>
          <w:tcPr>
            <w:tcW w:w="528" w:type="pct"/>
            <w:hideMark/>
          </w:tcPr>
          <w:p w14:paraId="30834C46" w14:textId="77777777" w:rsidR="00A4606E" w:rsidRPr="00923237" w:rsidRDefault="00A4606E" w:rsidP="00F31DC2">
            <w:pPr>
              <w:pStyle w:val="NoSpacing"/>
              <w:rPr>
                <w:rFonts w:cstheme="minorHAnsi"/>
                <w:sz w:val="20"/>
                <w:szCs w:val="20"/>
              </w:rPr>
            </w:pPr>
            <w:r w:rsidRPr="00923237">
              <w:rPr>
                <w:rFonts w:cstheme="minorHAnsi"/>
                <w:sz w:val="20"/>
                <w:szCs w:val="20"/>
              </w:rPr>
              <w:t>0.4109</w:t>
            </w:r>
          </w:p>
        </w:tc>
        <w:tc>
          <w:tcPr>
            <w:tcW w:w="528" w:type="pct"/>
            <w:hideMark/>
          </w:tcPr>
          <w:p w14:paraId="3811F5AB" w14:textId="77777777" w:rsidR="00A4606E" w:rsidRPr="00923237" w:rsidRDefault="00A4606E" w:rsidP="00F31DC2">
            <w:pPr>
              <w:pStyle w:val="NoSpacing"/>
              <w:rPr>
                <w:rFonts w:cstheme="minorHAnsi"/>
                <w:sz w:val="20"/>
                <w:szCs w:val="20"/>
              </w:rPr>
            </w:pPr>
            <w:r w:rsidRPr="00923237">
              <w:rPr>
                <w:rFonts w:cstheme="minorHAnsi"/>
                <w:sz w:val="20"/>
                <w:szCs w:val="20"/>
              </w:rPr>
              <w:t>0.4278</w:t>
            </w:r>
          </w:p>
        </w:tc>
      </w:tr>
    </w:tbl>
    <w:p w14:paraId="06517A3A" w14:textId="77777777" w:rsidR="00160D46" w:rsidRPr="00923237" w:rsidRDefault="00160D46" w:rsidP="00F31DC2">
      <w:pPr>
        <w:rPr>
          <w:rFonts w:cstheme="minorHAnsi"/>
        </w:rPr>
      </w:pPr>
    </w:p>
    <w:p w14:paraId="43E65238" w14:textId="77777777" w:rsidR="00160D46" w:rsidRPr="00923237" w:rsidRDefault="00160D46">
      <w:pPr>
        <w:rPr>
          <w:rFonts w:cstheme="minorHAnsi"/>
        </w:rPr>
      </w:pPr>
      <w:r w:rsidRPr="00923237">
        <w:rPr>
          <w:rFonts w:cstheme="minorHAnsi"/>
        </w:rPr>
        <w:br w:type="page"/>
      </w:r>
    </w:p>
    <w:p w14:paraId="37CE7EBA" w14:textId="77777777" w:rsidR="00160D46" w:rsidRPr="00923237" w:rsidRDefault="00160D46" w:rsidP="00F31DC2">
      <w:pPr>
        <w:rPr>
          <w:rFonts w:cstheme="minorHAnsi"/>
        </w:rPr>
        <w:sectPr w:rsidR="00160D46" w:rsidRPr="00923237" w:rsidSect="00DE24EB">
          <w:pgSz w:w="15840" w:h="12240" w:orient="landscape"/>
          <w:pgMar w:top="1080" w:right="1080" w:bottom="1080" w:left="1080" w:header="720" w:footer="720" w:gutter="0"/>
          <w:cols w:space="720"/>
          <w:docGrid w:linePitch="360"/>
        </w:sectPr>
      </w:pPr>
    </w:p>
    <w:p w14:paraId="3ECEBB8D" w14:textId="75B83B79" w:rsidR="00A4606E" w:rsidRPr="00923237" w:rsidRDefault="00A4606E" w:rsidP="00F31DC2">
      <w:pPr>
        <w:rPr>
          <w:rFonts w:cstheme="minorHAnsi"/>
        </w:rPr>
      </w:pPr>
      <w:r w:rsidRPr="00923237">
        <w:rPr>
          <w:rFonts w:cstheme="minorHAnsi"/>
        </w:rPr>
        <w:t>Across all models, we find that post-crisis, leverage is no longer negatively associated with stock returns.</w:t>
      </w:r>
      <w:bookmarkStart w:id="83" w:name="bfn0030"/>
      <w:r w:rsidRPr="00923237">
        <w:rPr>
          <w:rFonts w:cstheme="minorHAnsi"/>
        </w:rPr>
        <w:fldChar w:fldCharType="begin"/>
      </w:r>
      <w:r w:rsidRPr="00923237">
        <w:rPr>
          <w:rFonts w:cstheme="minorHAnsi"/>
        </w:rPr>
        <w:instrText xml:space="preserve"> HYPERLINK "https://0-www-sciencedirect-com.libus.csd.mu.edu/science/article/pii/S0929119917307344" \l "fn0030" </w:instrText>
      </w:r>
      <w:r w:rsidRPr="00923237">
        <w:rPr>
          <w:rFonts w:cstheme="minorHAnsi"/>
        </w:rPr>
        <w:fldChar w:fldCharType="separate"/>
      </w:r>
      <w:r w:rsidRPr="00923237">
        <w:rPr>
          <w:rStyle w:val="Hyperlink"/>
          <w:rFonts w:eastAsiaTheme="majorEastAsia" w:cstheme="minorHAnsi"/>
          <w:color w:val="0C7DBB"/>
          <w:vertAlign w:val="superscript"/>
        </w:rPr>
        <w:t>6</w:t>
      </w:r>
      <w:r w:rsidRPr="00923237">
        <w:rPr>
          <w:rFonts w:cstheme="minorHAnsi"/>
        </w:rPr>
        <w:fldChar w:fldCharType="end"/>
      </w:r>
      <w:bookmarkEnd w:id="83"/>
      <w:r w:rsidRPr="00923237">
        <w:rPr>
          <w:rFonts w:cstheme="minorHAnsi"/>
        </w:rPr>
        <w:t> More importantly, we find that excess board activity during the financial crisis is positively associated with stock returns post-crisis. For example, in Model 2, a one-standard-deviation increase in abnormal board meetings during the financial crisis is associated with an increase in cumulative stock return of approximately 80% post-crisis (or 8.7% annually), comparable to </w:t>
      </w:r>
      <w:hyperlink r:id="rId150" w:anchor="bb0275" w:history="1">
        <w:r w:rsidRPr="00923237">
          <w:rPr>
            <w:rStyle w:val="Hyperlink"/>
            <w:rFonts w:eastAsiaTheme="majorEastAsia" w:cstheme="minorHAnsi"/>
            <w:color w:val="0C7DBB"/>
          </w:rPr>
          <w:t>Sun et al. (2015)</w:t>
        </w:r>
      </w:hyperlink>
      <w:r w:rsidRPr="00923237">
        <w:rPr>
          <w:rFonts w:cstheme="minorHAnsi"/>
        </w:rPr>
        <w:t>.</w:t>
      </w:r>
      <w:bookmarkStart w:id="84" w:name="bfn0035"/>
      <w:r w:rsidRPr="00923237">
        <w:rPr>
          <w:rFonts w:cstheme="minorHAnsi"/>
        </w:rPr>
        <w:fldChar w:fldCharType="begin"/>
      </w:r>
      <w:r w:rsidRPr="00923237">
        <w:rPr>
          <w:rFonts w:cstheme="minorHAnsi"/>
        </w:rPr>
        <w:instrText xml:space="preserve"> HYPERLINK "https://0-www-sciencedirect-com.libus.csd.mu.edu/science/article/pii/S0929119917307344" \l "fn0035" </w:instrText>
      </w:r>
      <w:r w:rsidRPr="00923237">
        <w:rPr>
          <w:rFonts w:cstheme="minorHAnsi"/>
        </w:rPr>
        <w:fldChar w:fldCharType="separate"/>
      </w:r>
      <w:r w:rsidRPr="00923237">
        <w:rPr>
          <w:rStyle w:val="Hyperlink"/>
          <w:rFonts w:eastAsiaTheme="majorEastAsia" w:cstheme="minorHAnsi"/>
          <w:color w:val="0C7DBB"/>
          <w:vertAlign w:val="superscript"/>
        </w:rPr>
        <w:t>7</w:t>
      </w:r>
      <w:r w:rsidRPr="00923237">
        <w:rPr>
          <w:rFonts w:cstheme="minorHAnsi"/>
        </w:rPr>
        <w:fldChar w:fldCharType="end"/>
      </w:r>
      <w:bookmarkEnd w:id="84"/>
      <w:r w:rsidRPr="00923237">
        <w:rPr>
          <w:rFonts w:cstheme="minorHAnsi"/>
        </w:rPr>
        <w:t> However, neither the coefficient of the indicator capturing experience during the 1980s crisis, high leverage, nor the interaction term with abnormal meetings is significantly associated with post-crisis returns. Overall, the results in </w:t>
      </w:r>
      <w:hyperlink r:id="rId151" w:anchor="t0040" w:history="1">
        <w:r w:rsidRPr="00923237">
          <w:rPr>
            <w:rStyle w:val="Hyperlink"/>
            <w:rFonts w:eastAsiaTheme="majorEastAsia" w:cstheme="minorHAnsi"/>
            <w:color w:val="0C7DBB"/>
          </w:rPr>
          <w:t>Table 8</w:t>
        </w:r>
      </w:hyperlink>
      <w:bookmarkEnd w:id="82"/>
      <w:r w:rsidRPr="00923237">
        <w:rPr>
          <w:rFonts w:cstheme="minorHAnsi"/>
        </w:rPr>
        <w:t> provide some support for the hypothesis that firms with more active boards have higher returns post-crisis. This finding is also consistent with the finding of </w:t>
      </w:r>
      <w:proofErr w:type="spellStart"/>
      <w:r w:rsidR="00EB1576" w:rsidRPr="00923237">
        <w:fldChar w:fldCharType="begin"/>
      </w:r>
      <w:r w:rsidR="00EB1576" w:rsidRPr="00923237">
        <w:rPr>
          <w:rFonts w:cstheme="minorHAnsi"/>
        </w:rPr>
        <w:instrText xml:space="preserve"> HYPERLINK "https://0-www-sciencedirect-com.libus.csd.mu.edu/science/article/pii/S0929119917307344" \l "bb0280" </w:instrText>
      </w:r>
      <w:r w:rsidR="00EB1576" w:rsidRPr="00923237">
        <w:fldChar w:fldCharType="separate"/>
      </w:r>
      <w:r w:rsidRPr="00923237">
        <w:rPr>
          <w:rStyle w:val="Hyperlink"/>
          <w:rFonts w:eastAsiaTheme="majorEastAsia" w:cstheme="minorHAnsi"/>
          <w:color w:val="0C7DBB"/>
        </w:rPr>
        <w:t>Vafaes</w:t>
      </w:r>
      <w:proofErr w:type="spellEnd"/>
      <w:r w:rsidRPr="00923237">
        <w:rPr>
          <w:rStyle w:val="Hyperlink"/>
          <w:rFonts w:eastAsiaTheme="majorEastAsia" w:cstheme="minorHAnsi"/>
          <w:color w:val="0C7DBB"/>
        </w:rPr>
        <w:t xml:space="preserve"> (1999)</w:t>
      </w:r>
      <w:r w:rsidR="00EB1576" w:rsidRPr="00923237">
        <w:rPr>
          <w:rStyle w:val="Hyperlink"/>
          <w:rFonts w:eastAsiaTheme="majorEastAsia" w:cstheme="minorHAnsi"/>
          <w:color w:val="0C7DBB"/>
        </w:rPr>
        <w:fldChar w:fldCharType="end"/>
      </w:r>
      <w:bookmarkEnd w:id="30"/>
      <w:r w:rsidRPr="00923237">
        <w:rPr>
          <w:rFonts w:cstheme="minorHAnsi"/>
        </w:rPr>
        <w:t> that firm performance improves following years of abnormal board activity.</w:t>
      </w:r>
    </w:p>
    <w:p w14:paraId="1BFDEA70" w14:textId="77777777" w:rsidR="00A4606E" w:rsidRPr="00923237" w:rsidRDefault="00A4606E" w:rsidP="00F31DC2">
      <w:pPr>
        <w:pStyle w:val="Heading1"/>
        <w:rPr>
          <w:rFonts w:asciiTheme="minorHAnsi" w:hAnsiTheme="minorHAnsi" w:cstheme="minorHAnsi"/>
          <w:sz w:val="36"/>
          <w:szCs w:val="36"/>
        </w:rPr>
      </w:pPr>
      <w:r w:rsidRPr="00923237">
        <w:rPr>
          <w:rFonts w:asciiTheme="minorHAnsi" w:hAnsiTheme="minorHAnsi" w:cstheme="minorHAnsi"/>
        </w:rPr>
        <w:t>6. Conclusion</w:t>
      </w:r>
    </w:p>
    <w:p w14:paraId="771798D6" w14:textId="77777777" w:rsidR="00A4606E" w:rsidRPr="00923237" w:rsidRDefault="006C60C6" w:rsidP="00F31DC2">
      <w:pPr>
        <w:rPr>
          <w:rFonts w:cstheme="minorHAnsi"/>
          <w:color w:val="2E2E2E"/>
        </w:rPr>
      </w:pPr>
      <w:hyperlink r:id="rId152" w:tooltip="Learn more about Capital Structure from ScienceDirect's AI-generated Topic Pages" w:history="1">
        <w:r w:rsidR="00A4606E" w:rsidRPr="00923237">
          <w:rPr>
            <w:rStyle w:val="Hyperlink"/>
            <w:rFonts w:eastAsiaTheme="majorEastAsia" w:cstheme="minorHAnsi"/>
            <w:color w:val="0C7DBB"/>
          </w:rPr>
          <w:t>Capital structure</w:t>
        </w:r>
      </w:hyperlink>
      <w:r w:rsidR="00A4606E" w:rsidRPr="00923237">
        <w:rPr>
          <w:rFonts w:cstheme="minorHAnsi"/>
          <w:color w:val="2E2E2E"/>
        </w:rPr>
        <w:t>, </w:t>
      </w:r>
      <w:hyperlink r:id="rId153" w:tooltip="Learn more about Corporate Governance from ScienceDirect's AI-generated Topic Pages" w:history="1">
        <w:r w:rsidR="00A4606E" w:rsidRPr="00923237">
          <w:rPr>
            <w:rStyle w:val="Hyperlink"/>
            <w:rFonts w:eastAsiaTheme="majorEastAsia" w:cstheme="minorHAnsi"/>
            <w:color w:val="0C7DBB"/>
          </w:rPr>
          <w:t>corporate governance</w:t>
        </w:r>
      </w:hyperlink>
      <w:r w:rsidR="00A4606E" w:rsidRPr="00923237">
        <w:rPr>
          <w:rFonts w:cstheme="minorHAnsi"/>
          <w:color w:val="2E2E2E"/>
        </w:rPr>
        <w:t>, and how they are linked to each other and to firm performance have been studied extensively. While </w:t>
      </w:r>
      <w:hyperlink r:id="rId154" w:tooltip="Learn more about Capital Structure Theory from ScienceDirect's AI-generated Topic Pages" w:history="1">
        <w:r w:rsidR="00A4606E" w:rsidRPr="00923237">
          <w:rPr>
            <w:rStyle w:val="Hyperlink"/>
            <w:rFonts w:eastAsiaTheme="majorEastAsia" w:cstheme="minorHAnsi"/>
            <w:color w:val="0C7DBB"/>
          </w:rPr>
          <w:t>capital structure theory</w:t>
        </w:r>
      </w:hyperlink>
      <w:r w:rsidR="00A4606E" w:rsidRPr="00923237">
        <w:rPr>
          <w:rFonts w:cstheme="minorHAnsi"/>
          <w:color w:val="2E2E2E"/>
        </w:rPr>
        <w:t> predicts a positive association between </w:t>
      </w:r>
      <w:hyperlink r:id="rId155" w:tooltip="Learn more about Leverage from ScienceDirect's AI-generated Topic Pages" w:history="1">
        <w:r w:rsidR="00A4606E" w:rsidRPr="00923237">
          <w:rPr>
            <w:rStyle w:val="Hyperlink"/>
            <w:rFonts w:eastAsiaTheme="majorEastAsia" w:cstheme="minorHAnsi"/>
            <w:color w:val="0C7DBB"/>
          </w:rPr>
          <w:t>leverage</w:t>
        </w:r>
      </w:hyperlink>
      <w:r w:rsidR="00A4606E" w:rsidRPr="00923237">
        <w:rPr>
          <w:rFonts w:cstheme="minorHAnsi"/>
          <w:color w:val="2E2E2E"/>
        </w:rPr>
        <w:t> and firm performance, the empirical evidence on this issue is mixed. Similarly, there is conflicting evidence on the link between corporate boards, arguably the most important component of corporate governance, and firm performance. In this paper, we re-examine the negative association between leverage and </w:t>
      </w:r>
      <w:hyperlink r:id="rId156" w:tooltip="Learn more about Capital Market Returns from ScienceDirect's AI-generated Topic Pages" w:history="1">
        <w:r w:rsidR="00A4606E" w:rsidRPr="00923237">
          <w:rPr>
            <w:rStyle w:val="Hyperlink"/>
            <w:rFonts w:eastAsiaTheme="majorEastAsia" w:cstheme="minorHAnsi"/>
            <w:color w:val="0C7DBB"/>
          </w:rPr>
          <w:t>stock returns</w:t>
        </w:r>
      </w:hyperlink>
      <w:r w:rsidR="00A4606E" w:rsidRPr="00923237">
        <w:rPr>
          <w:rFonts w:cstheme="minorHAnsi"/>
          <w:color w:val="2E2E2E"/>
        </w:rPr>
        <w:t> reported in the more recent literature. In doing so we also consider the potential for board activity to influence this link. Specifically, we focus on a sample of REITs from 2003 to 2016. REITs provide an ideal setting because of their high leverage and the volatility that the industry experienced during the </w:t>
      </w:r>
      <w:hyperlink r:id="rId157" w:tooltip="Learn more about Financial Crisis from ScienceDirect's AI-generated Topic Pages" w:history="1">
        <w:r w:rsidR="00A4606E" w:rsidRPr="00923237">
          <w:rPr>
            <w:rStyle w:val="Hyperlink"/>
            <w:rFonts w:eastAsiaTheme="majorEastAsia" w:cstheme="minorHAnsi"/>
            <w:color w:val="0C7DBB"/>
          </w:rPr>
          <w:t>financial crisis</w:t>
        </w:r>
      </w:hyperlink>
      <w:r w:rsidR="00A4606E" w:rsidRPr="00923237">
        <w:rPr>
          <w:rFonts w:cstheme="minorHAnsi"/>
          <w:color w:val="2E2E2E"/>
        </w:rPr>
        <w:t>.</w:t>
      </w:r>
    </w:p>
    <w:p w14:paraId="5F4F34E3" w14:textId="77777777" w:rsidR="00A4606E" w:rsidRPr="00923237" w:rsidRDefault="00A4606E" w:rsidP="00F31DC2">
      <w:pPr>
        <w:rPr>
          <w:rFonts w:cstheme="minorHAnsi"/>
          <w:color w:val="2E2E2E"/>
        </w:rPr>
      </w:pPr>
      <w:r w:rsidRPr="00923237">
        <w:rPr>
          <w:rFonts w:cstheme="minorHAnsi"/>
          <w:color w:val="2E2E2E"/>
        </w:rPr>
        <w:t>We find that, during the financial crisis, board activity at REITs increased, especially among firms with high leverage. This finding is consistent with directors increasing their monitoring and advising according to the firm's demand for such input from the board. Further, we show that after controlling for potential endogeneity concerns, board activity helps mitigate the previously reported negative effect of leverage on returns during the financial crisis. Post-crisis, we find evidence that firms with more active boards adjust their leverage. REITs with high pre-crisis leverage firms reduce their leverage, while those with low pre-crisis leverage increase their debt. This finding is consistent with boards learning from their experience during the financial crisis and adjusting the firm's capital structure. Finally, we find some evidence suggesting that post-crisis, firms with more active boards have better returns. This is consistent with </w:t>
      </w:r>
      <w:hyperlink r:id="rId158" w:tooltip="Learn more about Bayesian Inference from ScienceDirect's AI-generated Topic Pages" w:history="1">
        <w:r w:rsidRPr="00923237">
          <w:rPr>
            <w:rStyle w:val="Hyperlink"/>
            <w:rFonts w:eastAsiaTheme="majorEastAsia" w:cstheme="minorHAnsi"/>
            <w:color w:val="0C7DBB"/>
          </w:rPr>
          <w:t>prior</w:t>
        </w:r>
      </w:hyperlink>
      <w:r w:rsidRPr="00923237">
        <w:rPr>
          <w:rFonts w:cstheme="minorHAnsi"/>
          <w:color w:val="2E2E2E"/>
        </w:rPr>
        <w:t xml:space="preserve"> evidence suggesting that firm performance improves following years of abnormal board activity. Our findings are robust to using different measures of activity that </w:t>
      </w:r>
      <w:proofErr w:type="gramStart"/>
      <w:r w:rsidRPr="00923237">
        <w:rPr>
          <w:rFonts w:cstheme="minorHAnsi"/>
          <w:color w:val="2E2E2E"/>
        </w:rPr>
        <w:t>take into account</w:t>
      </w:r>
      <w:proofErr w:type="gramEnd"/>
      <w:r w:rsidRPr="00923237">
        <w:rPr>
          <w:rFonts w:cstheme="minorHAnsi"/>
          <w:color w:val="2E2E2E"/>
        </w:rPr>
        <w:t xml:space="preserve"> director experience in real estate and finance.</w:t>
      </w:r>
    </w:p>
    <w:p w14:paraId="7CACDF13" w14:textId="77777777" w:rsidR="00A4606E" w:rsidRPr="00923237" w:rsidRDefault="00A4606E" w:rsidP="00F31DC2">
      <w:pPr>
        <w:rPr>
          <w:rFonts w:cstheme="minorHAnsi"/>
          <w:color w:val="2E2E2E"/>
        </w:rPr>
      </w:pPr>
      <w:r w:rsidRPr="00923237">
        <w:rPr>
          <w:rFonts w:cstheme="minorHAnsi"/>
          <w:color w:val="2E2E2E"/>
        </w:rPr>
        <w:t>Our paper contributes to the capital structure literature by providing insights to the “puzzling” negative association between leverage and firm performance. In addition, we add to the literature on corporate boards by providing evidence on how boards can add value. Finally, we add to the literature on corporate governance in REITs by examining a different dimension of corporate boards, board activity, which has been shown to be informative for non-REITs firms.</w:t>
      </w:r>
    </w:p>
    <w:p w14:paraId="0EF6CA5A" w14:textId="77777777" w:rsidR="00A4606E" w:rsidRPr="00923237" w:rsidRDefault="00A4606E" w:rsidP="00F31DC2">
      <w:pPr>
        <w:pStyle w:val="Heading1"/>
        <w:rPr>
          <w:rFonts w:asciiTheme="minorHAnsi" w:hAnsiTheme="minorHAnsi" w:cstheme="minorHAnsi"/>
          <w:sz w:val="36"/>
          <w:szCs w:val="36"/>
        </w:rPr>
      </w:pPr>
      <w:r w:rsidRPr="00923237">
        <w:rPr>
          <w:rFonts w:asciiTheme="minorHAnsi" w:hAnsiTheme="minorHAnsi" w:cstheme="minorHAnsi"/>
        </w:rPr>
        <w:t>Appendix 1. Data construction</w:t>
      </w:r>
    </w:p>
    <w:tbl>
      <w:tblPr>
        <w:tblStyle w:val="TableGrid"/>
        <w:tblW w:w="0" w:type="auto"/>
        <w:tblLook w:val="04A0" w:firstRow="1" w:lastRow="0" w:firstColumn="1" w:lastColumn="0" w:noHBand="0" w:noVBand="1"/>
      </w:tblPr>
      <w:tblGrid>
        <w:gridCol w:w="8084"/>
        <w:gridCol w:w="707"/>
        <w:gridCol w:w="1279"/>
      </w:tblGrid>
      <w:tr w:rsidR="00A4606E" w:rsidRPr="00923237" w14:paraId="26FE1BC5" w14:textId="77777777" w:rsidTr="00F31DC2">
        <w:tc>
          <w:tcPr>
            <w:tcW w:w="0" w:type="auto"/>
            <w:hideMark/>
          </w:tcPr>
          <w:p w14:paraId="2CBD8848" w14:textId="77777777" w:rsidR="00A4606E" w:rsidRPr="00923237" w:rsidRDefault="00A4606E" w:rsidP="00F31DC2">
            <w:pPr>
              <w:pStyle w:val="NoSpacing"/>
              <w:rPr>
                <w:rFonts w:cstheme="minorHAnsi"/>
              </w:rPr>
            </w:pPr>
            <w:r w:rsidRPr="00923237">
              <w:rPr>
                <w:rFonts w:cstheme="minorHAnsi"/>
              </w:rPr>
              <w:t>Dataset</w:t>
            </w:r>
          </w:p>
        </w:tc>
        <w:tc>
          <w:tcPr>
            <w:tcW w:w="0" w:type="auto"/>
            <w:hideMark/>
          </w:tcPr>
          <w:p w14:paraId="7E2204B9" w14:textId="77777777" w:rsidR="00A4606E" w:rsidRPr="00923237" w:rsidRDefault="00A4606E" w:rsidP="00F31DC2">
            <w:pPr>
              <w:pStyle w:val="NoSpacing"/>
              <w:rPr>
                <w:rFonts w:cstheme="minorHAnsi"/>
              </w:rPr>
            </w:pPr>
            <w:r w:rsidRPr="00923237">
              <w:rPr>
                <w:rFonts w:cstheme="minorHAnsi"/>
              </w:rPr>
              <w:t>Firms</w:t>
            </w:r>
          </w:p>
        </w:tc>
        <w:tc>
          <w:tcPr>
            <w:tcW w:w="0" w:type="auto"/>
            <w:hideMark/>
          </w:tcPr>
          <w:p w14:paraId="7A1C33DA" w14:textId="77777777" w:rsidR="00A4606E" w:rsidRPr="00923237" w:rsidRDefault="00A4606E" w:rsidP="00F31DC2">
            <w:pPr>
              <w:pStyle w:val="NoSpacing"/>
              <w:rPr>
                <w:rFonts w:cstheme="minorHAnsi"/>
              </w:rPr>
            </w:pPr>
            <w:r w:rsidRPr="00923237">
              <w:rPr>
                <w:rFonts w:cstheme="minorHAnsi"/>
              </w:rPr>
              <w:t xml:space="preserve">Firm-year </w:t>
            </w:r>
            <w:proofErr w:type="spellStart"/>
            <w:r w:rsidRPr="00923237">
              <w:rPr>
                <w:rFonts w:cstheme="minorHAnsi"/>
              </w:rPr>
              <w:t>obs</w:t>
            </w:r>
            <w:proofErr w:type="spellEnd"/>
          </w:p>
        </w:tc>
      </w:tr>
      <w:tr w:rsidR="00A4606E" w:rsidRPr="00923237" w14:paraId="7D70BCBC" w14:textId="77777777" w:rsidTr="00F31DC2">
        <w:tc>
          <w:tcPr>
            <w:tcW w:w="0" w:type="auto"/>
            <w:hideMark/>
          </w:tcPr>
          <w:p w14:paraId="7D7C2BDB" w14:textId="77777777" w:rsidR="00A4606E" w:rsidRPr="00923237" w:rsidRDefault="00A4606E" w:rsidP="00F31DC2">
            <w:pPr>
              <w:pStyle w:val="NoSpacing"/>
              <w:rPr>
                <w:rFonts w:cstheme="minorHAnsi"/>
              </w:rPr>
            </w:pPr>
            <w:proofErr w:type="spellStart"/>
            <w:r w:rsidRPr="00923237">
              <w:rPr>
                <w:rFonts w:cstheme="minorHAnsi"/>
              </w:rPr>
              <w:t>Ziman</w:t>
            </w:r>
            <w:proofErr w:type="spellEnd"/>
            <w:r w:rsidRPr="00923237">
              <w:rPr>
                <w:rFonts w:cstheme="minorHAnsi"/>
              </w:rPr>
              <w:t xml:space="preserve"> REIT database between 2003 and 2016</w:t>
            </w:r>
          </w:p>
        </w:tc>
        <w:tc>
          <w:tcPr>
            <w:tcW w:w="0" w:type="auto"/>
            <w:hideMark/>
          </w:tcPr>
          <w:p w14:paraId="1FAB61DA" w14:textId="77777777" w:rsidR="00A4606E" w:rsidRPr="00923237" w:rsidRDefault="00A4606E" w:rsidP="00F31DC2">
            <w:pPr>
              <w:pStyle w:val="NoSpacing"/>
              <w:rPr>
                <w:rFonts w:cstheme="minorHAnsi"/>
              </w:rPr>
            </w:pPr>
            <w:r w:rsidRPr="00923237">
              <w:rPr>
                <w:rFonts w:cstheme="minorHAnsi"/>
              </w:rPr>
              <w:t>275</w:t>
            </w:r>
          </w:p>
        </w:tc>
        <w:tc>
          <w:tcPr>
            <w:tcW w:w="0" w:type="auto"/>
            <w:hideMark/>
          </w:tcPr>
          <w:p w14:paraId="0CD5B440" w14:textId="77777777" w:rsidR="00A4606E" w:rsidRPr="00923237" w:rsidRDefault="00A4606E" w:rsidP="00F31DC2">
            <w:pPr>
              <w:pStyle w:val="NoSpacing"/>
              <w:rPr>
                <w:rFonts w:cstheme="minorHAnsi"/>
              </w:rPr>
            </w:pPr>
          </w:p>
        </w:tc>
      </w:tr>
      <w:tr w:rsidR="00A4606E" w:rsidRPr="00923237" w14:paraId="49A38671" w14:textId="77777777" w:rsidTr="00F31DC2">
        <w:tc>
          <w:tcPr>
            <w:tcW w:w="0" w:type="auto"/>
            <w:hideMark/>
          </w:tcPr>
          <w:p w14:paraId="69056F0E" w14:textId="77777777" w:rsidR="00A4606E" w:rsidRPr="00923237" w:rsidRDefault="00A4606E" w:rsidP="00F31DC2">
            <w:pPr>
              <w:pStyle w:val="NoSpacing"/>
              <w:rPr>
                <w:rFonts w:cstheme="minorHAnsi"/>
              </w:rPr>
            </w:pPr>
            <w:r w:rsidRPr="00923237">
              <w:rPr>
                <w:rFonts w:cstheme="minorHAnsi"/>
              </w:rPr>
              <w:t xml:space="preserve">Merge with </w:t>
            </w:r>
            <w:proofErr w:type="spellStart"/>
            <w:r w:rsidRPr="00923237">
              <w:rPr>
                <w:rFonts w:cstheme="minorHAnsi"/>
              </w:rPr>
              <w:t>Compustat</w:t>
            </w:r>
            <w:proofErr w:type="spellEnd"/>
          </w:p>
        </w:tc>
        <w:tc>
          <w:tcPr>
            <w:tcW w:w="0" w:type="auto"/>
            <w:hideMark/>
          </w:tcPr>
          <w:p w14:paraId="1082688C" w14:textId="77777777" w:rsidR="00A4606E" w:rsidRPr="00923237" w:rsidRDefault="00A4606E" w:rsidP="00F31DC2">
            <w:pPr>
              <w:pStyle w:val="NoSpacing"/>
              <w:rPr>
                <w:rFonts w:cstheme="minorHAnsi"/>
              </w:rPr>
            </w:pPr>
            <w:r w:rsidRPr="00923237">
              <w:rPr>
                <w:rFonts w:cstheme="minorHAnsi"/>
              </w:rPr>
              <w:t>246</w:t>
            </w:r>
          </w:p>
        </w:tc>
        <w:tc>
          <w:tcPr>
            <w:tcW w:w="0" w:type="auto"/>
            <w:hideMark/>
          </w:tcPr>
          <w:p w14:paraId="75F16B05" w14:textId="77777777" w:rsidR="00A4606E" w:rsidRPr="00923237" w:rsidRDefault="00A4606E" w:rsidP="00F31DC2">
            <w:pPr>
              <w:pStyle w:val="NoSpacing"/>
              <w:rPr>
                <w:rFonts w:cstheme="minorHAnsi"/>
              </w:rPr>
            </w:pPr>
            <w:r w:rsidRPr="00923237">
              <w:rPr>
                <w:rFonts w:cstheme="minorHAnsi"/>
              </w:rPr>
              <w:t>1811</w:t>
            </w:r>
          </w:p>
        </w:tc>
      </w:tr>
      <w:tr w:rsidR="00A4606E" w:rsidRPr="00923237" w14:paraId="743C83F3" w14:textId="77777777" w:rsidTr="00F31DC2">
        <w:tc>
          <w:tcPr>
            <w:tcW w:w="0" w:type="auto"/>
            <w:hideMark/>
          </w:tcPr>
          <w:p w14:paraId="21697EFC" w14:textId="77777777" w:rsidR="00A4606E" w:rsidRPr="00923237" w:rsidRDefault="00A4606E" w:rsidP="00F31DC2">
            <w:pPr>
              <w:pStyle w:val="NoSpacing"/>
              <w:rPr>
                <w:rFonts w:cstheme="minorHAnsi"/>
              </w:rPr>
            </w:pPr>
            <w:r w:rsidRPr="00923237">
              <w:rPr>
                <w:rFonts w:cstheme="minorHAnsi"/>
              </w:rPr>
              <w:t>Merge with CRSP</w:t>
            </w:r>
          </w:p>
        </w:tc>
        <w:tc>
          <w:tcPr>
            <w:tcW w:w="0" w:type="auto"/>
            <w:hideMark/>
          </w:tcPr>
          <w:p w14:paraId="67394C88" w14:textId="77777777" w:rsidR="00A4606E" w:rsidRPr="00923237" w:rsidRDefault="00A4606E" w:rsidP="00F31DC2">
            <w:pPr>
              <w:pStyle w:val="NoSpacing"/>
              <w:rPr>
                <w:rFonts w:cstheme="minorHAnsi"/>
              </w:rPr>
            </w:pPr>
            <w:r w:rsidRPr="00923237">
              <w:rPr>
                <w:rFonts w:cstheme="minorHAnsi"/>
              </w:rPr>
              <w:t>243</w:t>
            </w:r>
          </w:p>
        </w:tc>
        <w:tc>
          <w:tcPr>
            <w:tcW w:w="0" w:type="auto"/>
            <w:hideMark/>
          </w:tcPr>
          <w:p w14:paraId="1C39E615" w14:textId="77777777" w:rsidR="00A4606E" w:rsidRPr="00923237" w:rsidRDefault="00A4606E" w:rsidP="00F31DC2">
            <w:pPr>
              <w:pStyle w:val="NoSpacing"/>
              <w:rPr>
                <w:rFonts w:cstheme="minorHAnsi"/>
              </w:rPr>
            </w:pPr>
            <w:r w:rsidRPr="00923237">
              <w:rPr>
                <w:rFonts w:cstheme="minorHAnsi"/>
              </w:rPr>
              <w:t>1755</w:t>
            </w:r>
          </w:p>
        </w:tc>
      </w:tr>
      <w:tr w:rsidR="00A4606E" w:rsidRPr="00923237" w14:paraId="322AA7D9" w14:textId="77777777" w:rsidTr="00F31DC2">
        <w:tc>
          <w:tcPr>
            <w:tcW w:w="0" w:type="auto"/>
            <w:hideMark/>
          </w:tcPr>
          <w:p w14:paraId="509EF6B0" w14:textId="77777777" w:rsidR="00A4606E" w:rsidRPr="00923237" w:rsidRDefault="00A4606E" w:rsidP="00F31DC2">
            <w:pPr>
              <w:pStyle w:val="NoSpacing"/>
              <w:rPr>
                <w:rFonts w:cstheme="minorHAnsi"/>
              </w:rPr>
            </w:pPr>
            <w:r w:rsidRPr="00923237">
              <w:rPr>
                <w:rFonts w:cstheme="minorHAnsi"/>
              </w:rPr>
              <w:t xml:space="preserve">Merge with </w:t>
            </w:r>
            <w:proofErr w:type="spellStart"/>
            <w:r w:rsidRPr="00923237">
              <w:rPr>
                <w:rFonts w:cstheme="minorHAnsi"/>
              </w:rPr>
              <w:t>MyLogIQ</w:t>
            </w:r>
            <w:proofErr w:type="spellEnd"/>
            <w:r w:rsidRPr="00923237">
              <w:rPr>
                <w:rFonts w:cstheme="minorHAnsi"/>
              </w:rPr>
              <w:t xml:space="preserve">, </w:t>
            </w:r>
            <w:proofErr w:type="spellStart"/>
            <w:r w:rsidRPr="00923237">
              <w:rPr>
                <w:rFonts w:cstheme="minorHAnsi"/>
              </w:rPr>
              <w:t>MorningStar</w:t>
            </w:r>
            <w:proofErr w:type="spellEnd"/>
            <w:r w:rsidRPr="00923237">
              <w:rPr>
                <w:rFonts w:cstheme="minorHAnsi"/>
              </w:rPr>
              <w:t xml:space="preserve">, and hand-collected data from proxy statements, Bloomberg and </w:t>
            </w:r>
            <w:proofErr w:type="spellStart"/>
            <w:r w:rsidRPr="00923237">
              <w:rPr>
                <w:rFonts w:cstheme="minorHAnsi"/>
              </w:rPr>
              <w:t>Linkedin</w:t>
            </w:r>
            <w:proofErr w:type="spellEnd"/>
          </w:p>
        </w:tc>
        <w:tc>
          <w:tcPr>
            <w:tcW w:w="0" w:type="auto"/>
            <w:hideMark/>
          </w:tcPr>
          <w:p w14:paraId="7D6AB00D" w14:textId="77777777" w:rsidR="00A4606E" w:rsidRPr="00923237" w:rsidRDefault="00A4606E" w:rsidP="00F31DC2">
            <w:pPr>
              <w:pStyle w:val="NoSpacing"/>
              <w:rPr>
                <w:rFonts w:cstheme="minorHAnsi"/>
              </w:rPr>
            </w:pPr>
            <w:r w:rsidRPr="00923237">
              <w:rPr>
                <w:rFonts w:cstheme="minorHAnsi"/>
              </w:rPr>
              <w:t>222</w:t>
            </w:r>
          </w:p>
        </w:tc>
        <w:tc>
          <w:tcPr>
            <w:tcW w:w="0" w:type="auto"/>
            <w:hideMark/>
          </w:tcPr>
          <w:p w14:paraId="00F0D511" w14:textId="77777777" w:rsidR="00A4606E" w:rsidRPr="00923237" w:rsidRDefault="00A4606E" w:rsidP="00F31DC2">
            <w:pPr>
              <w:pStyle w:val="NoSpacing"/>
              <w:rPr>
                <w:rFonts w:cstheme="minorHAnsi"/>
              </w:rPr>
            </w:pPr>
            <w:r w:rsidRPr="00923237">
              <w:rPr>
                <w:rFonts w:cstheme="minorHAnsi"/>
              </w:rPr>
              <w:t>1701</w:t>
            </w:r>
          </w:p>
        </w:tc>
      </w:tr>
      <w:tr w:rsidR="00A4606E" w:rsidRPr="00923237" w14:paraId="67ADE9AD" w14:textId="77777777" w:rsidTr="00F31DC2">
        <w:tc>
          <w:tcPr>
            <w:tcW w:w="0" w:type="auto"/>
            <w:hideMark/>
          </w:tcPr>
          <w:p w14:paraId="2975EBED" w14:textId="77777777" w:rsidR="00A4606E" w:rsidRPr="00923237" w:rsidRDefault="00A4606E" w:rsidP="00F31DC2">
            <w:pPr>
              <w:pStyle w:val="NoSpacing"/>
              <w:rPr>
                <w:rFonts w:cstheme="minorHAnsi"/>
              </w:rPr>
            </w:pPr>
            <w:r w:rsidRPr="00923237">
              <w:rPr>
                <w:rFonts w:cstheme="minorHAnsi"/>
              </w:rPr>
              <w:t>2006 sub-sample</w:t>
            </w:r>
          </w:p>
        </w:tc>
        <w:tc>
          <w:tcPr>
            <w:tcW w:w="0" w:type="auto"/>
            <w:hideMark/>
          </w:tcPr>
          <w:p w14:paraId="2BE8BC00" w14:textId="77777777" w:rsidR="00A4606E" w:rsidRPr="00923237" w:rsidRDefault="00A4606E" w:rsidP="00F31DC2">
            <w:pPr>
              <w:pStyle w:val="NoSpacing"/>
              <w:rPr>
                <w:rFonts w:cstheme="minorHAnsi"/>
              </w:rPr>
            </w:pPr>
            <w:r w:rsidRPr="00923237">
              <w:rPr>
                <w:rFonts w:cstheme="minorHAnsi"/>
              </w:rPr>
              <w:t>137</w:t>
            </w:r>
          </w:p>
        </w:tc>
        <w:tc>
          <w:tcPr>
            <w:tcW w:w="0" w:type="auto"/>
            <w:hideMark/>
          </w:tcPr>
          <w:p w14:paraId="1A81267B" w14:textId="77777777" w:rsidR="00A4606E" w:rsidRPr="00923237" w:rsidRDefault="00A4606E" w:rsidP="00F31DC2">
            <w:pPr>
              <w:pStyle w:val="NoSpacing"/>
              <w:rPr>
                <w:rFonts w:cstheme="minorHAnsi"/>
              </w:rPr>
            </w:pPr>
          </w:p>
        </w:tc>
      </w:tr>
    </w:tbl>
    <w:p w14:paraId="15EA81C2" w14:textId="77777777" w:rsidR="00A4606E" w:rsidRPr="00923237" w:rsidRDefault="00A4606E" w:rsidP="00F31DC2">
      <w:pPr>
        <w:pStyle w:val="Heading1"/>
        <w:rPr>
          <w:rFonts w:asciiTheme="minorHAnsi" w:hAnsiTheme="minorHAnsi" w:cstheme="minorHAnsi"/>
          <w:sz w:val="36"/>
          <w:szCs w:val="36"/>
        </w:rPr>
      </w:pPr>
      <w:r w:rsidRPr="00923237">
        <w:rPr>
          <w:rFonts w:asciiTheme="minorHAnsi" w:hAnsiTheme="minorHAnsi" w:cstheme="minorHAnsi"/>
        </w:rPr>
        <w:t>Appendix 2. Variable definitions</w:t>
      </w:r>
    </w:p>
    <w:tbl>
      <w:tblPr>
        <w:tblStyle w:val="TableGrid"/>
        <w:tblW w:w="0" w:type="auto"/>
        <w:tblLook w:val="04A0" w:firstRow="1" w:lastRow="0" w:firstColumn="1" w:lastColumn="0" w:noHBand="0" w:noVBand="1"/>
      </w:tblPr>
      <w:tblGrid>
        <w:gridCol w:w="2082"/>
        <w:gridCol w:w="7988"/>
      </w:tblGrid>
      <w:tr w:rsidR="00A4606E" w:rsidRPr="00923237" w14:paraId="3E19E4CF" w14:textId="77777777" w:rsidTr="00F31DC2">
        <w:tc>
          <w:tcPr>
            <w:tcW w:w="0" w:type="auto"/>
            <w:hideMark/>
          </w:tcPr>
          <w:p w14:paraId="60809A7C" w14:textId="77777777" w:rsidR="00A4606E" w:rsidRPr="00923237" w:rsidRDefault="00A4606E" w:rsidP="00F31DC2">
            <w:pPr>
              <w:pStyle w:val="NoSpacing"/>
              <w:rPr>
                <w:rFonts w:cstheme="minorHAnsi"/>
              </w:rPr>
            </w:pPr>
            <w:r w:rsidRPr="00923237">
              <w:rPr>
                <w:rFonts w:cstheme="minorHAnsi"/>
              </w:rPr>
              <w:t>Variable</w:t>
            </w:r>
          </w:p>
        </w:tc>
        <w:tc>
          <w:tcPr>
            <w:tcW w:w="0" w:type="auto"/>
            <w:hideMark/>
          </w:tcPr>
          <w:p w14:paraId="40B36AED" w14:textId="77777777" w:rsidR="00A4606E" w:rsidRPr="00923237" w:rsidRDefault="00A4606E" w:rsidP="00F31DC2">
            <w:pPr>
              <w:pStyle w:val="NoSpacing"/>
              <w:rPr>
                <w:rFonts w:cstheme="minorHAnsi"/>
              </w:rPr>
            </w:pPr>
            <w:r w:rsidRPr="00923237">
              <w:rPr>
                <w:rFonts w:cstheme="minorHAnsi"/>
              </w:rPr>
              <w:t>Definition</w:t>
            </w:r>
          </w:p>
        </w:tc>
      </w:tr>
      <w:tr w:rsidR="00160D46" w:rsidRPr="00923237" w14:paraId="766A7334" w14:textId="77777777" w:rsidTr="005A02BD">
        <w:tc>
          <w:tcPr>
            <w:tcW w:w="0" w:type="auto"/>
            <w:hideMark/>
          </w:tcPr>
          <w:p w14:paraId="0DB3222A" w14:textId="77777777" w:rsidR="00160D46" w:rsidRPr="00923237" w:rsidRDefault="00160D46" w:rsidP="00F31DC2">
            <w:pPr>
              <w:pStyle w:val="NoSpacing"/>
              <w:rPr>
                <w:rFonts w:cstheme="minorHAnsi"/>
              </w:rPr>
            </w:pPr>
            <w:r w:rsidRPr="00923237">
              <w:rPr>
                <w:rFonts w:cstheme="minorHAnsi"/>
              </w:rPr>
              <w:t>Board characteristics</w:t>
            </w:r>
          </w:p>
        </w:tc>
        <w:tc>
          <w:tcPr>
            <w:tcW w:w="0" w:type="auto"/>
          </w:tcPr>
          <w:p w14:paraId="026BA375" w14:textId="416D0059" w:rsidR="00160D46" w:rsidRPr="00923237" w:rsidRDefault="00160D46" w:rsidP="00F31DC2">
            <w:pPr>
              <w:pStyle w:val="NoSpacing"/>
              <w:rPr>
                <w:rFonts w:cstheme="minorHAnsi"/>
              </w:rPr>
            </w:pPr>
          </w:p>
        </w:tc>
      </w:tr>
      <w:tr w:rsidR="00A4606E" w:rsidRPr="00923237" w14:paraId="664DFB7B" w14:textId="77777777" w:rsidTr="00F31DC2">
        <w:tc>
          <w:tcPr>
            <w:tcW w:w="0" w:type="auto"/>
            <w:hideMark/>
          </w:tcPr>
          <w:p w14:paraId="6CD27878" w14:textId="77777777" w:rsidR="00A4606E" w:rsidRPr="00923237" w:rsidRDefault="00A4606E" w:rsidP="00F31DC2">
            <w:pPr>
              <w:pStyle w:val="NoSpacing"/>
              <w:rPr>
                <w:rFonts w:cstheme="minorHAnsi"/>
              </w:rPr>
            </w:pPr>
            <w:r w:rsidRPr="00923237">
              <w:rPr>
                <w:rFonts w:cstheme="minorHAnsi"/>
              </w:rPr>
              <w:t>Board meetings</w:t>
            </w:r>
          </w:p>
        </w:tc>
        <w:tc>
          <w:tcPr>
            <w:tcW w:w="0" w:type="auto"/>
            <w:hideMark/>
          </w:tcPr>
          <w:p w14:paraId="6164779F" w14:textId="77777777" w:rsidR="00A4606E" w:rsidRPr="00923237" w:rsidRDefault="00A4606E" w:rsidP="00F31DC2">
            <w:pPr>
              <w:pStyle w:val="NoSpacing"/>
              <w:rPr>
                <w:rFonts w:cstheme="minorHAnsi"/>
              </w:rPr>
            </w:pPr>
            <w:r w:rsidRPr="00923237">
              <w:rPr>
                <w:rFonts w:cstheme="minorHAnsi"/>
              </w:rPr>
              <w:t>The number of board meetings during the fiscal year.</w:t>
            </w:r>
          </w:p>
        </w:tc>
      </w:tr>
      <w:tr w:rsidR="00A4606E" w:rsidRPr="00923237" w14:paraId="617809B4" w14:textId="77777777" w:rsidTr="00F31DC2">
        <w:tc>
          <w:tcPr>
            <w:tcW w:w="0" w:type="auto"/>
            <w:hideMark/>
          </w:tcPr>
          <w:p w14:paraId="58B58D07" w14:textId="77777777" w:rsidR="00A4606E" w:rsidRPr="00923237" w:rsidRDefault="00A4606E" w:rsidP="00F31DC2">
            <w:pPr>
              <w:pStyle w:val="NoSpacing"/>
              <w:rPr>
                <w:rFonts w:cstheme="minorHAnsi"/>
              </w:rPr>
            </w:pPr>
            <w:r w:rsidRPr="00923237">
              <w:rPr>
                <w:rFonts w:cstheme="minorHAnsi"/>
              </w:rPr>
              <w:t>Committee meetings</w:t>
            </w:r>
          </w:p>
        </w:tc>
        <w:tc>
          <w:tcPr>
            <w:tcW w:w="0" w:type="auto"/>
            <w:hideMark/>
          </w:tcPr>
          <w:p w14:paraId="47F01C3C" w14:textId="77777777" w:rsidR="00A4606E" w:rsidRPr="00923237" w:rsidRDefault="00A4606E" w:rsidP="00F31DC2">
            <w:pPr>
              <w:pStyle w:val="NoSpacing"/>
              <w:rPr>
                <w:rFonts w:cstheme="minorHAnsi"/>
              </w:rPr>
            </w:pPr>
            <w:r w:rsidRPr="00923237">
              <w:rPr>
                <w:rFonts w:cstheme="minorHAnsi"/>
              </w:rPr>
              <w:t>The aggregate number of Audit, Compensation and Nominating/Governance committee meetings during the fiscal year.</w:t>
            </w:r>
          </w:p>
        </w:tc>
      </w:tr>
      <w:tr w:rsidR="00A4606E" w:rsidRPr="00923237" w14:paraId="2EDB0636" w14:textId="77777777" w:rsidTr="00F31DC2">
        <w:tc>
          <w:tcPr>
            <w:tcW w:w="0" w:type="auto"/>
            <w:hideMark/>
          </w:tcPr>
          <w:p w14:paraId="55192B69" w14:textId="77777777" w:rsidR="00A4606E" w:rsidRPr="00923237" w:rsidRDefault="00A4606E" w:rsidP="00F31DC2">
            <w:pPr>
              <w:pStyle w:val="NoSpacing"/>
              <w:rPr>
                <w:rFonts w:cstheme="minorHAnsi"/>
              </w:rPr>
            </w:pPr>
            <w:r w:rsidRPr="00923237">
              <w:rPr>
                <w:rFonts w:cstheme="minorHAnsi"/>
              </w:rPr>
              <w:t>Abnormal board meetings</w:t>
            </w:r>
          </w:p>
        </w:tc>
        <w:tc>
          <w:tcPr>
            <w:tcW w:w="0" w:type="auto"/>
            <w:hideMark/>
          </w:tcPr>
          <w:p w14:paraId="41A34000" w14:textId="77777777" w:rsidR="00A4606E" w:rsidRPr="00923237" w:rsidRDefault="00A4606E" w:rsidP="00F31DC2">
            <w:pPr>
              <w:pStyle w:val="NoSpacing"/>
              <w:rPr>
                <w:rFonts w:cstheme="minorHAnsi"/>
              </w:rPr>
            </w:pPr>
            <w:r w:rsidRPr="00923237">
              <w:rPr>
                <w:rFonts w:cstheme="minorHAnsi"/>
              </w:rPr>
              <w:t>The difference between the number of board meetings in a particular year during or post-crisis periods and the average number of board meetings pre-crisis period (from 2003 to 2006).</w:t>
            </w:r>
          </w:p>
        </w:tc>
      </w:tr>
      <w:tr w:rsidR="00A4606E" w:rsidRPr="00923237" w14:paraId="6CBF9FAC" w14:textId="77777777" w:rsidTr="00F31DC2">
        <w:tc>
          <w:tcPr>
            <w:tcW w:w="0" w:type="auto"/>
            <w:hideMark/>
          </w:tcPr>
          <w:p w14:paraId="238A00AA" w14:textId="77777777" w:rsidR="00A4606E" w:rsidRPr="00923237" w:rsidRDefault="00A4606E" w:rsidP="00F31DC2">
            <w:pPr>
              <w:pStyle w:val="NoSpacing"/>
              <w:rPr>
                <w:rFonts w:cstheme="minorHAnsi"/>
              </w:rPr>
            </w:pPr>
            <w:r w:rsidRPr="00923237">
              <w:rPr>
                <w:rFonts w:cstheme="minorHAnsi"/>
              </w:rPr>
              <w:t>Abnormal committee meetings</w:t>
            </w:r>
          </w:p>
        </w:tc>
        <w:tc>
          <w:tcPr>
            <w:tcW w:w="0" w:type="auto"/>
            <w:hideMark/>
          </w:tcPr>
          <w:p w14:paraId="00483255" w14:textId="77777777" w:rsidR="00A4606E" w:rsidRPr="00923237" w:rsidRDefault="00A4606E" w:rsidP="00F31DC2">
            <w:pPr>
              <w:pStyle w:val="NoSpacing"/>
              <w:rPr>
                <w:rFonts w:cstheme="minorHAnsi"/>
              </w:rPr>
            </w:pPr>
            <w:r w:rsidRPr="00923237">
              <w:rPr>
                <w:rFonts w:cstheme="minorHAnsi"/>
              </w:rPr>
              <w:t>The difference between the number of committee meetings in a particular year during or post-crisis periods and the corresponding average number of committee meetings pre-crisis period (from 2003 to 2006).</w:t>
            </w:r>
          </w:p>
        </w:tc>
      </w:tr>
      <w:tr w:rsidR="00A4606E" w:rsidRPr="00923237" w14:paraId="0FD85CD1" w14:textId="77777777" w:rsidTr="00F31DC2">
        <w:tc>
          <w:tcPr>
            <w:tcW w:w="0" w:type="auto"/>
            <w:hideMark/>
          </w:tcPr>
          <w:p w14:paraId="0E5D7D8E" w14:textId="77777777" w:rsidR="00A4606E" w:rsidRPr="00923237" w:rsidRDefault="00A4606E" w:rsidP="00F31DC2">
            <w:pPr>
              <w:pStyle w:val="NoSpacing"/>
              <w:rPr>
                <w:rFonts w:cstheme="minorHAnsi"/>
              </w:rPr>
            </w:pPr>
            <w:r w:rsidRPr="00923237">
              <w:rPr>
                <w:rFonts w:cstheme="minorHAnsi"/>
              </w:rPr>
              <w:t>FIN experience</w:t>
            </w:r>
          </w:p>
        </w:tc>
        <w:tc>
          <w:tcPr>
            <w:tcW w:w="0" w:type="auto"/>
            <w:hideMark/>
          </w:tcPr>
          <w:p w14:paraId="33A65A06" w14:textId="77777777" w:rsidR="00A4606E" w:rsidRPr="00923237" w:rsidRDefault="00A4606E" w:rsidP="00F31DC2">
            <w:pPr>
              <w:pStyle w:val="NoSpacing"/>
              <w:rPr>
                <w:rFonts w:cstheme="minorHAnsi"/>
              </w:rPr>
            </w:pPr>
            <w:r w:rsidRPr="00923237">
              <w:rPr>
                <w:rFonts w:cstheme="minorHAnsi"/>
              </w:rPr>
              <w:t>The average across the whole board of the number of years of managerial experience in finance.</w:t>
            </w:r>
          </w:p>
        </w:tc>
      </w:tr>
      <w:tr w:rsidR="00A4606E" w:rsidRPr="00923237" w14:paraId="4F3DB477" w14:textId="77777777" w:rsidTr="00F31DC2">
        <w:tc>
          <w:tcPr>
            <w:tcW w:w="0" w:type="auto"/>
            <w:hideMark/>
          </w:tcPr>
          <w:p w14:paraId="7A6D8016" w14:textId="77777777" w:rsidR="00A4606E" w:rsidRPr="00923237" w:rsidRDefault="00A4606E" w:rsidP="00F31DC2">
            <w:pPr>
              <w:pStyle w:val="NoSpacing"/>
              <w:rPr>
                <w:rFonts w:cstheme="minorHAnsi"/>
              </w:rPr>
            </w:pPr>
            <w:r w:rsidRPr="00923237">
              <w:rPr>
                <w:rFonts w:cstheme="minorHAnsi"/>
              </w:rPr>
              <w:t>RE experience</w:t>
            </w:r>
          </w:p>
        </w:tc>
        <w:tc>
          <w:tcPr>
            <w:tcW w:w="0" w:type="auto"/>
            <w:hideMark/>
          </w:tcPr>
          <w:p w14:paraId="55D7B4BE" w14:textId="77777777" w:rsidR="00A4606E" w:rsidRPr="00923237" w:rsidRDefault="00A4606E" w:rsidP="00F31DC2">
            <w:pPr>
              <w:pStyle w:val="NoSpacing"/>
              <w:rPr>
                <w:rFonts w:cstheme="minorHAnsi"/>
              </w:rPr>
            </w:pPr>
            <w:r w:rsidRPr="00923237">
              <w:rPr>
                <w:rFonts w:cstheme="minorHAnsi"/>
              </w:rPr>
              <w:t>The average across the whole board of the number of years of managerial experience in real estate.</w:t>
            </w:r>
          </w:p>
        </w:tc>
      </w:tr>
      <w:tr w:rsidR="00A4606E" w:rsidRPr="00923237" w14:paraId="43DB6F6E" w14:textId="77777777" w:rsidTr="00F31DC2">
        <w:tc>
          <w:tcPr>
            <w:tcW w:w="0" w:type="auto"/>
            <w:hideMark/>
          </w:tcPr>
          <w:p w14:paraId="0D411219" w14:textId="77777777" w:rsidR="00A4606E" w:rsidRPr="00923237" w:rsidRDefault="00A4606E" w:rsidP="00F31DC2">
            <w:pPr>
              <w:pStyle w:val="NoSpacing"/>
              <w:rPr>
                <w:rFonts w:cstheme="minorHAnsi"/>
              </w:rPr>
            </w:pPr>
            <w:r w:rsidRPr="00923237">
              <w:rPr>
                <w:rFonts w:cstheme="minorHAnsi"/>
              </w:rPr>
              <w:t>FIN &amp; RE experience</w:t>
            </w:r>
          </w:p>
        </w:tc>
        <w:tc>
          <w:tcPr>
            <w:tcW w:w="0" w:type="auto"/>
            <w:hideMark/>
          </w:tcPr>
          <w:p w14:paraId="14600CE5" w14:textId="77777777" w:rsidR="00A4606E" w:rsidRPr="00923237" w:rsidRDefault="00A4606E" w:rsidP="00F31DC2">
            <w:pPr>
              <w:pStyle w:val="NoSpacing"/>
              <w:rPr>
                <w:rFonts w:cstheme="minorHAnsi"/>
              </w:rPr>
            </w:pPr>
            <w:r w:rsidRPr="00923237">
              <w:rPr>
                <w:rFonts w:cstheme="minorHAnsi"/>
              </w:rPr>
              <w:t>The average across the whole board of the number of years of managerial experience in finance or real estate.</w:t>
            </w:r>
          </w:p>
        </w:tc>
      </w:tr>
      <w:tr w:rsidR="00A4606E" w:rsidRPr="00923237" w14:paraId="47A66EE3" w14:textId="77777777" w:rsidTr="00F31DC2">
        <w:tc>
          <w:tcPr>
            <w:tcW w:w="0" w:type="auto"/>
            <w:hideMark/>
          </w:tcPr>
          <w:p w14:paraId="544E9851" w14:textId="77777777" w:rsidR="00A4606E" w:rsidRPr="00923237" w:rsidRDefault="00A4606E" w:rsidP="00F31DC2">
            <w:pPr>
              <w:pStyle w:val="NoSpacing"/>
              <w:rPr>
                <w:rFonts w:cstheme="minorHAnsi"/>
              </w:rPr>
            </w:pPr>
            <w:r w:rsidRPr="00923237">
              <w:rPr>
                <w:rFonts w:cstheme="minorHAnsi"/>
              </w:rPr>
              <w:t>Exp. weighted ab. board meetings</w:t>
            </w:r>
          </w:p>
        </w:tc>
        <w:tc>
          <w:tcPr>
            <w:tcW w:w="0" w:type="auto"/>
            <w:hideMark/>
          </w:tcPr>
          <w:p w14:paraId="66362E98" w14:textId="77777777" w:rsidR="00A4606E" w:rsidRPr="00923237" w:rsidRDefault="00A4606E" w:rsidP="00F31DC2">
            <w:pPr>
              <w:pStyle w:val="NoSpacing"/>
              <w:rPr>
                <w:rFonts w:cstheme="minorHAnsi"/>
              </w:rPr>
            </w:pPr>
            <w:r w:rsidRPr="00923237">
              <w:rPr>
                <w:rFonts w:cstheme="minorHAnsi"/>
              </w:rPr>
              <w:t>The product of Abnormal Board Meetings and FIN &amp; RE Experience.</w:t>
            </w:r>
          </w:p>
        </w:tc>
      </w:tr>
      <w:tr w:rsidR="00A4606E" w:rsidRPr="00923237" w14:paraId="3E994760" w14:textId="77777777" w:rsidTr="00F31DC2">
        <w:tc>
          <w:tcPr>
            <w:tcW w:w="0" w:type="auto"/>
            <w:hideMark/>
          </w:tcPr>
          <w:p w14:paraId="56F8C2FF" w14:textId="77777777" w:rsidR="00A4606E" w:rsidRPr="00923237" w:rsidRDefault="00A4606E" w:rsidP="00F31DC2">
            <w:pPr>
              <w:pStyle w:val="NoSpacing"/>
              <w:rPr>
                <w:rFonts w:cstheme="minorHAnsi"/>
              </w:rPr>
            </w:pPr>
            <w:r w:rsidRPr="00923237">
              <w:rPr>
                <w:rFonts w:cstheme="minorHAnsi"/>
              </w:rPr>
              <w:t>FIN exp. weighted ab. board meetings</w:t>
            </w:r>
          </w:p>
        </w:tc>
        <w:tc>
          <w:tcPr>
            <w:tcW w:w="0" w:type="auto"/>
            <w:hideMark/>
          </w:tcPr>
          <w:p w14:paraId="205D83E2" w14:textId="77777777" w:rsidR="00A4606E" w:rsidRPr="00923237" w:rsidRDefault="00A4606E" w:rsidP="00F31DC2">
            <w:pPr>
              <w:pStyle w:val="NoSpacing"/>
              <w:rPr>
                <w:rFonts w:cstheme="minorHAnsi"/>
              </w:rPr>
            </w:pPr>
            <w:r w:rsidRPr="00923237">
              <w:rPr>
                <w:rFonts w:cstheme="minorHAnsi"/>
              </w:rPr>
              <w:t>The product of Abnormal Board Meetings and FIN Experience.</w:t>
            </w:r>
          </w:p>
        </w:tc>
      </w:tr>
      <w:tr w:rsidR="00A4606E" w:rsidRPr="00923237" w14:paraId="645F69D3" w14:textId="77777777" w:rsidTr="00F31DC2">
        <w:tc>
          <w:tcPr>
            <w:tcW w:w="0" w:type="auto"/>
            <w:hideMark/>
          </w:tcPr>
          <w:p w14:paraId="1953F24A" w14:textId="77777777" w:rsidR="00A4606E" w:rsidRPr="00923237" w:rsidRDefault="00A4606E" w:rsidP="00F31DC2">
            <w:pPr>
              <w:pStyle w:val="NoSpacing"/>
              <w:rPr>
                <w:rFonts w:cstheme="minorHAnsi"/>
              </w:rPr>
            </w:pPr>
            <w:r w:rsidRPr="00923237">
              <w:rPr>
                <w:rFonts w:cstheme="minorHAnsi"/>
              </w:rPr>
              <w:t>RE exp. weighted ab. board meetings</w:t>
            </w:r>
          </w:p>
        </w:tc>
        <w:tc>
          <w:tcPr>
            <w:tcW w:w="0" w:type="auto"/>
            <w:hideMark/>
          </w:tcPr>
          <w:p w14:paraId="4482AE24" w14:textId="77777777" w:rsidR="00A4606E" w:rsidRPr="00923237" w:rsidRDefault="00A4606E" w:rsidP="00F31DC2">
            <w:pPr>
              <w:pStyle w:val="NoSpacing"/>
              <w:rPr>
                <w:rFonts w:cstheme="minorHAnsi"/>
              </w:rPr>
            </w:pPr>
            <w:r w:rsidRPr="00923237">
              <w:rPr>
                <w:rFonts w:cstheme="minorHAnsi"/>
              </w:rPr>
              <w:t>The product of Abnormal Board Meetings and RE Experience.</w:t>
            </w:r>
          </w:p>
        </w:tc>
      </w:tr>
      <w:tr w:rsidR="00A4606E" w:rsidRPr="00923237" w14:paraId="58F4BE2E" w14:textId="77777777" w:rsidTr="00F31DC2">
        <w:tc>
          <w:tcPr>
            <w:tcW w:w="0" w:type="auto"/>
            <w:hideMark/>
          </w:tcPr>
          <w:p w14:paraId="3B6BC02F" w14:textId="77777777" w:rsidR="00A4606E" w:rsidRPr="00923237" w:rsidRDefault="00A4606E" w:rsidP="00F31DC2">
            <w:pPr>
              <w:pStyle w:val="NoSpacing"/>
              <w:rPr>
                <w:rFonts w:cstheme="minorHAnsi"/>
              </w:rPr>
            </w:pPr>
            <w:r w:rsidRPr="00923237">
              <w:rPr>
                <w:rFonts w:cstheme="minorHAnsi"/>
              </w:rPr>
              <w:t>S&amp;L crisis exp.</w:t>
            </w:r>
          </w:p>
        </w:tc>
        <w:tc>
          <w:tcPr>
            <w:tcW w:w="0" w:type="auto"/>
            <w:hideMark/>
          </w:tcPr>
          <w:p w14:paraId="2FB8A092" w14:textId="77777777" w:rsidR="00A4606E" w:rsidRPr="00923237" w:rsidRDefault="00A4606E" w:rsidP="00F31DC2">
            <w:pPr>
              <w:pStyle w:val="NoSpacing"/>
              <w:rPr>
                <w:rFonts w:cstheme="minorHAnsi"/>
              </w:rPr>
            </w:pPr>
            <w:r w:rsidRPr="00923237">
              <w:rPr>
                <w:rFonts w:cstheme="minorHAnsi"/>
              </w:rPr>
              <w:t>An indicator variable that takes a value of one if at least one director has managerial experience in real estate or finance in the 1980s.</w:t>
            </w:r>
          </w:p>
        </w:tc>
      </w:tr>
      <w:tr w:rsidR="00A4606E" w:rsidRPr="00923237" w14:paraId="623C4C55" w14:textId="77777777" w:rsidTr="00F31DC2">
        <w:tc>
          <w:tcPr>
            <w:tcW w:w="0" w:type="auto"/>
            <w:hideMark/>
          </w:tcPr>
          <w:p w14:paraId="4030CCF1" w14:textId="77777777" w:rsidR="00A4606E" w:rsidRPr="00923237" w:rsidRDefault="00A4606E" w:rsidP="00F31DC2">
            <w:pPr>
              <w:pStyle w:val="NoSpacing"/>
              <w:rPr>
                <w:rFonts w:cstheme="minorHAnsi"/>
              </w:rPr>
            </w:pPr>
            <w:r w:rsidRPr="00923237">
              <w:rPr>
                <w:rFonts w:cstheme="minorHAnsi"/>
              </w:rPr>
              <w:t>Board size</w:t>
            </w:r>
          </w:p>
        </w:tc>
        <w:tc>
          <w:tcPr>
            <w:tcW w:w="0" w:type="auto"/>
            <w:hideMark/>
          </w:tcPr>
          <w:p w14:paraId="2B331869" w14:textId="77777777" w:rsidR="00A4606E" w:rsidRPr="00923237" w:rsidRDefault="00A4606E" w:rsidP="00F31DC2">
            <w:pPr>
              <w:pStyle w:val="NoSpacing"/>
              <w:rPr>
                <w:rFonts w:cstheme="minorHAnsi"/>
              </w:rPr>
            </w:pPr>
            <w:r w:rsidRPr="00923237">
              <w:rPr>
                <w:rFonts w:cstheme="minorHAnsi"/>
              </w:rPr>
              <w:t>The total number of directors on the board.</w:t>
            </w:r>
          </w:p>
        </w:tc>
      </w:tr>
      <w:tr w:rsidR="00A4606E" w:rsidRPr="00923237" w14:paraId="2C6CBD10" w14:textId="77777777" w:rsidTr="00F31DC2">
        <w:tc>
          <w:tcPr>
            <w:tcW w:w="0" w:type="auto"/>
            <w:hideMark/>
          </w:tcPr>
          <w:p w14:paraId="3E495110" w14:textId="77777777" w:rsidR="00A4606E" w:rsidRPr="00923237" w:rsidRDefault="00A4606E" w:rsidP="00F31DC2">
            <w:pPr>
              <w:pStyle w:val="NoSpacing"/>
              <w:rPr>
                <w:rFonts w:cstheme="minorHAnsi"/>
              </w:rPr>
            </w:pPr>
            <w:r w:rsidRPr="00923237">
              <w:rPr>
                <w:rFonts w:cstheme="minorHAnsi"/>
              </w:rPr>
              <w:t>Board independence</w:t>
            </w:r>
          </w:p>
        </w:tc>
        <w:tc>
          <w:tcPr>
            <w:tcW w:w="0" w:type="auto"/>
            <w:hideMark/>
          </w:tcPr>
          <w:p w14:paraId="1DB7BA24" w14:textId="77777777" w:rsidR="00A4606E" w:rsidRPr="00923237" w:rsidRDefault="00A4606E" w:rsidP="00F31DC2">
            <w:pPr>
              <w:pStyle w:val="NoSpacing"/>
              <w:rPr>
                <w:rFonts w:cstheme="minorHAnsi"/>
              </w:rPr>
            </w:pPr>
            <w:r w:rsidRPr="00923237">
              <w:rPr>
                <w:rFonts w:cstheme="minorHAnsi"/>
              </w:rPr>
              <w:t>The proportion of independent directors on the board.</w:t>
            </w:r>
          </w:p>
        </w:tc>
      </w:tr>
      <w:tr w:rsidR="00160D46" w:rsidRPr="00923237" w14:paraId="6B9A7AC4" w14:textId="77777777" w:rsidTr="00201D28">
        <w:tc>
          <w:tcPr>
            <w:tcW w:w="0" w:type="auto"/>
            <w:hideMark/>
          </w:tcPr>
          <w:p w14:paraId="35CF0213" w14:textId="77777777" w:rsidR="00160D46" w:rsidRPr="00923237" w:rsidRDefault="00160D46" w:rsidP="00F31DC2">
            <w:pPr>
              <w:pStyle w:val="NoSpacing"/>
              <w:rPr>
                <w:rFonts w:cstheme="minorHAnsi"/>
              </w:rPr>
            </w:pPr>
            <w:r w:rsidRPr="00923237">
              <w:rPr>
                <w:rFonts w:cstheme="minorHAnsi"/>
              </w:rPr>
              <w:t>Firm characteristics</w:t>
            </w:r>
          </w:p>
        </w:tc>
        <w:tc>
          <w:tcPr>
            <w:tcW w:w="0" w:type="auto"/>
          </w:tcPr>
          <w:p w14:paraId="0336E276" w14:textId="364CA7D2" w:rsidR="00160D46" w:rsidRPr="00923237" w:rsidRDefault="00160D46" w:rsidP="00F31DC2">
            <w:pPr>
              <w:pStyle w:val="NoSpacing"/>
              <w:rPr>
                <w:rFonts w:cstheme="minorHAnsi"/>
              </w:rPr>
            </w:pPr>
          </w:p>
        </w:tc>
      </w:tr>
      <w:tr w:rsidR="00A4606E" w:rsidRPr="00923237" w14:paraId="7C0E4D5B" w14:textId="77777777" w:rsidTr="00F31DC2">
        <w:tc>
          <w:tcPr>
            <w:tcW w:w="0" w:type="auto"/>
            <w:hideMark/>
          </w:tcPr>
          <w:p w14:paraId="2064B05C" w14:textId="77777777" w:rsidR="00A4606E" w:rsidRPr="00923237" w:rsidRDefault="00A4606E" w:rsidP="00F31DC2">
            <w:pPr>
              <w:pStyle w:val="NoSpacing"/>
              <w:rPr>
                <w:rFonts w:cstheme="minorHAnsi"/>
              </w:rPr>
            </w:pPr>
            <w:r w:rsidRPr="00923237">
              <w:rPr>
                <w:rFonts w:cstheme="minorHAnsi"/>
              </w:rPr>
              <w:t>Cumulative return 2007–2009</w:t>
            </w:r>
          </w:p>
        </w:tc>
        <w:tc>
          <w:tcPr>
            <w:tcW w:w="0" w:type="auto"/>
            <w:hideMark/>
          </w:tcPr>
          <w:p w14:paraId="51CE8D44" w14:textId="77777777" w:rsidR="00A4606E" w:rsidRPr="00923237" w:rsidRDefault="00A4606E" w:rsidP="00F31DC2">
            <w:pPr>
              <w:pStyle w:val="NoSpacing"/>
              <w:rPr>
                <w:rFonts w:cstheme="minorHAnsi"/>
              </w:rPr>
            </w:pPr>
            <w:r w:rsidRPr="00923237">
              <w:rPr>
                <w:rFonts w:cstheme="minorHAnsi"/>
              </w:rPr>
              <w:t>Cumulative monthly rates of return from January 2007 to February 2009.</w:t>
            </w:r>
          </w:p>
        </w:tc>
      </w:tr>
      <w:tr w:rsidR="00A4606E" w:rsidRPr="00923237" w14:paraId="46DA0FBF" w14:textId="77777777" w:rsidTr="00F31DC2">
        <w:tc>
          <w:tcPr>
            <w:tcW w:w="0" w:type="auto"/>
            <w:hideMark/>
          </w:tcPr>
          <w:p w14:paraId="4BBA8C3A" w14:textId="77777777" w:rsidR="00A4606E" w:rsidRPr="00923237" w:rsidRDefault="00A4606E" w:rsidP="00F31DC2">
            <w:pPr>
              <w:pStyle w:val="NoSpacing"/>
              <w:rPr>
                <w:rFonts w:cstheme="minorHAnsi"/>
              </w:rPr>
            </w:pPr>
            <w:r w:rsidRPr="00923237">
              <w:rPr>
                <w:rFonts w:cstheme="minorHAnsi"/>
              </w:rPr>
              <w:t>Cumulative return 2009–2016</w:t>
            </w:r>
          </w:p>
        </w:tc>
        <w:tc>
          <w:tcPr>
            <w:tcW w:w="0" w:type="auto"/>
            <w:hideMark/>
          </w:tcPr>
          <w:p w14:paraId="4EA263C3" w14:textId="77777777" w:rsidR="00A4606E" w:rsidRPr="00923237" w:rsidRDefault="00A4606E" w:rsidP="00F31DC2">
            <w:pPr>
              <w:pStyle w:val="NoSpacing"/>
              <w:rPr>
                <w:rFonts w:cstheme="minorHAnsi"/>
              </w:rPr>
            </w:pPr>
            <w:r w:rsidRPr="00923237">
              <w:rPr>
                <w:rFonts w:cstheme="minorHAnsi"/>
              </w:rPr>
              <w:t>Cumulative monthly rates of return from March 2009 to December 2016.</w:t>
            </w:r>
          </w:p>
        </w:tc>
      </w:tr>
      <w:tr w:rsidR="00A4606E" w:rsidRPr="00923237" w14:paraId="3D8EBC6C" w14:textId="77777777" w:rsidTr="00F31DC2">
        <w:tc>
          <w:tcPr>
            <w:tcW w:w="0" w:type="auto"/>
            <w:hideMark/>
          </w:tcPr>
          <w:p w14:paraId="369AFF69" w14:textId="77777777" w:rsidR="00A4606E" w:rsidRPr="00923237" w:rsidRDefault="00A4606E" w:rsidP="00F31DC2">
            <w:pPr>
              <w:pStyle w:val="NoSpacing"/>
              <w:rPr>
                <w:rFonts w:cstheme="minorHAnsi"/>
              </w:rPr>
            </w:pPr>
            <w:r w:rsidRPr="00923237">
              <w:rPr>
                <w:rFonts w:cstheme="minorHAnsi"/>
              </w:rPr>
              <w:t>Market leverage</w:t>
            </w:r>
          </w:p>
        </w:tc>
        <w:tc>
          <w:tcPr>
            <w:tcW w:w="0" w:type="auto"/>
            <w:hideMark/>
          </w:tcPr>
          <w:p w14:paraId="73451DA2" w14:textId="77777777" w:rsidR="00A4606E" w:rsidRPr="00923237" w:rsidRDefault="00A4606E" w:rsidP="00F31DC2">
            <w:pPr>
              <w:pStyle w:val="NoSpacing"/>
              <w:rPr>
                <w:rFonts w:cstheme="minorHAnsi"/>
              </w:rPr>
            </w:pPr>
            <w:r w:rsidRPr="00923237">
              <w:rPr>
                <w:rFonts w:cstheme="minorHAnsi"/>
              </w:rPr>
              <w:t>The ratio of total debt (the book value of debt due in one year plus long-term debt) to the market value of the firm (total debt plus book value of preferred stock plus market capitalization).</w:t>
            </w:r>
          </w:p>
        </w:tc>
      </w:tr>
      <w:tr w:rsidR="00A4606E" w:rsidRPr="00923237" w14:paraId="4E3890A4" w14:textId="77777777" w:rsidTr="00F31DC2">
        <w:tc>
          <w:tcPr>
            <w:tcW w:w="0" w:type="auto"/>
            <w:hideMark/>
          </w:tcPr>
          <w:p w14:paraId="27DF5CB8" w14:textId="77777777" w:rsidR="00A4606E" w:rsidRPr="00923237" w:rsidRDefault="00A4606E" w:rsidP="00F31DC2">
            <w:pPr>
              <w:pStyle w:val="NoSpacing"/>
              <w:rPr>
                <w:rFonts w:cstheme="minorHAnsi"/>
              </w:rPr>
            </w:pPr>
            <w:r w:rsidRPr="00923237">
              <w:rPr>
                <w:rFonts w:cstheme="minorHAnsi"/>
              </w:rPr>
              <w:t>High leverage</w:t>
            </w:r>
          </w:p>
        </w:tc>
        <w:tc>
          <w:tcPr>
            <w:tcW w:w="0" w:type="auto"/>
            <w:hideMark/>
          </w:tcPr>
          <w:p w14:paraId="3EF4BE62" w14:textId="77777777" w:rsidR="00A4606E" w:rsidRPr="00923237" w:rsidRDefault="00A4606E" w:rsidP="00F31DC2">
            <w:pPr>
              <w:pStyle w:val="NoSpacing"/>
              <w:rPr>
                <w:rFonts w:cstheme="minorHAnsi"/>
              </w:rPr>
            </w:pPr>
            <w:r w:rsidRPr="00923237">
              <w:rPr>
                <w:rFonts w:cstheme="minorHAnsi"/>
              </w:rPr>
              <w:t>An indicator variable that takes the value of one if the firm's market leverage is in the top quartile, and zero otherwise.</w:t>
            </w:r>
          </w:p>
        </w:tc>
      </w:tr>
      <w:tr w:rsidR="00A4606E" w:rsidRPr="00923237" w14:paraId="48405420" w14:textId="77777777" w:rsidTr="00F31DC2">
        <w:tc>
          <w:tcPr>
            <w:tcW w:w="0" w:type="auto"/>
            <w:hideMark/>
          </w:tcPr>
          <w:p w14:paraId="6B11B1A7" w14:textId="77777777" w:rsidR="00A4606E" w:rsidRPr="00923237" w:rsidRDefault="00A4606E" w:rsidP="00F31DC2">
            <w:pPr>
              <w:pStyle w:val="NoSpacing"/>
              <w:rPr>
                <w:rFonts w:cstheme="minorHAnsi"/>
              </w:rPr>
            </w:pPr>
            <w:r w:rsidRPr="00923237">
              <w:rPr>
                <w:rFonts w:cstheme="minorHAnsi"/>
              </w:rPr>
              <w:t>Firm Q</w:t>
            </w:r>
          </w:p>
        </w:tc>
        <w:tc>
          <w:tcPr>
            <w:tcW w:w="0" w:type="auto"/>
            <w:hideMark/>
          </w:tcPr>
          <w:p w14:paraId="20D937D9" w14:textId="77777777" w:rsidR="00A4606E" w:rsidRPr="00923237" w:rsidRDefault="00A4606E" w:rsidP="00F31DC2">
            <w:pPr>
              <w:pStyle w:val="NoSpacing"/>
              <w:rPr>
                <w:rFonts w:cstheme="minorHAnsi"/>
              </w:rPr>
            </w:pPr>
            <w:r w:rsidRPr="00923237">
              <w:rPr>
                <w:rFonts w:cstheme="minorHAnsi"/>
              </w:rPr>
              <w:t>The firm's Tobin's Q, calculated as the market value of equity plus total assets minus the book value of common equity, divided by the book value of assets.</w:t>
            </w:r>
          </w:p>
        </w:tc>
      </w:tr>
      <w:tr w:rsidR="00A4606E" w:rsidRPr="00923237" w14:paraId="0A322CF5" w14:textId="77777777" w:rsidTr="00F31DC2">
        <w:tc>
          <w:tcPr>
            <w:tcW w:w="0" w:type="auto"/>
            <w:hideMark/>
          </w:tcPr>
          <w:p w14:paraId="66E836B9" w14:textId="77777777" w:rsidR="00A4606E" w:rsidRPr="00923237" w:rsidRDefault="00A4606E" w:rsidP="00F31DC2">
            <w:pPr>
              <w:pStyle w:val="NoSpacing"/>
              <w:rPr>
                <w:rFonts w:cstheme="minorHAnsi"/>
              </w:rPr>
            </w:pPr>
            <w:r w:rsidRPr="00923237">
              <w:rPr>
                <w:rFonts w:cstheme="minorHAnsi"/>
              </w:rPr>
              <w:t>Firm size</w:t>
            </w:r>
          </w:p>
        </w:tc>
        <w:tc>
          <w:tcPr>
            <w:tcW w:w="0" w:type="auto"/>
            <w:hideMark/>
          </w:tcPr>
          <w:p w14:paraId="75885502" w14:textId="77777777" w:rsidR="00A4606E" w:rsidRPr="00923237" w:rsidRDefault="00A4606E" w:rsidP="00F31DC2">
            <w:pPr>
              <w:pStyle w:val="NoSpacing"/>
              <w:rPr>
                <w:rFonts w:cstheme="minorHAnsi"/>
              </w:rPr>
            </w:pPr>
            <w:r w:rsidRPr="00923237">
              <w:rPr>
                <w:rFonts w:cstheme="minorHAnsi"/>
              </w:rPr>
              <w:t>The natural logarithm of total assets.</w:t>
            </w:r>
          </w:p>
        </w:tc>
      </w:tr>
      <w:tr w:rsidR="00A4606E" w:rsidRPr="00923237" w14:paraId="71E0D264" w14:textId="77777777" w:rsidTr="00F31DC2">
        <w:tc>
          <w:tcPr>
            <w:tcW w:w="0" w:type="auto"/>
            <w:hideMark/>
          </w:tcPr>
          <w:p w14:paraId="41F376F7" w14:textId="77777777" w:rsidR="00A4606E" w:rsidRPr="00923237" w:rsidRDefault="00A4606E" w:rsidP="00F31DC2">
            <w:pPr>
              <w:pStyle w:val="NoSpacing"/>
              <w:rPr>
                <w:rFonts w:cstheme="minorHAnsi"/>
              </w:rPr>
            </w:pPr>
            <w:r w:rsidRPr="00923237">
              <w:rPr>
                <w:rFonts w:cstheme="minorHAnsi"/>
              </w:rPr>
              <w:t>FFO per share</w:t>
            </w:r>
          </w:p>
        </w:tc>
        <w:tc>
          <w:tcPr>
            <w:tcW w:w="0" w:type="auto"/>
            <w:hideMark/>
          </w:tcPr>
          <w:p w14:paraId="3427B1E8" w14:textId="77777777" w:rsidR="00A4606E" w:rsidRPr="00923237" w:rsidRDefault="00A4606E" w:rsidP="00F31DC2">
            <w:pPr>
              <w:pStyle w:val="NoSpacing"/>
              <w:rPr>
                <w:rFonts w:cstheme="minorHAnsi"/>
              </w:rPr>
            </w:pPr>
            <w:r w:rsidRPr="00923237">
              <w:rPr>
                <w:rFonts w:cstheme="minorHAnsi"/>
              </w:rPr>
              <w:t>Funds from operations per share.</w:t>
            </w:r>
          </w:p>
        </w:tc>
      </w:tr>
      <w:tr w:rsidR="00A4606E" w:rsidRPr="00923237" w14:paraId="456FA84B" w14:textId="77777777" w:rsidTr="00F31DC2">
        <w:tc>
          <w:tcPr>
            <w:tcW w:w="0" w:type="auto"/>
            <w:hideMark/>
          </w:tcPr>
          <w:p w14:paraId="58F4409C" w14:textId="77777777" w:rsidR="00A4606E" w:rsidRPr="00923237" w:rsidRDefault="00A4606E" w:rsidP="00F31DC2">
            <w:pPr>
              <w:pStyle w:val="NoSpacing"/>
              <w:rPr>
                <w:rFonts w:cstheme="minorHAnsi"/>
              </w:rPr>
            </w:pPr>
            <w:r w:rsidRPr="00923237">
              <w:rPr>
                <w:rFonts w:cstheme="minorHAnsi"/>
              </w:rPr>
              <w:t>Cash/total assets</w:t>
            </w:r>
          </w:p>
        </w:tc>
        <w:tc>
          <w:tcPr>
            <w:tcW w:w="0" w:type="auto"/>
            <w:hideMark/>
          </w:tcPr>
          <w:p w14:paraId="2D5F8B4C" w14:textId="77777777" w:rsidR="00A4606E" w:rsidRPr="00923237" w:rsidRDefault="00A4606E" w:rsidP="00F31DC2">
            <w:pPr>
              <w:pStyle w:val="NoSpacing"/>
              <w:rPr>
                <w:rFonts w:cstheme="minorHAnsi"/>
              </w:rPr>
            </w:pPr>
            <w:r w:rsidRPr="00923237">
              <w:rPr>
                <w:rFonts w:cstheme="minorHAnsi"/>
              </w:rPr>
              <w:t>The ratio of cash and cash equivalents to total assets.</w:t>
            </w:r>
          </w:p>
        </w:tc>
      </w:tr>
      <w:tr w:rsidR="00A4606E" w:rsidRPr="00923237" w14:paraId="3C2E7B4D" w14:textId="77777777" w:rsidTr="00F31DC2">
        <w:tc>
          <w:tcPr>
            <w:tcW w:w="0" w:type="auto"/>
            <w:hideMark/>
          </w:tcPr>
          <w:p w14:paraId="67981C3C" w14:textId="77777777" w:rsidR="00A4606E" w:rsidRPr="00923237" w:rsidRDefault="00A4606E" w:rsidP="00F31DC2">
            <w:pPr>
              <w:pStyle w:val="NoSpacing"/>
              <w:rPr>
                <w:rFonts w:cstheme="minorHAnsi"/>
              </w:rPr>
            </w:pPr>
            <w:r w:rsidRPr="00923237">
              <w:rPr>
                <w:rFonts w:cstheme="minorHAnsi"/>
              </w:rPr>
              <w:t>Preferred stock</w:t>
            </w:r>
          </w:p>
        </w:tc>
        <w:tc>
          <w:tcPr>
            <w:tcW w:w="0" w:type="auto"/>
            <w:hideMark/>
          </w:tcPr>
          <w:p w14:paraId="51802594" w14:textId="77777777" w:rsidR="00A4606E" w:rsidRPr="00923237" w:rsidRDefault="00A4606E" w:rsidP="00F31DC2">
            <w:pPr>
              <w:pStyle w:val="NoSpacing"/>
              <w:rPr>
                <w:rFonts w:cstheme="minorHAnsi"/>
              </w:rPr>
            </w:pPr>
            <w:r w:rsidRPr="00923237">
              <w:rPr>
                <w:rFonts w:cstheme="minorHAnsi"/>
              </w:rPr>
              <w:t>The ratio of book value of preferred stock to the market value of the firm (total debt plus book value of preferred stock plus market capitalization).</w:t>
            </w:r>
          </w:p>
        </w:tc>
      </w:tr>
      <w:tr w:rsidR="00A4606E" w:rsidRPr="00923237" w14:paraId="73CAF5ED" w14:textId="77777777" w:rsidTr="00F31DC2">
        <w:tc>
          <w:tcPr>
            <w:tcW w:w="0" w:type="auto"/>
            <w:hideMark/>
          </w:tcPr>
          <w:p w14:paraId="5E3D1F53" w14:textId="77777777" w:rsidR="00A4606E" w:rsidRPr="00923237" w:rsidRDefault="00A4606E" w:rsidP="00F31DC2">
            <w:pPr>
              <w:pStyle w:val="NoSpacing"/>
              <w:rPr>
                <w:rFonts w:cstheme="minorHAnsi"/>
              </w:rPr>
            </w:pPr>
            <w:r w:rsidRPr="00923237">
              <w:rPr>
                <w:rFonts w:cstheme="minorHAnsi"/>
              </w:rPr>
              <w:t>Variable rate debt/total debt</w:t>
            </w:r>
          </w:p>
        </w:tc>
        <w:tc>
          <w:tcPr>
            <w:tcW w:w="0" w:type="auto"/>
            <w:hideMark/>
          </w:tcPr>
          <w:p w14:paraId="69E791A2" w14:textId="77777777" w:rsidR="00A4606E" w:rsidRPr="00923237" w:rsidRDefault="00A4606E" w:rsidP="00F31DC2">
            <w:pPr>
              <w:pStyle w:val="NoSpacing"/>
              <w:rPr>
                <w:rFonts w:cstheme="minorHAnsi"/>
              </w:rPr>
            </w:pPr>
            <w:r w:rsidRPr="00923237">
              <w:rPr>
                <w:rFonts w:cstheme="minorHAnsi"/>
              </w:rPr>
              <w:t>The ratio of variable interest rate debt to total debt.</w:t>
            </w:r>
          </w:p>
        </w:tc>
      </w:tr>
      <w:tr w:rsidR="00A4606E" w:rsidRPr="00923237" w14:paraId="49CFA4D0" w14:textId="77777777" w:rsidTr="00F31DC2">
        <w:tc>
          <w:tcPr>
            <w:tcW w:w="0" w:type="auto"/>
            <w:hideMark/>
          </w:tcPr>
          <w:p w14:paraId="4C496B86" w14:textId="77777777" w:rsidR="00A4606E" w:rsidRPr="00923237" w:rsidRDefault="00A4606E" w:rsidP="00F31DC2">
            <w:pPr>
              <w:pStyle w:val="NoSpacing"/>
              <w:rPr>
                <w:rFonts w:cstheme="minorHAnsi"/>
              </w:rPr>
            </w:pPr>
            <w:r w:rsidRPr="00923237">
              <w:rPr>
                <w:rFonts w:cstheme="minorHAnsi"/>
              </w:rPr>
              <w:t>Debt due in 1 year/total debt</w:t>
            </w:r>
          </w:p>
        </w:tc>
        <w:tc>
          <w:tcPr>
            <w:tcW w:w="0" w:type="auto"/>
            <w:hideMark/>
          </w:tcPr>
          <w:p w14:paraId="37AED935" w14:textId="77777777" w:rsidR="00A4606E" w:rsidRPr="00923237" w:rsidRDefault="00A4606E" w:rsidP="00F31DC2">
            <w:pPr>
              <w:pStyle w:val="NoSpacing"/>
              <w:rPr>
                <w:rFonts w:cstheme="minorHAnsi"/>
              </w:rPr>
            </w:pPr>
            <w:r w:rsidRPr="00923237">
              <w:rPr>
                <w:rFonts w:cstheme="minorHAnsi"/>
              </w:rPr>
              <w:t>The ratio of debt due in one year to total debt.</w:t>
            </w:r>
          </w:p>
        </w:tc>
      </w:tr>
      <w:tr w:rsidR="00A4606E" w:rsidRPr="00923237" w14:paraId="5FDDD8D7" w14:textId="77777777" w:rsidTr="00F31DC2">
        <w:tc>
          <w:tcPr>
            <w:tcW w:w="0" w:type="auto"/>
            <w:hideMark/>
          </w:tcPr>
          <w:p w14:paraId="3DF2A23E" w14:textId="77777777" w:rsidR="00A4606E" w:rsidRPr="00923237" w:rsidRDefault="00A4606E" w:rsidP="00F31DC2">
            <w:pPr>
              <w:pStyle w:val="NoSpacing"/>
              <w:rPr>
                <w:rFonts w:cstheme="minorHAnsi"/>
              </w:rPr>
            </w:pPr>
            <w:r w:rsidRPr="00923237">
              <w:rPr>
                <w:rFonts w:cstheme="minorHAnsi"/>
              </w:rPr>
              <w:t>Debt due in 2–3 year/total debt</w:t>
            </w:r>
          </w:p>
        </w:tc>
        <w:tc>
          <w:tcPr>
            <w:tcW w:w="0" w:type="auto"/>
            <w:hideMark/>
          </w:tcPr>
          <w:p w14:paraId="204706D5" w14:textId="77777777" w:rsidR="00A4606E" w:rsidRPr="00923237" w:rsidRDefault="00A4606E" w:rsidP="00F31DC2">
            <w:pPr>
              <w:pStyle w:val="NoSpacing"/>
              <w:rPr>
                <w:rFonts w:cstheme="minorHAnsi"/>
              </w:rPr>
            </w:pPr>
            <w:r w:rsidRPr="00923237">
              <w:rPr>
                <w:rFonts w:cstheme="minorHAnsi"/>
              </w:rPr>
              <w:t>The ratio of debt due in two or three years to total debt.</w:t>
            </w:r>
          </w:p>
        </w:tc>
      </w:tr>
      <w:tr w:rsidR="00A4606E" w:rsidRPr="00923237" w14:paraId="29C07452" w14:textId="77777777" w:rsidTr="00F31DC2">
        <w:tc>
          <w:tcPr>
            <w:tcW w:w="0" w:type="auto"/>
            <w:hideMark/>
          </w:tcPr>
          <w:p w14:paraId="5CD4AA89" w14:textId="77777777" w:rsidR="00A4606E" w:rsidRPr="00923237" w:rsidRDefault="00A4606E" w:rsidP="00F31DC2">
            <w:pPr>
              <w:pStyle w:val="NoSpacing"/>
              <w:rPr>
                <w:rFonts w:cstheme="minorHAnsi"/>
              </w:rPr>
            </w:pPr>
            <w:r w:rsidRPr="00923237">
              <w:rPr>
                <w:rFonts w:cstheme="minorHAnsi"/>
              </w:rPr>
              <w:t>Negative leverage</w:t>
            </w:r>
          </w:p>
        </w:tc>
        <w:tc>
          <w:tcPr>
            <w:tcW w:w="0" w:type="auto"/>
            <w:hideMark/>
          </w:tcPr>
          <w:p w14:paraId="659F4254" w14:textId="77777777" w:rsidR="00A4606E" w:rsidRPr="00923237" w:rsidRDefault="00A4606E" w:rsidP="00F31DC2">
            <w:pPr>
              <w:pStyle w:val="NoSpacing"/>
              <w:rPr>
                <w:rFonts w:cstheme="minorHAnsi"/>
              </w:rPr>
            </w:pPr>
            <w:r w:rsidRPr="00923237">
              <w:rPr>
                <w:rFonts w:cstheme="minorHAnsi"/>
              </w:rPr>
              <w:t>An indicator variable that takes a value of one if the firm's return calculated as EBITA/ (Equity Market Capitalization + Book Value of Debt) is less than its weighted average cost of debt.</w:t>
            </w:r>
          </w:p>
        </w:tc>
      </w:tr>
      <w:tr w:rsidR="00A4606E" w:rsidRPr="00923237" w14:paraId="1DAD1259" w14:textId="77777777" w:rsidTr="00F31DC2">
        <w:tc>
          <w:tcPr>
            <w:tcW w:w="0" w:type="auto"/>
            <w:hideMark/>
          </w:tcPr>
          <w:p w14:paraId="573B4587" w14:textId="77777777" w:rsidR="00A4606E" w:rsidRPr="00923237" w:rsidRDefault="00A4606E" w:rsidP="00F31DC2">
            <w:pPr>
              <w:pStyle w:val="NoSpacing"/>
              <w:rPr>
                <w:rFonts w:cstheme="minorHAnsi"/>
              </w:rPr>
            </w:pPr>
            <w:r w:rsidRPr="00923237">
              <w:rPr>
                <w:rFonts w:cstheme="minorHAnsi"/>
              </w:rPr>
              <w:t>REIT types</w:t>
            </w:r>
          </w:p>
        </w:tc>
        <w:tc>
          <w:tcPr>
            <w:tcW w:w="0" w:type="auto"/>
            <w:hideMark/>
          </w:tcPr>
          <w:p w14:paraId="17E740C9" w14:textId="77777777" w:rsidR="00A4606E" w:rsidRPr="00923237" w:rsidRDefault="00A4606E" w:rsidP="00F31DC2">
            <w:pPr>
              <w:pStyle w:val="NoSpacing"/>
              <w:rPr>
                <w:rFonts w:cstheme="minorHAnsi"/>
              </w:rPr>
            </w:pPr>
            <w:r w:rsidRPr="00923237">
              <w:rPr>
                <w:rFonts w:cstheme="minorHAnsi"/>
              </w:rPr>
              <w:t>The set of indicator variables that take value of one if the REIT is classified as Lodging/Resorts, Residential, Industrial/Office, Retail, Diversified, Healthcare, Self-Storage, Mortgage, and Mortgage Back Securities, respectively. Others is the base category.</w:t>
            </w:r>
          </w:p>
        </w:tc>
      </w:tr>
    </w:tbl>
    <w:p w14:paraId="13A5A412" w14:textId="77777777" w:rsidR="00A4606E" w:rsidRPr="00923237" w:rsidRDefault="00A4606E" w:rsidP="00F31DC2">
      <w:pPr>
        <w:pStyle w:val="Heading1"/>
        <w:rPr>
          <w:rFonts w:asciiTheme="minorHAnsi" w:hAnsiTheme="minorHAnsi" w:cstheme="minorHAnsi"/>
          <w:sz w:val="36"/>
          <w:szCs w:val="36"/>
        </w:rPr>
      </w:pPr>
      <w:r w:rsidRPr="00923237">
        <w:rPr>
          <w:rFonts w:asciiTheme="minorHAnsi" w:hAnsiTheme="minorHAnsi" w:cstheme="minorHAnsi"/>
        </w:rPr>
        <w:t>References</w:t>
      </w:r>
    </w:p>
    <w:p w14:paraId="672FD2A4" w14:textId="4A6FE682" w:rsidR="00A4606E" w:rsidRPr="00923237" w:rsidRDefault="006C60C6" w:rsidP="006463D2">
      <w:pPr>
        <w:spacing w:after="0"/>
        <w:ind w:left="720" w:hanging="720"/>
        <w:rPr>
          <w:rFonts w:cstheme="minorHAnsi"/>
          <w:color w:val="323232"/>
        </w:rPr>
      </w:pPr>
      <w:hyperlink r:id="rId159" w:anchor="bbb0005" w:history="1">
        <w:r w:rsidR="00A4606E" w:rsidRPr="00923237">
          <w:rPr>
            <w:rStyle w:val="Hyperlink"/>
            <w:rFonts w:cstheme="minorHAnsi"/>
            <w:color w:val="0C7DBB"/>
          </w:rPr>
          <w:t>Adams and Ferreira, 2007</w:t>
        </w:r>
      </w:hyperlink>
      <w:r w:rsidR="00C80A33" w:rsidRPr="00923237">
        <w:rPr>
          <w:rStyle w:val="Hyperlink"/>
          <w:rFonts w:cstheme="minorHAnsi"/>
          <w:color w:val="0C7DBB"/>
        </w:rPr>
        <w:t xml:space="preserve"> </w:t>
      </w:r>
      <w:r w:rsidR="00A4606E" w:rsidRPr="00923237">
        <w:rPr>
          <w:rFonts w:cstheme="minorHAnsi"/>
        </w:rPr>
        <w:t>R.B. Adams, D. Ferreira</w:t>
      </w:r>
      <w:r w:rsidR="00C80A33" w:rsidRPr="00923237">
        <w:rPr>
          <w:rFonts w:cstheme="minorHAnsi"/>
        </w:rPr>
        <w:t xml:space="preserve"> </w:t>
      </w:r>
      <w:r w:rsidR="00A4606E" w:rsidRPr="00923237">
        <w:rPr>
          <w:rStyle w:val="Strong"/>
          <w:rFonts w:cstheme="minorHAnsi"/>
        </w:rPr>
        <w:t>A theory of friendly boards</w:t>
      </w:r>
      <w:r w:rsidR="00C80A33" w:rsidRPr="00923237">
        <w:rPr>
          <w:rStyle w:val="Strong"/>
          <w:rFonts w:cstheme="minorHAnsi"/>
        </w:rPr>
        <w:t xml:space="preserve"> </w:t>
      </w:r>
      <w:r w:rsidR="00A4606E" w:rsidRPr="00923237">
        <w:rPr>
          <w:rFonts w:cstheme="minorHAnsi"/>
          <w:color w:val="323232"/>
        </w:rPr>
        <w:t xml:space="preserve">J. </w:t>
      </w:r>
      <w:proofErr w:type="spellStart"/>
      <w:r w:rsidR="00A4606E" w:rsidRPr="00923237">
        <w:rPr>
          <w:rFonts w:cstheme="minorHAnsi"/>
          <w:color w:val="323232"/>
        </w:rPr>
        <w:t>Financ</w:t>
      </w:r>
      <w:proofErr w:type="spellEnd"/>
      <w:r w:rsidR="00A4606E" w:rsidRPr="00923237">
        <w:rPr>
          <w:rFonts w:cstheme="minorHAnsi"/>
          <w:color w:val="323232"/>
        </w:rPr>
        <w:t>., 62 (1) (2007), pp. 217-250</w:t>
      </w:r>
    </w:p>
    <w:p w14:paraId="3DEBC2B3" w14:textId="09CC81B6" w:rsidR="00A4606E" w:rsidRPr="00923237" w:rsidRDefault="006C60C6" w:rsidP="006463D2">
      <w:pPr>
        <w:spacing w:after="0"/>
        <w:ind w:left="720" w:hanging="720"/>
        <w:rPr>
          <w:rFonts w:cstheme="minorHAnsi"/>
          <w:color w:val="323232"/>
        </w:rPr>
      </w:pPr>
      <w:hyperlink r:id="rId160" w:anchor="bbb0010" w:history="1">
        <w:r w:rsidR="00A4606E" w:rsidRPr="00923237">
          <w:rPr>
            <w:rStyle w:val="Hyperlink"/>
            <w:rFonts w:cstheme="minorHAnsi"/>
            <w:color w:val="0C7DBB"/>
          </w:rPr>
          <w:t>Adams et al., 2010</w:t>
        </w:r>
      </w:hyperlink>
      <w:r w:rsidR="00C80A33" w:rsidRPr="00923237">
        <w:rPr>
          <w:rStyle w:val="Hyperlink"/>
          <w:rFonts w:cstheme="minorHAnsi"/>
          <w:color w:val="0C7DBB"/>
        </w:rPr>
        <w:t xml:space="preserve"> </w:t>
      </w:r>
      <w:r w:rsidR="00A4606E" w:rsidRPr="00923237">
        <w:rPr>
          <w:rFonts w:cstheme="minorHAnsi"/>
        </w:rPr>
        <w:t>R.B. Adams, B.E. </w:t>
      </w:r>
      <w:proofErr w:type="spellStart"/>
      <w:r w:rsidR="00A4606E" w:rsidRPr="00923237">
        <w:rPr>
          <w:rFonts w:cstheme="minorHAnsi"/>
        </w:rPr>
        <w:t>Hermalin</w:t>
      </w:r>
      <w:proofErr w:type="spellEnd"/>
      <w:r w:rsidR="00A4606E" w:rsidRPr="00923237">
        <w:rPr>
          <w:rFonts w:cstheme="minorHAnsi"/>
        </w:rPr>
        <w:t>, M.S. </w:t>
      </w:r>
      <w:proofErr w:type="spellStart"/>
      <w:r w:rsidR="00A4606E" w:rsidRPr="00923237">
        <w:rPr>
          <w:rFonts w:cstheme="minorHAnsi"/>
        </w:rPr>
        <w:t>Weisbach</w:t>
      </w:r>
      <w:proofErr w:type="spellEnd"/>
      <w:r w:rsidR="00C80A33" w:rsidRPr="00923237">
        <w:rPr>
          <w:rFonts w:cstheme="minorHAnsi"/>
        </w:rPr>
        <w:t xml:space="preserve"> </w:t>
      </w:r>
      <w:r w:rsidR="00A4606E" w:rsidRPr="00923237">
        <w:rPr>
          <w:rStyle w:val="Strong"/>
          <w:rFonts w:cstheme="minorHAnsi"/>
        </w:rPr>
        <w:t>The role of boards of directors in corporate governance: a conceptual framework and survey</w:t>
      </w:r>
      <w:r w:rsidR="00C80A33" w:rsidRPr="00923237">
        <w:rPr>
          <w:rStyle w:val="Strong"/>
          <w:rFonts w:cstheme="minorHAnsi"/>
        </w:rPr>
        <w:t xml:space="preserve"> </w:t>
      </w:r>
      <w:r w:rsidR="00A4606E" w:rsidRPr="00923237">
        <w:rPr>
          <w:rFonts w:cstheme="minorHAnsi"/>
          <w:color w:val="323232"/>
        </w:rPr>
        <w:t>J. Econ. Lit., 48 (1) (2010), pp. 58-107</w:t>
      </w:r>
    </w:p>
    <w:p w14:paraId="1D970AED" w14:textId="53285723" w:rsidR="00A4606E" w:rsidRPr="00923237" w:rsidRDefault="006C60C6" w:rsidP="006463D2">
      <w:pPr>
        <w:spacing w:after="0"/>
        <w:ind w:left="720" w:hanging="720"/>
        <w:rPr>
          <w:rFonts w:cstheme="minorHAnsi"/>
          <w:color w:val="323232"/>
        </w:rPr>
      </w:pPr>
      <w:hyperlink r:id="rId161" w:anchor="bbb0015" w:history="1">
        <w:r w:rsidR="00A4606E" w:rsidRPr="00923237">
          <w:rPr>
            <w:rStyle w:val="Hyperlink"/>
            <w:rFonts w:cstheme="minorHAnsi"/>
            <w:color w:val="0C7DBB"/>
          </w:rPr>
          <w:t>Aggarwal et al., 2016</w:t>
        </w:r>
      </w:hyperlink>
      <w:r w:rsidR="00C80A33" w:rsidRPr="00923237">
        <w:rPr>
          <w:rStyle w:val="Hyperlink"/>
          <w:rFonts w:cstheme="minorHAnsi"/>
          <w:color w:val="0C7DBB"/>
        </w:rPr>
        <w:t xml:space="preserve"> </w:t>
      </w:r>
      <w:r w:rsidR="00A4606E" w:rsidRPr="00923237">
        <w:rPr>
          <w:rFonts w:cstheme="minorHAnsi"/>
        </w:rPr>
        <w:t>R. Aggarwal, J.D. </w:t>
      </w:r>
      <w:proofErr w:type="spellStart"/>
      <w:r w:rsidR="00A4606E" w:rsidRPr="00923237">
        <w:rPr>
          <w:rFonts w:cstheme="minorHAnsi"/>
        </w:rPr>
        <w:t>Schloetzer</w:t>
      </w:r>
      <w:proofErr w:type="spellEnd"/>
      <w:r w:rsidR="00A4606E" w:rsidRPr="00923237">
        <w:rPr>
          <w:rFonts w:cstheme="minorHAnsi"/>
        </w:rPr>
        <w:t>, R. Williamson</w:t>
      </w:r>
      <w:r w:rsidR="00C80A33" w:rsidRPr="00923237">
        <w:rPr>
          <w:rFonts w:cstheme="minorHAnsi"/>
        </w:rPr>
        <w:t xml:space="preserve"> </w:t>
      </w:r>
      <w:r w:rsidR="00A4606E" w:rsidRPr="00923237">
        <w:rPr>
          <w:rStyle w:val="Strong"/>
          <w:rFonts w:cstheme="minorHAnsi"/>
        </w:rPr>
        <w:t>Do corporate governance mandates impact long-term firm value and governance culture?</w:t>
      </w:r>
      <w:r w:rsidR="00C80A33" w:rsidRPr="00923237">
        <w:rPr>
          <w:rStyle w:val="Strong"/>
          <w:rFonts w:cstheme="minorHAnsi"/>
        </w:rPr>
        <w:t xml:space="preserve"> </w:t>
      </w:r>
      <w:r w:rsidR="00A4606E" w:rsidRPr="00923237">
        <w:rPr>
          <w:rFonts w:cstheme="minorHAnsi"/>
          <w:color w:val="323232"/>
        </w:rPr>
        <w:t>J. Corp. Fin. (2016)</w:t>
      </w:r>
      <w:r w:rsidR="00C80A33" w:rsidRPr="00923237">
        <w:rPr>
          <w:rFonts w:cstheme="minorHAnsi"/>
          <w:color w:val="323232"/>
        </w:rPr>
        <w:t xml:space="preserve"> </w:t>
      </w:r>
      <w:r w:rsidR="00A4606E" w:rsidRPr="00923237">
        <w:rPr>
          <w:rFonts w:cstheme="minorHAnsi"/>
          <w:color w:val="323232"/>
        </w:rPr>
        <w:t>(forthcoming) </w:t>
      </w:r>
      <w:hyperlink r:id="rId162" w:tgtFrame="_blank" w:history="1">
        <w:r w:rsidR="00A4606E" w:rsidRPr="00923237">
          <w:rPr>
            <w:rStyle w:val="Hyperlink"/>
            <w:rFonts w:cstheme="minorHAnsi"/>
            <w:color w:val="0C7DBB"/>
          </w:rPr>
          <w:t>https://0-www-sciencedirect-com.libus.csd.mu.edu/science/article/pii/S0929119916300736?via%3Dihub</w:t>
        </w:r>
      </w:hyperlink>
    </w:p>
    <w:p w14:paraId="33EBDEE7" w14:textId="24C83237" w:rsidR="00A4606E" w:rsidRPr="00923237" w:rsidRDefault="006C60C6" w:rsidP="006463D2">
      <w:pPr>
        <w:spacing w:after="0"/>
        <w:ind w:left="720" w:hanging="720"/>
        <w:rPr>
          <w:rFonts w:cstheme="minorHAnsi"/>
          <w:color w:val="323232"/>
        </w:rPr>
      </w:pPr>
      <w:hyperlink r:id="rId163" w:anchor="bbb0020" w:history="1">
        <w:r w:rsidR="00A4606E" w:rsidRPr="00923237">
          <w:rPr>
            <w:rStyle w:val="Hyperlink"/>
            <w:rFonts w:cstheme="minorHAnsi"/>
            <w:color w:val="0C7DBB"/>
          </w:rPr>
          <w:t>Anglin et al., 2012</w:t>
        </w:r>
      </w:hyperlink>
      <w:r w:rsidR="00C80A33" w:rsidRPr="00923237">
        <w:rPr>
          <w:rStyle w:val="Hyperlink"/>
          <w:rFonts w:cstheme="minorHAnsi"/>
          <w:color w:val="0C7DBB"/>
        </w:rPr>
        <w:t xml:space="preserve"> </w:t>
      </w:r>
      <w:r w:rsidR="00A4606E" w:rsidRPr="00923237">
        <w:rPr>
          <w:rFonts w:cstheme="minorHAnsi"/>
        </w:rPr>
        <w:t>P. Anglin, R. Edelstein, Y. Gao, D. Tsang</w:t>
      </w:r>
      <w:r w:rsidR="00C80A33" w:rsidRPr="00923237">
        <w:rPr>
          <w:rFonts w:cstheme="minorHAnsi"/>
        </w:rPr>
        <w:t xml:space="preserve"> </w:t>
      </w:r>
      <w:r w:rsidR="00A4606E" w:rsidRPr="00923237">
        <w:rPr>
          <w:rStyle w:val="Strong"/>
          <w:rFonts w:cstheme="minorHAnsi"/>
        </w:rPr>
        <w:t>What is the relationship between REIT governance and earnings management?</w:t>
      </w:r>
      <w:r w:rsidR="00C80A33" w:rsidRPr="00923237">
        <w:rPr>
          <w:rStyle w:val="Strong"/>
          <w:rFonts w:cstheme="minorHAnsi"/>
        </w:rPr>
        <w:t xml:space="preserve"> </w:t>
      </w:r>
      <w:r w:rsidR="00A4606E" w:rsidRPr="00923237">
        <w:rPr>
          <w:rFonts w:cstheme="minorHAnsi"/>
          <w:color w:val="323232"/>
        </w:rPr>
        <w:t xml:space="preserve">J. Real Estate </w:t>
      </w:r>
      <w:proofErr w:type="spellStart"/>
      <w:r w:rsidR="00A4606E" w:rsidRPr="00923237">
        <w:rPr>
          <w:rFonts w:cstheme="minorHAnsi"/>
          <w:color w:val="323232"/>
        </w:rPr>
        <w:t>Financ</w:t>
      </w:r>
      <w:proofErr w:type="spellEnd"/>
      <w:r w:rsidR="00A4606E" w:rsidRPr="00923237">
        <w:rPr>
          <w:rFonts w:cstheme="minorHAnsi"/>
          <w:color w:val="323232"/>
        </w:rPr>
        <w:t>. Econ., 47 (3) (2012), pp. 538-563</w:t>
      </w:r>
    </w:p>
    <w:p w14:paraId="63C56A99" w14:textId="04D633F1" w:rsidR="00A4606E" w:rsidRPr="00923237" w:rsidRDefault="006C60C6" w:rsidP="006463D2">
      <w:pPr>
        <w:spacing w:after="0"/>
        <w:ind w:left="720" w:hanging="720"/>
        <w:rPr>
          <w:rFonts w:cstheme="minorHAnsi"/>
          <w:color w:val="323232"/>
        </w:rPr>
      </w:pPr>
      <w:hyperlink r:id="rId164" w:anchor="bbb0025" w:history="1">
        <w:r w:rsidR="00A4606E" w:rsidRPr="00923237">
          <w:rPr>
            <w:rStyle w:val="Hyperlink"/>
            <w:rFonts w:cstheme="minorHAnsi"/>
            <w:color w:val="0C7DBB"/>
          </w:rPr>
          <w:t>Barclay et al., 2013</w:t>
        </w:r>
      </w:hyperlink>
      <w:r w:rsidR="00C80A33" w:rsidRPr="00923237">
        <w:rPr>
          <w:rStyle w:val="Hyperlink"/>
          <w:rFonts w:cstheme="minorHAnsi"/>
          <w:color w:val="0C7DBB"/>
        </w:rPr>
        <w:t xml:space="preserve"> </w:t>
      </w:r>
      <w:r w:rsidR="00A4606E" w:rsidRPr="00923237">
        <w:rPr>
          <w:rFonts w:cstheme="minorHAnsi"/>
        </w:rPr>
        <w:t>M.J. Barclay, S.M. </w:t>
      </w:r>
      <w:proofErr w:type="spellStart"/>
      <w:r w:rsidR="00A4606E" w:rsidRPr="00923237">
        <w:rPr>
          <w:rFonts w:cstheme="minorHAnsi"/>
        </w:rPr>
        <w:t>Heitzman</w:t>
      </w:r>
      <w:proofErr w:type="spellEnd"/>
      <w:r w:rsidR="00A4606E" w:rsidRPr="00923237">
        <w:rPr>
          <w:rFonts w:cstheme="minorHAnsi"/>
        </w:rPr>
        <w:t>, C.W. Smith</w:t>
      </w:r>
      <w:r w:rsidR="00FC791D" w:rsidRPr="00923237">
        <w:rPr>
          <w:rFonts w:cstheme="minorHAnsi"/>
        </w:rPr>
        <w:t xml:space="preserve"> </w:t>
      </w:r>
      <w:r w:rsidR="00A4606E" w:rsidRPr="00923237">
        <w:rPr>
          <w:rStyle w:val="Strong"/>
          <w:rFonts w:cstheme="minorHAnsi"/>
        </w:rPr>
        <w:t>Debt and taxes: evidence from the real estate industry</w:t>
      </w:r>
      <w:r w:rsidR="00FC791D" w:rsidRPr="00923237">
        <w:rPr>
          <w:rStyle w:val="Strong"/>
          <w:rFonts w:cstheme="minorHAnsi"/>
        </w:rPr>
        <w:t xml:space="preserve"> </w:t>
      </w:r>
      <w:r w:rsidR="00A4606E" w:rsidRPr="00923237">
        <w:rPr>
          <w:rFonts w:cstheme="minorHAnsi"/>
          <w:color w:val="323232"/>
        </w:rPr>
        <w:t xml:space="preserve">J. Corp. </w:t>
      </w:r>
      <w:proofErr w:type="spellStart"/>
      <w:r w:rsidR="00A4606E" w:rsidRPr="00923237">
        <w:rPr>
          <w:rFonts w:cstheme="minorHAnsi"/>
          <w:color w:val="323232"/>
        </w:rPr>
        <w:t>Finan</w:t>
      </w:r>
      <w:proofErr w:type="spellEnd"/>
      <w:r w:rsidR="00A4606E" w:rsidRPr="00923237">
        <w:rPr>
          <w:rFonts w:cstheme="minorHAnsi"/>
          <w:color w:val="323232"/>
        </w:rPr>
        <w:t>., 20 (2013), pp. 74-93</w:t>
      </w:r>
    </w:p>
    <w:p w14:paraId="2F12AE83" w14:textId="4C1F1962" w:rsidR="00A4606E" w:rsidRPr="00923237" w:rsidRDefault="006C60C6" w:rsidP="006463D2">
      <w:pPr>
        <w:spacing w:after="0"/>
        <w:ind w:left="720" w:hanging="720"/>
        <w:rPr>
          <w:rFonts w:cstheme="minorHAnsi"/>
          <w:color w:val="323232"/>
        </w:rPr>
      </w:pPr>
      <w:hyperlink r:id="rId165" w:anchor="bbb0030" w:history="1">
        <w:proofErr w:type="spellStart"/>
        <w:r w:rsidR="00A4606E" w:rsidRPr="00923237">
          <w:rPr>
            <w:rStyle w:val="Hyperlink"/>
            <w:rFonts w:cstheme="minorHAnsi"/>
            <w:color w:val="0C7DBB"/>
          </w:rPr>
          <w:t>Bebchuk</w:t>
        </w:r>
        <w:proofErr w:type="spellEnd"/>
        <w:r w:rsidR="00A4606E" w:rsidRPr="00923237">
          <w:rPr>
            <w:rStyle w:val="Hyperlink"/>
            <w:rFonts w:cstheme="minorHAnsi"/>
            <w:color w:val="0C7DBB"/>
          </w:rPr>
          <w:t xml:space="preserve"> and </w:t>
        </w:r>
        <w:proofErr w:type="spellStart"/>
        <w:r w:rsidR="00A4606E" w:rsidRPr="00923237">
          <w:rPr>
            <w:rStyle w:val="Hyperlink"/>
            <w:rFonts w:cstheme="minorHAnsi"/>
            <w:color w:val="0C7DBB"/>
          </w:rPr>
          <w:t>Weisbach</w:t>
        </w:r>
        <w:proofErr w:type="spellEnd"/>
        <w:r w:rsidR="00A4606E" w:rsidRPr="00923237">
          <w:rPr>
            <w:rStyle w:val="Hyperlink"/>
            <w:rFonts w:cstheme="minorHAnsi"/>
            <w:color w:val="0C7DBB"/>
          </w:rPr>
          <w:t>, 2010</w:t>
        </w:r>
      </w:hyperlink>
      <w:r w:rsidR="00FC791D" w:rsidRPr="00923237">
        <w:rPr>
          <w:rStyle w:val="Hyperlink"/>
          <w:rFonts w:cstheme="minorHAnsi"/>
          <w:color w:val="0C7DBB"/>
        </w:rPr>
        <w:t xml:space="preserve"> </w:t>
      </w:r>
      <w:r w:rsidR="00A4606E" w:rsidRPr="00923237">
        <w:rPr>
          <w:rFonts w:cstheme="minorHAnsi"/>
        </w:rPr>
        <w:t>L.A. </w:t>
      </w:r>
      <w:proofErr w:type="spellStart"/>
      <w:r w:rsidR="00A4606E" w:rsidRPr="00923237">
        <w:rPr>
          <w:rFonts w:cstheme="minorHAnsi"/>
        </w:rPr>
        <w:t>Bebchuk</w:t>
      </w:r>
      <w:proofErr w:type="spellEnd"/>
      <w:r w:rsidR="00A4606E" w:rsidRPr="00923237">
        <w:rPr>
          <w:rFonts w:cstheme="minorHAnsi"/>
        </w:rPr>
        <w:t>, M.S. </w:t>
      </w:r>
      <w:proofErr w:type="spellStart"/>
      <w:r w:rsidR="00A4606E" w:rsidRPr="00923237">
        <w:rPr>
          <w:rFonts w:cstheme="minorHAnsi"/>
        </w:rPr>
        <w:t>Weisbach</w:t>
      </w:r>
      <w:proofErr w:type="spellEnd"/>
      <w:r w:rsidR="00FC791D" w:rsidRPr="00923237">
        <w:rPr>
          <w:rFonts w:cstheme="minorHAnsi"/>
        </w:rPr>
        <w:t xml:space="preserve"> </w:t>
      </w:r>
      <w:r w:rsidR="00A4606E" w:rsidRPr="00923237">
        <w:rPr>
          <w:rStyle w:val="Strong"/>
          <w:rFonts w:cstheme="minorHAnsi"/>
        </w:rPr>
        <w:t>The state of corporate governance research</w:t>
      </w:r>
      <w:r w:rsidR="00FC791D" w:rsidRPr="00923237">
        <w:rPr>
          <w:rStyle w:val="Strong"/>
          <w:rFonts w:cstheme="minorHAnsi"/>
        </w:rPr>
        <w:t xml:space="preserve"> </w:t>
      </w:r>
      <w:r w:rsidR="00A4606E" w:rsidRPr="00923237">
        <w:rPr>
          <w:rFonts w:cstheme="minorHAnsi"/>
          <w:color w:val="323232"/>
        </w:rPr>
        <w:t xml:space="preserve">Rev. </w:t>
      </w:r>
      <w:proofErr w:type="spellStart"/>
      <w:r w:rsidR="00A4606E" w:rsidRPr="00923237">
        <w:rPr>
          <w:rFonts w:cstheme="minorHAnsi"/>
          <w:color w:val="323232"/>
        </w:rPr>
        <w:t>Financ</w:t>
      </w:r>
      <w:proofErr w:type="spellEnd"/>
      <w:r w:rsidR="00A4606E" w:rsidRPr="00923237">
        <w:rPr>
          <w:rFonts w:cstheme="minorHAnsi"/>
          <w:color w:val="323232"/>
        </w:rPr>
        <w:t>. Stud., 23 (3) (2010), pp. 939-961</w:t>
      </w:r>
    </w:p>
    <w:p w14:paraId="4018DAD2" w14:textId="4F74EF8C" w:rsidR="00A4606E" w:rsidRPr="00923237" w:rsidRDefault="006C60C6" w:rsidP="006463D2">
      <w:pPr>
        <w:spacing w:after="0"/>
        <w:ind w:left="720" w:hanging="720"/>
        <w:rPr>
          <w:rFonts w:cstheme="minorHAnsi"/>
          <w:color w:val="323232"/>
        </w:rPr>
      </w:pPr>
      <w:hyperlink r:id="rId166" w:anchor="bbb0035" w:history="1">
        <w:r w:rsidR="00A4606E" w:rsidRPr="00923237">
          <w:rPr>
            <w:rStyle w:val="Hyperlink"/>
            <w:rFonts w:cstheme="minorHAnsi"/>
            <w:color w:val="0C7DBB"/>
          </w:rPr>
          <w:t>Bhagat and Black, 1999</w:t>
        </w:r>
      </w:hyperlink>
      <w:r w:rsidR="00FC791D" w:rsidRPr="00923237">
        <w:rPr>
          <w:rStyle w:val="Hyperlink"/>
          <w:rFonts w:cstheme="minorHAnsi"/>
          <w:color w:val="0C7DBB"/>
        </w:rPr>
        <w:t xml:space="preserve"> </w:t>
      </w:r>
      <w:r w:rsidR="00A4606E" w:rsidRPr="00923237">
        <w:rPr>
          <w:rFonts w:cstheme="minorHAnsi"/>
        </w:rPr>
        <w:t>S. Bhagat, B. Black</w:t>
      </w:r>
      <w:r w:rsidR="00FC791D" w:rsidRPr="00923237">
        <w:rPr>
          <w:rFonts w:cstheme="minorHAnsi"/>
        </w:rPr>
        <w:t xml:space="preserve"> </w:t>
      </w:r>
      <w:r w:rsidR="00A4606E" w:rsidRPr="00923237">
        <w:rPr>
          <w:rStyle w:val="Strong"/>
          <w:rFonts w:cstheme="minorHAnsi"/>
        </w:rPr>
        <w:t>The uncertain relationship between board composition and firm performance</w:t>
      </w:r>
      <w:r w:rsidR="00FC791D" w:rsidRPr="00923237">
        <w:rPr>
          <w:rStyle w:val="Strong"/>
          <w:rFonts w:cstheme="minorHAnsi"/>
        </w:rPr>
        <w:t xml:space="preserve"> </w:t>
      </w:r>
      <w:r w:rsidR="00A4606E" w:rsidRPr="00923237">
        <w:rPr>
          <w:rFonts w:cstheme="minorHAnsi"/>
          <w:color w:val="323232"/>
        </w:rPr>
        <w:t>Bus. Law., 54 (1999), pp. 921-963</w:t>
      </w:r>
    </w:p>
    <w:p w14:paraId="1D2374A2" w14:textId="6FAFB96F" w:rsidR="00A4606E" w:rsidRPr="00923237" w:rsidRDefault="006C60C6" w:rsidP="006463D2">
      <w:pPr>
        <w:spacing w:after="0"/>
        <w:ind w:left="720" w:hanging="720"/>
        <w:rPr>
          <w:rFonts w:cstheme="minorHAnsi"/>
          <w:color w:val="323232"/>
        </w:rPr>
      </w:pPr>
      <w:hyperlink r:id="rId167" w:anchor="bbb0040" w:history="1">
        <w:r w:rsidR="00A4606E" w:rsidRPr="00923237">
          <w:rPr>
            <w:rStyle w:val="Hyperlink"/>
            <w:rFonts w:cstheme="minorHAnsi"/>
            <w:color w:val="0C7DBB"/>
          </w:rPr>
          <w:t>Bhagat and Black, 2002</w:t>
        </w:r>
      </w:hyperlink>
      <w:r w:rsidR="00FC791D" w:rsidRPr="00923237">
        <w:rPr>
          <w:rStyle w:val="Hyperlink"/>
          <w:rFonts w:cstheme="minorHAnsi"/>
          <w:color w:val="0C7DBB"/>
        </w:rPr>
        <w:t xml:space="preserve"> </w:t>
      </w:r>
      <w:r w:rsidR="00A4606E" w:rsidRPr="00923237">
        <w:rPr>
          <w:rFonts w:cstheme="minorHAnsi"/>
        </w:rPr>
        <w:t>S. Bhagat, B. Black</w:t>
      </w:r>
      <w:r w:rsidR="00FC791D" w:rsidRPr="00923237">
        <w:rPr>
          <w:rFonts w:cstheme="minorHAnsi"/>
        </w:rPr>
        <w:t xml:space="preserve"> </w:t>
      </w:r>
      <w:r w:rsidR="00A4606E" w:rsidRPr="00923237">
        <w:rPr>
          <w:rStyle w:val="Strong"/>
          <w:rFonts w:cstheme="minorHAnsi"/>
        </w:rPr>
        <w:t>The non-correlation between board independence and long-term firm performance</w:t>
      </w:r>
      <w:r w:rsidR="00FC791D" w:rsidRPr="00923237">
        <w:rPr>
          <w:rStyle w:val="Strong"/>
          <w:rFonts w:cstheme="minorHAnsi"/>
        </w:rPr>
        <w:t xml:space="preserve"> </w:t>
      </w:r>
      <w:r w:rsidR="00A4606E" w:rsidRPr="00923237">
        <w:rPr>
          <w:rFonts w:cstheme="minorHAnsi"/>
          <w:color w:val="323232"/>
        </w:rPr>
        <w:t>J. Corp. Law, 27 (2002), pp. 231-273</w:t>
      </w:r>
    </w:p>
    <w:p w14:paraId="39948417" w14:textId="70DAA0CF" w:rsidR="00A4606E" w:rsidRPr="00923237" w:rsidRDefault="006C60C6" w:rsidP="006463D2">
      <w:pPr>
        <w:spacing w:after="0"/>
        <w:ind w:left="720" w:hanging="720"/>
        <w:rPr>
          <w:rFonts w:cstheme="minorHAnsi"/>
          <w:color w:val="323232"/>
        </w:rPr>
      </w:pPr>
      <w:hyperlink r:id="rId168" w:anchor="bbb0045" w:history="1">
        <w:r w:rsidR="00A4606E" w:rsidRPr="00923237">
          <w:rPr>
            <w:rStyle w:val="Hyperlink"/>
            <w:rFonts w:cstheme="minorHAnsi"/>
            <w:color w:val="0C7DBB"/>
          </w:rPr>
          <w:t>Bhandari, 1988</w:t>
        </w:r>
      </w:hyperlink>
      <w:r w:rsidR="00FC791D" w:rsidRPr="00923237">
        <w:rPr>
          <w:rStyle w:val="Hyperlink"/>
          <w:rFonts w:cstheme="minorHAnsi"/>
          <w:color w:val="0C7DBB"/>
        </w:rPr>
        <w:t xml:space="preserve"> </w:t>
      </w:r>
      <w:r w:rsidR="00A4606E" w:rsidRPr="00923237">
        <w:rPr>
          <w:rFonts w:cstheme="minorHAnsi"/>
        </w:rPr>
        <w:t>L.C. Bhandari</w:t>
      </w:r>
      <w:r w:rsidR="00FC791D" w:rsidRPr="00923237">
        <w:rPr>
          <w:rFonts w:cstheme="minorHAnsi"/>
        </w:rPr>
        <w:t xml:space="preserve"> </w:t>
      </w:r>
      <w:r w:rsidR="00A4606E" w:rsidRPr="00923237">
        <w:rPr>
          <w:rStyle w:val="Strong"/>
          <w:rFonts w:cstheme="minorHAnsi"/>
        </w:rPr>
        <w:t>Debt/equity ratio and expected common stock returns: empirical evidence</w:t>
      </w:r>
      <w:r w:rsidR="00FC791D" w:rsidRPr="00923237">
        <w:rPr>
          <w:rStyle w:val="Strong"/>
          <w:rFonts w:cstheme="minorHAnsi"/>
        </w:rPr>
        <w:t xml:space="preserve"> </w:t>
      </w:r>
      <w:r w:rsidR="00A4606E" w:rsidRPr="00923237">
        <w:rPr>
          <w:rFonts w:cstheme="minorHAnsi"/>
          <w:color w:val="323232"/>
        </w:rPr>
        <w:t xml:space="preserve">J. </w:t>
      </w:r>
      <w:proofErr w:type="spellStart"/>
      <w:r w:rsidR="00A4606E" w:rsidRPr="00923237">
        <w:rPr>
          <w:rFonts w:cstheme="minorHAnsi"/>
          <w:color w:val="323232"/>
        </w:rPr>
        <w:t>Financ</w:t>
      </w:r>
      <w:proofErr w:type="spellEnd"/>
      <w:r w:rsidR="00A4606E" w:rsidRPr="00923237">
        <w:rPr>
          <w:rFonts w:cstheme="minorHAnsi"/>
          <w:color w:val="323232"/>
        </w:rPr>
        <w:t>., 43 (2) (1988), pp. 507-528</w:t>
      </w:r>
    </w:p>
    <w:p w14:paraId="05AF4D5B" w14:textId="21F58707" w:rsidR="00A4606E" w:rsidRPr="00923237" w:rsidRDefault="006C60C6" w:rsidP="006463D2">
      <w:pPr>
        <w:spacing w:after="0"/>
        <w:ind w:left="720" w:hanging="720"/>
        <w:rPr>
          <w:rFonts w:cstheme="minorHAnsi"/>
          <w:color w:val="323232"/>
        </w:rPr>
      </w:pPr>
      <w:hyperlink r:id="rId169" w:anchor="bbb0050" w:history="1">
        <w:r w:rsidR="00A4606E" w:rsidRPr="00923237">
          <w:rPr>
            <w:rStyle w:val="Hyperlink"/>
            <w:rFonts w:cstheme="minorHAnsi"/>
            <w:color w:val="0C7DBB"/>
          </w:rPr>
          <w:t xml:space="preserve">Brick and </w:t>
        </w:r>
        <w:proofErr w:type="spellStart"/>
        <w:r w:rsidR="00A4606E" w:rsidRPr="00923237">
          <w:rPr>
            <w:rStyle w:val="Hyperlink"/>
            <w:rFonts w:cstheme="minorHAnsi"/>
            <w:color w:val="0C7DBB"/>
          </w:rPr>
          <w:t>Chidambaran</w:t>
        </w:r>
        <w:proofErr w:type="spellEnd"/>
        <w:r w:rsidR="00A4606E" w:rsidRPr="00923237">
          <w:rPr>
            <w:rStyle w:val="Hyperlink"/>
            <w:rFonts w:cstheme="minorHAnsi"/>
            <w:color w:val="0C7DBB"/>
          </w:rPr>
          <w:t>, 2010</w:t>
        </w:r>
      </w:hyperlink>
      <w:r w:rsidR="00FC791D" w:rsidRPr="00923237">
        <w:rPr>
          <w:rStyle w:val="Hyperlink"/>
          <w:rFonts w:cstheme="minorHAnsi"/>
          <w:color w:val="0C7DBB"/>
        </w:rPr>
        <w:t xml:space="preserve"> </w:t>
      </w:r>
      <w:r w:rsidR="00A4606E" w:rsidRPr="00923237">
        <w:rPr>
          <w:rFonts w:cstheme="minorHAnsi"/>
        </w:rPr>
        <w:t>I.E. Brick, N.K. </w:t>
      </w:r>
      <w:proofErr w:type="spellStart"/>
      <w:r w:rsidR="00A4606E" w:rsidRPr="00923237">
        <w:rPr>
          <w:rFonts w:cstheme="minorHAnsi"/>
        </w:rPr>
        <w:t>Chidambaran</w:t>
      </w:r>
      <w:proofErr w:type="spellEnd"/>
      <w:r w:rsidR="00FC791D" w:rsidRPr="00923237">
        <w:rPr>
          <w:rFonts w:cstheme="minorHAnsi"/>
        </w:rPr>
        <w:t xml:space="preserve"> </w:t>
      </w:r>
      <w:r w:rsidR="00A4606E" w:rsidRPr="00923237">
        <w:rPr>
          <w:rStyle w:val="Strong"/>
          <w:rFonts w:cstheme="minorHAnsi"/>
        </w:rPr>
        <w:t>Board meetings, committee structure, and firm value</w:t>
      </w:r>
      <w:r w:rsidR="00FC791D" w:rsidRPr="00923237">
        <w:rPr>
          <w:rStyle w:val="Strong"/>
          <w:rFonts w:cstheme="minorHAnsi"/>
        </w:rPr>
        <w:t xml:space="preserve"> </w:t>
      </w:r>
      <w:r w:rsidR="00A4606E" w:rsidRPr="00923237">
        <w:rPr>
          <w:rFonts w:cstheme="minorHAnsi"/>
          <w:color w:val="323232"/>
        </w:rPr>
        <w:t xml:space="preserve">J. Corp. </w:t>
      </w:r>
      <w:proofErr w:type="spellStart"/>
      <w:r w:rsidR="00A4606E" w:rsidRPr="00923237">
        <w:rPr>
          <w:rFonts w:cstheme="minorHAnsi"/>
          <w:color w:val="323232"/>
        </w:rPr>
        <w:t>Finan</w:t>
      </w:r>
      <w:proofErr w:type="spellEnd"/>
      <w:r w:rsidR="00A4606E" w:rsidRPr="00923237">
        <w:rPr>
          <w:rFonts w:cstheme="minorHAnsi"/>
          <w:color w:val="323232"/>
        </w:rPr>
        <w:t>., 16 (4) (2010), pp. 533-553</w:t>
      </w:r>
    </w:p>
    <w:p w14:paraId="7722D959" w14:textId="521B8453" w:rsidR="00A4606E" w:rsidRPr="00923237" w:rsidRDefault="006C60C6" w:rsidP="006463D2">
      <w:pPr>
        <w:spacing w:after="0"/>
        <w:ind w:left="720" w:hanging="720"/>
        <w:rPr>
          <w:rFonts w:cstheme="minorHAnsi"/>
          <w:color w:val="323232"/>
        </w:rPr>
      </w:pPr>
      <w:hyperlink r:id="rId170" w:anchor="bbb0055" w:history="1">
        <w:proofErr w:type="spellStart"/>
        <w:r w:rsidR="00A4606E" w:rsidRPr="00923237">
          <w:rPr>
            <w:rStyle w:val="Hyperlink"/>
            <w:rFonts w:cstheme="minorHAnsi"/>
            <w:color w:val="0C7DBB"/>
          </w:rPr>
          <w:t>Campello</w:t>
        </w:r>
        <w:proofErr w:type="spellEnd"/>
        <w:r w:rsidR="00A4606E" w:rsidRPr="00923237">
          <w:rPr>
            <w:rStyle w:val="Hyperlink"/>
            <w:rFonts w:cstheme="minorHAnsi"/>
            <w:color w:val="0C7DBB"/>
          </w:rPr>
          <w:t>, 2006</w:t>
        </w:r>
      </w:hyperlink>
      <w:r w:rsidR="00FC791D" w:rsidRPr="00923237">
        <w:rPr>
          <w:rStyle w:val="Hyperlink"/>
          <w:rFonts w:cstheme="minorHAnsi"/>
          <w:color w:val="0C7DBB"/>
        </w:rPr>
        <w:t xml:space="preserve"> </w:t>
      </w:r>
      <w:r w:rsidR="00A4606E" w:rsidRPr="00923237">
        <w:rPr>
          <w:rFonts w:cstheme="minorHAnsi"/>
        </w:rPr>
        <w:t>M. </w:t>
      </w:r>
      <w:proofErr w:type="spellStart"/>
      <w:r w:rsidR="00A4606E" w:rsidRPr="00923237">
        <w:rPr>
          <w:rFonts w:cstheme="minorHAnsi"/>
        </w:rPr>
        <w:t>Campello</w:t>
      </w:r>
      <w:proofErr w:type="spellEnd"/>
      <w:r w:rsidR="00FC791D" w:rsidRPr="00923237">
        <w:rPr>
          <w:rFonts w:cstheme="minorHAnsi"/>
        </w:rPr>
        <w:t xml:space="preserve"> </w:t>
      </w:r>
      <w:r w:rsidR="00A4606E" w:rsidRPr="00923237">
        <w:rPr>
          <w:rStyle w:val="Strong"/>
          <w:rFonts w:cstheme="minorHAnsi"/>
        </w:rPr>
        <w:t>Debt financing: does it boost or hurt firm performance in product markets?</w:t>
      </w:r>
      <w:r w:rsidR="00FC791D" w:rsidRPr="00923237">
        <w:rPr>
          <w:rStyle w:val="Strong"/>
          <w:rFonts w:cstheme="minorHAnsi"/>
        </w:rPr>
        <w:t xml:space="preserve"> </w:t>
      </w:r>
      <w:r w:rsidR="00A4606E" w:rsidRPr="00923237">
        <w:rPr>
          <w:rFonts w:cstheme="minorHAnsi"/>
          <w:color w:val="323232"/>
        </w:rPr>
        <w:t xml:space="preserve">J. </w:t>
      </w:r>
      <w:proofErr w:type="spellStart"/>
      <w:r w:rsidR="00A4606E" w:rsidRPr="00923237">
        <w:rPr>
          <w:rFonts w:cstheme="minorHAnsi"/>
          <w:color w:val="323232"/>
        </w:rPr>
        <w:t>Financ</w:t>
      </w:r>
      <w:proofErr w:type="spellEnd"/>
      <w:r w:rsidR="00A4606E" w:rsidRPr="00923237">
        <w:rPr>
          <w:rFonts w:cstheme="minorHAnsi"/>
          <w:color w:val="323232"/>
        </w:rPr>
        <w:t>. Econ., 82 (2006), pp. 135-172</w:t>
      </w:r>
    </w:p>
    <w:p w14:paraId="062A5005" w14:textId="28A2CA8C" w:rsidR="00A4606E" w:rsidRPr="00923237" w:rsidRDefault="006C60C6" w:rsidP="006463D2">
      <w:pPr>
        <w:spacing w:after="0"/>
        <w:ind w:left="720" w:hanging="720"/>
        <w:rPr>
          <w:rFonts w:cstheme="minorHAnsi"/>
          <w:color w:val="323232"/>
        </w:rPr>
      </w:pPr>
      <w:hyperlink r:id="rId171" w:anchor="bbb0060" w:history="1">
        <w:r w:rsidR="00A4606E" w:rsidRPr="00923237">
          <w:rPr>
            <w:rStyle w:val="Hyperlink"/>
            <w:rFonts w:cstheme="minorHAnsi"/>
            <w:color w:val="0C7DBB"/>
          </w:rPr>
          <w:t>Coles et al., 2008</w:t>
        </w:r>
      </w:hyperlink>
      <w:r w:rsidR="00FC791D" w:rsidRPr="00923237">
        <w:rPr>
          <w:rStyle w:val="Hyperlink"/>
          <w:rFonts w:cstheme="minorHAnsi"/>
          <w:color w:val="0C7DBB"/>
        </w:rPr>
        <w:t xml:space="preserve"> </w:t>
      </w:r>
      <w:r w:rsidR="00A4606E" w:rsidRPr="00923237">
        <w:rPr>
          <w:rFonts w:cstheme="minorHAnsi"/>
        </w:rPr>
        <w:t>J.L. Coles, N.D. Daniel, L. Naveen</w:t>
      </w:r>
      <w:r w:rsidR="00FC791D" w:rsidRPr="00923237">
        <w:rPr>
          <w:rFonts w:cstheme="minorHAnsi"/>
        </w:rPr>
        <w:t xml:space="preserve"> </w:t>
      </w:r>
      <w:r w:rsidR="00A4606E" w:rsidRPr="00923237">
        <w:rPr>
          <w:rStyle w:val="Strong"/>
          <w:rFonts w:cstheme="minorHAnsi"/>
        </w:rPr>
        <w:t>Boards: does one size fit all?</w:t>
      </w:r>
      <w:r w:rsidR="00FC791D" w:rsidRPr="00923237">
        <w:rPr>
          <w:rStyle w:val="Strong"/>
          <w:rFonts w:cstheme="minorHAnsi"/>
        </w:rPr>
        <w:t xml:space="preserve"> </w:t>
      </w:r>
      <w:r w:rsidR="00A4606E" w:rsidRPr="00923237">
        <w:rPr>
          <w:rFonts w:cstheme="minorHAnsi"/>
          <w:color w:val="323232"/>
        </w:rPr>
        <w:t xml:space="preserve">J. </w:t>
      </w:r>
      <w:proofErr w:type="spellStart"/>
      <w:r w:rsidR="00A4606E" w:rsidRPr="00923237">
        <w:rPr>
          <w:rFonts w:cstheme="minorHAnsi"/>
          <w:color w:val="323232"/>
        </w:rPr>
        <w:t>Financ</w:t>
      </w:r>
      <w:proofErr w:type="spellEnd"/>
      <w:r w:rsidR="00A4606E" w:rsidRPr="00923237">
        <w:rPr>
          <w:rFonts w:cstheme="minorHAnsi"/>
          <w:color w:val="323232"/>
        </w:rPr>
        <w:t>. Econ., 87 (2) (2008), pp. 329-356</w:t>
      </w:r>
    </w:p>
    <w:p w14:paraId="68BD0BB6" w14:textId="5094E544" w:rsidR="00A4606E" w:rsidRPr="00923237" w:rsidRDefault="006C60C6" w:rsidP="006463D2">
      <w:pPr>
        <w:spacing w:after="0"/>
        <w:ind w:left="720" w:hanging="720"/>
        <w:rPr>
          <w:rFonts w:cstheme="minorHAnsi"/>
          <w:color w:val="323232"/>
        </w:rPr>
      </w:pPr>
      <w:hyperlink r:id="rId172" w:anchor="bbb0065" w:history="1">
        <w:r w:rsidR="00A4606E" w:rsidRPr="00923237">
          <w:rPr>
            <w:rStyle w:val="Hyperlink"/>
            <w:rFonts w:cstheme="minorHAnsi"/>
            <w:color w:val="0C7DBB"/>
          </w:rPr>
          <w:t xml:space="preserve">Deli and </w:t>
        </w:r>
        <w:proofErr w:type="spellStart"/>
        <w:r w:rsidR="00A4606E" w:rsidRPr="00923237">
          <w:rPr>
            <w:rStyle w:val="Hyperlink"/>
            <w:rFonts w:cstheme="minorHAnsi"/>
            <w:color w:val="0C7DBB"/>
          </w:rPr>
          <w:t>Gillan</w:t>
        </w:r>
        <w:proofErr w:type="spellEnd"/>
        <w:r w:rsidR="00A4606E" w:rsidRPr="00923237">
          <w:rPr>
            <w:rStyle w:val="Hyperlink"/>
            <w:rFonts w:cstheme="minorHAnsi"/>
            <w:color w:val="0C7DBB"/>
          </w:rPr>
          <w:t>, 2000</w:t>
        </w:r>
      </w:hyperlink>
      <w:r w:rsidR="00FC791D" w:rsidRPr="00923237">
        <w:rPr>
          <w:rStyle w:val="Hyperlink"/>
          <w:rFonts w:cstheme="minorHAnsi"/>
          <w:color w:val="0C7DBB"/>
        </w:rPr>
        <w:t xml:space="preserve"> </w:t>
      </w:r>
      <w:r w:rsidR="00A4606E" w:rsidRPr="00923237">
        <w:rPr>
          <w:rFonts w:cstheme="minorHAnsi"/>
        </w:rPr>
        <w:t>D.N. Deli, S.L. </w:t>
      </w:r>
      <w:proofErr w:type="spellStart"/>
      <w:r w:rsidR="00A4606E" w:rsidRPr="00923237">
        <w:rPr>
          <w:rFonts w:cstheme="minorHAnsi"/>
        </w:rPr>
        <w:t>Gillan</w:t>
      </w:r>
      <w:proofErr w:type="spellEnd"/>
      <w:r w:rsidR="00FC791D" w:rsidRPr="00923237">
        <w:rPr>
          <w:rFonts w:cstheme="minorHAnsi"/>
        </w:rPr>
        <w:t xml:space="preserve"> </w:t>
      </w:r>
      <w:r w:rsidR="00A4606E" w:rsidRPr="00923237">
        <w:rPr>
          <w:rStyle w:val="Strong"/>
          <w:rFonts w:cstheme="minorHAnsi"/>
        </w:rPr>
        <w:t>On the demand for independent and active audit committees</w:t>
      </w:r>
      <w:r w:rsidR="00FC791D" w:rsidRPr="00923237">
        <w:rPr>
          <w:rStyle w:val="Strong"/>
          <w:rFonts w:cstheme="minorHAnsi"/>
        </w:rPr>
        <w:t xml:space="preserve"> </w:t>
      </w:r>
      <w:r w:rsidR="00A4606E" w:rsidRPr="00923237">
        <w:rPr>
          <w:rFonts w:cstheme="minorHAnsi"/>
          <w:color w:val="323232"/>
        </w:rPr>
        <w:t xml:space="preserve">J. Corp. </w:t>
      </w:r>
      <w:proofErr w:type="spellStart"/>
      <w:r w:rsidR="00A4606E" w:rsidRPr="00923237">
        <w:rPr>
          <w:rFonts w:cstheme="minorHAnsi"/>
          <w:color w:val="323232"/>
        </w:rPr>
        <w:t>Finan</w:t>
      </w:r>
      <w:proofErr w:type="spellEnd"/>
      <w:r w:rsidR="00A4606E" w:rsidRPr="00923237">
        <w:rPr>
          <w:rFonts w:cstheme="minorHAnsi"/>
          <w:color w:val="323232"/>
        </w:rPr>
        <w:t>., 6 (4) (2000), pp. 427-445</w:t>
      </w:r>
    </w:p>
    <w:p w14:paraId="6C0BAC02" w14:textId="0FBBCF54" w:rsidR="00A4606E" w:rsidRPr="00923237" w:rsidRDefault="006C60C6" w:rsidP="006463D2">
      <w:pPr>
        <w:spacing w:after="0"/>
        <w:ind w:left="720" w:hanging="720"/>
        <w:rPr>
          <w:rFonts w:cstheme="minorHAnsi"/>
          <w:color w:val="323232"/>
        </w:rPr>
      </w:pPr>
      <w:hyperlink r:id="rId173" w:anchor="bbb0070" w:history="1">
        <w:r w:rsidR="00A4606E" w:rsidRPr="00923237">
          <w:rPr>
            <w:rStyle w:val="Hyperlink"/>
            <w:rFonts w:cstheme="minorHAnsi"/>
            <w:color w:val="0C7DBB"/>
          </w:rPr>
          <w:t>Dimitrov and Jain, 2008</w:t>
        </w:r>
      </w:hyperlink>
      <w:r w:rsidR="00FC791D" w:rsidRPr="00923237">
        <w:rPr>
          <w:rStyle w:val="Hyperlink"/>
          <w:rFonts w:cstheme="minorHAnsi"/>
          <w:color w:val="0C7DBB"/>
        </w:rPr>
        <w:t xml:space="preserve"> </w:t>
      </w:r>
      <w:r w:rsidR="00A4606E" w:rsidRPr="00923237">
        <w:rPr>
          <w:rFonts w:cstheme="minorHAnsi"/>
        </w:rPr>
        <w:t>V. Dimitrov, P.C. Jain</w:t>
      </w:r>
      <w:r w:rsidR="00FC791D" w:rsidRPr="00923237">
        <w:rPr>
          <w:rFonts w:cstheme="minorHAnsi"/>
        </w:rPr>
        <w:t xml:space="preserve"> </w:t>
      </w:r>
      <w:proofErr w:type="gramStart"/>
      <w:r w:rsidR="00A4606E" w:rsidRPr="00923237">
        <w:rPr>
          <w:rStyle w:val="Strong"/>
          <w:rFonts w:cstheme="minorHAnsi"/>
        </w:rPr>
        <w:t>The</w:t>
      </w:r>
      <w:proofErr w:type="gramEnd"/>
      <w:r w:rsidR="00A4606E" w:rsidRPr="00923237">
        <w:rPr>
          <w:rStyle w:val="Strong"/>
          <w:rFonts w:cstheme="minorHAnsi"/>
        </w:rPr>
        <w:t xml:space="preserve"> value-relevance of changes in financial leverage beyond growth in assets and GAAP earnings</w:t>
      </w:r>
      <w:r w:rsidR="00FC791D" w:rsidRPr="00923237">
        <w:rPr>
          <w:rStyle w:val="Strong"/>
          <w:rFonts w:cstheme="minorHAnsi"/>
        </w:rPr>
        <w:t xml:space="preserve"> </w:t>
      </w:r>
      <w:r w:rsidR="00A4606E" w:rsidRPr="00923237">
        <w:rPr>
          <w:rFonts w:cstheme="minorHAnsi"/>
          <w:color w:val="323232"/>
        </w:rPr>
        <w:t>J. Account. Audit. Fin., 23 (2) (2008), pp. 191-222</w:t>
      </w:r>
    </w:p>
    <w:p w14:paraId="75CC3A92" w14:textId="673B1083" w:rsidR="00A4606E" w:rsidRPr="00923237" w:rsidRDefault="006C60C6" w:rsidP="006463D2">
      <w:pPr>
        <w:spacing w:after="0"/>
        <w:ind w:left="720" w:hanging="720"/>
        <w:rPr>
          <w:rFonts w:cstheme="minorHAnsi"/>
          <w:color w:val="323232"/>
        </w:rPr>
      </w:pPr>
      <w:hyperlink r:id="rId174" w:anchor="bbb0075" w:history="1">
        <w:proofErr w:type="spellStart"/>
        <w:r w:rsidR="00A4606E" w:rsidRPr="00923237">
          <w:rPr>
            <w:rStyle w:val="Hyperlink"/>
            <w:rFonts w:cstheme="minorHAnsi"/>
            <w:color w:val="0C7DBB"/>
          </w:rPr>
          <w:t>Fama</w:t>
        </w:r>
        <w:proofErr w:type="spellEnd"/>
        <w:r w:rsidR="00A4606E" w:rsidRPr="00923237">
          <w:rPr>
            <w:rStyle w:val="Hyperlink"/>
            <w:rFonts w:cstheme="minorHAnsi"/>
            <w:color w:val="0C7DBB"/>
          </w:rPr>
          <w:t xml:space="preserve"> and French, 1992</w:t>
        </w:r>
      </w:hyperlink>
      <w:r w:rsidR="00FC791D" w:rsidRPr="00923237">
        <w:rPr>
          <w:rStyle w:val="Hyperlink"/>
          <w:rFonts w:cstheme="minorHAnsi"/>
          <w:color w:val="0C7DBB"/>
        </w:rPr>
        <w:t xml:space="preserve"> </w:t>
      </w:r>
      <w:r w:rsidR="00A4606E" w:rsidRPr="00923237">
        <w:rPr>
          <w:rFonts w:cstheme="minorHAnsi"/>
        </w:rPr>
        <w:t>E.F. </w:t>
      </w:r>
      <w:proofErr w:type="spellStart"/>
      <w:r w:rsidR="00A4606E" w:rsidRPr="00923237">
        <w:rPr>
          <w:rFonts w:cstheme="minorHAnsi"/>
        </w:rPr>
        <w:t>Fama</w:t>
      </w:r>
      <w:proofErr w:type="spellEnd"/>
      <w:r w:rsidR="00A4606E" w:rsidRPr="00923237">
        <w:rPr>
          <w:rFonts w:cstheme="minorHAnsi"/>
        </w:rPr>
        <w:t>, K.R. French</w:t>
      </w:r>
      <w:r w:rsidR="00FC791D" w:rsidRPr="00923237">
        <w:rPr>
          <w:rFonts w:cstheme="minorHAnsi"/>
        </w:rPr>
        <w:t xml:space="preserve"> </w:t>
      </w:r>
      <w:proofErr w:type="gramStart"/>
      <w:r w:rsidR="00A4606E" w:rsidRPr="00923237">
        <w:rPr>
          <w:rStyle w:val="Strong"/>
          <w:rFonts w:cstheme="minorHAnsi"/>
        </w:rPr>
        <w:t>The</w:t>
      </w:r>
      <w:proofErr w:type="gramEnd"/>
      <w:r w:rsidR="00A4606E" w:rsidRPr="00923237">
        <w:rPr>
          <w:rStyle w:val="Strong"/>
          <w:rFonts w:cstheme="minorHAnsi"/>
        </w:rPr>
        <w:t xml:space="preserve"> cross-section of expected stock returns</w:t>
      </w:r>
      <w:r w:rsidR="00FC791D" w:rsidRPr="00923237">
        <w:rPr>
          <w:rStyle w:val="Strong"/>
          <w:rFonts w:cstheme="minorHAnsi"/>
        </w:rPr>
        <w:t xml:space="preserve"> </w:t>
      </w:r>
      <w:r w:rsidR="00A4606E" w:rsidRPr="00923237">
        <w:rPr>
          <w:rFonts w:cstheme="minorHAnsi"/>
          <w:color w:val="323232"/>
        </w:rPr>
        <w:t xml:space="preserve">J. </w:t>
      </w:r>
      <w:proofErr w:type="spellStart"/>
      <w:r w:rsidR="00A4606E" w:rsidRPr="00923237">
        <w:rPr>
          <w:rFonts w:cstheme="minorHAnsi"/>
          <w:color w:val="323232"/>
        </w:rPr>
        <w:t>Financ</w:t>
      </w:r>
      <w:proofErr w:type="spellEnd"/>
      <w:r w:rsidR="00A4606E" w:rsidRPr="00923237">
        <w:rPr>
          <w:rFonts w:cstheme="minorHAnsi"/>
          <w:color w:val="323232"/>
        </w:rPr>
        <w:t>., 47 (2) (1992), pp. 427-465</w:t>
      </w:r>
    </w:p>
    <w:p w14:paraId="6F4B26EC" w14:textId="2DCDC6F8" w:rsidR="00A4606E" w:rsidRPr="00923237" w:rsidRDefault="006C60C6" w:rsidP="006463D2">
      <w:pPr>
        <w:spacing w:after="0"/>
        <w:ind w:left="720" w:hanging="720"/>
        <w:rPr>
          <w:rFonts w:cstheme="minorHAnsi"/>
          <w:color w:val="323232"/>
        </w:rPr>
      </w:pPr>
      <w:hyperlink r:id="rId175" w:anchor="bbb0080" w:history="1">
        <w:r w:rsidR="00A4606E" w:rsidRPr="00923237">
          <w:rPr>
            <w:rStyle w:val="Hyperlink"/>
            <w:rFonts w:cstheme="minorHAnsi"/>
            <w:color w:val="0C7DBB"/>
          </w:rPr>
          <w:t xml:space="preserve">Friday and </w:t>
        </w:r>
        <w:proofErr w:type="spellStart"/>
        <w:r w:rsidR="00A4606E" w:rsidRPr="00923237">
          <w:rPr>
            <w:rStyle w:val="Hyperlink"/>
            <w:rFonts w:cstheme="minorHAnsi"/>
            <w:color w:val="0C7DBB"/>
          </w:rPr>
          <w:t>Sirmans</w:t>
        </w:r>
        <w:proofErr w:type="spellEnd"/>
        <w:r w:rsidR="00A4606E" w:rsidRPr="00923237">
          <w:rPr>
            <w:rStyle w:val="Hyperlink"/>
            <w:rFonts w:cstheme="minorHAnsi"/>
            <w:color w:val="0C7DBB"/>
          </w:rPr>
          <w:t>, 1998</w:t>
        </w:r>
      </w:hyperlink>
      <w:r w:rsidR="00FC791D" w:rsidRPr="00923237">
        <w:rPr>
          <w:rStyle w:val="Hyperlink"/>
          <w:rFonts w:cstheme="minorHAnsi"/>
          <w:color w:val="0C7DBB"/>
        </w:rPr>
        <w:t xml:space="preserve"> </w:t>
      </w:r>
      <w:r w:rsidR="00A4606E" w:rsidRPr="00923237">
        <w:rPr>
          <w:rFonts w:cstheme="minorHAnsi"/>
        </w:rPr>
        <w:t>S. Friday, S. </w:t>
      </w:r>
      <w:proofErr w:type="spellStart"/>
      <w:r w:rsidR="00A4606E" w:rsidRPr="00923237">
        <w:rPr>
          <w:rFonts w:cstheme="minorHAnsi"/>
        </w:rPr>
        <w:t>Sirmans</w:t>
      </w:r>
      <w:proofErr w:type="spellEnd"/>
      <w:r w:rsidR="00FC791D" w:rsidRPr="00923237">
        <w:rPr>
          <w:rFonts w:cstheme="minorHAnsi"/>
        </w:rPr>
        <w:t xml:space="preserve"> </w:t>
      </w:r>
      <w:r w:rsidR="00A4606E" w:rsidRPr="00923237">
        <w:rPr>
          <w:rStyle w:val="Strong"/>
          <w:rFonts w:cstheme="minorHAnsi"/>
        </w:rPr>
        <w:t>Board of director monitoring and firm value in REITs</w:t>
      </w:r>
      <w:r w:rsidR="00FC791D" w:rsidRPr="00923237">
        <w:rPr>
          <w:rStyle w:val="Strong"/>
          <w:rFonts w:cstheme="minorHAnsi"/>
        </w:rPr>
        <w:t xml:space="preserve"> </w:t>
      </w:r>
      <w:r w:rsidR="00A4606E" w:rsidRPr="00923237">
        <w:rPr>
          <w:rFonts w:cstheme="minorHAnsi"/>
          <w:color w:val="323232"/>
        </w:rPr>
        <w:t>J. Real Estate Res., 16 (3) (1998), pp. 411-428</w:t>
      </w:r>
    </w:p>
    <w:p w14:paraId="32F36A82" w14:textId="2A85DC83" w:rsidR="00A4606E" w:rsidRPr="00923237" w:rsidRDefault="006C60C6" w:rsidP="006463D2">
      <w:pPr>
        <w:spacing w:after="0"/>
        <w:ind w:left="720" w:hanging="720"/>
        <w:rPr>
          <w:rFonts w:cstheme="minorHAnsi"/>
          <w:color w:val="323232"/>
        </w:rPr>
      </w:pPr>
      <w:hyperlink r:id="rId176" w:anchor="bbb0085" w:history="1">
        <w:proofErr w:type="spellStart"/>
        <w:r w:rsidR="00A4606E" w:rsidRPr="00923237">
          <w:rPr>
            <w:rStyle w:val="Hyperlink"/>
            <w:rFonts w:cstheme="minorHAnsi"/>
            <w:color w:val="0C7DBB"/>
          </w:rPr>
          <w:t>Garlappi</w:t>
        </w:r>
        <w:proofErr w:type="spellEnd"/>
        <w:r w:rsidR="00A4606E" w:rsidRPr="00923237">
          <w:rPr>
            <w:rStyle w:val="Hyperlink"/>
            <w:rFonts w:cstheme="minorHAnsi"/>
            <w:color w:val="0C7DBB"/>
          </w:rPr>
          <w:t xml:space="preserve"> et al., 2006</w:t>
        </w:r>
      </w:hyperlink>
      <w:r w:rsidR="00FC791D" w:rsidRPr="00923237">
        <w:rPr>
          <w:rStyle w:val="Hyperlink"/>
          <w:rFonts w:cstheme="minorHAnsi"/>
          <w:color w:val="0C7DBB"/>
        </w:rPr>
        <w:t xml:space="preserve"> </w:t>
      </w:r>
      <w:r w:rsidR="00A4606E" w:rsidRPr="00923237">
        <w:rPr>
          <w:rFonts w:cstheme="minorHAnsi"/>
        </w:rPr>
        <w:t>L. </w:t>
      </w:r>
      <w:proofErr w:type="spellStart"/>
      <w:r w:rsidR="00A4606E" w:rsidRPr="00923237">
        <w:rPr>
          <w:rFonts w:cstheme="minorHAnsi"/>
        </w:rPr>
        <w:t>Garlappi</w:t>
      </w:r>
      <w:proofErr w:type="spellEnd"/>
      <w:r w:rsidR="00A4606E" w:rsidRPr="00923237">
        <w:rPr>
          <w:rFonts w:cstheme="minorHAnsi"/>
        </w:rPr>
        <w:t>, T. Shu, H. Yan</w:t>
      </w:r>
      <w:r w:rsidR="00FC791D" w:rsidRPr="00923237">
        <w:rPr>
          <w:rFonts w:cstheme="minorHAnsi"/>
        </w:rPr>
        <w:t xml:space="preserve"> </w:t>
      </w:r>
      <w:r w:rsidR="00A4606E" w:rsidRPr="00923237">
        <w:rPr>
          <w:rStyle w:val="Strong"/>
          <w:rFonts w:cstheme="minorHAnsi"/>
        </w:rPr>
        <w:t>Default risk, shareholder advantage, and stock returns</w:t>
      </w:r>
      <w:r w:rsidR="00FC791D" w:rsidRPr="00923237">
        <w:rPr>
          <w:rStyle w:val="Strong"/>
          <w:rFonts w:cstheme="minorHAnsi"/>
        </w:rPr>
        <w:t xml:space="preserve"> </w:t>
      </w:r>
      <w:r w:rsidR="00A4606E" w:rsidRPr="00923237">
        <w:rPr>
          <w:rFonts w:cstheme="minorHAnsi"/>
          <w:color w:val="323232"/>
        </w:rPr>
        <w:t xml:space="preserve">Rev. </w:t>
      </w:r>
      <w:proofErr w:type="spellStart"/>
      <w:r w:rsidR="00A4606E" w:rsidRPr="00923237">
        <w:rPr>
          <w:rFonts w:cstheme="minorHAnsi"/>
          <w:color w:val="323232"/>
        </w:rPr>
        <w:t>Financ</w:t>
      </w:r>
      <w:proofErr w:type="spellEnd"/>
      <w:r w:rsidR="00A4606E" w:rsidRPr="00923237">
        <w:rPr>
          <w:rFonts w:cstheme="minorHAnsi"/>
          <w:color w:val="323232"/>
        </w:rPr>
        <w:t>. Stud., 21 (6) (2006), pp. 2743-2778</w:t>
      </w:r>
    </w:p>
    <w:p w14:paraId="7E1DAAB5" w14:textId="0AE81EC3" w:rsidR="00A4606E" w:rsidRPr="00923237" w:rsidRDefault="006C60C6" w:rsidP="006463D2">
      <w:pPr>
        <w:spacing w:after="0"/>
        <w:ind w:left="720" w:hanging="720"/>
        <w:rPr>
          <w:rFonts w:cstheme="minorHAnsi"/>
          <w:color w:val="323232"/>
        </w:rPr>
      </w:pPr>
      <w:hyperlink r:id="rId177" w:anchor="bbb0090" w:history="1">
        <w:r w:rsidR="00A4606E" w:rsidRPr="00923237">
          <w:rPr>
            <w:rStyle w:val="Hyperlink"/>
            <w:rFonts w:cstheme="minorHAnsi"/>
            <w:color w:val="0C7DBB"/>
          </w:rPr>
          <w:t>George and Hwang, 2010</w:t>
        </w:r>
      </w:hyperlink>
      <w:r w:rsidR="00FC791D" w:rsidRPr="00923237">
        <w:rPr>
          <w:rStyle w:val="Hyperlink"/>
          <w:rFonts w:cstheme="minorHAnsi"/>
          <w:color w:val="0C7DBB"/>
        </w:rPr>
        <w:t xml:space="preserve"> </w:t>
      </w:r>
      <w:r w:rsidR="00A4606E" w:rsidRPr="00923237">
        <w:rPr>
          <w:rFonts w:cstheme="minorHAnsi"/>
        </w:rPr>
        <w:t>T.J. George, C.-Y. Hwang</w:t>
      </w:r>
      <w:r w:rsidR="00FC791D" w:rsidRPr="00923237">
        <w:rPr>
          <w:rFonts w:cstheme="minorHAnsi"/>
        </w:rPr>
        <w:t xml:space="preserve"> </w:t>
      </w:r>
      <w:r w:rsidR="00A4606E" w:rsidRPr="00923237">
        <w:rPr>
          <w:rStyle w:val="Strong"/>
          <w:rFonts w:cstheme="minorHAnsi"/>
        </w:rPr>
        <w:t>A resolution of the distress risk and leverage puzzles in the cross section of stock returns</w:t>
      </w:r>
      <w:r w:rsidR="00FC791D" w:rsidRPr="00923237">
        <w:rPr>
          <w:rStyle w:val="Strong"/>
          <w:rFonts w:cstheme="minorHAnsi"/>
        </w:rPr>
        <w:t xml:space="preserve"> </w:t>
      </w:r>
      <w:r w:rsidR="00A4606E" w:rsidRPr="00923237">
        <w:rPr>
          <w:rFonts w:cstheme="minorHAnsi"/>
          <w:color w:val="323232"/>
        </w:rPr>
        <w:t xml:space="preserve">J. </w:t>
      </w:r>
      <w:proofErr w:type="spellStart"/>
      <w:r w:rsidR="00A4606E" w:rsidRPr="00923237">
        <w:rPr>
          <w:rFonts w:cstheme="minorHAnsi"/>
          <w:color w:val="323232"/>
        </w:rPr>
        <w:t>Financ</w:t>
      </w:r>
      <w:proofErr w:type="spellEnd"/>
      <w:r w:rsidR="00A4606E" w:rsidRPr="00923237">
        <w:rPr>
          <w:rFonts w:cstheme="minorHAnsi"/>
          <w:color w:val="323232"/>
        </w:rPr>
        <w:t>. Econ., 96 (1) (2010), pp. 56-79</w:t>
      </w:r>
    </w:p>
    <w:p w14:paraId="5D3A466B" w14:textId="6F3EDE28" w:rsidR="00A4606E" w:rsidRPr="00923237" w:rsidRDefault="006C60C6" w:rsidP="006463D2">
      <w:pPr>
        <w:spacing w:after="0"/>
        <w:ind w:left="720" w:hanging="720"/>
        <w:rPr>
          <w:rFonts w:cstheme="minorHAnsi"/>
          <w:color w:val="323232"/>
        </w:rPr>
      </w:pPr>
      <w:hyperlink r:id="rId178" w:anchor="bbb0095" w:history="1">
        <w:r w:rsidR="00A4606E" w:rsidRPr="00923237">
          <w:rPr>
            <w:rStyle w:val="Hyperlink"/>
            <w:rFonts w:cstheme="minorHAnsi"/>
            <w:color w:val="0C7DBB"/>
          </w:rPr>
          <w:t xml:space="preserve">Ghosh and </w:t>
        </w:r>
        <w:proofErr w:type="spellStart"/>
        <w:r w:rsidR="00A4606E" w:rsidRPr="00923237">
          <w:rPr>
            <w:rStyle w:val="Hyperlink"/>
            <w:rFonts w:cstheme="minorHAnsi"/>
            <w:color w:val="0C7DBB"/>
          </w:rPr>
          <w:t>Sirmans</w:t>
        </w:r>
        <w:proofErr w:type="spellEnd"/>
        <w:r w:rsidR="00A4606E" w:rsidRPr="00923237">
          <w:rPr>
            <w:rStyle w:val="Hyperlink"/>
            <w:rFonts w:cstheme="minorHAnsi"/>
            <w:color w:val="0C7DBB"/>
          </w:rPr>
          <w:t>, 2003</w:t>
        </w:r>
      </w:hyperlink>
      <w:r w:rsidR="00FC791D" w:rsidRPr="00923237">
        <w:rPr>
          <w:rStyle w:val="Hyperlink"/>
          <w:rFonts w:cstheme="minorHAnsi"/>
          <w:color w:val="0C7DBB"/>
        </w:rPr>
        <w:t xml:space="preserve"> </w:t>
      </w:r>
      <w:r w:rsidR="00A4606E" w:rsidRPr="00923237">
        <w:rPr>
          <w:rFonts w:cstheme="minorHAnsi"/>
        </w:rPr>
        <w:t>C. Ghosh, C.F. </w:t>
      </w:r>
      <w:proofErr w:type="spellStart"/>
      <w:r w:rsidR="00A4606E" w:rsidRPr="00923237">
        <w:rPr>
          <w:rFonts w:cstheme="minorHAnsi"/>
        </w:rPr>
        <w:t>Sirmans</w:t>
      </w:r>
      <w:proofErr w:type="spellEnd"/>
      <w:r w:rsidR="00FC791D" w:rsidRPr="00923237">
        <w:rPr>
          <w:rFonts w:cstheme="minorHAnsi"/>
        </w:rPr>
        <w:t xml:space="preserve"> </w:t>
      </w:r>
      <w:r w:rsidR="00A4606E" w:rsidRPr="00923237">
        <w:rPr>
          <w:rStyle w:val="Strong"/>
          <w:rFonts w:cstheme="minorHAnsi"/>
        </w:rPr>
        <w:t>Board independence, ownership structure and performance: evidence from real estate investment trusts</w:t>
      </w:r>
      <w:r w:rsidR="00FC791D" w:rsidRPr="00923237">
        <w:rPr>
          <w:rStyle w:val="Strong"/>
          <w:rFonts w:cstheme="minorHAnsi"/>
        </w:rPr>
        <w:t xml:space="preserve"> </w:t>
      </w:r>
      <w:r w:rsidR="00A4606E" w:rsidRPr="00923237">
        <w:rPr>
          <w:rFonts w:cstheme="minorHAnsi"/>
          <w:color w:val="323232"/>
        </w:rPr>
        <w:t xml:space="preserve">J. Real Estate </w:t>
      </w:r>
      <w:proofErr w:type="spellStart"/>
      <w:r w:rsidR="00A4606E" w:rsidRPr="00923237">
        <w:rPr>
          <w:rFonts w:cstheme="minorHAnsi"/>
          <w:color w:val="323232"/>
        </w:rPr>
        <w:t>Financ</w:t>
      </w:r>
      <w:proofErr w:type="spellEnd"/>
      <w:r w:rsidR="00A4606E" w:rsidRPr="00923237">
        <w:rPr>
          <w:rFonts w:cstheme="minorHAnsi"/>
          <w:color w:val="323232"/>
        </w:rPr>
        <w:t>. Econ., 26 (2–3) (2003), pp. 287-318</w:t>
      </w:r>
    </w:p>
    <w:p w14:paraId="0B9A04E4" w14:textId="69388EFE" w:rsidR="00A4606E" w:rsidRPr="00923237" w:rsidRDefault="006C60C6" w:rsidP="006463D2">
      <w:pPr>
        <w:spacing w:after="0"/>
        <w:ind w:left="720" w:hanging="720"/>
        <w:rPr>
          <w:rFonts w:cstheme="minorHAnsi"/>
          <w:color w:val="323232"/>
        </w:rPr>
      </w:pPr>
      <w:hyperlink r:id="rId179" w:anchor="bbb0100" w:history="1">
        <w:r w:rsidR="00A4606E" w:rsidRPr="00923237">
          <w:rPr>
            <w:rStyle w:val="Hyperlink"/>
            <w:rFonts w:cstheme="minorHAnsi"/>
            <w:color w:val="0C7DBB"/>
          </w:rPr>
          <w:t xml:space="preserve">Ghosh and </w:t>
        </w:r>
        <w:proofErr w:type="spellStart"/>
        <w:r w:rsidR="00A4606E" w:rsidRPr="00923237">
          <w:rPr>
            <w:rStyle w:val="Hyperlink"/>
            <w:rFonts w:cstheme="minorHAnsi"/>
            <w:color w:val="0C7DBB"/>
          </w:rPr>
          <w:t>Sirmans</w:t>
        </w:r>
        <w:proofErr w:type="spellEnd"/>
        <w:r w:rsidR="00A4606E" w:rsidRPr="00923237">
          <w:rPr>
            <w:rStyle w:val="Hyperlink"/>
            <w:rFonts w:cstheme="minorHAnsi"/>
            <w:color w:val="0C7DBB"/>
          </w:rPr>
          <w:t>, 2005</w:t>
        </w:r>
      </w:hyperlink>
      <w:r w:rsidR="00FC791D" w:rsidRPr="00923237">
        <w:rPr>
          <w:rStyle w:val="Hyperlink"/>
          <w:rFonts w:cstheme="minorHAnsi"/>
          <w:color w:val="0C7DBB"/>
        </w:rPr>
        <w:t xml:space="preserve"> </w:t>
      </w:r>
      <w:r w:rsidR="00A4606E" w:rsidRPr="00923237">
        <w:rPr>
          <w:rFonts w:cstheme="minorHAnsi"/>
        </w:rPr>
        <w:t>C. Ghosh, C.F. </w:t>
      </w:r>
      <w:proofErr w:type="spellStart"/>
      <w:r w:rsidR="00A4606E" w:rsidRPr="00923237">
        <w:rPr>
          <w:rFonts w:cstheme="minorHAnsi"/>
        </w:rPr>
        <w:t>Sirmans</w:t>
      </w:r>
      <w:proofErr w:type="spellEnd"/>
      <w:r w:rsidR="00FC791D" w:rsidRPr="00923237">
        <w:rPr>
          <w:rFonts w:cstheme="minorHAnsi"/>
        </w:rPr>
        <w:t xml:space="preserve"> </w:t>
      </w:r>
      <w:r w:rsidR="00A4606E" w:rsidRPr="00923237">
        <w:rPr>
          <w:rStyle w:val="Strong"/>
          <w:rFonts w:cstheme="minorHAnsi"/>
        </w:rPr>
        <w:t>On REIT CEO compensation: does board structure matter?</w:t>
      </w:r>
      <w:r w:rsidR="00FC791D" w:rsidRPr="00923237">
        <w:rPr>
          <w:rStyle w:val="Strong"/>
          <w:rFonts w:cstheme="minorHAnsi"/>
        </w:rPr>
        <w:t xml:space="preserve"> </w:t>
      </w:r>
      <w:r w:rsidR="00A4606E" w:rsidRPr="00923237">
        <w:rPr>
          <w:rFonts w:cstheme="minorHAnsi"/>
          <w:color w:val="323232"/>
        </w:rPr>
        <w:t xml:space="preserve">J. Real Estate </w:t>
      </w:r>
      <w:proofErr w:type="spellStart"/>
      <w:r w:rsidR="00A4606E" w:rsidRPr="00923237">
        <w:rPr>
          <w:rFonts w:cstheme="minorHAnsi"/>
          <w:color w:val="323232"/>
        </w:rPr>
        <w:t>Financ</w:t>
      </w:r>
      <w:proofErr w:type="spellEnd"/>
      <w:r w:rsidR="00A4606E" w:rsidRPr="00923237">
        <w:rPr>
          <w:rFonts w:cstheme="minorHAnsi"/>
          <w:color w:val="323232"/>
        </w:rPr>
        <w:t>. Econ., 30 (4) (2005), pp. 397-428</w:t>
      </w:r>
    </w:p>
    <w:p w14:paraId="5434F6F5" w14:textId="4B5117E6" w:rsidR="00A4606E" w:rsidRPr="00923237" w:rsidRDefault="006C60C6" w:rsidP="006463D2">
      <w:pPr>
        <w:spacing w:after="0"/>
        <w:ind w:left="720" w:hanging="720"/>
        <w:rPr>
          <w:rFonts w:cstheme="minorHAnsi"/>
          <w:color w:val="323232"/>
        </w:rPr>
      </w:pPr>
      <w:hyperlink r:id="rId180" w:anchor="bbb0105" w:history="1">
        <w:r w:rsidR="00A4606E" w:rsidRPr="00923237">
          <w:rPr>
            <w:rStyle w:val="Hyperlink"/>
            <w:rFonts w:cstheme="minorHAnsi"/>
            <w:color w:val="0C7DBB"/>
          </w:rPr>
          <w:t>Ghosh et al., 2011</w:t>
        </w:r>
      </w:hyperlink>
      <w:r w:rsidR="00FC791D" w:rsidRPr="00923237">
        <w:rPr>
          <w:rStyle w:val="Hyperlink"/>
          <w:rFonts w:cstheme="minorHAnsi"/>
          <w:color w:val="0C7DBB"/>
        </w:rPr>
        <w:t xml:space="preserve"> </w:t>
      </w:r>
      <w:r w:rsidR="00A4606E" w:rsidRPr="00923237">
        <w:rPr>
          <w:rFonts w:cstheme="minorHAnsi"/>
        </w:rPr>
        <w:t>C. Ghosh, E. </w:t>
      </w:r>
      <w:proofErr w:type="spellStart"/>
      <w:r w:rsidR="00A4606E" w:rsidRPr="00923237">
        <w:rPr>
          <w:rFonts w:cstheme="minorHAnsi"/>
        </w:rPr>
        <w:t>Giambona</w:t>
      </w:r>
      <w:proofErr w:type="spellEnd"/>
      <w:r w:rsidR="00A4606E" w:rsidRPr="00923237">
        <w:rPr>
          <w:rFonts w:cstheme="minorHAnsi"/>
        </w:rPr>
        <w:t>, J.P. Harding, C.F. </w:t>
      </w:r>
      <w:proofErr w:type="spellStart"/>
      <w:r w:rsidR="00A4606E" w:rsidRPr="00923237">
        <w:rPr>
          <w:rFonts w:cstheme="minorHAnsi"/>
        </w:rPr>
        <w:t>Sirmans</w:t>
      </w:r>
      <w:proofErr w:type="spellEnd"/>
      <w:r w:rsidR="00FC791D" w:rsidRPr="00923237">
        <w:rPr>
          <w:rFonts w:cstheme="minorHAnsi"/>
        </w:rPr>
        <w:t xml:space="preserve"> </w:t>
      </w:r>
      <w:r w:rsidR="00A4606E" w:rsidRPr="00923237">
        <w:rPr>
          <w:rStyle w:val="Strong"/>
          <w:rFonts w:cstheme="minorHAnsi"/>
        </w:rPr>
        <w:t>How entrenchment, incentives and governance influence REIT capital structure</w:t>
      </w:r>
      <w:r w:rsidR="00FC791D" w:rsidRPr="00923237">
        <w:rPr>
          <w:rStyle w:val="Strong"/>
          <w:rFonts w:cstheme="minorHAnsi"/>
        </w:rPr>
        <w:t xml:space="preserve"> </w:t>
      </w:r>
      <w:r w:rsidR="00A4606E" w:rsidRPr="00923237">
        <w:rPr>
          <w:rFonts w:cstheme="minorHAnsi"/>
          <w:color w:val="323232"/>
        </w:rPr>
        <w:t xml:space="preserve">J. Real Estate </w:t>
      </w:r>
      <w:proofErr w:type="spellStart"/>
      <w:r w:rsidR="00A4606E" w:rsidRPr="00923237">
        <w:rPr>
          <w:rFonts w:cstheme="minorHAnsi"/>
          <w:color w:val="323232"/>
        </w:rPr>
        <w:t>Financ</w:t>
      </w:r>
      <w:proofErr w:type="spellEnd"/>
      <w:r w:rsidR="00A4606E" w:rsidRPr="00923237">
        <w:rPr>
          <w:rFonts w:cstheme="minorHAnsi"/>
          <w:color w:val="323232"/>
        </w:rPr>
        <w:t>. Econ., 43 (1–2) (2011), pp. 39-72</w:t>
      </w:r>
    </w:p>
    <w:p w14:paraId="5C3C0CBB" w14:textId="0236CD03" w:rsidR="00A4606E" w:rsidRPr="00923237" w:rsidRDefault="006C60C6" w:rsidP="006463D2">
      <w:pPr>
        <w:spacing w:after="0"/>
        <w:ind w:left="720" w:hanging="720"/>
        <w:rPr>
          <w:rFonts w:cstheme="minorHAnsi"/>
          <w:color w:val="323232"/>
        </w:rPr>
      </w:pPr>
      <w:hyperlink r:id="rId181" w:anchor="bbb0110" w:history="1">
        <w:r w:rsidR="00A4606E" w:rsidRPr="00923237">
          <w:rPr>
            <w:rStyle w:val="Hyperlink"/>
            <w:rFonts w:cstheme="minorHAnsi"/>
            <w:color w:val="0C7DBB"/>
          </w:rPr>
          <w:t>Giacomini et al., 2015</w:t>
        </w:r>
      </w:hyperlink>
      <w:r w:rsidR="008C3CA5" w:rsidRPr="00923237">
        <w:rPr>
          <w:rStyle w:val="Hyperlink"/>
          <w:rFonts w:cstheme="minorHAnsi"/>
          <w:color w:val="0C7DBB"/>
        </w:rPr>
        <w:t xml:space="preserve"> </w:t>
      </w:r>
      <w:r w:rsidR="00A4606E" w:rsidRPr="00923237">
        <w:rPr>
          <w:rFonts w:cstheme="minorHAnsi"/>
        </w:rPr>
        <w:t>E. Giacomini, D.C. Ling, A. Naranjo</w:t>
      </w:r>
      <w:r w:rsidR="008C3CA5" w:rsidRPr="00923237">
        <w:rPr>
          <w:rFonts w:cstheme="minorHAnsi"/>
        </w:rPr>
        <w:t xml:space="preserve"> </w:t>
      </w:r>
      <w:r w:rsidR="00A4606E" w:rsidRPr="00923237">
        <w:rPr>
          <w:rStyle w:val="Strong"/>
          <w:rFonts w:cstheme="minorHAnsi"/>
        </w:rPr>
        <w:t>Leverage and returns: a cross-country analysis of public real estate markets</w:t>
      </w:r>
      <w:r w:rsidR="008C3CA5" w:rsidRPr="00923237">
        <w:rPr>
          <w:rStyle w:val="Strong"/>
          <w:rFonts w:cstheme="minorHAnsi"/>
        </w:rPr>
        <w:t xml:space="preserve"> </w:t>
      </w:r>
      <w:r w:rsidR="00A4606E" w:rsidRPr="00923237">
        <w:rPr>
          <w:rFonts w:cstheme="minorHAnsi"/>
          <w:color w:val="323232"/>
        </w:rPr>
        <w:t xml:space="preserve">J. Real Estate </w:t>
      </w:r>
      <w:proofErr w:type="spellStart"/>
      <w:r w:rsidR="00A4606E" w:rsidRPr="00923237">
        <w:rPr>
          <w:rFonts w:cstheme="minorHAnsi"/>
          <w:color w:val="323232"/>
        </w:rPr>
        <w:t>Financ</w:t>
      </w:r>
      <w:proofErr w:type="spellEnd"/>
      <w:r w:rsidR="00A4606E" w:rsidRPr="00923237">
        <w:rPr>
          <w:rFonts w:cstheme="minorHAnsi"/>
          <w:color w:val="323232"/>
        </w:rPr>
        <w:t>. Econ., 51 (2) (2015), pp. 125-159</w:t>
      </w:r>
    </w:p>
    <w:p w14:paraId="317DC170" w14:textId="0B4BB0FE" w:rsidR="00A4606E" w:rsidRPr="00923237" w:rsidRDefault="006C60C6" w:rsidP="006463D2">
      <w:pPr>
        <w:spacing w:after="0"/>
        <w:ind w:left="720" w:hanging="720"/>
        <w:rPr>
          <w:rFonts w:cstheme="minorHAnsi"/>
          <w:color w:val="323232"/>
        </w:rPr>
      </w:pPr>
      <w:hyperlink r:id="rId182" w:anchor="bbb0115" w:history="1">
        <w:r w:rsidR="00A4606E" w:rsidRPr="00923237">
          <w:rPr>
            <w:rStyle w:val="Hyperlink"/>
            <w:rFonts w:cstheme="minorHAnsi"/>
            <w:color w:val="0C7DBB"/>
          </w:rPr>
          <w:t>Gomes and Schmid, 2010</w:t>
        </w:r>
      </w:hyperlink>
      <w:r w:rsidR="008C3CA5" w:rsidRPr="00923237">
        <w:rPr>
          <w:rStyle w:val="Hyperlink"/>
          <w:rFonts w:cstheme="minorHAnsi"/>
          <w:color w:val="0C7DBB"/>
        </w:rPr>
        <w:t xml:space="preserve"> </w:t>
      </w:r>
      <w:r w:rsidR="00A4606E" w:rsidRPr="00923237">
        <w:rPr>
          <w:rFonts w:cstheme="minorHAnsi"/>
        </w:rPr>
        <w:t>J.F. Gomes, L. Schmid</w:t>
      </w:r>
      <w:r w:rsidR="008C3CA5" w:rsidRPr="00923237">
        <w:rPr>
          <w:rFonts w:cstheme="minorHAnsi"/>
        </w:rPr>
        <w:t xml:space="preserve"> </w:t>
      </w:r>
      <w:r w:rsidR="00A4606E" w:rsidRPr="00923237">
        <w:rPr>
          <w:rStyle w:val="Strong"/>
          <w:rFonts w:cstheme="minorHAnsi"/>
        </w:rPr>
        <w:t>Levered returns</w:t>
      </w:r>
      <w:r w:rsidR="008C3CA5" w:rsidRPr="00923237">
        <w:rPr>
          <w:rStyle w:val="Strong"/>
          <w:rFonts w:cstheme="minorHAnsi"/>
        </w:rPr>
        <w:t xml:space="preserve"> </w:t>
      </w:r>
      <w:r w:rsidR="00A4606E" w:rsidRPr="00923237">
        <w:rPr>
          <w:rFonts w:cstheme="minorHAnsi"/>
          <w:color w:val="323232"/>
        </w:rPr>
        <w:t xml:space="preserve">J. </w:t>
      </w:r>
      <w:proofErr w:type="spellStart"/>
      <w:r w:rsidR="00A4606E" w:rsidRPr="00923237">
        <w:rPr>
          <w:rFonts w:cstheme="minorHAnsi"/>
          <w:color w:val="323232"/>
        </w:rPr>
        <w:t>Financ</w:t>
      </w:r>
      <w:proofErr w:type="spellEnd"/>
      <w:r w:rsidR="00A4606E" w:rsidRPr="00923237">
        <w:rPr>
          <w:rFonts w:cstheme="minorHAnsi"/>
          <w:color w:val="323232"/>
        </w:rPr>
        <w:t>., 65 (2) (2010), pp. 467-494</w:t>
      </w:r>
    </w:p>
    <w:p w14:paraId="2161056C" w14:textId="6AA810AE" w:rsidR="00A4606E" w:rsidRPr="00923237" w:rsidRDefault="006C60C6" w:rsidP="006463D2">
      <w:pPr>
        <w:spacing w:after="0"/>
        <w:ind w:left="720" w:hanging="720"/>
        <w:rPr>
          <w:rFonts w:cstheme="minorHAnsi"/>
          <w:color w:val="323232"/>
        </w:rPr>
      </w:pPr>
      <w:hyperlink r:id="rId183" w:anchor="bbb0120" w:history="1">
        <w:r w:rsidR="00A4606E" w:rsidRPr="00923237">
          <w:rPr>
            <w:rStyle w:val="Hyperlink"/>
            <w:rFonts w:cstheme="minorHAnsi"/>
            <w:color w:val="0C7DBB"/>
          </w:rPr>
          <w:t>Grossman and Hart, 1982</w:t>
        </w:r>
      </w:hyperlink>
      <w:r w:rsidR="008C3CA5" w:rsidRPr="00923237">
        <w:rPr>
          <w:rStyle w:val="Hyperlink"/>
          <w:rFonts w:cstheme="minorHAnsi"/>
          <w:color w:val="0C7DBB"/>
        </w:rPr>
        <w:t xml:space="preserve"> </w:t>
      </w:r>
      <w:r w:rsidR="00A4606E" w:rsidRPr="00923237">
        <w:rPr>
          <w:rFonts w:cstheme="minorHAnsi"/>
        </w:rPr>
        <w:t>S.J. Grossman, O.D. Hart</w:t>
      </w:r>
      <w:r w:rsidR="008C3CA5" w:rsidRPr="00923237">
        <w:rPr>
          <w:rFonts w:cstheme="minorHAnsi"/>
        </w:rPr>
        <w:t xml:space="preserve"> </w:t>
      </w:r>
      <w:r w:rsidR="00A4606E" w:rsidRPr="00923237">
        <w:rPr>
          <w:rStyle w:val="Strong"/>
          <w:rFonts w:cstheme="minorHAnsi"/>
        </w:rPr>
        <w:t>Corporate financial structure and managerial incentives</w:t>
      </w:r>
      <w:r w:rsidR="008C3CA5" w:rsidRPr="00923237">
        <w:rPr>
          <w:rStyle w:val="Strong"/>
          <w:rFonts w:cstheme="minorHAnsi"/>
        </w:rPr>
        <w:t xml:space="preserve"> </w:t>
      </w:r>
      <w:r w:rsidR="00A4606E" w:rsidRPr="00923237">
        <w:rPr>
          <w:rFonts w:cstheme="minorHAnsi"/>
          <w:color w:val="323232"/>
        </w:rPr>
        <w:t>J.J. McCall (Ed.), The Economics of Information and Uncertainty (1982), pp. 107-140</w:t>
      </w:r>
    </w:p>
    <w:p w14:paraId="6FE44829" w14:textId="044A07E1" w:rsidR="00A4606E" w:rsidRPr="00923237" w:rsidRDefault="006C60C6" w:rsidP="006463D2">
      <w:pPr>
        <w:spacing w:after="0"/>
        <w:ind w:left="720" w:hanging="720"/>
        <w:rPr>
          <w:rFonts w:cstheme="minorHAnsi"/>
          <w:color w:val="323232"/>
        </w:rPr>
      </w:pPr>
      <w:hyperlink r:id="rId184" w:anchor="bbb0125" w:history="1">
        <w:r w:rsidR="00A4606E" w:rsidRPr="00923237">
          <w:rPr>
            <w:rStyle w:val="Hyperlink"/>
            <w:rFonts w:cstheme="minorHAnsi"/>
            <w:color w:val="0C7DBB"/>
          </w:rPr>
          <w:t>Harford et al., 2008</w:t>
        </w:r>
      </w:hyperlink>
      <w:r w:rsidR="008C3CA5" w:rsidRPr="00923237">
        <w:rPr>
          <w:rStyle w:val="Hyperlink"/>
          <w:rFonts w:cstheme="minorHAnsi"/>
          <w:color w:val="0C7DBB"/>
        </w:rPr>
        <w:t xml:space="preserve"> </w:t>
      </w:r>
      <w:r w:rsidR="00A4606E" w:rsidRPr="00923237">
        <w:rPr>
          <w:rFonts w:cstheme="minorHAnsi"/>
        </w:rPr>
        <w:t>J. Harford, K. Li, X. Zhao</w:t>
      </w:r>
      <w:r w:rsidR="008C3CA5" w:rsidRPr="00923237">
        <w:rPr>
          <w:rFonts w:cstheme="minorHAnsi"/>
        </w:rPr>
        <w:t xml:space="preserve"> </w:t>
      </w:r>
      <w:r w:rsidR="00A4606E" w:rsidRPr="00923237">
        <w:rPr>
          <w:rStyle w:val="Strong"/>
          <w:rFonts w:cstheme="minorHAnsi"/>
        </w:rPr>
        <w:t>Corporate boards and the leverage and debt maturity choices</w:t>
      </w:r>
      <w:r w:rsidR="008C3CA5" w:rsidRPr="00923237">
        <w:rPr>
          <w:rStyle w:val="Strong"/>
          <w:rFonts w:cstheme="minorHAnsi"/>
        </w:rPr>
        <w:t xml:space="preserve"> </w:t>
      </w:r>
      <w:r w:rsidR="00A4606E" w:rsidRPr="00923237">
        <w:rPr>
          <w:rFonts w:cstheme="minorHAnsi"/>
          <w:color w:val="323232"/>
        </w:rPr>
        <w:t>Int. J. Corp. Gov., 1 (1) (2008), pp. 3-27</w:t>
      </w:r>
    </w:p>
    <w:p w14:paraId="0C6D5C5D" w14:textId="4D322707" w:rsidR="00A4606E" w:rsidRPr="00923237" w:rsidRDefault="006C60C6" w:rsidP="006463D2">
      <w:pPr>
        <w:spacing w:after="0"/>
        <w:ind w:left="720" w:hanging="720"/>
        <w:rPr>
          <w:rFonts w:cstheme="minorHAnsi"/>
          <w:color w:val="323232"/>
        </w:rPr>
      </w:pPr>
      <w:hyperlink r:id="rId185" w:anchor="bbb0130" w:history="1">
        <w:r w:rsidR="00A4606E" w:rsidRPr="00923237">
          <w:rPr>
            <w:rStyle w:val="Hyperlink"/>
            <w:rFonts w:cstheme="minorHAnsi"/>
            <w:color w:val="0C7DBB"/>
          </w:rPr>
          <w:t xml:space="preserve">Harris and </w:t>
        </w:r>
        <w:proofErr w:type="spellStart"/>
        <w:r w:rsidR="00A4606E" w:rsidRPr="00923237">
          <w:rPr>
            <w:rStyle w:val="Hyperlink"/>
            <w:rFonts w:cstheme="minorHAnsi"/>
            <w:color w:val="0C7DBB"/>
          </w:rPr>
          <w:t>Raviv</w:t>
        </w:r>
        <w:proofErr w:type="spellEnd"/>
        <w:r w:rsidR="00A4606E" w:rsidRPr="00923237">
          <w:rPr>
            <w:rStyle w:val="Hyperlink"/>
            <w:rFonts w:cstheme="minorHAnsi"/>
            <w:color w:val="0C7DBB"/>
          </w:rPr>
          <w:t>, 1990</w:t>
        </w:r>
      </w:hyperlink>
      <w:r w:rsidR="008C3CA5" w:rsidRPr="00923237">
        <w:rPr>
          <w:rStyle w:val="Hyperlink"/>
          <w:rFonts w:cstheme="minorHAnsi"/>
          <w:color w:val="0C7DBB"/>
        </w:rPr>
        <w:t xml:space="preserve"> </w:t>
      </w:r>
      <w:r w:rsidR="00A4606E" w:rsidRPr="00923237">
        <w:rPr>
          <w:rFonts w:cstheme="minorHAnsi"/>
        </w:rPr>
        <w:t>M. Harris, A. </w:t>
      </w:r>
      <w:proofErr w:type="spellStart"/>
      <w:r w:rsidR="00A4606E" w:rsidRPr="00923237">
        <w:rPr>
          <w:rFonts w:cstheme="minorHAnsi"/>
        </w:rPr>
        <w:t>Raviv</w:t>
      </w:r>
      <w:proofErr w:type="spellEnd"/>
      <w:r w:rsidR="008C3CA5" w:rsidRPr="00923237">
        <w:rPr>
          <w:rFonts w:cstheme="minorHAnsi"/>
        </w:rPr>
        <w:t xml:space="preserve"> </w:t>
      </w:r>
      <w:r w:rsidR="00A4606E" w:rsidRPr="00923237">
        <w:rPr>
          <w:rStyle w:val="Strong"/>
          <w:rFonts w:cstheme="minorHAnsi"/>
        </w:rPr>
        <w:t>Capital structure and the informational role of debt</w:t>
      </w:r>
      <w:r w:rsidR="008C3CA5" w:rsidRPr="00923237">
        <w:rPr>
          <w:rStyle w:val="Strong"/>
          <w:rFonts w:cstheme="minorHAnsi"/>
        </w:rPr>
        <w:t xml:space="preserve"> </w:t>
      </w:r>
      <w:r w:rsidR="00A4606E" w:rsidRPr="00923237">
        <w:rPr>
          <w:rFonts w:cstheme="minorHAnsi"/>
          <w:color w:val="323232"/>
        </w:rPr>
        <w:t xml:space="preserve">J. </w:t>
      </w:r>
      <w:proofErr w:type="spellStart"/>
      <w:r w:rsidR="00A4606E" w:rsidRPr="00923237">
        <w:rPr>
          <w:rFonts w:cstheme="minorHAnsi"/>
          <w:color w:val="323232"/>
        </w:rPr>
        <w:t>Financ</w:t>
      </w:r>
      <w:proofErr w:type="spellEnd"/>
      <w:r w:rsidR="00A4606E" w:rsidRPr="00923237">
        <w:rPr>
          <w:rFonts w:cstheme="minorHAnsi"/>
          <w:color w:val="323232"/>
        </w:rPr>
        <w:t>., 45 (2) (1990), pp. 321-349</w:t>
      </w:r>
    </w:p>
    <w:p w14:paraId="60E58C89" w14:textId="3A9F0CF6" w:rsidR="00A4606E" w:rsidRPr="00923237" w:rsidRDefault="006C60C6" w:rsidP="006463D2">
      <w:pPr>
        <w:spacing w:after="0"/>
        <w:ind w:left="720" w:hanging="720"/>
        <w:rPr>
          <w:rFonts w:cstheme="minorHAnsi"/>
          <w:color w:val="323232"/>
        </w:rPr>
      </w:pPr>
      <w:hyperlink r:id="rId186" w:anchor="bbb0135" w:history="1">
        <w:r w:rsidR="00A4606E" w:rsidRPr="00923237">
          <w:rPr>
            <w:rStyle w:val="Hyperlink"/>
            <w:rFonts w:cstheme="minorHAnsi"/>
            <w:color w:val="0C7DBB"/>
          </w:rPr>
          <w:t xml:space="preserve">Harris and </w:t>
        </w:r>
        <w:proofErr w:type="spellStart"/>
        <w:r w:rsidR="00A4606E" w:rsidRPr="00923237">
          <w:rPr>
            <w:rStyle w:val="Hyperlink"/>
            <w:rFonts w:cstheme="minorHAnsi"/>
            <w:color w:val="0C7DBB"/>
          </w:rPr>
          <w:t>Raviv</w:t>
        </w:r>
        <w:proofErr w:type="spellEnd"/>
        <w:r w:rsidR="00A4606E" w:rsidRPr="00923237">
          <w:rPr>
            <w:rStyle w:val="Hyperlink"/>
            <w:rFonts w:cstheme="minorHAnsi"/>
            <w:color w:val="0C7DBB"/>
          </w:rPr>
          <w:t>, 2008</w:t>
        </w:r>
      </w:hyperlink>
      <w:r w:rsidR="008C3CA5" w:rsidRPr="00923237">
        <w:rPr>
          <w:rStyle w:val="Hyperlink"/>
          <w:rFonts w:cstheme="minorHAnsi"/>
          <w:color w:val="0C7DBB"/>
        </w:rPr>
        <w:t xml:space="preserve"> </w:t>
      </w:r>
      <w:r w:rsidR="00A4606E" w:rsidRPr="00923237">
        <w:rPr>
          <w:rFonts w:cstheme="minorHAnsi"/>
        </w:rPr>
        <w:t>M. Harris, A. </w:t>
      </w:r>
      <w:proofErr w:type="spellStart"/>
      <w:r w:rsidR="00A4606E" w:rsidRPr="00923237">
        <w:rPr>
          <w:rFonts w:cstheme="minorHAnsi"/>
        </w:rPr>
        <w:t>Raviv</w:t>
      </w:r>
      <w:proofErr w:type="spellEnd"/>
      <w:r w:rsidR="008C3CA5" w:rsidRPr="00923237">
        <w:rPr>
          <w:rFonts w:cstheme="minorHAnsi"/>
        </w:rPr>
        <w:t xml:space="preserve"> </w:t>
      </w:r>
      <w:r w:rsidR="00A4606E" w:rsidRPr="00923237">
        <w:rPr>
          <w:rStyle w:val="Strong"/>
          <w:rFonts w:cstheme="minorHAnsi"/>
        </w:rPr>
        <w:t>A theory of board control and size</w:t>
      </w:r>
      <w:r w:rsidR="008C3CA5" w:rsidRPr="00923237">
        <w:rPr>
          <w:rStyle w:val="Strong"/>
          <w:rFonts w:cstheme="minorHAnsi"/>
        </w:rPr>
        <w:t xml:space="preserve"> </w:t>
      </w:r>
      <w:r w:rsidR="00A4606E" w:rsidRPr="00923237">
        <w:rPr>
          <w:rFonts w:cstheme="minorHAnsi"/>
          <w:color w:val="323232"/>
        </w:rPr>
        <w:t xml:space="preserve">Rev. </w:t>
      </w:r>
      <w:proofErr w:type="spellStart"/>
      <w:r w:rsidR="00A4606E" w:rsidRPr="00923237">
        <w:rPr>
          <w:rFonts w:cstheme="minorHAnsi"/>
          <w:color w:val="323232"/>
        </w:rPr>
        <w:t>Financ</w:t>
      </w:r>
      <w:proofErr w:type="spellEnd"/>
      <w:r w:rsidR="00A4606E" w:rsidRPr="00923237">
        <w:rPr>
          <w:rFonts w:cstheme="minorHAnsi"/>
          <w:color w:val="323232"/>
        </w:rPr>
        <w:t>. Stud., 21 (4) (2008), pp. 1797-1832</w:t>
      </w:r>
    </w:p>
    <w:p w14:paraId="65B712E8" w14:textId="113C1926" w:rsidR="00A4606E" w:rsidRPr="00923237" w:rsidRDefault="006C60C6" w:rsidP="006463D2">
      <w:pPr>
        <w:spacing w:after="0"/>
        <w:ind w:left="720" w:hanging="720"/>
        <w:rPr>
          <w:rFonts w:cstheme="minorHAnsi"/>
          <w:color w:val="323232"/>
        </w:rPr>
      </w:pPr>
      <w:hyperlink r:id="rId187" w:anchor="bbb0140" w:history="1">
        <w:r w:rsidR="00A4606E" w:rsidRPr="00923237">
          <w:rPr>
            <w:rStyle w:val="Hyperlink"/>
            <w:rFonts w:cstheme="minorHAnsi"/>
            <w:color w:val="0C7DBB"/>
          </w:rPr>
          <w:t>Harrison et al., 2011</w:t>
        </w:r>
      </w:hyperlink>
      <w:r w:rsidR="008C3CA5" w:rsidRPr="00923237">
        <w:rPr>
          <w:rStyle w:val="Hyperlink"/>
          <w:rFonts w:cstheme="minorHAnsi"/>
          <w:color w:val="0C7DBB"/>
        </w:rPr>
        <w:t xml:space="preserve"> </w:t>
      </w:r>
      <w:r w:rsidR="00A4606E" w:rsidRPr="00923237">
        <w:rPr>
          <w:rFonts w:cstheme="minorHAnsi"/>
        </w:rPr>
        <w:t>D.M. Harrison, C.A. </w:t>
      </w:r>
      <w:proofErr w:type="spellStart"/>
      <w:r w:rsidR="00A4606E" w:rsidRPr="00923237">
        <w:rPr>
          <w:rFonts w:cstheme="minorHAnsi"/>
        </w:rPr>
        <w:t>Panasian</w:t>
      </w:r>
      <w:proofErr w:type="spellEnd"/>
      <w:r w:rsidR="00A4606E" w:rsidRPr="00923237">
        <w:rPr>
          <w:rFonts w:cstheme="minorHAnsi"/>
        </w:rPr>
        <w:t>, M.J. Seiler</w:t>
      </w:r>
      <w:r w:rsidR="008C3CA5" w:rsidRPr="00923237">
        <w:rPr>
          <w:rFonts w:cstheme="minorHAnsi"/>
        </w:rPr>
        <w:t xml:space="preserve"> </w:t>
      </w:r>
      <w:r w:rsidR="00A4606E" w:rsidRPr="00923237">
        <w:rPr>
          <w:rStyle w:val="Strong"/>
          <w:rFonts w:cstheme="minorHAnsi"/>
        </w:rPr>
        <w:t>Further evidence on the capital structure of REITs</w:t>
      </w:r>
      <w:r w:rsidR="008C3CA5" w:rsidRPr="00923237">
        <w:rPr>
          <w:rStyle w:val="Strong"/>
          <w:rFonts w:cstheme="minorHAnsi"/>
        </w:rPr>
        <w:t xml:space="preserve"> </w:t>
      </w:r>
      <w:r w:rsidR="00A4606E" w:rsidRPr="00923237">
        <w:rPr>
          <w:rFonts w:cstheme="minorHAnsi"/>
          <w:color w:val="323232"/>
        </w:rPr>
        <w:t>Real Estate Econ., 39 (1) (2011), pp. 133-166</w:t>
      </w:r>
    </w:p>
    <w:p w14:paraId="501A8AE6" w14:textId="5C1D86A6" w:rsidR="00A4606E" w:rsidRPr="00923237" w:rsidRDefault="006C60C6" w:rsidP="006463D2">
      <w:pPr>
        <w:spacing w:after="0"/>
        <w:ind w:left="720" w:hanging="720"/>
        <w:rPr>
          <w:rFonts w:cstheme="minorHAnsi"/>
          <w:color w:val="323232"/>
        </w:rPr>
      </w:pPr>
      <w:hyperlink r:id="rId188" w:anchor="bbb0145" w:history="1">
        <w:r w:rsidR="00A4606E" w:rsidRPr="00923237">
          <w:rPr>
            <w:rStyle w:val="Hyperlink"/>
            <w:rFonts w:cstheme="minorHAnsi"/>
            <w:color w:val="0C7DBB"/>
          </w:rPr>
          <w:t>Hart and Moore, 1995</w:t>
        </w:r>
      </w:hyperlink>
      <w:r w:rsidR="008C3CA5" w:rsidRPr="00923237">
        <w:rPr>
          <w:rStyle w:val="Hyperlink"/>
          <w:rFonts w:cstheme="minorHAnsi"/>
          <w:color w:val="0C7DBB"/>
        </w:rPr>
        <w:t xml:space="preserve"> </w:t>
      </w:r>
      <w:r w:rsidR="00A4606E" w:rsidRPr="00923237">
        <w:rPr>
          <w:rFonts w:cstheme="minorHAnsi"/>
        </w:rPr>
        <w:t>O. Hart, J. Moore</w:t>
      </w:r>
      <w:r w:rsidR="008C3CA5" w:rsidRPr="00923237">
        <w:rPr>
          <w:rFonts w:cstheme="minorHAnsi"/>
        </w:rPr>
        <w:t xml:space="preserve"> </w:t>
      </w:r>
      <w:r w:rsidR="00A4606E" w:rsidRPr="00923237">
        <w:rPr>
          <w:rStyle w:val="Strong"/>
          <w:rFonts w:cstheme="minorHAnsi"/>
        </w:rPr>
        <w:t>Debt and seniority: an analysis of the role of hard claims in constraining management</w:t>
      </w:r>
      <w:r w:rsidR="008C3CA5" w:rsidRPr="00923237">
        <w:rPr>
          <w:rStyle w:val="Strong"/>
          <w:rFonts w:cstheme="minorHAnsi"/>
        </w:rPr>
        <w:t xml:space="preserve"> </w:t>
      </w:r>
      <w:r w:rsidR="00A4606E" w:rsidRPr="00923237">
        <w:rPr>
          <w:rFonts w:cstheme="minorHAnsi"/>
          <w:color w:val="323232"/>
        </w:rPr>
        <w:t>Am. Econ. Rev., 85 (3) (1995), pp. 567-585</w:t>
      </w:r>
    </w:p>
    <w:p w14:paraId="6F5ACC50" w14:textId="7DC6C0E2" w:rsidR="00A4606E" w:rsidRPr="00923237" w:rsidRDefault="006C60C6" w:rsidP="006463D2">
      <w:pPr>
        <w:spacing w:after="0"/>
        <w:ind w:left="720" w:hanging="720"/>
        <w:rPr>
          <w:rFonts w:cstheme="minorHAnsi"/>
          <w:color w:val="323232"/>
        </w:rPr>
      </w:pPr>
      <w:hyperlink r:id="rId189" w:anchor="bbb0150" w:history="1">
        <w:r w:rsidR="00A4606E" w:rsidRPr="00923237">
          <w:rPr>
            <w:rStyle w:val="Hyperlink"/>
            <w:rFonts w:cstheme="minorHAnsi"/>
            <w:color w:val="0C7DBB"/>
          </w:rPr>
          <w:t>Hartzell et al., 2008</w:t>
        </w:r>
      </w:hyperlink>
      <w:r w:rsidR="008C3CA5" w:rsidRPr="00923237">
        <w:rPr>
          <w:rStyle w:val="Hyperlink"/>
          <w:rFonts w:cstheme="minorHAnsi"/>
          <w:color w:val="0C7DBB"/>
        </w:rPr>
        <w:t xml:space="preserve"> </w:t>
      </w:r>
      <w:r w:rsidR="00A4606E" w:rsidRPr="00923237">
        <w:rPr>
          <w:rFonts w:cstheme="minorHAnsi"/>
        </w:rPr>
        <w:t>J.C. Hartzell, J.G. </w:t>
      </w:r>
      <w:proofErr w:type="spellStart"/>
      <w:r w:rsidR="00A4606E" w:rsidRPr="00923237">
        <w:rPr>
          <w:rFonts w:cstheme="minorHAnsi"/>
        </w:rPr>
        <w:t>Kallberg</w:t>
      </w:r>
      <w:proofErr w:type="spellEnd"/>
      <w:r w:rsidR="00A4606E" w:rsidRPr="00923237">
        <w:rPr>
          <w:rFonts w:cstheme="minorHAnsi"/>
        </w:rPr>
        <w:t>, C.H. Liu</w:t>
      </w:r>
      <w:r w:rsidR="008C3CA5" w:rsidRPr="00923237">
        <w:rPr>
          <w:rFonts w:cstheme="minorHAnsi"/>
        </w:rPr>
        <w:t xml:space="preserve"> </w:t>
      </w:r>
      <w:proofErr w:type="gramStart"/>
      <w:r w:rsidR="00A4606E" w:rsidRPr="00923237">
        <w:rPr>
          <w:rStyle w:val="Strong"/>
          <w:rFonts w:cstheme="minorHAnsi"/>
        </w:rPr>
        <w:t>The</w:t>
      </w:r>
      <w:proofErr w:type="gramEnd"/>
      <w:r w:rsidR="00A4606E" w:rsidRPr="00923237">
        <w:rPr>
          <w:rStyle w:val="Strong"/>
          <w:rFonts w:cstheme="minorHAnsi"/>
        </w:rPr>
        <w:t xml:space="preserve"> role of corporate governance in initial public offerings: evidence from real estate investment trusts</w:t>
      </w:r>
      <w:r w:rsidR="008C3CA5" w:rsidRPr="00923237">
        <w:rPr>
          <w:rStyle w:val="Strong"/>
          <w:rFonts w:cstheme="minorHAnsi"/>
        </w:rPr>
        <w:t xml:space="preserve"> </w:t>
      </w:r>
      <w:r w:rsidR="00A4606E" w:rsidRPr="00923237">
        <w:rPr>
          <w:rFonts w:cstheme="minorHAnsi"/>
          <w:color w:val="323232"/>
        </w:rPr>
        <w:t>J. Law Econ., 51 (2008), pp. 539-562</w:t>
      </w:r>
    </w:p>
    <w:p w14:paraId="24D8984A" w14:textId="42CB376B" w:rsidR="00A4606E" w:rsidRPr="00923237" w:rsidRDefault="006C60C6" w:rsidP="006463D2">
      <w:pPr>
        <w:spacing w:after="0"/>
        <w:ind w:left="720" w:hanging="720"/>
        <w:rPr>
          <w:rFonts w:cstheme="minorHAnsi"/>
          <w:color w:val="323232"/>
        </w:rPr>
      </w:pPr>
      <w:hyperlink r:id="rId190" w:anchor="bbb0155" w:history="1">
        <w:r w:rsidR="00A4606E" w:rsidRPr="00923237">
          <w:rPr>
            <w:rStyle w:val="Hyperlink"/>
            <w:rFonts w:cstheme="minorHAnsi"/>
            <w:color w:val="0C7DBB"/>
          </w:rPr>
          <w:t>Hartzell et al., 2014</w:t>
        </w:r>
      </w:hyperlink>
      <w:r w:rsidR="008C3CA5" w:rsidRPr="00923237">
        <w:rPr>
          <w:rStyle w:val="Hyperlink"/>
          <w:rFonts w:cstheme="minorHAnsi"/>
          <w:color w:val="0C7DBB"/>
        </w:rPr>
        <w:t xml:space="preserve"> </w:t>
      </w:r>
      <w:r w:rsidR="00A4606E" w:rsidRPr="00923237">
        <w:rPr>
          <w:rFonts w:cstheme="minorHAnsi"/>
        </w:rPr>
        <w:t>J.C. Hartzell, L. Sun, S. Titman</w:t>
      </w:r>
      <w:r w:rsidR="008C3CA5" w:rsidRPr="00923237">
        <w:rPr>
          <w:rFonts w:cstheme="minorHAnsi"/>
        </w:rPr>
        <w:t xml:space="preserve"> </w:t>
      </w:r>
      <w:r w:rsidR="00A4606E" w:rsidRPr="00923237">
        <w:rPr>
          <w:rStyle w:val="Strong"/>
          <w:rFonts w:cstheme="minorHAnsi"/>
        </w:rPr>
        <w:t>Institutional investors as monitors of corporate diversification decisions: evidence from real estate investment trusts</w:t>
      </w:r>
      <w:r w:rsidR="008C3CA5" w:rsidRPr="00923237">
        <w:rPr>
          <w:rStyle w:val="Strong"/>
          <w:rFonts w:cstheme="minorHAnsi"/>
        </w:rPr>
        <w:t xml:space="preserve"> </w:t>
      </w:r>
      <w:r w:rsidR="00A4606E" w:rsidRPr="00923237">
        <w:rPr>
          <w:rFonts w:cstheme="minorHAnsi"/>
          <w:color w:val="323232"/>
        </w:rPr>
        <w:t xml:space="preserve">J. Corp. </w:t>
      </w:r>
      <w:proofErr w:type="spellStart"/>
      <w:r w:rsidR="00A4606E" w:rsidRPr="00923237">
        <w:rPr>
          <w:rFonts w:cstheme="minorHAnsi"/>
          <w:color w:val="323232"/>
        </w:rPr>
        <w:t>Finan</w:t>
      </w:r>
      <w:proofErr w:type="spellEnd"/>
      <w:r w:rsidR="00A4606E" w:rsidRPr="00923237">
        <w:rPr>
          <w:rFonts w:cstheme="minorHAnsi"/>
          <w:color w:val="323232"/>
        </w:rPr>
        <w:t>., 25 (2014), pp. 61-72</w:t>
      </w:r>
    </w:p>
    <w:p w14:paraId="5D0B77AC" w14:textId="69EFD699" w:rsidR="00A4606E" w:rsidRPr="00923237" w:rsidRDefault="006C60C6" w:rsidP="006463D2">
      <w:pPr>
        <w:spacing w:after="0"/>
        <w:ind w:left="720" w:hanging="720"/>
        <w:rPr>
          <w:rFonts w:cstheme="minorHAnsi"/>
          <w:color w:val="323232"/>
        </w:rPr>
      </w:pPr>
      <w:hyperlink r:id="rId191" w:anchor="bbb0160" w:history="1">
        <w:proofErr w:type="spellStart"/>
        <w:r w:rsidR="00A4606E" w:rsidRPr="00923237">
          <w:rPr>
            <w:rStyle w:val="Hyperlink"/>
            <w:rFonts w:cstheme="minorHAnsi"/>
            <w:color w:val="0C7DBB"/>
          </w:rPr>
          <w:t>Hermalin</w:t>
        </w:r>
        <w:proofErr w:type="spellEnd"/>
        <w:r w:rsidR="00A4606E" w:rsidRPr="00923237">
          <w:rPr>
            <w:rStyle w:val="Hyperlink"/>
            <w:rFonts w:cstheme="minorHAnsi"/>
            <w:color w:val="0C7DBB"/>
          </w:rPr>
          <w:t xml:space="preserve"> and </w:t>
        </w:r>
        <w:proofErr w:type="spellStart"/>
        <w:r w:rsidR="00A4606E" w:rsidRPr="00923237">
          <w:rPr>
            <w:rStyle w:val="Hyperlink"/>
            <w:rFonts w:cstheme="minorHAnsi"/>
            <w:color w:val="0C7DBB"/>
          </w:rPr>
          <w:t>Weisbach</w:t>
        </w:r>
        <w:proofErr w:type="spellEnd"/>
        <w:r w:rsidR="00A4606E" w:rsidRPr="00923237">
          <w:rPr>
            <w:rStyle w:val="Hyperlink"/>
            <w:rFonts w:cstheme="minorHAnsi"/>
            <w:color w:val="0C7DBB"/>
          </w:rPr>
          <w:t>, 1991</w:t>
        </w:r>
      </w:hyperlink>
      <w:r w:rsidR="008C3CA5" w:rsidRPr="00923237">
        <w:rPr>
          <w:rStyle w:val="Hyperlink"/>
          <w:rFonts w:cstheme="minorHAnsi"/>
          <w:color w:val="0C7DBB"/>
        </w:rPr>
        <w:t xml:space="preserve"> </w:t>
      </w:r>
      <w:r w:rsidR="00A4606E" w:rsidRPr="00923237">
        <w:rPr>
          <w:rFonts w:cstheme="minorHAnsi"/>
        </w:rPr>
        <w:t>B.E. </w:t>
      </w:r>
      <w:proofErr w:type="spellStart"/>
      <w:r w:rsidR="00A4606E" w:rsidRPr="00923237">
        <w:rPr>
          <w:rFonts w:cstheme="minorHAnsi"/>
        </w:rPr>
        <w:t>Hermalin</w:t>
      </w:r>
      <w:proofErr w:type="spellEnd"/>
      <w:r w:rsidR="00A4606E" w:rsidRPr="00923237">
        <w:rPr>
          <w:rFonts w:cstheme="minorHAnsi"/>
        </w:rPr>
        <w:t>, M.S. </w:t>
      </w:r>
      <w:proofErr w:type="spellStart"/>
      <w:r w:rsidR="00A4606E" w:rsidRPr="00923237">
        <w:rPr>
          <w:rFonts w:cstheme="minorHAnsi"/>
        </w:rPr>
        <w:t>Weisbach</w:t>
      </w:r>
      <w:proofErr w:type="spellEnd"/>
      <w:r w:rsidR="008C3CA5" w:rsidRPr="00923237">
        <w:rPr>
          <w:rFonts w:cstheme="minorHAnsi"/>
        </w:rPr>
        <w:t xml:space="preserve"> </w:t>
      </w:r>
      <w:r w:rsidR="00A4606E" w:rsidRPr="00923237">
        <w:rPr>
          <w:rStyle w:val="Strong"/>
          <w:rFonts w:cstheme="minorHAnsi"/>
        </w:rPr>
        <w:t>The effects of board composition and direct incentives on firm performance</w:t>
      </w:r>
      <w:r w:rsidR="008C3CA5" w:rsidRPr="00923237">
        <w:rPr>
          <w:rStyle w:val="Strong"/>
          <w:rFonts w:cstheme="minorHAnsi"/>
        </w:rPr>
        <w:t xml:space="preserve"> </w:t>
      </w:r>
      <w:proofErr w:type="spellStart"/>
      <w:r w:rsidR="00A4606E" w:rsidRPr="00923237">
        <w:rPr>
          <w:rFonts w:cstheme="minorHAnsi"/>
          <w:color w:val="323232"/>
        </w:rPr>
        <w:t>Financ</w:t>
      </w:r>
      <w:proofErr w:type="spellEnd"/>
      <w:r w:rsidR="00A4606E" w:rsidRPr="00923237">
        <w:rPr>
          <w:rFonts w:cstheme="minorHAnsi"/>
          <w:color w:val="323232"/>
        </w:rPr>
        <w:t xml:space="preserve">. </w:t>
      </w:r>
      <w:proofErr w:type="spellStart"/>
      <w:r w:rsidR="00A4606E" w:rsidRPr="00923237">
        <w:rPr>
          <w:rFonts w:cstheme="minorHAnsi"/>
          <w:color w:val="323232"/>
        </w:rPr>
        <w:t>Manag</w:t>
      </w:r>
      <w:proofErr w:type="spellEnd"/>
      <w:r w:rsidR="00A4606E" w:rsidRPr="00923237">
        <w:rPr>
          <w:rFonts w:cstheme="minorHAnsi"/>
          <w:color w:val="323232"/>
        </w:rPr>
        <w:t>., 20 (4) (1991), pp. 101-112</w:t>
      </w:r>
    </w:p>
    <w:p w14:paraId="0B36E394" w14:textId="5C18638A" w:rsidR="00A4606E" w:rsidRPr="00923237" w:rsidRDefault="006C60C6" w:rsidP="006463D2">
      <w:pPr>
        <w:spacing w:after="0"/>
        <w:ind w:left="720" w:hanging="720"/>
        <w:rPr>
          <w:rFonts w:cstheme="minorHAnsi"/>
          <w:color w:val="323232"/>
        </w:rPr>
      </w:pPr>
      <w:hyperlink r:id="rId192" w:anchor="bbb0165" w:history="1">
        <w:proofErr w:type="spellStart"/>
        <w:r w:rsidR="00A4606E" w:rsidRPr="00923237">
          <w:rPr>
            <w:rStyle w:val="Hyperlink"/>
            <w:rFonts w:cstheme="minorHAnsi"/>
            <w:color w:val="0C7DBB"/>
          </w:rPr>
          <w:t>Hermalin</w:t>
        </w:r>
        <w:proofErr w:type="spellEnd"/>
        <w:r w:rsidR="00A4606E" w:rsidRPr="00923237">
          <w:rPr>
            <w:rStyle w:val="Hyperlink"/>
            <w:rFonts w:cstheme="minorHAnsi"/>
            <w:color w:val="0C7DBB"/>
          </w:rPr>
          <w:t xml:space="preserve"> and </w:t>
        </w:r>
        <w:proofErr w:type="spellStart"/>
        <w:r w:rsidR="00A4606E" w:rsidRPr="00923237">
          <w:rPr>
            <w:rStyle w:val="Hyperlink"/>
            <w:rFonts w:cstheme="minorHAnsi"/>
            <w:color w:val="0C7DBB"/>
          </w:rPr>
          <w:t>Weisbach</w:t>
        </w:r>
        <w:proofErr w:type="spellEnd"/>
        <w:r w:rsidR="00A4606E" w:rsidRPr="00923237">
          <w:rPr>
            <w:rStyle w:val="Hyperlink"/>
            <w:rFonts w:cstheme="minorHAnsi"/>
            <w:color w:val="0C7DBB"/>
          </w:rPr>
          <w:t>, 2003</w:t>
        </w:r>
      </w:hyperlink>
      <w:r w:rsidR="003C7ACB" w:rsidRPr="00923237">
        <w:rPr>
          <w:rStyle w:val="Hyperlink"/>
          <w:rFonts w:cstheme="minorHAnsi"/>
          <w:color w:val="0C7DBB"/>
        </w:rPr>
        <w:t xml:space="preserve"> </w:t>
      </w:r>
      <w:r w:rsidR="00A4606E" w:rsidRPr="00923237">
        <w:rPr>
          <w:rFonts w:cstheme="minorHAnsi"/>
        </w:rPr>
        <w:t>B.E. </w:t>
      </w:r>
      <w:proofErr w:type="spellStart"/>
      <w:r w:rsidR="00A4606E" w:rsidRPr="00923237">
        <w:rPr>
          <w:rFonts w:cstheme="minorHAnsi"/>
        </w:rPr>
        <w:t>Hermalin</w:t>
      </w:r>
      <w:proofErr w:type="spellEnd"/>
      <w:r w:rsidR="00A4606E" w:rsidRPr="00923237">
        <w:rPr>
          <w:rFonts w:cstheme="minorHAnsi"/>
        </w:rPr>
        <w:t>, M.S. </w:t>
      </w:r>
      <w:proofErr w:type="spellStart"/>
      <w:r w:rsidR="00A4606E" w:rsidRPr="00923237">
        <w:rPr>
          <w:rFonts w:cstheme="minorHAnsi"/>
        </w:rPr>
        <w:t>Weisbach</w:t>
      </w:r>
      <w:proofErr w:type="spellEnd"/>
      <w:r w:rsidR="003C7ACB" w:rsidRPr="00923237">
        <w:rPr>
          <w:rFonts w:cstheme="minorHAnsi"/>
        </w:rPr>
        <w:t xml:space="preserve"> </w:t>
      </w:r>
      <w:r w:rsidR="00A4606E" w:rsidRPr="00923237">
        <w:rPr>
          <w:rStyle w:val="Strong"/>
          <w:rFonts w:cstheme="minorHAnsi"/>
        </w:rPr>
        <w:t>Boards of Directors as an endogenously determined institution: a survey of the economic literature. Federal Reserve Bank of New York Economic</w:t>
      </w:r>
      <w:r w:rsidR="003C7ACB" w:rsidRPr="00923237">
        <w:rPr>
          <w:rStyle w:val="Strong"/>
          <w:rFonts w:cstheme="minorHAnsi"/>
        </w:rPr>
        <w:t xml:space="preserve"> </w:t>
      </w:r>
      <w:r w:rsidR="00A4606E" w:rsidRPr="00923237">
        <w:rPr>
          <w:rFonts w:cstheme="minorHAnsi"/>
          <w:color w:val="323232"/>
        </w:rPr>
        <w:t>Pol. Rev., 9 (2003), pp. 1-20</w:t>
      </w:r>
    </w:p>
    <w:p w14:paraId="0F6A303A" w14:textId="2C6E71F3" w:rsidR="00A4606E" w:rsidRPr="00923237" w:rsidRDefault="006C60C6" w:rsidP="006463D2">
      <w:pPr>
        <w:spacing w:after="0"/>
        <w:ind w:left="720" w:hanging="720"/>
        <w:rPr>
          <w:rFonts w:cstheme="minorHAnsi"/>
          <w:color w:val="323232"/>
        </w:rPr>
      </w:pPr>
      <w:hyperlink r:id="rId193" w:anchor="bbb0170" w:history="1">
        <w:proofErr w:type="spellStart"/>
        <w:r w:rsidR="00A4606E" w:rsidRPr="00923237">
          <w:rPr>
            <w:rStyle w:val="Hyperlink"/>
            <w:rFonts w:cstheme="minorHAnsi"/>
            <w:color w:val="0C7DBB"/>
          </w:rPr>
          <w:t>Hirshleifer</w:t>
        </w:r>
        <w:proofErr w:type="spellEnd"/>
        <w:r w:rsidR="00A4606E" w:rsidRPr="00923237">
          <w:rPr>
            <w:rStyle w:val="Hyperlink"/>
            <w:rFonts w:cstheme="minorHAnsi"/>
            <w:color w:val="0C7DBB"/>
          </w:rPr>
          <w:t xml:space="preserve"> and </w:t>
        </w:r>
        <w:proofErr w:type="spellStart"/>
        <w:r w:rsidR="00A4606E" w:rsidRPr="00923237">
          <w:rPr>
            <w:rStyle w:val="Hyperlink"/>
            <w:rFonts w:cstheme="minorHAnsi"/>
            <w:color w:val="0C7DBB"/>
          </w:rPr>
          <w:t>Thakor</w:t>
        </w:r>
        <w:proofErr w:type="spellEnd"/>
        <w:r w:rsidR="00A4606E" w:rsidRPr="00923237">
          <w:rPr>
            <w:rStyle w:val="Hyperlink"/>
            <w:rFonts w:cstheme="minorHAnsi"/>
            <w:color w:val="0C7DBB"/>
          </w:rPr>
          <w:t>, 1992</w:t>
        </w:r>
      </w:hyperlink>
      <w:r w:rsidR="003C7ACB" w:rsidRPr="00923237">
        <w:rPr>
          <w:rStyle w:val="Hyperlink"/>
          <w:rFonts w:cstheme="minorHAnsi"/>
          <w:color w:val="0C7DBB"/>
        </w:rPr>
        <w:t xml:space="preserve"> </w:t>
      </w:r>
      <w:r w:rsidR="00A4606E" w:rsidRPr="00923237">
        <w:rPr>
          <w:rFonts w:cstheme="minorHAnsi"/>
        </w:rPr>
        <w:t>D. </w:t>
      </w:r>
      <w:proofErr w:type="spellStart"/>
      <w:r w:rsidR="00A4606E" w:rsidRPr="00923237">
        <w:rPr>
          <w:rFonts w:cstheme="minorHAnsi"/>
        </w:rPr>
        <w:t>Hirshleifer</w:t>
      </w:r>
      <w:proofErr w:type="spellEnd"/>
      <w:r w:rsidR="00A4606E" w:rsidRPr="00923237">
        <w:rPr>
          <w:rFonts w:cstheme="minorHAnsi"/>
        </w:rPr>
        <w:t>, A.V. </w:t>
      </w:r>
      <w:proofErr w:type="spellStart"/>
      <w:r w:rsidR="00A4606E" w:rsidRPr="00923237">
        <w:rPr>
          <w:rFonts w:cstheme="minorHAnsi"/>
        </w:rPr>
        <w:t>Thakor</w:t>
      </w:r>
      <w:proofErr w:type="spellEnd"/>
      <w:r w:rsidR="003C7ACB" w:rsidRPr="00923237">
        <w:rPr>
          <w:rFonts w:cstheme="minorHAnsi"/>
        </w:rPr>
        <w:t xml:space="preserve"> </w:t>
      </w:r>
      <w:r w:rsidR="00A4606E" w:rsidRPr="00923237">
        <w:rPr>
          <w:rStyle w:val="Strong"/>
          <w:rFonts w:cstheme="minorHAnsi"/>
        </w:rPr>
        <w:t>Managerial conservatism, project choice, and debt</w:t>
      </w:r>
      <w:r w:rsidR="003C7ACB" w:rsidRPr="00923237">
        <w:rPr>
          <w:rStyle w:val="Strong"/>
          <w:rFonts w:cstheme="minorHAnsi"/>
        </w:rPr>
        <w:t xml:space="preserve"> </w:t>
      </w:r>
      <w:r w:rsidR="00A4606E" w:rsidRPr="00923237">
        <w:rPr>
          <w:rFonts w:cstheme="minorHAnsi"/>
          <w:color w:val="323232"/>
        </w:rPr>
        <w:t xml:space="preserve">Rev. </w:t>
      </w:r>
      <w:proofErr w:type="spellStart"/>
      <w:r w:rsidR="00A4606E" w:rsidRPr="00923237">
        <w:rPr>
          <w:rFonts w:cstheme="minorHAnsi"/>
          <w:color w:val="323232"/>
        </w:rPr>
        <w:t>Financ</w:t>
      </w:r>
      <w:proofErr w:type="spellEnd"/>
      <w:r w:rsidR="00A4606E" w:rsidRPr="00923237">
        <w:rPr>
          <w:rFonts w:cstheme="minorHAnsi"/>
          <w:color w:val="323232"/>
        </w:rPr>
        <w:t>. Stud., 5 (3) (1992), pp. 437-470</w:t>
      </w:r>
    </w:p>
    <w:p w14:paraId="154F56E9" w14:textId="7476E892" w:rsidR="00A4606E" w:rsidRPr="00923237" w:rsidRDefault="006C60C6" w:rsidP="006463D2">
      <w:pPr>
        <w:spacing w:after="0"/>
        <w:ind w:left="720" w:hanging="720"/>
        <w:rPr>
          <w:rFonts w:cstheme="minorHAnsi"/>
          <w:color w:val="323232"/>
        </w:rPr>
      </w:pPr>
      <w:hyperlink r:id="rId194" w:anchor="bbb0175" w:history="1">
        <w:r w:rsidR="00A4606E" w:rsidRPr="00923237">
          <w:rPr>
            <w:rStyle w:val="Hyperlink"/>
            <w:rFonts w:cstheme="minorHAnsi"/>
            <w:color w:val="0C7DBB"/>
          </w:rPr>
          <w:t>Jensen, 1986</w:t>
        </w:r>
      </w:hyperlink>
      <w:r w:rsidR="003C7ACB" w:rsidRPr="00923237">
        <w:rPr>
          <w:rStyle w:val="Hyperlink"/>
          <w:rFonts w:cstheme="minorHAnsi"/>
          <w:color w:val="0C7DBB"/>
        </w:rPr>
        <w:t xml:space="preserve"> </w:t>
      </w:r>
      <w:r w:rsidR="00A4606E" w:rsidRPr="00923237">
        <w:rPr>
          <w:rFonts w:cstheme="minorHAnsi"/>
        </w:rPr>
        <w:t>M.C. Jensen</w:t>
      </w:r>
      <w:r w:rsidR="003C7ACB" w:rsidRPr="00923237">
        <w:rPr>
          <w:rFonts w:cstheme="minorHAnsi"/>
        </w:rPr>
        <w:t xml:space="preserve"> </w:t>
      </w:r>
      <w:r w:rsidR="00A4606E" w:rsidRPr="00923237">
        <w:rPr>
          <w:rStyle w:val="Strong"/>
          <w:rFonts w:cstheme="minorHAnsi"/>
        </w:rPr>
        <w:t>Agency costs of free cash flow, corporate finance, and takeovers</w:t>
      </w:r>
      <w:r w:rsidR="003C7ACB" w:rsidRPr="00923237">
        <w:rPr>
          <w:rStyle w:val="Strong"/>
          <w:rFonts w:cstheme="minorHAnsi"/>
        </w:rPr>
        <w:t xml:space="preserve"> </w:t>
      </w:r>
      <w:r w:rsidR="00A4606E" w:rsidRPr="00923237">
        <w:rPr>
          <w:rFonts w:cstheme="minorHAnsi"/>
          <w:color w:val="323232"/>
        </w:rPr>
        <w:t>Am. Econ. Rev., 76 (2) (1986), pp. 323-329</w:t>
      </w:r>
    </w:p>
    <w:p w14:paraId="12C3BA8D" w14:textId="638123C0" w:rsidR="00A4606E" w:rsidRPr="00923237" w:rsidRDefault="006C60C6" w:rsidP="006463D2">
      <w:pPr>
        <w:spacing w:after="0"/>
        <w:ind w:left="720" w:hanging="720"/>
        <w:rPr>
          <w:rFonts w:cstheme="minorHAnsi"/>
          <w:color w:val="323232"/>
        </w:rPr>
      </w:pPr>
      <w:hyperlink r:id="rId195" w:anchor="bbb0180" w:history="1">
        <w:r w:rsidR="00A4606E" w:rsidRPr="00923237">
          <w:rPr>
            <w:rStyle w:val="Hyperlink"/>
            <w:rFonts w:cstheme="minorHAnsi"/>
            <w:color w:val="0C7DBB"/>
          </w:rPr>
          <w:t>Jensen, 1993</w:t>
        </w:r>
      </w:hyperlink>
      <w:r w:rsidR="003C7ACB" w:rsidRPr="00923237">
        <w:rPr>
          <w:rStyle w:val="Hyperlink"/>
          <w:rFonts w:cstheme="minorHAnsi"/>
          <w:color w:val="0C7DBB"/>
        </w:rPr>
        <w:t xml:space="preserve"> </w:t>
      </w:r>
      <w:r w:rsidR="00A4606E" w:rsidRPr="00923237">
        <w:rPr>
          <w:rFonts w:cstheme="minorHAnsi"/>
        </w:rPr>
        <w:t>M.C. Jensen</w:t>
      </w:r>
      <w:r w:rsidR="003C7ACB" w:rsidRPr="00923237">
        <w:rPr>
          <w:rFonts w:cstheme="minorHAnsi"/>
        </w:rPr>
        <w:t xml:space="preserve"> </w:t>
      </w:r>
      <w:r w:rsidR="00A4606E" w:rsidRPr="00923237">
        <w:rPr>
          <w:rStyle w:val="Strong"/>
          <w:rFonts w:cstheme="minorHAnsi"/>
        </w:rPr>
        <w:t>The modern industrial revolution, exit, and the failure of internal control systems</w:t>
      </w:r>
      <w:r w:rsidR="003C7ACB" w:rsidRPr="00923237">
        <w:rPr>
          <w:rStyle w:val="Strong"/>
          <w:rFonts w:cstheme="minorHAnsi"/>
        </w:rPr>
        <w:t xml:space="preserve"> </w:t>
      </w:r>
      <w:r w:rsidR="00A4606E" w:rsidRPr="00923237">
        <w:rPr>
          <w:rFonts w:cstheme="minorHAnsi"/>
          <w:color w:val="323232"/>
        </w:rPr>
        <w:t xml:space="preserve">J. </w:t>
      </w:r>
      <w:proofErr w:type="spellStart"/>
      <w:r w:rsidR="00A4606E" w:rsidRPr="00923237">
        <w:rPr>
          <w:rFonts w:cstheme="minorHAnsi"/>
          <w:color w:val="323232"/>
        </w:rPr>
        <w:t>Financ</w:t>
      </w:r>
      <w:proofErr w:type="spellEnd"/>
      <w:r w:rsidR="00A4606E" w:rsidRPr="00923237">
        <w:rPr>
          <w:rFonts w:cstheme="minorHAnsi"/>
          <w:color w:val="323232"/>
        </w:rPr>
        <w:t>., 48 (3) (1993), pp. 831-880</w:t>
      </w:r>
    </w:p>
    <w:p w14:paraId="7EBB1FF8" w14:textId="5F162D2F" w:rsidR="00A4606E" w:rsidRPr="00923237" w:rsidRDefault="006C60C6" w:rsidP="006463D2">
      <w:pPr>
        <w:spacing w:after="0"/>
        <w:ind w:left="720" w:hanging="720"/>
        <w:rPr>
          <w:rFonts w:cstheme="minorHAnsi"/>
          <w:color w:val="323232"/>
        </w:rPr>
      </w:pPr>
      <w:hyperlink r:id="rId196" w:anchor="bbb0185" w:history="1">
        <w:r w:rsidR="00A4606E" w:rsidRPr="00923237">
          <w:rPr>
            <w:rStyle w:val="Hyperlink"/>
            <w:rFonts w:cstheme="minorHAnsi"/>
            <w:color w:val="0C7DBB"/>
          </w:rPr>
          <w:t xml:space="preserve">Jensen and </w:t>
        </w:r>
        <w:proofErr w:type="spellStart"/>
        <w:r w:rsidR="00A4606E" w:rsidRPr="00923237">
          <w:rPr>
            <w:rStyle w:val="Hyperlink"/>
            <w:rFonts w:cstheme="minorHAnsi"/>
            <w:color w:val="0C7DBB"/>
          </w:rPr>
          <w:t>Meckling</w:t>
        </w:r>
        <w:proofErr w:type="spellEnd"/>
        <w:r w:rsidR="00A4606E" w:rsidRPr="00923237">
          <w:rPr>
            <w:rStyle w:val="Hyperlink"/>
            <w:rFonts w:cstheme="minorHAnsi"/>
            <w:color w:val="0C7DBB"/>
          </w:rPr>
          <w:t>, 1976</w:t>
        </w:r>
      </w:hyperlink>
      <w:r w:rsidR="003C7ACB" w:rsidRPr="00923237">
        <w:rPr>
          <w:rStyle w:val="Hyperlink"/>
          <w:rFonts w:cstheme="minorHAnsi"/>
          <w:color w:val="0C7DBB"/>
        </w:rPr>
        <w:t xml:space="preserve"> </w:t>
      </w:r>
      <w:r w:rsidR="00A4606E" w:rsidRPr="00923237">
        <w:rPr>
          <w:rFonts w:cstheme="minorHAnsi"/>
        </w:rPr>
        <w:t>M.C. Jensen, W.H. </w:t>
      </w:r>
      <w:proofErr w:type="spellStart"/>
      <w:r w:rsidR="00A4606E" w:rsidRPr="00923237">
        <w:rPr>
          <w:rFonts w:cstheme="minorHAnsi"/>
        </w:rPr>
        <w:t>Meckling</w:t>
      </w:r>
      <w:proofErr w:type="spellEnd"/>
      <w:r w:rsidR="003C7ACB" w:rsidRPr="00923237">
        <w:rPr>
          <w:rFonts w:cstheme="minorHAnsi"/>
        </w:rPr>
        <w:t xml:space="preserve"> </w:t>
      </w:r>
      <w:r w:rsidR="00A4606E" w:rsidRPr="00923237">
        <w:rPr>
          <w:rStyle w:val="Strong"/>
          <w:rFonts w:cstheme="minorHAnsi"/>
        </w:rPr>
        <w:t>Theory of the firm: managerial behavior, agency costs and ownership structure</w:t>
      </w:r>
      <w:r w:rsidR="003C7ACB" w:rsidRPr="00923237">
        <w:rPr>
          <w:rStyle w:val="Strong"/>
          <w:rFonts w:cstheme="minorHAnsi"/>
        </w:rPr>
        <w:t xml:space="preserve"> </w:t>
      </w:r>
      <w:r w:rsidR="00A4606E" w:rsidRPr="00923237">
        <w:rPr>
          <w:rFonts w:cstheme="minorHAnsi"/>
          <w:color w:val="323232"/>
        </w:rPr>
        <w:t xml:space="preserve">J. </w:t>
      </w:r>
      <w:proofErr w:type="spellStart"/>
      <w:r w:rsidR="00A4606E" w:rsidRPr="00923237">
        <w:rPr>
          <w:rFonts w:cstheme="minorHAnsi"/>
          <w:color w:val="323232"/>
        </w:rPr>
        <w:t>Financ</w:t>
      </w:r>
      <w:proofErr w:type="spellEnd"/>
      <w:r w:rsidR="00A4606E" w:rsidRPr="00923237">
        <w:rPr>
          <w:rFonts w:cstheme="minorHAnsi"/>
          <w:color w:val="323232"/>
        </w:rPr>
        <w:t>. Econ., 3 (4) (1976), pp. 305-360</w:t>
      </w:r>
    </w:p>
    <w:p w14:paraId="1F63EE29" w14:textId="11EBAEB0" w:rsidR="00A4606E" w:rsidRPr="00923237" w:rsidRDefault="006C60C6" w:rsidP="006463D2">
      <w:pPr>
        <w:spacing w:after="0"/>
        <w:ind w:left="720" w:hanging="720"/>
        <w:rPr>
          <w:rFonts w:cstheme="minorHAnsi"/>
          <w:color w:val="323232"/>
        </w:rPr>
      </w:pPr>
      <w:hyperlink r:id="rId197" w:anchor="bbb0190" w:history="1">
        <w:r w:rsidR="00A4606E" w:rsidRPr="00923237">
          <w:rPr>
            <w:rStyle w:val="Hyperlink"/>
            <w:rFonts w:cstheme="minorHAnsi"/>
            <w:color w:val="0C7DBB"/>
          </w:rPr>
          <w:t xml:space="preserve">John and </w:t>
        </w:r>
        <w:proofErr w:type="spellStart"/>
        <w:r w:rsidR="00A4606E" w:rsidRPr="00923237">
          <w:rPr>
            <w:rStyle w:val="Hyperlink"/>
            <w:rFonts w:cstheme="minorHAnsi"/>
            <w:color w:val="0C7DBB"/>
          </w:rPr>
          <w:t>Litov</w:t>
        </w:r>
        <w:proofErr w:type="spellEnd"/>
        <w:r w:rsidR="00A4606E" w:rsidRPr="00923237">
          <w:rPr>
            <w:rStyle w:val="Hyperlink"/>
            <w:rFonts w:cstheme="minorHAnsi"/>
            <w:color w:val="0C7DBB"/>
          </w:rPr>
          <w:t>, 2010</w:t>
        </w:r>
      </w:hyperlink>
      <w:r w:rsidR="003C7ACB" w:rsidRPr="00923237">
        <w:rPr>
          <w:rStyle w:val="Hyperlink"/>
          <w:rFonts w:cstheme="minorHAnsi"/>
          <w:color w:val="0C7DBB"/>
        </w:rPr>
        <w:t xml:space="preserve"> </w:t>
      </w:r>
      <w:r w:rsidR="00A4606E" w:rsidRPr="00923237">
        <w:rPr>
          <w:rFonts w:cstheme="minorHAnsi"/>
        </w:rPr>
        <w:t>K. John, L. </w:t>
      </w:r>
      <w:proofErr w:type="spellStart"/>
      <w:r w:rsidR="00A4606E" w:rsidRPr="00923237">
        <w:rPr>
          <w:rFonts w:cstheme="minorHAnsi"/>
        </w:rPr>
        <w:t>Litov</w:t>
      </w:r>
      <w:proofErr w:type="spellEnd"/>
      <w:r w:rsidR="003C7ACB" w:rsidRPr="00923237">
        <w:rPr>
          <w:rFonts w:cstheme="minorHAnsi"/>
        </w:rPr>
        <w:t xml:space="preserve"> </w:t>
      </w:r>
      <w:r w:rsidR="00A4606E" w:rsidRPr="00923237">
        <w:rPr>
          <w:rStyle w:val="Strong"/>
          <w:rFonts w:cstheme="minorHAnsi"/>
        </w:rPr>
        <w:t>Corporate Governance and Financing Policy: New Evidence</w:t>
      </w:r>
      <w:r w:rsidR="003C7ACB" w:rsidRPr="00923237">
        <w:rPr>
          <w:rStyle w:val="Strong"/>
          <w:rFonts w:cstheme="minorHAnsi"/>
        </w:rPr>
        <w:t xml:space="preserve"> </w:t>
      </w:r>
      <w:r w:rsidR="00A4606E" w:rsidRPr="00923237">
        <w:rPr>
          <w:rFonts w:cstheme="minorHAnsi"/>
          <w:color w:val="323232"/>
        </w:rPr>
        <w:t>New York University Working Paper (2010)</w:t>
      </w:r>
    </w:p>
    <w:p w14:paraId="52678878" w14:textId="47F71773" w:rsidR="00A4606E" w:rsidRPr="00923237" w:rsidRDefault="006C60C6" w:rsidP="006463D2">
      <w:pPr>
        <w:spacing w:after="0"/>
        <w:ind w:left="720" w:hanging="720"/>
        <w:rPr>
          <w:rFonts w:cstheme="minorHAnsi"/>
          <w:color w:val="323232"/>
        </w:rPr>
      </w:pPr>
      <w:hyperlink r:id="rId198" w:anchor="bbb0195" w:history="1">
        <w:proofErr w:type="spellStart"/>
        <w:r w:rsidR="00A4606E" w:rsidRPr="00923237">
          <w:rPr>
            <w:rStyle w:val="Hyperlink"/>
            <w:rFonts w:cstheme="minorHAnsi"/>
            <w:color w:val="0C7DBB"/>
          </w:rPr>
          <w:t>Korteweg</w:t>
        </w:r>
        <w:proofErr w:type="spellEnd"/>
        <w:r w:rsidR="00A4606E" w:rsidRPr="00923237">
          <w:rPr>
            <w:rStyle w:val="Hyperlink"/>
            <w:rFonts w:cstheme="minorHAnsi"/>
            <w:color w:val="0C7DBB"/>
          </w:rPr>
          <w:t>, 2010</w:t>
        </w:r>
      </w:hyperlink>
      <w:r w:rsidR="003C7ACB" w:rsidRPr="00923237">
        <w:rPr>
          <w:rStyle w:val="Hyperlink"/>
          <w:rFonts w:cstheme="minorHAnsi"/>
          <w:color w:val="0C7DBB"/>
        </w:rPr>
        <w:t xml:space="preserve"> </w:t>
      </w:r>
      <w:r w:rsidR="00A4606E" w:rsidRPr="00923237">
        <w:rPr>
          <w:rFonts w:cstheme="minorHAnsi"/>
        </w:rPr>
        <w:t>A. </w:t>
      </w:r>
      <w:proofErr w:type="spellStart"/>
      <w:r w:rsidR="00A4606E" w:rsidRPr="00923237">
        <w:rPr>
          <w:rFonts w:cstheme="minorHAnsi"/>
        </w:rPr>
        <w:t>Korteweg</w:t>
      </w:r>
      <w:proofErr w:type="spellEnd"/>
      <w:r w:rsidR="003C7ACB" w:rsidRPr="00923237">
        <w:rPr>
          <w:rFonts w:cstheme="minorHAnsi"/>
        </w:rPr>
        <w:t xml:space="preserve"> </w:t>
      </w:r>
      <w:r w:rsidR="00A4606E" w:rsidRPr="00923237">
        <w:rPr>
          <w:rStyle w:val="Strong"/>
          <w:rFonts w:cstheme="minorHAnsi"/>
        </w:rPr>
        <w:t>The net benefits to leverage</w:t>
      </w:r>
      <w:r w:rsidR="003C7ACB" w:rsidRPr="00923237">
        <w:rPr>
          <w:rStyle w:val="Strong"/>
          <w:rFonts w:cstheme="minorHAnsi"/>
        </w:rPr>
        <w:t xml:space="preserve"> </w:t>
      </w:r>
      <w:r w:rsidR="00A4606E" w:rsidRPr="00923237">
        <w:rPr>
          <w:rFonts w:cstheme="minorHAnsi"/>
          <w:color w:val="323232"/>
        </w:rPr>
        <w:t xml:space="preserve">J. </w:t>
      </w:r>
      <w:proofErr w:type="spellStart"/>
      <w:r w:rsidR="00A4606E" w:rsidRPr="00923237">
        <w:rPr>
          <w:rFonts w:cstheme="minorHAnsi"/>
          <w:color w:val="323232"/>
        </w:rPr>
        <w:t>Financ</w:t>
      </w:r>
      <w:proofErr w:type="spellEnd"/>
      <w:r w:rsidR="00A4606E" w:rsidRPr="00923237">
        <w:rPr>
          <w:rFonts w:cstheme="minorHAnsi"/>
          <w:color w:val="323232"/>
        </w:rPr>
        <w:t>., 65 (6) (2010), pp. 2137-2170</w:t>
      </w:r>
    </w:p>
    <w:p w14:paraId="2E01E121" w14:textId="34F7C678" w:rsidR="00A4606E" w:rsidRPr="00923237" w:rsidRDefault="006C60C6" w:rsidP="006463D2">
      <w:pPr>
        <w:spacing w:after="0"/>
        <w:ind w:left="720" w:hanging="720"/>
        <w:rPr>
          <w:rFonts w:cstheme="minorHAnsi"/>
          <w:color w:val="323232"/>
        </w:rPr>
      </w:pPr>
      <w:hyperlink r:id="rId199" w:anchor="bbb0200" w:history="1">
        <w:proofErr w:type="spellStart"/>
        <w:r w:rsidR="00A4606E" w:rsidRPr="00923237">
          <w:rPr>
            <w:rStyle w:val="Hyperlink"/>
            <w:rFonts w:cstheme="minorHAnsi"/>
            <w:color w:val="0C7DBB"/>
          </w:rPr>
          <w:t>Linck</w:t>
        </w:r>
        <w:proofErr w:type="spellEnd"/>
        <w:r w:rsidR="00A4606E" w:rsidRPr="00923237">
          <w:rPr>
            <w:rStyle w:val="Hyperlink"/>
            <w:rFonts w:cstheme="minorHAnsi"/>
            <w:color w:val="0C7DBB"/>
          </w:rPr>
          <w:t xml:space="preserve"> et al., 2009</w:t>
        </w:r>
      </w:hyperlink>
      <w:r w:rsidR="003C7ACB" w:rsidRPr="00923237">
        <w:rPr>
          <w:rStyle w:val="Hyperlink"/>
          <w:rFonts w:cstheme="minorHAnsi"/>
          <w:color w:val="0C7DBB"/>
        </w:rPr>
        <w:t xml:space="preserve"> </w:t>
      </w:r>
      <w:r w:rsidR="00A4606E" w:rsidRPr="00923237">
        <w:rPr>
          <w:rFonts w:cstheme="minorHAnsi"/>
        </w:rPr>
        <w:t>J.S. </w:t>
      </w:r>
      <w:proofErr w:type="spellStart"/>
      <w:r w:rsidR="00A4606E" w:rsidRPr="00923237">
        <w:rPr>
          <w:rFonts w:cstheme="minorHAnsi"/>
        </w:rPr>
        <w:t>Linck</w:t>
      </w:r>
      <w:proofErr w:type="spellEnd"/>
      <w:r w:rsidR="00A4606E" w:rsidRPr="00923237">
        <w:rPr>
          <w:rFonts w:cstheme="minorHAnsi"/>
        </w:rPr>
        <w:t>, J.M. Netter, T. Yang</w:t>
      </w:r>
      <w:r w:rsidR="003C7ACB" w:rsidRPr="00923237">
        <w:rPr>
          <w:rFonts w:cstheme="minorHAnsi"/>
        </w:rPr>
        <w:t xml:space="preserve"> </w:t>
      </w:r>
      <w:r w:rsidR="00A4606E" w:rsidRPr="00923237">
        <w:rPr>
          <w:rStyle w:val="Strong"/>
          <w:rFonts w:cstheme="minorHAnsi"/>
        </w:rPr>
        <w:t>The effects and unintended consequences of the Sarbanes-Oxley Act on the supply and demand for directors</w:t>
      </w:r>
      <w:r w:rsidR="003C7ACB" w:rsidRPr="00923237">
        <w:rPr>
          <w:rStyle w:val="Strong"/>
          <w:rFonts w:cstheme="minorHAnsi"/>
        </w:rPr>
        <w:t xml:space="preserve"> </w:t>
      </w:r>
      <w:r w:rsidR="00A4606E" w:rsidRPr="00923237">
        <w:rPr>
          <w:rFonts w:cstheme="minorHAnsi"/>
          <w:color w:val="323232"/>
        </w:rPr>
        <w:t xml:space="preserve">Rev. </w:t>
      </w:r>
      <w:proofErr w:type="spellStart"/>
      <w:r w:rsidR="00A4606E" w:rsidRPr="00923237">
        <w:rPr>
          <w:rFonts w:cstheme="minorHAnsi"/>
          <w:color w:val="323232"/>
        </w:rPr>
        <w:t>Financ</w:t>
      </w:r>
      <w:proofErr w:type="spellEnd"/>
      <w:r w:rsidR="00A4606E" w:rsidRPr="00923237">
        <w:rPr>
          <w:rFonts w:cstheme="minorHAnsi"/>
          <w:color w:val="323232"/>
        </w:rPr>
        <w:t>. Stud., 22 (8) (2009), pp. 3287-3328</w:t>
      </w:r>
    </w:p>
    <w:p w14:paraId="29A74897" w14:textId="35CD78E5" w:rsidR="00A4606E" w:rsidRPr="00923237" w:rsidRDefault="006C60C6" w:rsidP="006463D2">
      <w:pPr>
        <w:spacing w:after="0"/>
        <w:ind w:left="720" w:hanging="720"/>
        <w:rPr>
          <w:rFonts w:cstheme="minorHAnsi"/>
          <w:color w:val="323232"/>
        </w:rPr>
      </w:pPr>
      <w:hyperlink r:id="rId200" w:anchor="bbb0205" w:history="1">
        <w:r w:rsidR="00A4606E" w:rsidRPr="00923237">
          <w:rPr>
            <w:rStyle w:val="Hyperlink"/>
            <w:rFonts w:cstheme="minorHAnsi"/>
            <w:color w:val="0C7DBB"/>
          </w:rPr>
          <w:t>Linn and Park, 2005</w:t>
        </w:r>
      </w:hyperlink>
      <w:r w:rsidR="003C7ACB" w:rsidRPr="00923237">
        <w:rPr>
          <w:rStyle w:val="Hyperlink"/>
          <w:rFonts w:cstheme="minorHAnsi"/>
          <w:color w:val="0C7DBB"/>
        </w:rPr>
        <w:t xml:space="preserve"> </w:t>
      </w:r>
      <w:r w:rsidR="00A4606E" w:rsidRPr="00923237">
        <w:rPr>
          <w:rFonts w:cstheme="minorHAnsi"/>
        </w:rPr>
        <w:t>S.C. Linn, D. Park</w:t>
      </w:r>
      <w:r w:rsidR="003C7ACB" w:rsidRPr="00923237">
        <w:rPr>
          <w:rFonts w:cstheme="minorHAnsi"/>
        </w:rPr>
        <w:t xml:space="preserve"> </w:t>
      </w:r>
      <w:r w:rsidR="00A4606E" w:rsidRPr="00923237">
        <w:rPr>
          <w:rStyle w:val="Strong"/>
          <w:rFonts w:cstheme="minorHAnsi"/>
        </w:rPr>
        <w:t>Outside director compensation policy and the investment opportunity et</w:t>
      </w:r>
      <w:r w:rsidR="0017216D" w:rsidRPr="00923237">
        <w:rPr>
          <w:rStyle w:val="Strong"/>
          <w:rFonts w:cstheme="minorHAnsi"/>
        </w:rPr>
        <w:t xml:space="preserve"> </w:t>
      </w:r>
      <w:r w:rsidR="00A4606E" w:rsidRPr="00923237">
        <w:rPr>
          <w:rFonts w:cstheme="minorHAnsi"/>
          <w:color w:val="323232"/>
        </w:rPr>
        <w:t xml:space="preserve">J. Corp. </w:t>
      </w:r>
      <w:proofErr w:type="spellStart"/>
      <w:r w:rsidR="00A4606E" w:rsidRPr="00923237">
        <w:rPr>
          <w:rFonts w:cstheme="minorHAnsi"/>
          <w:color w:val="323232"/>
        </w:rPr>
        <w:t>Finan</w:t>
      </w:r>
      <w:proofErr w:type="spellEnd"/>
      <w:r w:rsidR="00A4606E" w:rsidRPr="00923237">
        <w:rPr>
          <w:rFonts w:cstheme="minorHAnsi"/>
          <w:color w:val="323232"/>
        </w:rPr>
        <w:t>., 11 (4) (2005), pp. 680-715</w:t>
      </w:r>
    </w:p>
    <w:p w14:paraId="0ED1F437" w14:textId="7DC8D3AB" w:rsidR="00A4606E" w:rsidRPr="00923237" w:rsidRDefault="006C60C6" w:rsidP="006463D2">
      <w:pPr>
        <w:spacing w:after="0"/>
        <w:ind w:left="720" w:hanging="720"/>
        <w:rPr>
          <w:rFonts w:cstheme="minorHAnsi"/>
          <w:color w:val="323232"/>
        </w:rPr>
      </w:pPr>
      <w:hyperlink r:id="rId201" w:anchor="bbb0210" w:history="1">
        <w:r w:rsidR="00A4606E" w:rsidRPr="00923237">
          <w:rPr>
            <w:rStyle w:val="Hyperlink"/>
            <w:rFonts w:cstheme="minorHAnsi"/>
            <w:color w:val="0C7DBB"/>
          </w:rPr>
          <w:t>Menon and Williams, 1994</w:t>
        </w:r>
      </w:hyperlink>
      <w:r w:rsidR="0017216D" w:rsidRPr="00923237">
        <w:rPr>
          <w:rStyle w:val="Hyperlink"/>
          <w:rFonts w:cstheme="minorHAnsi"/>
          <w:color w:val="0C7DBB"/>
        </w:rPr>
        <w:t xml:space="preserve"> </w:t>
      </w:r>
      <w:r w:rsidR="00A4606E" w:rsidRPr="00923237">
        <w:rPr>
          <w:rFonts w:cstheme="minorHAnsi"/>
        </w:rPr>
        <w:t>K. Menon, J.D. Williams</w:t>
      </w:r>
      <w:r w:rsidR="0017216D" w:rsidRPr="00923237">
        <w:rPr>
          <w:rFonts w:cstheme="minorHAnsi"/>
        </w:rPr>
        <w:t xml:space="preserve"> </w:t>
      </w:r>
      <w:r w:rsidR="00A4606E" w:rsidRPr="00923237">
        <w:rPr>
          <w:rStyle w:val="Strong"/>
          <w:rFonts w:cstheme="minorHAnsi"/>
        </w:rPr>
        <w:t>The use of audit committees for monitoring</w:t>
      </w:r>
      <w:r w:rsidR="0017216D" w:rsidRPr="00923237">
        <w:rPr>
          <w:rStyle w:val="Strong"/>
          <w:rFonts w:cstheme="minorHAnsi"/>
        </w:rPr>
        <w:t xml:space="preserve"> </w:t>
      </w:r>
      <w:r w:rsidR="00A4606E" w:rsidRPr="00923237">
        <w:rPr>
          <w:rFonts w:cstheme="minorHAnsi"/>
          <w:color w:val="323232"/>
        </w:rPr>
        <w:t>J. Account. Public Policy, 12 (2) (1994), pp. 121-139</w:t>
      </w:r>
    </w:p>
    <w:p w14:paraId="37323DDB" w14:textId="6C7FCAF3" w:rsidR="00A4606E" w:rsidRPr="00923237" w:rsidRDefault="006C60C6" w:rsidP="006463D2">
      <w:pPr>
        <w:spacing w:after="0"/>
        <w:ind w:left="720" w:hanging="720"/>
        <w:rPr>
          <w:rFonts w:cstheme="minorHAnsi"/>
          <w:color w:val="323232"/>
        </w:rPr>
      </w:pPr>
      <w:hyperlink r:id="rId202" w:anchor="bbb0215" w:history="1">
        <w:r w:rsidR="00A4606E" w:rsidRPr="00923237">
          <w:rPr>
            <w:rStyle w:val="Hyperlink"/>
            <w:rFonts w:cstheme="minorHAnsi"/>
            <w:color w:val="0C7DBB"/>
          </w:rPr>
          <w:t>Modigliani and Miller, 1958</w:t>
        </w:r>
      </w:hyperlink>
      <w:r w:rsidR="0017216D" w:rsidRPr="00923237">
        <w:rPr>
          <w:rStyle w:val="Hyperlink"/>
          <w:rFonts w:cstheme="minorHAnsi"/>
          <w:color w:val="0C7DBB"/>
        </w:rPr>
        <w:t xml:space="preserve"> </w:t>
      </w:r>
      <w:r w:rsidR="00A4606E" w:rsidRPr="00923237">
        <w:rPr>
          <w:rFonts w:cstheme="minorHAnsi"/>
        </w:rPr>
        <w:t>F. Modigliani, M.H. Miller</w:t>
      </w:r>
      <w:r w:rsidR="0017216D" w:rsidRPr="00923237">
        <w:rPr>
          <w:rFonts w:cstheme="minorHAnsi"/>
        </w:rPr>
        <w:t xml:space="preserve"> </w:t>
      </w:r>
      <w:r w:rsidR="00A4606E" w:rsidRPr="00923237">
        <w:rPr>
          <w:rStyle w:val="Strong"/>
          <w:rFonts w:cstheme="minorHAnsi"/>
        </w:rPr>
        <w:t>The cost of capital, corporation finance, and the theory of investment</w:t>
      </w:r>
      <w:r w:rsidR="0017216D" w:rsidRPr="00923237">
        <w:rPr>
          <w:rStyle w:val="Strong"/>
          <w:rFonts w:cstheme="minorHAnsi"/>
        </w:rPr>
        <w:t xml:space="preserve"> </w:t>
      </w:r>
      <w:r w:rsidR="00A4606E" w:rsidRPr="00923237">
        <w:rPr>
          <w:rFonts w:cstheme="minorHAnsi"/>
          <w:color w:val="323232"/>
        </w:rPr>
        <w:t>Am. Econ. Rev., 48 (3) (1958), pp. 261-297</w:t>
      </w:r>
    </w:p>
    <w:p w14:paraId="2B70CD77" w14:textId="1026EB7B" w:rsidR="00A4606E" w:rsidRPr="00923237" w:rsidRDefault="006C60C6" w:rsidP="006463D2">
      <w:pPr>
        <w:spacing w:after="0"/>
        <w:ind w:left="720" w:hanging="720"/>
        <w:rPr>
          <w:rFonts w:cstheme="minorHAnsi"/>
          <w:color w:val="323232"/>
        </w:rPr>
      </w:pPr>
      <w:hyperlink r:id="rId203" w:anchor="bbb0220" w:history="1">
        <w:proofErr w:type="spellStart"/>
        <w:r w:rsidR="00A4606E" w:rsidRPr="00923237">
          <w:rPr>
            <w:rStyle w:val="Hyperlink"/>
            <w:rFonts w:cstheme="minorHAnsi"/>
            <w:color w:val="0C7DBB"/>
          </w:rPr>
          <w:t>Morellec</w:t>
        </w:r>
        <w:proofErr w:type="spellEnd"/>
        <w:r w:rsidR="00A4606E" w:rsidRPr="00923237">
          <w:rPr>
            <w:rStyle w:val="Hyperlink"/>
            <w:rFonts w:cstheme="minorHAnsi"/>
            <w:color w:val="0C7DBB"/>
          </w:rPr>
          <w:t xml:space="preserve"> et al., 2012</w:t>
        </w:r>
      </w:hyperlink>
      <w:r w:rsidR="0017216D" w:rsidRPr="00923237">
        <w:rPr>
          <w:rStyle w:val="Hyperlink"/>
          <w:rFonts w:cstheme="minorHAnsi"/>
          <w:color w:val="0C7DBB"/>
        </w:rPr>
        <w:t xml:space="preserve"> </w:t>
      </w:r>
      <w:r w:rsidR="00A4606E" w:rsidRPr="00923237">
        <w:rPr>
          <w:rFonts w:cstheme="minorHAnsi"/>
        </w:rPr>
        <w:t>E. </w:t>
      </w:r>
      <w:proofErr w:type="spellStart"/>
      <w:r w:rsidR="00A4606E" w:rsidRPr="00923237">
        <w:rPr>
          <w:rFonts w:cstheme="minorHAnsi"/>
        </w:rPr>
        <w:t>Morellec</w:t>
      </w:r>
      <w:proofErr w:type="spellEnd"/>
      <w:r w:rsidR="00A4606E" w:rsidRPr="00923237">
        <w:rPr>
          <w:rFonts w:cstheme="minorHAnsi"/>
        </w:rPr>
        <w:t>, B. </w:t>
      </w:r>
      <w:proofErr w:type="spellStart"/>
      <w:r w:rsidR="00A4606E" w:rsidRPr="00923237">
        <w:rPr>
          <w:rFonts w:cstheme="minorHAnsi"/>
        </w:rPr>
        <w:t>Nikolov</w:t>
      </w:r>
      <w:proofErr w:type="spellEnd"/>
      <w:r w:rsidR="00A4606E" w:rsidRPr="00923237">
        <w:rPr>
          <w:rFonts w:cstheme="minorHAnsi"/>
        </w:rPr>
        <w:t>, N. </w:t>
      </w:r>
      <w:proofErr w:type="spellStart"/>
      <w:r w:rsidR="00A4606E" w:rsidRPr="00923237">
        <w:rPr>
          <w:rFonts w:cstheme="minorHAnsi"/>
        </w:rPr>
        <w:t>Schurhoff</w:t>
      </w:r>
      <w:proofErr w:type="spellEnd"/>
      <w:r w:rsidR="0017216D" w:rsidRPr="00923237">
        <w:rPr>
          <w:rFonts w:cstheme="minorHAnsi"/>
        </w:rPr>
        <w:t xml:space="preserve"> </w:t>
      </w:r>
      <w:r w:rsidR="00A4606E" w:rsidRPr="00923237">
        <w:rPr>
          <w:rStyle w:val="Strong"/>
          <w:rFonts w:cstheme="minorHAnsi"/>
        </w:rPr>
        <w:t>Corporate governance and capital structure dynamics</w:t>
      </w:r>
      <w:r w:rsidR="0017216D" w:rsidRPr="00923237">
        <w:rPr>
          <w:rStyle w:val="Strong"/>
          <w:rFonts w:cstheme="minorHAnsi"/>
        </w:rPr>
        <w:t xml:space="preserve"> </w:t>
      </w:r>
      <w:r w:rsidR="00A4606E" w:rsidRPr="00923237">
        <w:rPr>
          <w:rFonts w:cstheme="minorHAnsi"/>
          <w:color w:val="323232"/>
        </w:rPr>
        <w:t xml:space="preserve">J. </w:t>
      </w:r>
      <w:proofErr w:type="spellStart"/>
      <w:r w:rsidR="00A4606E" w:rsidRPr="00923237">
        <w:rPr>
          <w:rFonts w:cstheme="minorHAnsi"/>
          <w:color w:val="323232"/>
        </w:rPr>
        <w:t>Financ</w:t>
      </w:r>
      <w:proofErr w:type="spellEnd"/>
      <w:r w:rsidR="00A4606E" w:rsidRPr="00923237">
        <w:rPr>
          <w:rFonts w:cstheme="minorHAnsi"/>
          <w:color w:val="323232"/>
        </w:rPr>
        <w:t>., 67 (3) (2012), pp. 803-848</w:t>
      </w:r>
    </w:p>
    <w:p w14:paraId="00111D9D" w14:textId="7344C92C" w:rsidR="00A4606E" w:rsidRPr="00923237" w:rsidRDefault="006C60C6" w:rsidP="006463D2">
      <w:pPr>
        <w:spacing w:after="0"/>
        <w:ind w:left="720" w:hanging="720"/>
        <w:rPr>
          <w:rFonts w:cstheme="minorHAnsi"/>
          <w:color w:val="323232"/>
        </w:rPr>
      </w:pPr>
      <w:hyperlink r:id="rId204" w:anchor="bbb0225" w:history="1">
        <w:r w:rsidR="00A4606E" w:rsidRPr="00923237">
          <w:rPr>
            <w:rStyle w:val="Hyperlink"/>
            <w:rFonts w:cstheme="minorHAnsi"/>
            <w:color w:val="0C7DBB"/>
          </w:rPr>
          <w:t>Nguyen, 2014</w:t>
        </w:r>
      </w:hyperlink>
      <w:r w:rsidR="0017216D" w:rsidRPr="00923237">
        <w:rPr>
          <w:rStyle w:val="Hyperlink"/>
          <w:rFonts w:cstheme="minorHAnsi"/>
          <w:color w:val="0C7DBB"/>
        </w:rPr>
        <w:t xml:space="preserve"> </w:t>
      </w:r>
      <w:r w:rsidR="00A4606E" w:rsidRPr="00923237">
        <w:rPr>
          <w:rFonts w:cstheme="minorHAnsi"/>
        </w:rPr>
        <w:t>N. Nguyen</w:t>
      </w:r>
      <w:r w:rsidR="0017216D" w:rsidRPr="00923237">
        <w:rPr>
          <w:rFonts w:cstheme="minorHAnsi"/>
        </w:rPr>
        <w:t xml:space="preserve"> </w:t>
      </w:r>
      <w:proofErr w:type="gramStart"/>
      <w:r w:rsidR="00A4606E" w:rsidRPr="00923237">
        <w:rPr>
          <w:rStyle w:val="Strong"/>
          <w:rFonts w:cstheme="minorHAnsi"/>
        </w:rPr>
        <w:t>On</w:t>
      </w:r>
      <w:proofErr w:type="gramEnd"/>
      <w:r w:rsidR="00A4606E" w:rsidRPr="00923237">
        <w:rPr>
          <w:rStyle w:val="Strong"/>
          <w:rFonts w:cstheme="minorHAnsi"/>
        </w:rPr>
        <w:t xml:space="preserve"> the compensation and activity of corporate boards</w:t>
      </w:r>
      <w:r w:rsidR="0017216D" w:rsidRPr="00923237">
        <w:rPr>
          <w:rStyle w:val="Strong"/>
          <w:rFonts w:cstheme="minorHAnsi"/>
        </w:rPr>
        <w:t xml:space="preserve"> </w:t>
      </w:r>
      <w:r w:rsidR="00A4606E" w:rsidRPr="00923237">
        <w:rPr>
          <w:rFonts w:cstheme="minorHAnsi"/>
          <w:color w:val="323232"/>
        </w:rPr>
        <w:t xml:space="preserve">J. Corp. </w:t>
      </w:r>
      <w:proofErr w:type="spellStart"/>
      <w:r w:rsidR="00A4606E" w:rsidRPr="00923237">
        <w:rPr>
          <w:rFonts w:cstheme="minorHAnsi"/>
          <w:color w:val="323232"/>
        </w:rPr>
        <w:t>Finan</w:t>
      </w:r>
      <w:proofErr w:type="spellEnd"/>
      <w:r w:rsidR="00A4606E" w:rsidRPr="00923237">
        <w:rPr>
          <w:rFonts w:cstheme="minorHAnsi"/>
          <w:color w:val="323232"/>
        </w:rPr>
        <w:t>., 29 (2014), pp. 1-19</w:t>
      </w:r>
    </w:p>
    <w:p w14:paraId="280625F5" w14:textId="4D1F74E7" w:rsidR="00A4606E" w:rsidRPr="00923237" w:rsidRDefault="006C60C6" w:rsidP="006463D2">
      <w:pPr>
        <w:spacing w:after="0"/>
        <w:ind w:left="720" w:hanging="720"/>
        <w:rPr>
          <w:rFonts w:cstheme="minorHAnsi"/>
          <w:color w:val="323232"/>
        </w:rPr>
      </w:pPr>
      <w:hyperlink r:id="rId205" w:anchor="bbb0235" w:history="1">
        <w:r w:rsidR="00A4606E" w:rsidRPr="00923237">
          <w:rPr>
            <w:rStyle w:val="Hyperlink"/>
            <w:rFonts w:cstheme="minorHAnsi"/>
            <w:color w:val="0C7DBB"/>
          </w:rPr>
          <w:t>Pavlov et al., 2015</w:t>
        </w:r>
      </w:hyperlink>
      <w:r w:rsidR="0017216D" w:rsidRPr="00923237">
        <w:rPr>
          <w:rStyle w:val="Hyperlink"/>
          <w:rFonts w:cstheme="minorHAnsi"/>
          <w:color w:val="0C7DBB"/>
        </w:rPr>
        <w:t xml:space="preserve"> </w:t>
      </w:r>
      <w:r w:rsidR="00A4606E" w:rsidRPr="00923237">
        <w:rPr>
          <w:rFonts w:cstheme="minorHAnsi"/>
        </w:rPr>
        <w:t>A. Pavlov, E. Steiner, S. Wachter</w:t>
      </w:r>
      <w:r w:rsidR="0017216D" w:rsidRPr="00923237">
        <w:rPr>
          <w:rFonts w:cstheme="minorHAnsi"/>
        </w:rPr>
        <w:t xml:space="preserve"> </w:t>
      </w:r>
      <w:r w:rsidR="00A4606E" w:rsidRPr="00923237">
        <w:rPr>
          <w:rStyle w:val="Strong"/>
          <w:rFonts w:cstheme="minorHAnsi"/>
        </w:rPr>
        <w:t>Macroeconomic risk factors and the role of mispriced credit in the returns from international real estate securities</w:t>
      </w:r>
      <w:r w:rsidR="0017216D" w:rsidRPr="00923237">
        <w:rPr>
          <w:rStyle w:val="Strong"/>
          <w:rFonts w:cstheme="minorHAnsi"/>
        </w:rPr>
        <w:t xml:space="preserve"> </w:t>
      </w:r>
      <w:r w:rsidR="00A4606E" w:rsidRPr="00923237">
        <w:rPr>
          <w:rFonts w:cstheme="minorHAnsi"/>
          <w:color w:val="323232"/>
        </w:rPr>
        <w:t>Real Estate Econ., 43 (1) (2015), pp. 241-270</w:t>
      </w:r>
    </w:p>
    <w:p w14:paraId="36BF43E6" w14:textId="09E82D38" w:rsidR="00A4606E" w:rsidRPr="00923237" w:rsidRDefault="006C60C6" w:rsidP="006463D2">
      <w:pPr>
        <w:spacing w:after="0"/>
        <w:ind w:left="720" w:hanging="720"/>
        <w:rPr>
          <w:rFonts w:cstheme="minorHAnsi"/>
          <w:color w:val="323232"/>
        </w:rPr>
      </w:pPr>
      <w:hyperlink r:id="rId206" w:anchor="bbb0240" w:history="1">
        <w:r w:rsidR="00A4606E" w:rsidRPr="00923237">
          <w:rPr>
            <w:rStyle w:val="Hyperlink"/>
            <w:rFonts w:cstheme="minorHAnsi"/>
            <w:color w:val="0C7DBB"/>
          </w:rPr>
          <w:t>Pavlov et al., 2018</w:t>
        </w:r>
      </w:hyperlink>
      <w:r w:rsidR="0017216D" w:rsidRPr="00923237">
        <w:rPr>
          <w:rStyle w:val="Hyperlink"/>
          <w:rFonts w:cstheme="minorHAnsi"/>
          <w:color w:val="0C7DBB"/>
        </w:rPr>
        <w:t xml:space="preserve"> </w:t>
      </w:r>
      <w:r w:rsidR="00A4606E" w:rsidRPr="00923237">
        <w:rPr>
          <w:rFonts w:cstheme="minorHAnsi"/>
        </w:rPr>
        <w:t>A. Pavlov, E. Steiner, S. Wachter</w:t>
      </w:r>
      <w:r w:rsidR="0017216D" w:rsidRPr="00923237">
        <w:rPr>
          <w:rFonts w:cstheme="minorHAnsi"/>
        </w:rPr>
        <w:t xml:space="preserve"> </w:t>
      </w:r>
      <w:r w:rsidR="00A4606E" w:rsidRPr="00923237">
        <w:rPr>
          <w:rStyle w:val="Strong"/>
          <w:rFonts w:cstheme="minorHAnsi"/>
        </w:rPr>
        <w:t>REIT capital structure choices: Preparation matters</w:t>
      </w:r>
      <w:r w:rsidR="0017216D" w:rsidRPr="00923237">
        <w:rPr>
          <w:rStyle w:val="Strong"/>
          <w:rFonts w:cstheme="minorHAnsi"/>
        </w:rPr>
        <w:t xml:space="preserve"> </w:t>
      </w:r>
      <w:r w:rsidR="00A4606E" w:rsidRPr="00923237">
        <w:rPr>
          <w:rFonts w:cstheme="minorHAnsi"/>
          <w:color w:val="323232"/>
        </w:rPr>
        <w:t>Real Estate Econ., 46 (1) (2018), pp. 160-209</w:t>
      </w:r>
    </w:p>
    <w:p w14:paraId="75841AE1" w14:textId="3437C95B" w:rsidR="00A4606E" w:rsidRPr="00923237" w:rsidRDefault="006C60C6" w:rsidP="006463D2">
      <w:pPr>
        <w:spacing w:after="0"/>
        <w:ind w:left="720" w:hanging="720"/>
        <w:rPr>
          <w:rFonts w:cstheme="minorHAnsi"/>
          <w:color w:val="323232"/>
        </w:rPr>
      </w:pPr>
      <w:hyperlink r:id="rId207" w:anchor="bbb0245" w:history="1">
        <w:r w:rsidR="00A4606E" w:rsidRPr="00923237">
          <w:rPr>
            <w:rStyle w:val="Hyperlink"/>
            <w:rFonts w:cstheme="minorHAnsi"/>
            <w:color w:val="0C7DBB"/>
          </w:rPr>
          <w:t>Penman et al., 2007</w:t>
        </w:r>
      </w:hyperlink>
      <w:r w:rsidR="0017216D" w:rsidRPr="00923237">
        <w:rPr>
          <w:rStyle w:val="Hyperlink"/>
          <w:rFonts w:cstheme="minorHAnsi"/>
          <w:color w:val="0C7DBB"/>
        </w:rPr>
        <w:t xml:space="preserve"> </w:t>
      </w:r>
      <w:r w:rsidR="00A4606E" w:rsidRPr="00923237">
        <w:rPr>
          <w:rFonts w:cstheme="minorHAnsi"/>
        </w:rPr>
        <w:t>S. Penman, S.A. Richardson, I. Tuna</w:t>
      </w:r>
      <w:r w:rsidR="0017216D" w:rsidRPr="00923237">
        <w:rPr>
          <w:rFonts w:cstheme="minorHAnsi"/>
        </w:rPr>
        <w:t xml:space="preserve"> </w:t>
      </w:r>
      <w:r w:rsidR="00A4606E" w:rsidRPr="00923237">
        <w:rPr>
          <w:rStyle w:val="Strong"/>
          <w:rFonts w:cstheme="minorHAnsi"/>
        </w:rPr>
        <w:t>The book-to-price effect in stock returns: accounting for leverage</w:t>
      </w:r>
      <w:r w:rsidR="0017216D" w:rsidRPr="00923237">
        <w:rPr>
          <w:rStyle w:val="Strong"/>
          <w:rFonts w:cstheme="minorHAnsi"/>
        </w:rPr>
        <w:t xml:space="preserve"> </w:t>
      </w:r>
      <w:r w:rsidR="00A4606E" w:rsidRPr="00923237">
        <w:rPr>
          <w:rFonts w:cstheme="minorHAnsi"/>
          <w:color w:val="323232"/>
        </w:rPr>
        <w:t>J. Account. Res., 45 (2) (2007), pp. 427-467</w:t>
      </w:r>
    </w:p>
    <w:p w14:paraId="4938B3CE" w14:textId="619F5A29" w:rsidR="00A4606E" w:rsidRPr="00923237" w:rsidRDefault="006C60C6" w:rsidP="006463D2">
      <w:pPr>
        <w:spacing w:after="0"/>
        <w:ind w:left="720" w:hanging="720"/>
        <w:rPr>
          <w:rFonts w:cstheme="minorHAnsi"/>
          <w:color w:val="323232"/>
        </w:rPr>
      </w:pPr>
      <w:hyperlink r:id="rId208" w:anchor="bbb0250" w:history="1">
        <w:r w:rsidR="00A4606E" w:rsidRPr="00923237">
          <w:rPr>
            <w:rStyle w:val="Hyperlink"/>
            <w:rFonts w:cstheme="minorHAnsi"/>
            <w:color w:val="0C7DBB"/>
          </w:rPr>
          <w:t>Raheja, 2005</w:t>
        </w:r>
      </w:hyperlink>
      <w:r w:rsidR="0017216D" w:rsidRPr="00923237">
        <w:rPr>
          <w:rStyle w:val="Hyperlink"/>
          <w:rFonts w:cstheme="minorHAnsi"/>
          <w:color w:val="0C7DBB"/>
        </w:rPr>
        <w:t xml:space="preserve"> </w:t>
      </w:r>
      <w:r w:rsidR="00A4606E" w:rsidRPr="00923237">
        <w:rPr>
          <w:rFonts w:cstheme="minorHAnsi"/>
        </w:rPr>
        <w:t>C.G. Raheja</w:t>
      </w:r>
      <w:r w:rsidR="0017216D" w:rsidRPr="00923237">
        <w:rPr>
          <w:rFonts w:cstheme="minorHAnsi"/>
        </w:rPr>
        <w:t xml:space="preserve"> </w:t>
      </w:r>
      <w:r w:rsidR="00A4606E" w:rsidRPr="00923237">
        <w:rPr>
          <w:rStyle w:val="Strong"/>
          <w:rFonts w:cstheme="minorHAnsi"/>
        </w:rPr>
        <w:t>Determinants of board size and composition: a theory of corporate boards</w:t>
      </w:r>
      <w:r w:rsidR="0017216D" w:rsidRPr="00923237">
        <w:rPr>
          <w:rStyle w:val="Strong"/>
          <w:rFonts w:cstheme="minorHAnsi"/>
        </w:rPr>
        <w:t xml:space="preserve"> </w:t>
      </w:r>
      <w:r w:rsidR="00A4606E" w:rsidRPr="00923237">
        <w:rPr>
          <w:rFonts w:cstheme="minorHAnsi"/>
          <w:color w:val="323232"/>
        </w:rPr>
        <w:t xml:space="preserve">J. </w:t>
      </w:r>
      <w:proofErr w:type="spellStart"/>
      <w:r w:rsidR="00A4606E" w:rsidRPr="00923237">
        <w:rPr>
          <w:rFonts w:cstheme="minorHAnsi"/>
          <w:color w:val="323232"/>
        </w:rPr>
        <w:t>Financ</w:t>
      </w:r>
      <w:proofErr w:type="spellEnd"/>
      <w:r w:rsidR="00A4606E" w:rsidRPr="00923237">
        <w:rPr>
          <w:rFonts w:cstheme="minorHAnsi"/>
          <w:color w:val="323232"/>
        </w:rPr>
        <w:t>. Quant. Anal., 40 (2) (2005), pp. 283-306</w:t>
      </w:r>
    </w:p>
    <w:p w14:paraId="35072FC9" w14:textId="77394BB1" w:rsidR="00A4606E" w:rsidRPr="00923237" w:rsidRDefault="006C60C6" w:rsidP="006463D2">
      <w:pPr>
        <w:spacing w:after="0"/>
        <w:ind w:left="720" w:hanging="720"/>
        <w:rPr>
          <w:rFonts w:cstheme="minorHAnsi"/>
          <w:color w:val="323232"/>
        </w:rPr>
      </w:pPr>
      <w:hyperlink r:id="rId209" w:anchor="bbb0255" w:history="1">
        <w:proofErr w:type="spellStart"/>
        <w:r w:rsidR="00A4606E" w:rsidRPr="00923237">
          <w:rPr>
            <w:rStyle w:val="Hyperlink"/>
            <w:rFonts w:cstheme="minorHAnsi"/>
            <w:color w:val="0C7DBB"/>
          </w:rPr>
          <w:t>Rajan</w:t>
        </w:r>
        <w:proofErr w:type="spellEnd"/>
        <w:r w:rsidR="00A4606E" w:rsidRPr="00923237">
          <w:rPr>
            <w:rStyle w:val="Hyperlink"/>
            <w:rFonts w:cstheme="minorHAnsi"/>
            <w:color w:val="0C7DBB"/>
          </w:rPr>
          <w:t xml:space="preserve"> and Winton, 1995</w:t>
        </w:r>
      </w:hyperlink>
      <w:r w:rsidR="0017216D" w:rsidRPr="00923237">
        <w:rPr>
          <w:rStyle w:val="Hyperlink"/>
          <w:rFonts w:cstheme="minorHAnsi"/>
          <w:color w:val="0C7DBB"/>
        </w:rPr>
        <w:t xml:space="preserve"> </w:t>
      </w:r>
      <w:r w:rsidR="00A4606E" w:rsidRPr="00923237">
        <w:rPr>
          <w:rFonts w:cstheme="minorHAnsi"/>
        </w:rPr>
        <w:t>R. </w:t>
      </w:r>
      <w:proofErr w:type="spellStart"/>
      <w:r w:rsidR="00A4606E" w:rsidRPr="00923237">
        <w:rPr>
          <w:rFonts w:cstheme="minorHAnsi"/>
        </w:rPr>
        <w:t>Rajan</w:t>
      </w:r>
      <w:proofErr w:type="spellEnd"/>
      <w:r w:rsidR="00A4606E" w:rsidRPr="00923237">
        <w:rPr>
          <w:rFonts w:cstheme="minorHAnsi"/>
        </w:rPr>
        <w:t>, A. Winton</w:t>
      </w:r>
      <w:r w:rsidR="0017216D" w:rsidRPr="00923237">
        <w:rPr>
          <w:rFonts w:cstheme="minorHAnsi"/>
        </w:rPr>
        <w:t xml:space="preserve"> </w:t>
      </w:r>
      <w:r w:rsidR="00A4606E" w:rsidRPr="00923237">
        <w:rPr>
          <w:rStyle w:val="Strong"/>
          <w:rFonts w:cstheme="minorHAnsi"/>
        </w:rPr>
        <w:t>Covenants and collateral as incentives to monitor</w:t>
      </w:r>
      <w:r w:rsidR="0017216D" w:rsidRPr="00923237">
        <w:rPr>
          <w:rStyle w:val="Strong"/>
          <w:rFonts w:cstheme="minorHAnsi"/>
        </w:rPr>
        <w:t xml:space="preserve"> </w:t>
      </w:r>
      <w:r w:rsidR="00A4606E" w:rsidRPr="00923237">
        <w:rPr>
          <w:rFonts w:cstheme="minorHAnsi"/>
          <w:color w:val="323232"/>
        </w:rPr>
        <w:t xml:space="preserve">J. </w:t>
      </w:r>
      <w:proofErr w:type="spellStart"/>
      <w:r w:rsidR="00A4606E" w:rsidRPr="00923237">
        <w:rPr>
          <w:rFonts w:cstheme="minorHAnsi"/>
          <w:color w:val="323232"/>
        </w:rPr>
        <w:t>Financ</w:t>
      </w:r>
      <w:proofErr w:type="spellEnd"/>
      <w:r w:rsidR="00A4606E" w:rsidRPr="00923237">
        <w:rPr>
          <w:rFonts w:cstheme="minorHAnsi"/>
          <w:color w:val="323232"/>
        </w:rPr>
        <w:t>., 50 (4) (1995), pp. 1113-1146</w:t>
      </w:r>
    </w:p>
    <w:p w14:paraId="56B7752A" w14:textId="7376786A" w:rsidR="00A4606E" w:rsidRPr="00923237" w:rsidRDefault="006C60C6" w:rsidP="006463D2">
      <w:pPr>
        <w:spacing w:after="0"/>
        <w:ind w:left="720" w:hanging="720"/>
        <w:rPr>
          <w:rFonts w:cstheme="minorHAnsi"/>
          <w:color w:val="323232"/>
        </w:rPr>
      </w:pPr>
      <w:hyperlink r:id="rId210" w:anchor="bbb0260" w:history="1">
        <w:r w:rsidR="00A4606E" w:rsidRPr="00923237">
          <w:rPr>
            <w:rStyle w:val="Hyperlink"/>
            <w:rFonts w:cstheme="minorHAnsi"/>
            <w:color w:val="0C7DBB"/>
          </w:rPr>
          <w:t>Ross, 1977</w:t>
        </w:r>
      </w:hyperlink>
      <w:r w:rsidR="0017216D" w:rsidRPr="00923237">
        <w:rPr>
          <w:rStyle w:val="Hyperlink"/>
          <w:rFonts w:cstheme="minorHAnsi"/>
          <w:color w:val="0C7DBB"/>
        </w:rPr>
        <w:t xml:space="preserve"> </w:t>
      </w:r>
      <w:r w:rsidR="00A4606E" w:rsidRPr="00923237">
        <w:rPr>
          <w:rFonts w:cstheme="minorHAnsi"/>
        </w:rPr>
        <w:t>S.A. Ross</w:t>
      </w:r>
      <w:r w:rsidR="0017216D" w:rsidRPr="00923237">
        <w:rPr>
          <w:rFonts w:cstheme="minorHAnsi"/>
        </w:rPr>
        <w:t xml:space="preserve"> </w:t>
      </w:r>
      <w:r w:rsidR="00A4606E" w:rsidRPr="00923237">
        <w:rPr>
          <w:rStyle w:val="Strong"/>
          <w:rFonts w:cstheme="minorHAnsi"/>
        </w:rPr>
        <w:t>The determination of financial structure: the incentive signaling approach</w:t>
      </w:r>
      <w:r w:rsidR="0017216D" w:rsidRPr="00923237">
        <w:rPr>
          <w:rStyle w:val="Strong"/>
          <w:rFonts w:cstheme="minorHAnsi"/>
        </w:rPr>
        <w:t xml:space="preserve"> </w:t>
      </w:r>
      <w:r w:rsidR="00A4606E" w:rsidRPr="00923237">
        <w:rPr>
          <w:rFonts w:cstheme="minorHAnsi"/>
          <w:color w:val="323232"/>
        </w:rPr>
        <w:t>Bell J. Econ., 8 (1) (1977), pp. 23-40</w:t>
      </w:r>
    </w:p>
    <w:p w14:paraId="5B2E42E6" w14:textId="6267E402" w:rsidR="00A4606E" w:rsidRPr="00923237" w:rsidRDefault="006C60C6" w:rsidP="006463D2">
      <w:pPr>
        <w:spacing w:after="0"/>
        <w:ind w:left="720" w:hanging="720"/>
        <w:rPr>
          <w:rFonts w:cstheme="minorHAnsi"/>
          <w:color w:val="323232"/>
        </w:rPr>
      </w:pPr>
      <w:hyperlink r:id="rId211" w:anchor="bbb0265" w:history="1">
        <w:proofErr w:type="spellStart"/>
        <w:r w:rsidR="00A4606E" w:rsidRPr="00923237">
          <w:rPr>
            <w:rStyle w:val="Hyperlink"/>
            <w:rFonts w:cstheme="minorHAnsi"/>
            <w:color w:val="0C7DBB"/>
          </w:rPr>
          <w:t>Stulz</w:t>
        </w:r>
        <w:proofErr w:type="spellEnd"/>
        <w:r w:rsidR="00A4606E" w:rsidRPr="00923237">
          <w:rPr>
            <w:rStyle w:val="Hyperlink"/>
            <w:rFonts w:cstheme="minorHAnsi"/>
            <w:color w:val="0C7DBB"/>
          </w:rPr>
          <w:t>, 1990</w:t>
        </w:r>
      </w:hyperlink>
      <w:r w:rsidR="0017216D" w:rsidRPr="00923237">
        <w:rPr>
          <w:rStyle w:val="Hyperlink"/>
          <w:rFonts w:cstheme="minorHAnsi"/>
          <w:color w:val="0C7DBB"/>
        </w:rPr>
        <w:t xml:space="preserve"> </w:t>
      </w:r>
      <w:r w:rsidR="00A4606E" w:rsidRPr="00923237">
        <w:rPr>
          <w:rFonts w:cstheme="minorHAnsi"/>
        </w:rPr>
        <w:t>R.M. </w:t>
      </w:r>
      <w:proofErr w:type="spellStart"/>
      <w:r w:rsidR="00A4606E" w:rsidRPr="00923237">
        <w:rPr>
          <w:rFonts w:cstheme="minorHAnsi"/>
        </w:rPr>
        <w:t>Stulz</w:t>
      </w:r>
      <w:proofErr w:type="spellEnd"/>
      <w:r w:rsidR="0017216D" w:rsidRPr="00923237">
        <w:rPr>
          <w:rFonts w:cstheme="minorHAnsi"/>
        </w:rPr>
        <w:t xml:space="preserve"> </w:t>
      </w:r>
      <w:r w:rsidR="00A4606E" w:rsidRPr="00923237">
        <w:rPr>
          <w:rStyle w:val="Strong"/>
          <w:rFonts w:cstheme="minorHAnsi"/>
        </w:rPr>
        <w:t>Managerial discretion and optimal financing policies</w:t>
      </w:r>
      <w:r w:rsidR="0017216D" w:rsidRPr="00923237">
        <w:rPr>
          <w:rStyle w:val="Strong"/>
          <w:rFonts w:cstheme="minorHAnsi"/>
        </w:rPr>
        <w:t xml:space="preserve"> </w:t>
      </w:r>
      <w:r w:rsidR="00A4606E" w:rsidRPr="00923237">
        <w:rPr>
          <w:rFonts w:cstheme="minorHAnsi"/>
          <w:color w:val="323232"/>
        </w:rPr>
        <w:t xml:space="preserve">J. </w:t>
      </w:r>
      <w:proofErr w:type="spellStart"/>
      <w:r w:rsidR="00A4606E" w:rsidRPr="00923237">
        <w:rPr>
          <w:rFonts w:cstheme="minorHAnsi"/>
          <w:color w:val="323232"/>
        </w:rPr>
        <w:t>Financ</w:t>
      </w:r>
      <w:proofErr w:type="spellEnd"/>
      <w:r w:rsidR="00A4606E" w:rsidRPr="00923237">
        <w:rPr>
          <w:rFonts w:cstheme="minorHAnsi"/>
          <w:color w:val="323232"/>
        </w:rPr>
        <w:t>. Econ., 26 (1) (1990), pp. 3-27</w:t>
      </w:r>
    </w:p>
    <w:p w14:paraId="35CC383A" w14:textId="2BA08ECE" w:rsidR="00A4606E" w:rsidRPr="00923237" w:rsidRDefault="006C60C6" w:rsidP="006463D2">
      <w:pPr>
        <w:spacing w:after="0"/>
        <w:ind w:left="720" w:hanging="720"/>
        <w:rPr>
          <w:rFonts w:cstheme="minorHAnsi"/>
          <w:color w:val="323232"/>
        </w:rPr>
      </w:pPr>
      <w:hyperlink r:id="rId212" w:anchor="bbb0270" w:history="1">
        <w:proofErr w:type="spellStart"/>
        <w:r w:rsidR="00A4606E" w:rsidRPr="00923237">
          <w:rPr>
            <w:rStyle w:val="Hyperlink"/>
            <w:rFonts w:cstheme="minorHAnsi"/>
            <w:color w:val="0C7DBB"/>
          </w:rPr>
          <w:t>Stulz</w:t>
        </w:r>
        <w:proofErr w:type="spellEnd"/>
        <w:r w:rsidR="00A4606E" w:rsidRPr="00923237">
          <w:rPr>
            <w:rStyle w:val="Hyperlink"/>
            <w:rFonts w:cstheme="minorHAnsi"/>
            <w:color w:val="0C7DBB"/>
          </w:rPr>
          <w:t>, 2000</w:t>
        </w:r>
      </w:hyperlink>
      <w:r w:rsidR="0017216D" w:rsidRPr="00923237">
        <w:rPr>
          <w:rStyle w:val="Hyperlink"/>
          <w:rFonts w:cstheme="minorHAnsi"/>
          <w:color w:val="0C7DBB"/>
        </w:rPr>
        <w:t xml:space="preserve"> </w:t>
      </w:r>
      <w:r w:rsidR="00A4606E" w:rsidRPr="00923237">
        <w:rPr>
          <w:rFonts w:cstheme="minorHAnsi"/>
        </w:rPr>
        <w:t>R.M. </w:t>
      </w:r>
      <w:proofErr w:type="spellStart"/>
      <w:r w:rsidR="00A4606E" w:rsidRPr="00923237">
        <w:rPr>
          <w:rFonts w:cstheme="minorHAnsi"/>
        </w:rPr>
        <w:t>Stulz</w:t>
      </w:r>
      <w:proofErr w:type="spellEnd"/>
      <w:r w:rsidR="0017216D" w:rsidRPr="00923237">
        <w:rPr>
          <w:rFonts w:cstheme="minorHAnsi"/>
        </w:rPr>
        <w:t xml:space="preserve"> </w:t>
      </w:r>
      <w:r w:rsidR="00A4606E" w:rsidRPr="00923237">
        <w:rPr>
          <w:rStyle w:val="Strong"/>
          <w:rFonts w:cstheme="minorHAnsi"/>
        </w:rPr>
        <w:t>Financial structure, corporate finance and economic growth</w:t>
      </w:r>
      <w:r w:rsidR="0017216D" w:rsidRPr="00923237">
        <w:rPr>
          <w:rStyle w:val="Strong"/>
          <w:rFonts w:cstheme="minorHAnsi"/>
        </w:rPr>
        <w:t xml:space="preserve"> </w:t>
      </w:r>
      <w:r w:rsidR="00A4606E" w:rsidRPr="00923237">
        <w:rPr>
          <w:rFonts w:cstheme="minorHAnsi"/>
          <w:color w:val="323232"/>
        </w:rPr>
        <w:t>Int. Rev. Fin., 1 (1) (2000), pp. 11-38</w:t>
      </w:r>
    </w:p>
    <w:p w14:paraId="472F1C8C" w14:textId="2F5A07EB" w:rsidR="00A4606E" w:rsidRPr="00923237" w:rsidRDefault="006C60C6" w:rsidP="006463D2">
      <w:pPr>
        <w:spacing w:after="0"/>
        <w:ind w:left="720" w:hanging="720"/>
        <w:rPr>
          <w:rFonts w:cstheme="minorHAnsi"/>
          <w:color w:val="323232"/>
        </w:rPr>
      </w:pPr>
      <w:hyperlink r:id="rId213" w:anchor="bbb0275" w:history="1">
        <w:r w:rsidR="00A4606E" w:rsidRPr="00923237">
          <w:rPr>
            <w:rStyle w:val="Hyperlink"/>
            <w:rFonts w:cstheme="minorHAnsi"/>
            <w:color w:val="0C7DBB"/>
          </w:rPr>
          <w:t>Sun et al., 2015</w:t>
        </w:r>
      </w:hyperlink>
      <w:r w:rsidR="0017216D" w:rsidRPr="00923237">
        <w:rPr>
          <w:rStyle w:val="Hyperlink"/>
          <w:rFonts w:cstheme="minorHAnsi"/>
          <w:color w:val="0C7DBB"/>
        </w:rPr>
        <w:t xml:space="preserve"> </w:t>
      </w:r>
      <w:r w:rsidR="00A4606E" w:rsidRPr="00923237">
        <w:rPr>
          <w:rFonts w:cstheme="minorHAnsi"/>
        </w:rPr>
        <w:t>L. Sun, S.D. Titman, G.J. </w:t>
      </w:r>
      <w:proofErr w:type="spellStart"/>
      <w:r w:rsidR="00A4606E" w:rsidRPr="00923237">
        <w:rPr>
          <w:rFonts w:cstheme="minorHAnsi"/>
        </w:rPr>
        <w:t>Twite</w:t>
      </w:r>
      <w:proofErr w:type="spellEnd"/>
      <w:r w:rsidR="0017216D" w:rsidRPr="00923237">
        <w:rPr>
          <w:rFonts w:cstheme="minorHAnsi"/>
        </w:rPr>
        <w:t xml:space="preserve"> </w:t>
      </w:r>
      <w:proofErr w:type="spellStart"/>
      <w:r w:rsidR="00A4606E" w:rsidRPr="00923237">
        <w:rPr>
          <w:rStyle w:val="Strong"/>
          <w:rFonts w:cstheme="minorHAnsi"/>
        </w:rPr>
        <w:t>Reit</w:t>
      </w:r>
      <w:proofErr w:type="spellEnd"/>
      <w:r w:rsidR="00A4606E" w:rsidRPr="00923237">
        <w:rPr>
          <w:rStyle w:val="Strong"/>
          <w:rFonts w:cstheme="minorHAnsi"/>
        </w:rPr>
        <w:t xml:space="preserve"> and commercial real estate returns: a postmortem of the financial crisis</w:t>
      </w:r>
      <w:r w:rsidR="0017216D" w:rsidRPr="00923237">
        <w:rPr>
          <w:rStyle w:val="Strong"/>
          <w:rFonts w:cstheme="minorHAnsi"/>
        </w:rPr>
        <w:t xml:space="preserve"> </w:t>
      </w:r>
      <w:r w:rsidR="00A4606E" w:rsidRPr="00923237">
        <w:rPr>
          <w:rFonts w:cstheme="minorHAnsi"/>
          <w:color w:val="323232"/>
        </w:rPr>
        <w:t>Real Estate Econ., 43 (1) (2015), pp. 8-36</w:t>
      </w:r>
    </w:p>
    <w:p w14:paraId="57CAFB0A" w14:textId="64897E2E" w:rsidR="00A4606E" w:rsidRPr="00923237" w:rsidRDefault="006C60C6" w:rsidP="006463D2">
      <w:pPr>
        <w:spacing w:after="0"/>
        <w:ind w:left="720" w:hanging="720"/>
        <w:rPr>
          <w:rFonts w:cstheme="minorHAnsi"/>
          <w:color w:val="323232"/>
        </w:rPr>
      </w:pPr>
      <w:hyperlink r:id="rId214" w:anchor="bbb0280" w:history="1">
        <w:proofErr w:type="spellStart"/>
        <w:r w:rsidR="00A4606E" w:rsidRPr="00923237">
          <w:rPr>
            <w:rStyle w:val="Hyperlink"/>
            <w:rFonts w:cstheme="minorHAnsi"/>
            <w:color w:val="0C7DBB"/>
          </w:rPr>
          <w:t>Vafaes</w:t>
        </w:r>
        <w:proofErr w:type="spellEnd"/>
        <w:r w:rsidR="00A4606E" w:rsidRPr="00923237">
          <w:rPr>
            <w:rStyle w:val="Hyperlink"/>
            <w:rFonts w:cstheme="minorHAnsi"/>
            <w:color w:val="0C7DBB"/>
          </w:rPr>
          <w:t>, 1999</w:t>
        </w:r>
      </w:hyperlink>
      <w:r w:rsidR="0017216D" w:rsidRPr="00923237">
        <w:rPr>
          <w:rStyle w:val="Hyperlink"/>
          <w:rFonts w:cstheme="minorHAnsi"/>
          <w:color w:val="0C7DBB"/>
        </w:rPr>
        <w:t xml:space="preserve"> </w:t>
      </w:r>
      <w:r w:rsidR="00A4606E" w:rsidRPr="00923237">
        <w:rPr>
          <w:rFonts w:cstheme="minorHAnsi"/>
        </w:rPr>
        <w:t>N. </w:t>
      </w:r>
      <w:proofErr w:type="spellStart"/>
      <w:r w:rsidR="00A4606E" w:rsidRPr="00923237">
        <w:rPr>
          <w:rFonts w:cstheme="minorHAnsi"/>
        </w:rPr>
        <w:t>Vafaes</w:t>
      </w:r>
      <w:proofErr w:type="spellEnd"/>
      <w:r w:rsidR="0017216D" w:rsidRPr="00923237">
        <w:rPr>
          <w:rFonts w:cstheme="minorHAnsi"/>
        </w:rPr>
        <w:t xml:space="preserve"> </w:t>
      </w:r>
      <w:r w:rsidR="00A4606E" w:rsidRPr="00923237">
        <w:rPr>
          <w:rStyle w:val="Strong"/>
          <w:rFonts w:cstheme="minorHAnsi"/>
        </w:rPr>
        <w:t>Board meeting frequency and firm performance</w:t>
      </w:r>
      <w:r w:rsidR="0017216D" w:rsidRPr="00923237">
        <w:rPr>
          <w:rStyle w:val="Strong"/>
          <w:rFonts w:cstheme="minorHAnsi"/>
        </w:rPr>
        <w:t xml:space="preserve"> </w:t>
      </w:r>
      <w:r w:rsidR="00A4606E" w:rsidRPr="00923237">
        <w:rPr>
          <w:rFonts w:cstheme="minorHAnsi"/>
          <w:color w:val="323232"/>
        </w:rPr>
        <w:t xml:space="preserve">J. </w:t>
      </w:r>
      <w:proofErr w:type="spellStart"/>
      <w:r w:rsidR="00A4606E" w:rsidRPr="00923237">
        <w:rPr>
          <w:rFonts w:cstheme="minorHAnsi"/>
          <w:color w:val="323232"/>
        </w:rPr>
        <w:t>Financ</w:t>
      </w:r>
      <w:proofErr w:type="spellEnd"/>
      <w:r w:rsidR="00A4606E" w:rsidRPr="00923237">
        <w:rPr>
          <w:rFonts w:cstheme="minorHAnsi"/>
          <w:color w:val="323232"/>
        </w:rPr>
        <w:t>. Econ., 53 (1) (1999), pp. 113-142</w:t>
      </w:r>
    </w:p>
    <w:p w14:paraId="18909B63" w14:textId="4D699B3E" w:rsidR="00A4606E" w:rsidRPr="00923237" w:rsidRDefault="006C60C6" w:rsidP="006463D2">
      <w:pPr>
        <w:spacing w:after="0"/>
        <w:ind w:left="720" w:hanging="720"/>
        <w:rPr>
          <w:rFonts w:cstheme="minorHAnsi"/>
          <w:color w:val="323232"/>
        </w:rPr>
      </w:pPr>
      <w:hyperlink r:id="rId215" w:anchor="bbb0285" w:history="1">
        <w:r w:rsidR="00A4606E" w:rsidRPr="00923237">
          <w:rPr>
            <w:rStyle w:val="Hyperlink"/>
            <w:rFonts w:cstheme="minorHAnsi"/>
            <w:color w:val="0C7DBB"/>
          </w:rPr>
          <w:t>Williamson, 1988</w:t>
        </w:r>
      </w:hyperlink>
      <w:r w:rsidR="0017216D" w:rsidRPr="00923237">
        <w:rPr>
          <w:rStyle w:val="Hyperlink"/>
          <w:rFonts w:cstheme="minorHAnsi"/>
          <w:color w:val="0C7DBB"/>
        </w:rPr>
        <w:t xml:space="preserve"> </w:t>
      </w:r>
      <w:r w:rsidR="00A4606E" w:rsidRPr="00923237">
        <w:rPr>
          <w:rFonts w:cstheme="minorHAnsi"/>
        </w:rPr>
        <w:t>O. Williamson</w:t>
      </w:r>
      <w:r w:rsidR="0017216D" w:rsidRPr="00923237">
        <w:rPr>
          <w:rFonts w:cstheme="minorHAnsi"/>
        </w:rPr>
        <w:t xml:space="preserve"> </w:t>
      </w:r>
      <w:r w:rsidR="00A4606E" w:rsidRPr="00923237">
        <w:rPr>
          <w:rStyle w:val="Strong"/>
          <w:rFonts w:cstheme="minorHAnsi"/>
        </w:rPr>
        <w:t>Corporate finance and corporate governance</w:t>
      </w:r>
      <w:r w:rsidR="0017216D" w:rsidRPr="00923237">
        <w:rPr>
          <w:rStyle w:val="Strong"/>
          <w:rFonts w:cstheme="minorHAnsi"/>
        </w:rPr>
        <w:t xml:space="preserve"> </w:t>
      </w:r>
      <w:r w:rsidR="00A4606E" w:rsidRPr="00923237">
        <w:rPr>
          <w:rFonts w:cstheme="minorHAnsi"/>
          <w:color w:val="323232"/>
        </w:rPr>
        <w:t xml:space="preserve">J. </w:t>
      </w:r>
      <w:proofErr w:type="spellStart"/>
      <w:r w:rsidR="00A4606E" w:rsidRPr="00923237">
        <w:rPr>
          <w:rFonts w:cstheme="minorHAnsi"/>
          <w:color w:val="323232"/>
        </w:rPr>
        <w:t>Financ</w:t>
      </w:r>
      <w:proofErr w:type="spellEnd"/>
      <w:r w:rsidR="00A4606E" w:rsidRPr="00923237">
        <w:rPr>
          <w:rFonts w:cstheme="minorHAnsi"/>
          <w:color w:val="323232"/>
        </w:rPr>
        <w:t>., 43 (3) (1988), pp. 567-591</w:t>
      </w:r>
    </w:p>
    <w:p w14:paraId="0866C4DA" w14:textId="799CFBE0" w:rsidR="00A4606E" w:rsidRPr="00923237" w:rsidRDefault="006C60C6" w:rsidP="006463D2">
      <w:pPr>
        <w:spacing w:after="0"/>
        <w:ind w:left="720" w:hanging="720"/>
        <w:rPr>
          <w:rFonts w:cstheme="minorHAnsi"/>
          <w:color w:val="323232"/>
        </w:rPr>
      </w:pPr>
      <w:hyperlink r:id="rId216" w:anchor="bbb0290" w:history="1">
        <w:proofErr w:type="spellStart"/>
        <w:r w:rsidR="00A4606E" w:rsidRPr="00923237">
          <w:rPr>
            <w:rStyle w:val="Hyperlink"/>
            <w:rFonts w:cstheme="minorHAnsi"/>
            <w:color w:val="0C7DBB"/>
          </w:rPr>
          <w:t>Wintoki</w:t>
        </w:r>
        <w:proofErr w:type="spellEnd"/>
        <w:r w:rsidR="00A4606E" w:rsidRPr="00923237">
          <w:rPr>
            <w:rStyle w:val="Hyperlink"/>
            <w:rFonts w:cstheme="minorHAnsi"/>
            <w:color w:val="0C7DBB"/>
          </w:rPr>
          <w:t xml:space="preserve"> et al., 2012</w:t>
        </w:r>
      </w:hyperlink>
      <w:r w:rsidR="0017216D" w:rsidRPr="00923237">
        <w:rPr>
          <w:rStyle w:val="Hyperlink"/>
          <w:rFonts w:cstheme="minorHAnsi"/>
          <w:color w:val="0C7DBB"/>
        </w:rPr>
        <w:t xml:space="preserve"> </w:t>
      </w:r>
      <w:r w:rsidR="00A4606E" w:rsidRPr="00923237">
        <w:rPr>
          <w:rFonts w:cstheme="minorHAnsi"/>
        </w:rPr>
        <w:t>B. </w:t>
      </w:r>
      <w:proofErr w:type="spellStart"/>
      <w:r w:rsidR="00A4606E" w:rsidRPr="00923237">
        <w:rPr>
          <w:rFonts w:cstheme="minorHAnsi"/>
        </w:rPr>
        <w:t>Wintoki</w:t>
      </w:r>
      <w:proofErr w:type="spellEnd"/>
      <w:r w:rsidR="00A4606E" w:rsidRPr="00923237">
        <w:rPr>
          <w:rFonts w:cstheme="minorHAnsi"/>
        </w:rPr>
        <w:t>, J.S. </w:t>
      </w:r>
      <w:proofErr w:type="spellStart"/>
      <w:r w:rsidR="00A4606E" w:rsidRPr="00923237">
        <w:rPr>
          <w:rFonts w:cstheme="minorHAnsi"/>
        </w:rPr>
        <w:t>Linck</w:t>
      </w:r>
      <w:proofErr w:type="spellEnd"/>
      <w:r w:rsidR="00A4606E" w:rsidRPr="00923237">
        <w:rPr>
          <w:rFonts w:cstheme="minorHAnsi"/>
        </w:rPr>
        <w:t>, J.M. Netter</w:t>
      </w:r>
      <w:r w:rsidR="0017216D" w:rsidRPr="00923237">
        <w:rPr>
          <w:rFonts w:cstheme="minorHAnsi"/>
        </w:rPr>
        <w:t xml:space="preserve"> </w:t>
      </w:r>
      <w:r w:rsidR="00A4606E" w:rsidRPr="00923237">
        <w:rPr>
          <w:rStyle w:val="Strong"/>
          <w:rFonts w:cstheme="minorHAnsi"/>
        </w:rPr>
        <w:t>Endogeneity and the dynamics of internal corporate governance</w:t>
      </w:r>
      <w:r w:rsidR="0017216D" w:rsidRPr="00923237">
        <w:rPr>
          <w:rStyle w:val="Strong"/>
          <w:rFonts w:cstheme="minorHAnsi"/>
        </w:rPr>
        <w:t xml:space="preserve"> </w:t>
      </w:r>
      <w:r w:rsidR="00A4606E" w:rsidRPr="00923237">
        <w:rPr>
          <w:rFonts w:cstheme="minorHAnsi"/>
          <w:color w:val="323232"/>
        </w:rPr>
        <w:t xml:space="preserve">J. </w:t>
      </w:r>
      <w:proofErr w:type="spellStart"/>
      <w:r w:rsidR="00A4606E" w:rsidRPr="00923237">
        <w:rPr>
          <w:rFonts w:cstheme="minorHAnsi"/>
          <w:color w:val="323232"/>
        </w:rPr>
        <w:t>Financ</w:t>
      </w:r>
      <w:proofErr w:type="spellEnd"/>
      <w:r w:rsidR="00A4606E" w:rsidRPr="00923237">
        <w:rPr>
          <w:rFonts w:cstheme="minorHAnsi"/>
          <w:color w:val="323232"/>
        </w:rPr>
        <w:t>. Econ., 105 (3) (2012), pp. 581-606</w:t>
      </w:r>
    </w:p>
    <w:p w14:paraId="5BD6A4B8" w14:textId="5BFA4659" w:rsidR="00A4606E" w:rsidRPr="00923237" w:rsidRDefault="006C60C6" w:rsidP="006463D2">
      <w:pPr>
        <w:spacing w:after="0"/>
        <w:ind w:left="720" w:hanging="720"/>
        <w:rPr>
          <w:rFonts w:cstheme="minorHAnsi"/>
          <w:color w:val="323232"/>
        </w:rPr>
      </w:pPr>
      <w:hyperlink r:id="rId217" w:anchor="bbb0295" w:history="1">
        <w:r w:rsidR="00A4606E" w:rsidRPr="00923237">
          <w:rPr>
            <w:rStyle w:val="Hyperlink"/>
            <w:rFonts w:cstheme="minorHAnsi"/>
            <w:color w:val="0C7DBB"/>
          </w:rPr>
          <w:t>Yermack, 1996</w:t>
        </w:r>
      </w:hyperlink>
      <w:r w:rsidR="0017216D" w:rsidRPr="00923237">
        <w:rPr>
          <w:rStyle w:val="Hyperlink"/>
          <w:rFonts w:cstheme="minorHAnsi"/>
          <w:color w:val="0C7DBB"/>
        </w:rPr>
        <w:t xml:space="preserve"> </w:t>
      </w:r>
      <w:r w:rsidR="00A4606E" w:rsidRPr="00923237">
        <w:rPr>
          <w:rFonts w:cstheme="minorHAnsi"/>
        </w:rPr>
        <w:t>D. Yermack</w:t>
      </w:r>
      <w:r w:rsidR="0017216D" w:rsidRPr="00923237">
        <w:rPr>
          <w:rFonts w:cstheme="minorHAnsi"/>
        </w:rPr>
        <w:t xml:space="preserve"> </w:t>
      </w:r>
      <w:r w:rsidR="00A4606E" w:rsidRPr="00923237">
        <w:rPr>
          <w:rStyle w:val="Strong"/>
          <w:rFonts w:cstheme="minorHAnsi"/>
        </w:rPr>
        <w:t>Higher market valuation of companies with a small board of directors</w:t>
      </w:r>
      <w:r w:rsidR="0017216D" w:rsidRPr="00923237">
        <w:rPr>
          <w:rStyle w:val="Strong"/>
          <w:rFonts w:cstheme="minorHAnsi"/>
        </w:rPr>
        <w:t xml:space="preserve"> </w:t>
      </w:r>
      <w:r w:rsidR="00A4606E" w:rsidRPr="00923237">
        <w:rPr>
          <w:rFonts w:cstheme="minorHAnsi"/>
          <w:color w:val="323232"/>
        </w:rPr>
        <w:t xml:space="preserve">J. </w:t>
      </w:r>
      <w:proofErr w:type="spellStart"/>
      <w:r w:rsidR="00A4606E" w:rsidRPr="00923237">
        <w:rPr>
          <w:rFonts w:cstheme="minorHAnsi"/>
          <w:color w:val="323232"/>
        </w:rPr>
        <w:t>Financ</w:t>
      </w:r>
      <w:proofErr w:type="spellEnd"/>
      <w:r w:rsidR="00A4606E" w:rsidRPr="00923237">
        <w:rPr>
          <w:rFonts w:cstheme="minorHAnsi"/>
          <w:color w:val="323232"/>
        </w:rPr>
        <w:t>. Econ., 40 (2) (1996), pp. 185-211</w:t>
      </w:r>
    </w:p>
    <w:p w14:paraId="2B699F12" w14:textId="77777777" w:rsidR="006463D2" w:rsidRPr="00923237" w:rsidRDefault="006463D2" w:rsidP="00D33FC1">
      <w:pPr>
        <w:rPr>
          <w:rFonts w:cstheme="minorHAnsi"/>
          <w:color w:val="323232"/>
        </w:rPr>
      </w:pPr>
    </w:p>
    <w:p w14:paraId="3926A400" w14:textId="7FFE9156" w:rsidR="00A4606E" w:rsidRPr="00923237" w:rsidRDefault="006C60C6" w:rsidP="006463D2">
      <w:pPr>
        <w:spacing w:after="0"/>
        <w:ind w:left="720" w:hanging="720"/>
        <w:rPr>
          <w:rFonts w:cstheme="minorHAnsi"/>
          <w:color w:val="2E2E2E"/>
        </w:rPr>
      </w:pPr>
      <w:hyperlink r:id="rId218" w:anchor="baep-article-footnote-id1" w:history="1">
        <w:r w:rsidR="00A4606E" w:rsidRPr="00923237">
          <w:rPr>
            <w:rFonts w:ascii="Segoe UI Symbol" w:hAnsi="Segoe UI Symbol" w:cs="Segoe UI Symbol"/>
          </w:rPr>
          <w:t>☆</w:t>
        </w:r>
      </w:hyperlink>
      <w:r w:rsidR="00A4606E" w:rsidRPr="00923237">
        <w:rPr>
          <w:rFonts w:cstheme="minorHAnsi"/>
          <w:color w:val="2E2E2E"/>
        </w:rPr>
        <w:t xml:space="preserve">We would like to thank Jeff Netter (the editor), the referee, Stu </w:t>
      </w:r>
      <w:proofErr w:type="spellStart"/>
      <w:r w:rsidR="00A4606E" w:rsidRPr="00923237">
        <w:rPr>
          <w:rFonts w:cstheme="minorHAnsi"/>
          <w:color w:val="2E2E2E"/>
        </w:rPr>
        <w:t>Gillan</w:t>
      </w:r>
      <w:proofErr w:type="spellEnd"/>
      <w:r w:rsidR="00A4606E" w:rsidRPr="00923237">
        <w:rPr>
          <w:rFonts w:cstheme="minorHAnsi"/>
          <w:color w:val="2E2E2E"/>
        </w:rPr>
        <w:t xml:space="preserve">, and Christine </w:t>
      </w:r>
      <w:proofErr w:type="spellStart"/>
      <w:r w:rsidR="00A4606E" w:rsidRPr="00923237">
        <w:rPr>
          <w:rFonts w:cstheme="minorHAnsi"/>
          <w:color w:val="2E2E2E"/>
        </w:rPr>
        <w:t>Panasian</w:t>
      </w:r>
      <w:proofErr w:type="spellEnd"/>
      <w:r w:rsidR="00A4606E" w:rsidRPr="00923237">
        <w:rPr>
          <w:rFonts w:cstheme="minorHAnsi"/>
          <w:color w:val="2E2E2E"/>
        </w:rPr>
        <w:t xml:space="preserve"> for their helpful comments and suggestions. We thank Emma-Sarah Stephens for valuable research assistance. This project started when Trang Doan was a Ph.D. student at Wayne State University.</w:t>
      </w:r>
    </w:p>
    <w:p w14:paraId="1ADA32DF" w14:textId="49718E38" w:rsidR="00A4606E" w:rsidRPr="00923237" w:rsidRDefault="006C60C6" w:rsidP="006463D2">
      <w:pPr>
        <w:spacing w:after="0"/>
        <w:ind w:left="720" w:hanging="720"/>
        <w:rPr>
          <w:rFonts w:cstheme="minorHAnsi"/>
          <w:color w:val="2E2E2E"/>
        </w:rPr>
      </w:pPr>
      <w:hyperlink r:id="rId219" w:anchor="bfn0005" w:history="1">
        <w:r w:rsidR="00A4606E" w:rsidRPr="00923237">
          <w:rPr>
            <w:rStyle w:val="Hyperlink"/>
            <w:rFonts w:cstheme="minorHAnsi"/>
            <w:color w:val="0C7DBB"/>
            <w:vertAlign w:val="superscript"/>
          </w:rPr>
          <w:t>1</w:t>
        </w:r>
      </w:hyperlink>
      <w:hyperlink r:id="rId220" w:tgtFrame="_blank" w:history="1">
        <w:r w:rsidR="00A4606E" w:rsidRPr="00923237">
          <w:rPr>
            <w:rStyle w:val="Hyperlink"/>
            <w:rFonts w:eastAsiaTheme="majorEastAsia" w:cstheme="minorHAnsi"/>
            <w:color w:val="0C7DBB"/>
          </w:rPr>
          <w:t>https://www.reit.com/data-research/reit-indexes/monthly-index-values-returns</w:t>
        </w:r>
      </w:hyperlink>
      <w:r w:rsidR="00A4606E" w:rsidRPr="00923237">
        <w:rPr>
          <w:rFonts w:cstheme="minorHAnsi"/>
          <w:color w:val="2E2E2E"/>
        </w:rPr>
        <w:t>.</w:t>
      </w:r>
    </w:p>
    <w:p w14:paraId="5204E1BD" w14:textId="1AF38999" w:rsidR="00A4606E" w:rsidRPr="00923237" w:rsidRDefault="006C60C6" w:rsidP="006463D2">
      <w:pPr>
        <w:spacing w:after="0"/>
        <w:ind w:left="720" w:hanging="720"/>
        <w:rPr>
          <w:rFonts w:cstheme="minorHAnsi"/>
          <w:color w:val="2E2E2E"/>
        </w:rPr>
      </w:pPr>
      <w:hyperlink r:id="rId221" w:anchor="bfn0010" w:history="1">
        <w:r w:rsidR="00A4606E" w:rsidRPr="00923237">
          <w:rPr>
            <w:rStyle w:val="Hyperlink"/>
            <w:rFonts w:cstheme="minorHAnsi"/>
            <w:color w:val="0C7DBB"/>
            <w:vertAlign w:val="superscript"/>
          </w:rPr>
          <w:t>2</w:t>
        </w:r>
      </w:hyperlink>
      <w:r w:rsidR="00A4606E" w:rsidRPr="00923237">
        <w:rPr>
          <w:rFonts w:cstheme="minorHAnsi"/>
          <w:color w:val="2E2E2E"/>
        </w:rPr>
        <w:t>Our weighted measures of director activity are similar in spirit to those in </w:t>
      </w:r>
      <w:hyperlink r:id="rId222" w:anchor="bb0050" w:history="1">
        <w:r w:rsidR="00A4606E" w:rsidRPr="00923237">
          <w:rPr>
            <w:rStyle w:val="Hyperlink"/>
            <w:rFonts w:eastAsiaTheme="majorEastAsia" w:cstheme="minorHAnsi"/>
            <w:color w:val="0C7DBB"/>
          </w:rPr>
          <w:t xml:space="preserve">Brick and </w:t>
        </w:r>
        <w:proofErr w:type="spellStart"/>
        <w:r w:rsidR="00A4606E" w:rsidRPr="00923237">
          <w:rPr>
            <w:rStyle w:val="Hyperlink"/>
            <w:rFonts w:eastAsiaTheme="majorEastAsia" w:cstheme="minorHAnsi"/>
            <w:color w:val="0C7DBB"/>
          </w:rPr>
          <w:t>Chidambaran</w:t>
        </w:r>
        <w:proofErr w:type="spellEnd"/>
        <w:r w:rsidR="00A4606E" w:rsidRPr="00923237">
          <w:rPr>
            <w:rStyle w:val="Hyperlink"/>
            <w:rFonts w:eastAsiaTheme="majorEastAsia" w:cstheme="minorHAnsi"/>
            <w:color w:val="0C7DBB"/>
          </w:rPr>
          <w:t xml:space="preserve"> (2010)</w:t>
        </w:r>
      </w:hyperlink>
      <w:bookmarkEnd w:id="32"/>
      <w:r w:rsidR="00A4606E" w:rsidRPr="00923237">
        <w:rPr>
          <w:rFonts w:cstheme="minorHAnsi"/>
          <w:color w:val="2E2E2E"/>
        </w:rPr>
        <w:t> except that they weight meetings by the proportion of independent directors on the board. Explanations for the difference are threefold (</w:t>
      </w:r>
      <w:proofErr w:type="spellStart"/>
      <w:r w:rsidR="00A4606E" w:rsidRPr="00923237">
        <w:rPr>
          <w:rFonts w:cstheme="minorHAnsi"/>
          <w:color w:val="2E2E2E"/>
        </w:rPr>
        <w:t>i</w:t>
      </w:r>
      <w:proofErr w:type="spellEnd"/>
      <w:r w:rsidR="00A4606E" w:rsidRPr="00923237">
        <w:rPr>
          <w:rFonts w:cstheme="minorHAnsi"/>
          <w:color w:val="2E2E2E"/>
        </w:rPr>
        <w:t>) their focus is on board monitoring which is arguably is affected by the level of director independence while our focus is on director functions more generally (i.e. both monitoring and advising), (ii) we include board independence as a control variable, and (iii) they do not consider measures of director expertise.</w:t>
      </w:r>
    </w:p>
    <w:p w14:paraId="7685AE89" w14:textId="66C950AE" w:rsidR="00A4606E" w:rsidRPr="00923237" w:rsidRDefault="006C60C6" w:rsidP="006463D2">
      <w:pPr>
        <w:spacing w:after="0"/>
        <w:ind w:left="720" w:hanging="720"/>
        <w:rPr>
          <w:rFonts w:cstheme="minorHAnsi"/>
          <w:color w:val="2E2E2E"/>
        </w:rPr>
      </w:pPr>
      <w:hyperlink r:id="rId223" w:anchor="bfn0015" w:history="1">
        <w:r w:rsidR="00A4606E" w:rsidRPr="00923237">
          <w:rPr>
            <w:rStyle w:val="Hyperlink"/>
            <w:rFonts w:cstheme="minorHAnsi"/>
            <w:color w:val="0C7DBB"/>
            <w:vertAlign w:val="superscript"/>
          </w:rPr>
          <w:t>3</w:t>
        </w:r>
      </w:hyperlink>
      <w:r w:rsidR="00A4606E" w:rsidRPr="00923237">
        <w:rPr>
          <w:rFonts w:cstheme="minorHAnsi"/>
          <w:color w:val="2E2E2E"/>
        </w:rPr>
        <w:t xml:space="preserve">The </w:t>
      </w:r>
      <w:proofErr w:type="spellStart"/>
      <w:r w:rsidR="00A4606E" w:rsidRPr="00923237">
        <w:rPr>
          <w:rFonts w:cstheme="minorHAnsi"/>
          <w:color w:val="2E2E2E"/>
        </w:rPr>
        <w:t>Ziman</w:t>
      </w:r>
      <w:proofErr w:type="spellEnd"/>
      <w:r w:rsidR="00A4606E" w:rsidRPr="00923237">
        <w:rPr>
          <w:rFonts w:cstheme="minorHAnsi"/>
          <w:color w:val="2E2E2E"/>
        </w:rPr>
        <w:t xml:space="preserve"> REIT database on CRSP includes the following property types: Lodging/Resorts, Residential, Industrial/Office, Retail, Diversified, Healthcare, Self-Storage, Mortgage, Mortgage Back Securities, and Others.</w:t>
      </w:r>
    </w:p>
    <w:p w14:paraId="03EC9E97" w14:textId="1E72FEE8" w:rsidR="00A4606E" w:rsidRPr="00923237" w:rsidRDefault="006C60C6" w:rsidP="006463D2">
      <w:pPr>
        <w:spacing w:after="0"/>
        <w:ind w:left="720" w:hanging="720"/>
        <w:rPr>
          <w:rFonts w:cstheme="minorHAnsi"/>
          <w:color w:val="2E2E2E"/>
        </w:rPr>
      </w:pPr>
      <w:hyperlink r:id="rId224" w:anchor="bfn0020" w:history="1">
        <w:r w:rsidR="00A4606E" w:rsidRPr="00923237">
          <w:rPr>
            <w:rStyle w:val="Hyperlink"/>
            <w:rFonts w:cstheme="minorHAnsi"/>
            <w:color w:val="0C7DBB"/>
            <w:vertAlign w:val="superscript"/>
          </w:rPr>
          <w:t>4</w:t>
        </w:r>
      </w:hyperlink>
      <w:r w:rsidR="00A4606E" w:rsidRPr="00923237">
        <w:rPr>
          <w:rFonts w:cstheme="minorHAnsi"/>
          <w:color w:val="2E2E2E"/>
        </w:rPr>
        <w:t>The number of monitoring committee meetings is lower than reported in </w:t>
      </w:r>
      <w:hyperlink r:id="rId225" w:anchor="bb0225" w:history="1">
        <w:r w:rsidR="00A4606E" w:rsidRPr="00923237">
          <w:rPr>
            <w:rStyle w:val="Hyperlink"/>
            <w:rFonts w:eastAsiaTheme="majorEastAsia" w:cstheme="minorHAnsi"/>
            <w:color w:val="0C7DBB"/>
          </w:rPr>
          <w:t>Nguyen (2014)</w:t>
        </w:r>
      </w:hyperlink>
      <w:bookmarkEnd w:id="33"/>
      <w:r w:rsidR="00A4606E" w:rsidRPr="00923237">
        <w:rPr>
          <w:rFonts w:cstheme="minorHAnsi"/>
          <w:color w:val="2E2E2E"/>
        </w:rPr>
        <w:t> as her sample comprises S&amp;P 1500 firms and meetings for the Audit, Compensation, Nomination/Governance, and all other monitoring committees.</w:t>
      </w:r>
    </w:p>
    <w:p w14:paraId="278CA9C6" w14:textId="77777777" w:rsidR="00A4606E" w:rsidRPr="00923237" w:rsidRDefault="006C60C6" w:rsidP="006463D2">
      <w:pPr>
        <w:spacing w:after="0"/>
        <w:ind w:left="720" w:hanging="720"/>
        <w:rPr>
          <w:rFonts w:cstheme="minorHAnsi"/>
          <w:color w:val="2E2E2E"/>
        </w:rPr>
      </w:pPr>
      <w:hyperlink r:id="rId226" w:anchor="bfn0025" w:history="1">
        <w:r w:rsidR="00A4606E" w:rsidRPr="00923237">
          <w:rPr>
            <w:rStyle w:val="Hyperlink"/>
            <w:rFonts w:cstheme="minorHAnsi"/>
            <w:color w:val="0C7DBB"/>
            <w:vertAlign w:val="superscript"/>
          </w:rPr>
          <w:t>5</w:t>
        </w:r>
      </w:hyperlink>
    </w:p>
    <w:p w14:paraId="5A59E8A1" w14:textId="77777777" w:rsidR="00A4606E" w:rsidRPr="00923237" w:rsidRDefault="00A4606E" w:rsidP="006463D2">
      <w:pPr>
        <w:spacing w:after="0"/>
        <w:ind w:left="720" w:hanging="720"/>
        <w:rPr>
          <w:rFonts w:cstheme="minorHAnsi"/>
          <w:color w:val="2E2E2E"/>
        </w:rPr>
      </w:pPr>
      <w:r w:rsidRPr="00923237">
        <w:rPr>
          <w:rFonts w:cstheme="minorHAnsi"/>
          <w:color w:val="2E2E2E"/>
        </w:rPr>
        <w:t>As robustness tests, we also use the FIN Exp weighted-, RE Exp weighted-, and non-weighted abnormal board activity during the financial crisis (one at a time) and the results (not tabulated) are similar.</w:t>
      </w:r>
    </w:p>
    <w:p w14:paraId="5D009808" w14:textId="3B39E838" w:rsidR="00A4606E" w:rsidRPr="00923237" w:rsidRDefault="006C60C6" w:rsidP="006463D2">
      <w:pPr>
        <w:spacing w:after="0"/>
        <w:ind w:left="720" w:hanging="720"/>
        <w:rPr>
          <w:rFonts w:cstheme="minorHAnsi"/>
          <w:color w:val="2E2E2E"/>
        </w:rPr>
      </w:pPr>
      <w:hyperlink r:id="rId227" w:anchor="bfn0030" w:history="1">
        <w:r w:rsidR="00A4606E" w:rsidRPr="00923237">
          <w:rPr>
            <w:rStyle w:val="Hyperlink"/>
            <w:rFonts w:cstheme="minorHAnsi"/>
            <w:color w:val="0C7DBB"/>
            <w:vertAlign w:val="superscript"/>
          </w:rPr>
          <w:t>6</w:t>
        </w:r>
      </w:hyperlink>
      <w:hyperlink r:id="rId228" w:anchor="bb0275" w:history="1">
        <w:r w:rsidR="00A4606E" w:rsidRPr="00923237">
          <w:rPr>
            <w:rStyle w:val="Hyperlink"/>
            <w:rFonts w:eastAsiaTheme="majorEastAsia" w:cstheme="minorHAnsi"/>
            <w:color w:val="0C7DBB"/>
          </w:rPr>
          <w:t>Sun et al. (2015)</w:t>
        </w:r>
      </w:hyperlink>
      <w:bookmarkEnd w:id="34"/>
      <w:r w:rsidR="00A4606E" w:rsidRPr="00923237">
        <w:rPr>
          <w:rFonts w:cstheme="minorHAnsi"/>
          <w:color w:val="2E2E2E"/>
        </w:rPr>
        <w:t> only find a marginally significant positive association between leverage and returns in two out of seven specifications.</w:t>
      </w:r>
    </w:p>
    <w:p w14:paraId="673EB111" w14:textId="4201A1CD" w:rsidR="00A4606E" w:rsidRPr="00923237" w:rsidRDefault="006C60C6" w:rsidP="006463D2">
      <w:pPr>
        <w:spacing w:after="0"/>
        <w:ind w:left="720" w:hanging="720"/>
        <w:rPr>
          <w:rFonts w:cstheme="minorHAnsi"/>
          <w:color w:val="2E2E2E"/>
        </w:rPr>
      </w:pPr>
      <w:hyperlink r:id="rId229" w:anchor="bfn0035" w:history="1">
        <w:r w:rsidR="00A4606E" w:rsidRPr="00923237">
          <w:rPr>
            <w:rStyle w:val="Hyperlink"/>
            <w:rFonts w:cstheme="minorHAnsi"/>
            <w:color w:val="0C7DBB"/>
            <w:vertAlign w:val="superscript"/>
          </w:rPr>
          <w:t>7</w:t>
        </w:r>
      </w:hyperlink>
      <w:r w:rsidR="00A4606E" w:rsidRPr="00923237">
        <w:rPr>
          <w:rFonts w:cstheme="minorHAnsi"/>
          <w:color w:val="2E2E2E"/>
        </w:rPr>
        <w:t>Note that from January 2007 to February 2009, NAREIT All REIT index had dropped &gt;70% and from February 2009 to December 2016, it had bounced up by approximately 220% (</w:t>
      </w:r>
      <w:hyperlink r:id="rId230" w:tgtFrame="_blank" w:history="1">
        <w:r w:rsidR="00A4606E" w:rsidRPr="00923237">
          <w:rPr>
            <w:rStyle w:val="Hyperlink"/>
            <w:rFonts w:eastAsiaTheme="majorEastAsia" w:cstheme="minorHAnsi"/>
            <w:color w:val="0C7DBB"/>
          </w:rPr>
          <w:t>https://www.reit.com/data-research/reit-indexes/monthly-index-values-returns</w:t>
        </w:r>
      </w:hyperlink>
      <w:r w:rsidR="00A4606E" w:rsidRPr="00923237">
        <w:rPr>
          <w:rFonts w:cstheme="minorHAnsi"/>
          <w:color w:val="2E2E2E"/>
        </w:rPr>
        <w:t>).</w:t>
      </w:r>
    </w:p>
    <w:p w14:paraId="5C9FA21D" w14:textId="77777777" w:rsidR="00617C12" w:rsidRPr="00923237" w:rsidRDefault="00617C12" w:rsidP="00D33FC1">
      <w:pPr>
        <w:rPr>
          <w:rFonts w:cstheme="minorHAnsi"/>
        </w:rPr>
      </w:pPr>
    </w:p>
    <w:sectPr w:rsidR="00617C12" w:rsidRPr="00923237" w:rsidSect="00DE24E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6D62EB3"/>
    <w:multiLevelType w:val="multilevel"/>
    <w:tmpl w:val="8F8C6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ocumentProtection w:edit="readOnly" w:formatting="1" w:enforcement="1" w:cryptProviderType="rsaAES" w:cryptAlgorithmClass="hash" w:cryptAlgorithmType="typeAny" w:cryptAlgorithmSid="14" w:cryptSpinCount="100000" w:hash="y/pZsap+McTIRVJtJ/blwCBJ03AwWzdaTW6wgqNiD5iOO9OVg+7eG3nMeLKsn+dorgze61ZYNqGGSRrHYnWRbQ==" w:salt="NNfPbC6NELDg63zTYj7N2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36BFC"/>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2922"/>
    <w:rsid w:val="00083102"/>
    <w:rsid w:val="000846CC"/>
    <w:rsid w:val="00085797"/>
    <w:rsid w:val="00087367"/>
    <w:rsid w:val="0009064A"/>
    <w:rsid w:val="00091430"/>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62AE"/>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D46"/>
    <w:rsid w:val="00160E1F"/>
    <w:rsid w:val="00161372"/>
    <w:rsid w:val="001622DB"/>
    <w:rsid w:val="00163F71"/>
    <w:rsid w:val="0017216D"/>
    <w:rsid w:val="00173556"/>
    <w:rsid w:val="0018114F"/>
    <w:rsid w:val="00181ADF"/>
    <w:rsid w:val="00183A38"/>
    <w:rsid w:val="001854EA"/>
    <w:rsid w:val="00185C26"/>
    <w:rsid w:val="00196C7C"/>
    <w:rsid w:val="001A1C71"/>
    <w:rsid w:val="001A1DF4"/>
    <w:rsid w:val="001A34C4"/>
    <w:rsid w:val="001B5DF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B5A"/>
    <w:rsid w:val="00261F59"/>
    <w:rsid w:val="0026303A"/>
    <w:rsid w:val="00272AF4"/>
    <w:rsid w:val="00276C06"/>
    <w:rsid w:val="00280198"/>
    <w:rsid w:val="00282094"/>
    <w:rsid w:val="002843BC"/>
    <w:rsid w:val="00284A84"/>
    <w:rsid w:val="0029129F"/>
    <w:rsid w:val="00296B90"/>
    <w:rsid w:val="00297296"/>
    <w:rsid w:val="002A0668"/>
    <w:rsid w:val="002A6B8B"/>
    <w:rsid w:val="002A7FBB"/>
    <w:rsid w:val="002B1ED8"/>
    <w:rsid w:val="002B29A9"/>
    <w:rsid w:val="002B419C"/>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83C"/>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C7ACB"/>
    <w:rsid w:val="003D3301"/>
    <w:rsid w:val="003D4641"/>
    <w:rsid w:val="003E05B7"/>
    <w:rsid w:val="003E0C0A"/>
    <w:rsid w:val="003E6CFF"/>
    <w:rsid w:val="004010E3"/>
    <w:rsid w:val="004055B8"/>
    <w:rsid w:val="0040709D"/>
    <w:rsid w:val="004122F9"/>
    <w:rsid w:val="004124D3"/>
    <w:rsid w:val="004139BA"/>
    <w:rsid w:val="00414D5C"/>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14F8"/>
    <w:rsid w:val="004932A8"/>
    <w:rsid w:val="00497E47"/>
    <w:rsid w:val="004A0368"/>
    <w:rsid w:val="004A2715"/>
    <w:rsid w:val="004A2894"/>
    <w:rsid w:val="004A2B41"/>
    <w:rsid w:val="004A3B3E"/>
    <w:rsid w:val="004B2226"/>
    <w:rsid w:val="004B6BED"/>
    <w:rsid w:val="004B77C2"/>
    <w:rsid w:val="004C0B3D"/>
    <w:rsid w:val="004C2D7B"/>
    <w:rsid w:val="004C45D2"/>
    <w:rsid w:val="004C5A21"/>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3790"/>
    <w:rsid w:val="0052658A"/>
    <w:rsid w:val="00533270"/>
    <w:rsid w:val="00533870"/>
    <w:rsid w:val="00540146"/>
    <w:rsid w:val="00543C22"/>
    <w:rsid w:val="0054405B"/>
    <w:rsid w:val="0054567F"/>
    <w:rsid w:val="00546B44"/>
    <w:rsid w:val="00553291"/>
    <w:rsid w:val="005546FF"/>
    <w:rsid w:val="00556B72"/>
    <w:rsid w:val="00557B22"/>
    <w:rsid w:val="005605E4"/>
    <w:rsid w:val="00563D7B"/>
    <w:rsid w:val="00563E3B"/>
    <w:rsid w:val="005643C8"/>
    <w:rsid w:val="0056590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477"/>
    <w:rsid w:val="005C663B"/>
    <w:rsid w:val="005D1C38"/>
    <w:rsid w:val="005D1ED6"/>
    <w:rsid w:val="005D767A"/>
    <w:rsid w:val="005E2628"/>
    <w:rsid w:val="005E5F66"/>
    <w:rsid w:val="005F46EC"/>
    <w:rsid w:val="005F49C9"/>
    <w:rsid w:val="005F71CE"/>
    <w:rsid w:val="005F7244"/>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463D2"/>
    <w:rsid w:val="00650724"/>
    <w:rsid w:val="006517B5"/>
    <w:rsid w:val="00652076"/>
    <w:rsid w:val="006539D1"/>
    <w:rsid w:val="00653DA3"/>
    <w:rsid w:val="00654D37"/>
    <w:rsid w:val="006621F0"/>
    <w:rsid w:val="006647E7"/>
    <w:rsid w:val="00666FD4"/>
    <w:rsid w:val="00667217"/>
    <w:rsid w:val="006702C6"/>
    <w:rsid w:val="006769E6"/>
    <w:rsid w:val="00676C63"/>
    <w:rsid w:val="00682333"/>
    <w:rsid w:val="006844CA"/>
    <w:rsid w:val="006871E0"/>
    <w:rsid w:val="00693B53"/>
    <w:rsid w:val="00695609"/>
    <w:rsid w:val="00697377"/>
    <w:rsid w:val="006A1F61"/>
    <w:rsid w:val="006A533C"/>
    <w:rsid w:val="006A5E52"/>
    <w:rsid w:val="006A712D"/>
    <w:rsid w:val="006A7B71"/>
    <w:rsid w:val="006B20FD"/>
    <w:rsid w:val="006B3B2B"/>
    <w:rsid w:val="006C024E"/>
    <w:rsid w:val="006C60C6"/>
    <w:rsid w:val="006C75BB"/>
    <w:rsid w:val="006C7ED1"/>
    <w:rsid w:val="006D75E1"/>
    <w:rsid w:val="006D7670"/>
    <w:rsid w:val="006E10F4"/>
    <w:rsid w:val="006E10FD"/>
    <w:rsid w:val="006E2996"/>
    <w:rsid w:val="006E2EEC"/>
    <w:rsid w:val="006E471E"/>
    <w:rsid w:val="006E4859"/>
    <w:rsid w:val="006F24E3"/>
    <w:rsid w:val="006F5E3B"/>
    <w:rsid w:val="007065D3"/>
    <w:rsid w:val="007071B1"/>
    <w:rsid w:val="00707EC1"/>
    <w:rsid w:val="00710582"/>
    <w:rsid w:val="00714EE9"/>
    <w:rsid w:val="007246B0"/>
    <w:rsid w:val="007258CB"/>
    <w:rsid w:val="007274DC"/>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3CB7"/>
    <w:rsid w:val="00893E02"/>
    <w:rsid w:val="00894E4C"/>
    <w:rsid w:val="008961C8"/>
    <w:rsid w:val="0089642A"/>
    <w:rsid w:val="008A1743"/>
    <w:rsid w:val="008A23DD"/>
    <w:rsid w:val="008A6C51"/>
    <w:rsid w:val="008B15CF"/>
    <w:rsid w:val="008B2242"/>
    <w:rsid w:val="008B4AD1"/>
    <w:rsid w:val="008B6D93"/>
    <w:rsid w:val="008B7AF1"/>
    <w:rsid w:val="008C3543"/>
    <w:rsid w:val="008C3CA5"/>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3237"/>
    <w:rsid w:val="00925107"/>
    <w:rsid w:val="00925421"/>
    <w:rsid w:val="009267EE"/>
    <w:rsid w:val="00927998"/>
    <w:rsid w:val="00932185"/>
    <w:rsid w:val="009346E4"/>
    <w:rsid w:val="00935F23"/>
    <w:rsid w:val="00936061"/>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1174"/>
    <w:rsid w:val="00A231A4"/>
    <w:rsid w:val="00A310DA"/>
    <w:rsid w:val="00A31682"/>
    <w:rsid w:val="00A32FCB"/>
    <w:rsid w:val="00A3561C"/>
    <w:rsid w:val="00A400BC"/>
    <w:rsid w:val="00A40701"/>
    <w:rsid w:val="00A42169"/>
    <w:rsid w:val="00A424F1"/>
    <w:rsid w:val="00A426B2"/>
    <w:rsid w:val="00A45EE8"/>
    <w:rsid w:val="00A4606E"/>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2CF4"/>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4B01"/>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6F7E"/>
    <w:rsid w:val="00B44237"/>
    <w:rsid w:val="00B47D09"/>
    <w:rsid w:val="00B50108"/>
    <w:rsid w:val="00B525D3"/>
    <w:rsid w:val="00B55B5C"/>
    <w:rsid w:val="00B56290"/>
    <w:rsid w:val="00B61B54"/>
    <w:rsid w:val="00B6351D"/>
    <w:rsid w:val="00B64203"/>
    <w:rsid w:val="00B6519E"/>
    <w:rsid w:val="00B666C8"/>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E5F97"/>
    <w:rsid w:val="00BF6ECD"/>
    <w:rsid w:val="00BF790B"/>
    <w:rsid w:val="00C01E67"/>
    <w:rsid w:val="00C05302"/>
    <w:rsid w:val="00C06B6B"/>
    <w:rsid w:val="00C06F37"/>
    <w:rsid w:val="00C0799A"/>
    <w:rsid w:val="00C1182E"/>
    <w:rsid w:val="00C12836"/>
    <w:rsid w:val="00C13438"/>
    <w:rsid w:val="00C170FF"/>
    <w:rsid w:val="00C173E1"/>
    <w:rsid w:val="00C2019E"/>
    <w:rsid w:val="00C27AEF"/>
    <w:rsid w:val="00C3110E"/>
    <w:rsid w:val="00C32F1B"/>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0A33"/>
    <w:rsid w:val="00C85BDD"/>
    <w:rsid w:val="00C86B81"/>
    <w:rsid w:val="00C91557"/>
    <w:rsid w:val="00C92F74"/>
    <w:rsid w:val="00C93ADA"/>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3FC1"/>
    <w:rsid w:val="00D34A13"/>
    <w:rsid w:val="00D3640D"/>
    <w:rsid w:val="00D368E2"/>
    <w:rsid w:val="00D42AE0"/>
    <w:rsid w:val="00D43F4A"/>
    <w:rsid w:val="00D45330"/>
    <w:rsid w:val="00D45705"/>
    <w:rsid w:val="00D45A48"/>
    <w:rsid w:val="00D45DB8"/>
    <w:rsid w:val="00D45FAE"/>
    <w:rsid w:val="00D505CD"/>
    <w:rsid w:val="00D50821"/>
    <w:rsid w:val="00D52D25"/>
    <w:rsid w:val="00D5668A"/>
    <w:rsid w:val="00D65A57"/>
    <w:rsid w:val="00D66306"/>
    <w:rsid w:val="00D66B18"/>
    <w:rsid w:val="00D726DB"/>
    <w:rsid w:val="00D73164"/>
    <w:rsid w:val="00D77E53"/>
    <w:rsid w:val="00D8135F"/>
    <w:rsid w:val="00D81DD5"/>
    <w:rsid w:val="00D8247D"/>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4EB"/>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191"/>
    <w:rsid w:val="00E43654"/>
    <w:rsid w:val="00E459FA"/>
    <w:rsid w:val="00E45A4B"/>
    <w:rsid w:val="00E46996"/>
    <w:rsid w:val="00E47AF5"/>
    <w:rsid w:val="00E50522"/>
    <w:rsid w:val="00E52F87"/>
    <w:rsid w:val="00E6120D"/>
    <w:rsid w:val="00E61D06"/>
    <w:rsid w:val="00E7043E"/>
    <w:rsid w:val="00E747D9"/>
    <w:rsid w:val="00E75D5D"/>
    <w:rsid w:val="00E766CA"/>
    <w:rsid w:val="00E81F85"/>
    <w:rsid w:val="00E8413D"/>
    <w:rsid w:val="00E84C2A"/>
    <w:rsid w:val="00E84C78"/>
    <w:rsid w:val="00E90CA1"/>
    <w:rsid w:val="00E91D25"/>
    <w:rsid w:val="00E95F4D"/>
    <w:rsid w:val="00E97067"/>
    <w:rsid w:val="00EA6E8E"/>
    <w:rsid w:val="00EA7978"/>
    <w:rsid w:val="00EA7D19"/>
    <w:rsid w:val="00EB1576"/>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04EDB"/>
    <w:rsid w:val="00F12233"/>
    <w:rsid w:val="00F12CE1"/>
    <w:rsid w:val="00F14096"/>
    <w:rsid w:val="00F14820"/>
    <w:rsid w:val="00F30DED"/>
    <w:rsid w:val="00F317EA"/>
    <w:rsid w:val="00F31DB2"/>
    <w:rsid w:val="00F31DC2"/>
    <w:rsid w:val="00F32A6D"/>
    <w:rsid w:val="00F37720"/>
    <w:rsid w:val="00F4046D"/>
    <w:rsid w:val="00F40A6C"/>
    <w:rsid w:val="00F44EA5"/>
    <w:rsid w:val="00F4518D"/>
    <w:rsid w:val="00F468F0"/>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27E1"/>
    <w:rsid w:val="00F74422"/>
    <w:rsid w:val="00F74CAE"/>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791D"/>
    <w:rsid w:val="00FD0FFF"/>
    <w:rsid w:val="00FE2208"/>
    <w:rsid w:val="00FE2769"/>
    <w:rsid w:val="00FE2ED0"/>
    <w:rsid w:val="00FE3C8C"/>
    <w:rsid w:val="00FE430B"/>
    <w:rsid w:val="00FE46AF"/>
    <w:rsid w:val="00FE73C3"/>
    <w:rsid w:val="00FF113C"/>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A4606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A4606E"/>
    <w:rPr>
      <w:color w:val="800080"/>
      <w:u w:val="single"/>
    </w:rPr>
  </w:style>
  <w:style w:type="paragraph" w:customStyle="1" w:styleId="previous">
    <w:name w:val="previous"/>
    <w:basedOn w:val="Normal"/>
    <w:rsid w:val="00A460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A4606E"/>
  </w:style>
  <w:style w:type="character" w:customStyle="1" w:styleId="extra-detail-1">
    <w:name w:val="extra-detail-1"/>
    <w:basedOn w:val="DefaultParagraphFont"/>
    <w:rsid w:val="00A4606E"/>
  </w:style>
  <w:style w:type="character" w:customStyle="1" w:styleId="extra-detail-2">
    <w:name w:val="extra-detail-2"/>
    <w:basedOn w:val="DefaultParagraphFont"/>
    <w:rsid w:val="00A4606E"/>
  </w:style>
  <w:style w:type="paragraph" w:customStyle="1" w:styleId="next">
    <w:name w:val="next"/>
    <w:basedOn w:val="Normal"/>
    <w:rsid w:val="00A460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A4606E"/>
  </w:style>
  <w:style w:type="character" w:customStyle="1" w:styleId="label">
    <w:name w:val="label"/>
    <w:basedOn w:val="DefaultParagraphFont"/>
    <w:rsid w:val="00A4606E"/>
  </w:style>
  <w:style w:type="character" w:customStyle="1" w:styleId="display">
    <w:name w:val="display"/>
    <w:basedOn w:val="DefaultParagraphFont"/>
    <w:rsid w:val="00A4606E"/>
  </w:style>
  <w:style w:type="character" w:customStyle="1" w:styleId="anchor-text">
    <w:name w:val="anchor-text"/>
    <w:basedOn w:val="DefaultParagraphFont"/>
    <w:rsid w:val="00A4606E"/>
  </w:style>
  <w:style w:type="character" w:customStyle="1" w:styleId="copyright-line">
    <w:name w:val="copyright-line"/>
    <w:basedOn w:val="DefaultParagraphFont"/>
    <w:rsid w:val="00A460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758526793">
      <w:bodyDiv w:val="1"/>
      <w:marLeft w:val="0"/>
      <w:marRight w:val="0"/>
      <w:marTop w:val="0"/>
      <w:marBottom w:val="0"/>
      <w:divBdr>
        <w:top w:val="none" w:sz="0" w:space="0" w:color="auto"/>
        <w:left w:val="none" w:sz="0" w:space="0" w:color="auto"/>
        <w:bottom w:val="none" w:sz="0" w:space="0" w:color="auto"/>
        <w:right w:val="none" w:sz="0" w:space="0" w:color="auto"/>
      </w:divBdr>
    </w:div>
    <w:div w:id="821850405">
      <w:bodyDiv w:val="1"/>
      <w:marLeft w:val="0"/>
      <w:marRight w:val="0"/>
      <w:marTop w:val="0"/>
      <w:marBottom w:val="0"/>
      <w:divBdr>
        <w:top w:val="none" w:sz="0" w:space="0" w:color="auto"/>
        <w:left w:val="none" w:sz="0" w:space="0" w:color="auto"/>
        <w:bottom w:val="none" w:sz="0" w:space="0" w:color="auto"/>
        <w:right w:val="none" w:sz="0" w:space="0" w:color="auto"/>
      </w:divBdr>
      <w:divsChild>
        <w:div w:id="1925265288">
          <w:marLeft w:val="0"/>
          <w:marRight w:val="0"/>
          <w:marTop w:val="0"/>
          <w:marBottom w:val="0"/>
          <w:divBdr>
            <w:top w:val="none" w:sz="0" w:space="0" w:color="auto"/>
            <w:left w:val="none" w:sz="0" w:space="0" w:color="auto"/>
            <w:bottom w:val="none" w:sz="0" w:space="0" w:color="auto"/>
            <w:right w:val="none" w:sz="0" w:space="0" w:color="auto"/>
          </w:divBdr>
          <w:divsChild>
            <w:div w:id="1839077372">
              <w:marLeft w:val="0"/>
              <w:marRight w:val="0"/>
              <w:marTop w:val="0"/>
              <w:marBottom w:val="120"/>
              <w:divBdr>
                <w:top w:val="none" w:sz="0" w:space="0" w:color="auto"/>
                <w:left w:val="none" w:sz="0" w:space="0" w:color="auto"/>
                <w:bottom w:val="none" w:sz="0" w:space="0" w:color="auto"/>
                <w:right w:val="none" w:sz="0" w:space="0" w:color="auto"/>
              </w:divBdr>
              <w:divsChild>
                <w:div w:id="1281179268">
                  <w:marLeft w:val="0"/>
                  <w:marRight w:val="0"/>
                  <w:marTop w:val="0"/>
                  <w:marBottom w:val="0"/>
                  <w:divBdr>
                    <w:top w:val="none" w:sz="0" w:space="0" w:color="auto"/>
                    <w:left w:val="none" w:sz="0" w:space="0" w:color="auto"/>
                    <w:bottom w:val="none" w:sz="0" w:space="0" w:color="auto"/>
                    <w:right w:val="none" w:sz="0" w:space="0" w:color="auto"/>
                  </w:divBdr>
                </w:div>
              </w:divsChild>
            </w:div>
            <w:div w:id="770784700">
              <w:marLeft w:val="0"/>
              <w:marRight w:val="0"/>
              <w:marTop w:val="0"/>
              <w:marBottom w:val="120"/>
              <w:divBdr>
                <w:top w:val="none" w:sz="0" w:space="0" w:color="auto"/>
                <w:left w:val="none" w:sz="0" w:space="0" w:color="auto"/>
                <w:bottom w:val="none" w:sz="0" w:space="0" w:color="auto"/>
                <w:right w:val="none" w:sz="0" w:space="0" w:color="auto"/>
              </w:divBdr>
              <w:divsChild>
                <w:div w:id="56977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63921">
          <w:marLeft w:val="0"/>
          <w:marRight w:val="0"/>
          <w:marTop w:val="0"/>
          <w:marBottom w:val="480"/>
          <w:divBdr>
            <w:top w:val="none" w:sz="0" w:space="0" w:color="auto"/>
            <w:left w:val="none" w:sz="0" w:space="0" w:color="auto"/>
            <w:bottom w:val="single" w:sz="12" w:space="24" w:color="EBEBEB"/>
            <w:right w:val="none" w:sz="0" w:space="0" w:color="auto"/>
          </w:divBdr>
          <w:divsChild>
            <w:div w:id="1913923311">
              <w:marLeft w:val="0"/>
              <w:marRight w:val="0"/>
              <w:marTop w:val="0"/>
              <w:marBottom w:val="0"/>
              <w:divBdr>
                <w:top w:val="none" w:sz="0" w:space="0" w:color="auto"/>
                <w:left w:val="none" w:sz="0" w:space="0" w:color="auto"/>
                <w:bottom w:val="none" w:sz="0" w:space="0" w:color="auto"/>
                <w:right w:val="none" w:sz="0" w:space="0" w:color="auto"/>
              </w:divBdr>
              <w:divsChild>
                <w:div w:id="1757360550">
                  <w:marLeft w:val="0"/>
                  <w:marRight w:val="0"/>
                  <w:marTop w:val="0"/>
                  <w:marBottom w:val="0"/>
                  <w:divBdr>
                    <w:top w:val="none" w:sz="0" w:space="0" w:color="auto"/>
                    <w:left w:val="none" w:sz="0" w:space="0" w:color="auto"/>
                    <w:bottom w:val="none" w:sz="0" w:space="0" w:color="auto"/>
                    <w:right w:val="none" w:sz="0" w:space="0" w:color="auto"/>
                  </w:divBdr>
                </w:div>
                <w:div w:id="1011879997">
                  <w:marLeft w:val="0"/>
                  <w:marRight w:val="0"/>
                  <w:marTop w:val="0"/>
                  <w:marBottom w:val="0"/>
                  <w:divBdr>
                    <w:top w:val="none" w:sz="0" w:space="0" w:color="auto"/>
                    <w:left w:val="none" w:sz="0" w:space="0" w:color="auto"/>
                    <w:bottom w:val="none" w:sz="0" w:space="0" w:color="auto"/>
                    <w:right w:val="none" w:sz="0" w:space="0" w:color="auto"/>
                  </w:divBdr>
                </w:div>
                <w:div w:id="1998024191">
                  <w:marLeft w:val="0"/>
                  <w:marRight w:val="0"/>
                  <w:marTop w:val="0"/>
                  <w:marBottom w:val="0"/>
                  <w:divBdr>
                    <w:top w:val="none" w:sz="0" w:space="0" w:color="auto"/>
                    <w:left w:val="none" w:sz="0" w:space="0" w:color="auto"/>
                    <w:bottom w:val="none" w:sz="0" w:space="0" w:color="auto"/>
                    <w:right w:val="none" w:sz="0" w:space="0" w:color="auto"/>
                  </w:divBdr>
                </w:div>
              </w:divsChild>
            </w:div>
            <w:div w:id="947389256">
              <w:marLeft w:val="0"/>
              <w:marRight w:val="0"/>
              <w:marTop w:val="0"/>
              <w:marBottom w:val="0"/>
              <w:divBdr>
                <w:top w:val="none" w:sz="0" w:space="0" w:color="auto"/>
                <w:left w:val="none" w:sz="0" w:space="0" w:color="auto"/>
                <w:bottom w:val="none" w:sz="0" w:space="0" w:color="auto"/>
                <w:right w:val="none" w:sz="0" w:space="0" w:color="auto"/>
              </w:divBdr>
              <w:divsChild>
                <w:div w:id="631525297">
                  <w:marLeft w:val="0"/>
                  <w:marRight w:val="0"/>
                  <w:marTop w:val="0"/>
                  <w:marBottom w:val="0"/>
                  <w:divBdr>
                    <w:top w:val="none" w:sz="0" w:space="0" w:color="auto"/>
                    <w:left w:val="none" w:sz="0" w:space="0" w:color="auto"/>
                    <w:bottom w:val="none" w:sz="0" w:space="0" w:color="auto"/>
                    <w:right w:val="none" w:sz="0" w:space="0" w:color="auto"/>
                  </w:divBdr>
                </w:div>
                <w:div w:id="1483503694">
                  <w:marLeft w:val="0"/>
                  <w:marRight w:val="0"/>
                  <w:marTop w:val="0"/>
                  <w:marBottom w:val="0"/>
                  <w:divBdr>
                    <w:top w:val="none" w:sz="0" w:space="0" w:color="auto"/>
                    <w:left w:val="none" w:sz="0" w:space="0" w:color="auto"/>
                    <w:bottom w:val="none" w:sz="0" w:space="0" w:color="auto"/>
                    <w:right w:val="none" w:sz="0" w:space="0" w:color="auto"/>
                  </w:divBdr>
                </w:div>
                <w:div w:id="1953975077">
                  <w:marLeft w:val="0"/>
                  <w:marRight w:val="0"/>
                  <w:marTop w:val="0"/>
                  <w:marBottom w:val="0"/>
                  <w:divBdr>
                    <w:top w:val="none" w:sz="0" w:space="0" w:color="auto"/>
                    <w:left w:val="none" w:sz="0" w:space="0" w:color="auto"/>
                    <w:bottom w:val="none" w:sz="0" w:space="0" w:color="auto"/>
                    <w:right w:val="none" w:sz="0" w:space="0" w:color="auto"/>
                  </w:divBdr>
                </w:div>
                <w:div w:id="1441022501">
                  <w:marLeft w:val="0"/>
                  <w:marRight w:val="0"/>
                  <w:marTop w:val="0"/>
                  <w:marBottom w:val="0"/>
                  <w:divBdr>
                    <w:top w:val="none" w:sz="0" w:space="0" w:color="auto"/>
                    <w:left w:val="none" w:sz="0" w:space="0" w:color="auto"/>
                    <w:bottom w:val="none" w:sz="0" w:space="0" w:color="auto"/>
                    <w:right w:val="none" w:sz="0" w:space="0" w:color="auto"/>
                  </w:divBdr>
                </w:div>
                <w:div w:id="874266847">
                  <w:marLeft w:val="0"/>
                  <w:marRight w:val="0"/>
                  <w:marTop w:val="0"/>
                  <w:marBottom w:val="0"/>
                  <w:divBdr>
                    <w:top w:val="none" w:sz="0" w:space="0" w:color="auto"/>
                    <w:left w:val="none" w:sz="0" w:space="0" w:color="auto"/>
                    <w:bottom w:val="none" w:sz="0" w:space="0" w:color="auto"/>
                    <w:right w:val="none" w:sz="0" w:space="0" w:color="auto"/>
                  </w:divBdr>
                </w:div>
                <w:div w:id="131078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832814">
          <w:marLeft w:val="0"/>
          <w:marRight w:val="0"/>
          <w:marTop w:val="0"/>
          <w:marBottom w:val="0"/>
          <w:divBdr>
            <w:top w:val="none" w:sz="0" w:space="0" w:color="auto"/>
            <w:left w:val="none" w:sz="0" w:space="0" w:color="auto"/>
            <w:bottom w:val="none" w:sz="0" w:space="0" w:color="auto"/>
            <w:right w:val="none" w:sz="0" w:space="0" w:color="auto"/>
          </w:divBdr>
          <w:divsChild>
            <w:div w:id="1414160539">
              <w:marLeft w:val="0"/>
              <w:marRight w:val="0"/>
              <w:marTop w:val="0"/>
              <w:marBottom w:val="0"/>
              <w:divBdr>
                <w:top w:val="none" w:sz="0" w:space="0" w:color="auto"/>
                <w:left w:val="none" w:sz="0" w:space="0" w:color="auto"/>
                <w:bottom w:val="none" w:sz="0" w:space="0" w:color="auto"/>
                <w:right w:val="none" w:sz="0" w:space="0" w:color="auto"/>
              </w:divBdr>
              <w:divsChild>
                <w:div w:id="430853318">
                  <w:marLeft w:val="0"/>
                  <w:marRight w:val="0"/>
                  <w:marTop w:val="0"/>
                  <w:marBottom w:val="0"/>
                  <w:divBdr>
                    <w:top w:val="none" w:sz="0" w:space="0" w:color="auto"/>
                    <w:left w:val="none" w:sz="0" w:space="0" w:color="auto"/>
                    <w:bottom w:val="none" w:sz="0" w:space="0" w:color="auto"/>
                    <w:right w:val="none" w:sz="0" w:space="0" w:color="auto"/>
                  </w:divBdr>
                  <w:divsChild>
                    <w:div w:id="525872972">
                      <w:marLeft w:val="0"/>
                      <w:marRight w:val="0"/>
                      <w:marTop w:val="240"/>
                      <w:marBottom w:val="240"/>
                      <w:divBdr>
                        <w:top w:val="single" w:sz="12" w:space="0" w:color="EBEBEB"/>
                        <w:left w:val="none" w:sz="0" w:space="0" w:color="auto"/>
                        <w:bottom w:val="single" w:sz="12" w:space="0" w:color="EBEBEB"/>
                        <w:right w:val="none" w:sz="0" w:space="0" w:color="auto"/>
                      </w:divBdr>
                      <w:divsChild>
                        <w:div w:id="47109401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67677">
                  <w:marLeft w:val="0"/>
                  <w:marRight w:val="0"/>
                  <w:marTop w:val="0"/>
                  <w:marBottom w:val="0"/>
                  <w:divBdr>
                    <w:top w:val="none" w:sz="0" w:space="0" w:color="auto"/>
                    <w:left w:val="none" w:sz="0" w:space="0" w:color="auto"/>
                    <w:bottom w:val="none" w:sz="0" w:space="0" w:color="auto"/>
                    <w:right w:val="none" w:sz="0" w:space="0" w:color="auto"/>
                  </w:divBdr>
                  <w:divsChild>
                    <w:div w:id="629357959">
                      <w:marLeft w:val="0"/>
                      <w:marRight w:val="0"/>
                      <w:marTop w:val="240"/>
                      <w:marBottom w:val="240"/>
                      <w:divBdr>
                        <w:top w:val="single" w:sz="12" w:space="0" w:color="EBEBEB"/>
                        <w:left w:val="none" w:sz="0" w:space="0" w:color="auto"/>
                        <w:bottom w:val="single" w:sz="12" w:space="0" w:color="EBEBEB"/>
                        <w:right w:val="none" w:sz="0" w:space="0" w:color="auto"/>
                      </w:divBdr>
                      <w:divsChild>
                        <w:div w:id="21276513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19965728">
                  <w:marLeft w:val="0"/>
                  <w:marRight w:val="0"/>
                  <w:marTop w:val="0"/>
                  <w:marBottom w:val="0"/>
                  <w:divBdr>
                    <w:top w:val="none" w:sz="0" w:space="0" w:color="auto"/>
                    <w:left w:val="none" w:sz="0" w:space="0" w:color="auto"/>
                    <w:bottom w:val="none" w:sz="0" w:space="0" w:color="auto"/>
                    <w:right w:val="none" w:sz="0" w:space="0" w:color="auto"/>
                  </w:divBdr>
                  <w:divsChild>
                    <w:div w:id="1644314861">
                      <w:marLeft w:val="0"/>
                      <w:marRight w:val="0"/>
                      <w:marTop w:val="240"/>
                      <w:marBottom w:val="240"/>
                      <w:divBdr>
                        <w:top w:val="single" w:sz="12" w:space="0" w:color="EBEBEB"/>
                        <w:left w:val="none" w:sz="0" w:space="0" w:color="auto"/>
                        <w:bottom w:val="single" w:sz="12" w:space="0" w:color="EBEBEB"/>
                        <w:right w:val="none" w:sz="0" w:space="0" w:color="auto"/>
                      </w:divBdr>
                      <w:divsChild>
                        <w:div w:id="3895005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6118087">
                  <w:marLeft w:val="0"/>
                  <w:marRight w:val="0"/>
                  <w:marTop w:val="0"/>
                  <w:marBottom w:val="0"/>
                  <w:divBdr>
                    <w:top w:val="none" w:sz="0" w:space="0" w:color="auto"/>
                    <w:left w:val="none" w:sz="0" w:space="0" w:color="auto"/>
                    <w:bottom w:val="none" w:sz="0" w:space="0" w:color="auto"/>
                    <w:right w:val="none" w:sz="0" w:space="0" w:color="auto"/>
                  </w:divBdr>
                  <w:divsChild>
                    <w:div w:id="535582806">
                      <w:marLeft w:val="0"/>
                      <w:marRight w:val="0"/>
                      <w:marTop w:val="240"/>
                      <w:marBottom w:val="240"/>
                      <w:divBdr>
                        <w:top w:val="single" w:sz="12" w:space="0" w:color="EBEBEB"/>
                        <w:left w:val="none" w:sz="0" w:space="0" w:color="auto"/>
                        <w:bottom w:val="single" w:sz="12" w:space="0" w:color="EBEBEB"/>
                        <w:right w:val="none" w:sz="0" w:space="0" w:color="auto"/>
                      </w:divBdr>
                      <w:divsChild>
                        <w:div w:id="18052712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4145909">
                  <w:marLeft w:val="0"/>
                  <w:marRight w:val="0"/>
                  <w:marTop w:val="0"/>
                  <w:marBottom w:val="0"/>
                  <w:divBdr>
                    <w:top w:val="none" w:sz="0" w:space="0" w:color="auto"/>
                    <w:left w:val="none" w:sz="0" w:space="0" w:color="auto"/>
                    <w:bottom w:val="none" w:sz="0" w:space="0" w:color="auto"/>
                    <w:right w:val="none" w:sz="0" w:space="0" w:color="auto"/>
                  </w:divBdr>
                  <w:divsChild>
                    <w:div w:id="2134984453">
                      <w:marLeft w:val="0"/>
                      <w:marRight w:val="0"/>
                      <w:marTop w:val="240"/>
                      <w:marBottom w:val="240"/>
                      <w:divBdr>
                        <w:top w:val="single" w:sz="12" w:space="0" w:color="EBEBEB"/>
                        <w:left w:val="none" w:sz="0" w:space="0" w:color="auto"/>
                        <w:bottom w:val="single" w:sz="12" w:space="0" w:color="EBEBEB"/>
                        <w:right w:val="none" w:sz="0" w:space="0" w:color="auto"/>
                      </w:divBdr>
                      <w:divsChild>
                        <w:div w:id="23443750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0443030">
                  <w:marLeft w:val="0"/>
                  <w:marRight w:val="0"/>
                  <w:marTop w:val="0"/>
                  <w:marBottom w:val="0"/>
                  <w:divBdr>
                    <w:top w:val="none" w:sz="0" w:space="0" w:color="auto"/>
                    <w:left w:val="none" w:sz="0" w:space="0" w:color="auto"/>
                    <w:bottom w:val="none" w:sz="0" w:space="0" w:color="auto"/>
                    <w:right w:val="none" w:sz="0" w:space="0" w:color="auto"/>
                  </w:divBdr>
                  <w:divsChild>
                    <w:div w:id="1233199571">
                      <w:marLeft w:val="0"/>
                      <w:marRight w:val="0"/>
                      <w:marTop w:val="240"/>
                      <w:marBottom w:val="240"/>
                      <w:divBdr>
                        <w:top w:val="single" w:sz="12" w:space="0" w:color="EBEBEB"/>
                        <w:left w:val="none" w:sz="0" w:space="0" w:color="auto"/>
                        <w:bottom w:val="single" w:sz="12" w:space="0" w:color="EBEBEB"/>
                        <w:right w:val="none" w:sz="0" w:space="0" w:color="auto"/>
                      </w:divBdr>
                      <w:divsChild>
                        <w:div w:id="199717617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4717473">
                  <w:marLeft w:val="0"/>
                  <w:marRight w:val="0"/>
                  <w:marTop w:val="0"/>
                  <w:marBottom w:val="0"/>
                  <w:divBdr>
                    <w:top w:val="none" w:sz="0" w:space="0" w:color="auto"/>
                    <w:left w:val="none" w:sz="0" w:space="0" w:color="auto"/>
                    <w:bottom w:val="none" w:sz="0" w:space="0" w:color="auto"/>
                    <w:right w:val="none" w:sz="0" w:space="0" w:color="auto"/>
                  </w:divBdr>
                  <w:divsChild>
                    <w:div w:id="81338712">
                      <w:marLeft w:val="0"/>
                      <w:marRight w:val="0"/>
                      <w:marTop w:val="240"/>
                      <w:marBottom w:val="240"/>
                      <w:divBdr>
                        <w:top w:val="single" w:sz="12" w:space="0" w:color="EBEBEB"/>
                        <w:left w:val="none" w:sz="0" w:space="0" w:color="auto"/>
                        <w:bottom w:val="single" w:sz="12" w:space="0" w:color="EBEBEB"/>
                        <w:right w:val="none" w:sz="0" w:space="0" w:color="auto"/>
                      </w:divBdr>
                      <w:divsChild>
                        <w:div w:id="9508639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74997627">
                  <w:marLeft w:val="0"/>
                  <w:marRight w:val="0"/>
                  <w:marTop w:val="0"/>
                  <w:marBottom w:val="0"/>
                  <w:divBdr>
                    <w:top w:val="none" w:sz="0" w:space="0" w:color="auto"/>
                    <w:left w:val="none" w:sz="0" w:space="0" w:color="auto"/>
                    <w:bottom w:val="none" w:sz="0" w:space="0" w:color="auto"/>
                    <w:right w:val="none" w:sz="0" w:space="0" w:color="auto"/>
                  </w:divBdr>
                  <w:divsChild>
                    <w:div w:id="26151816">
                      <w:marLeft w:val="0"/>
                      <w:marRight w:val="0"/>
                      <w:marTop w:val="240"/>
                      <w:marBottom w:val="240"/>
                      <w:divBdr>
                        <w:top w:val="single" w:sz="12" w:space="0" w:color="EBEBEB"/>
                        <w:left w:val="none" w:sz="0" w:space="0" w:color="auto"/>
                        <w:bottom w:val="single" w:sz="12" w:space="0" w:color="EBEBEB"/>
                        <w:right w:val="none" w:sz="0" w:space="0" w:color="auto"/>
                      </w:divBdr>
                      <w:divsChild>
                        <w:div w:id="175100193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068844896">
              <w:marLeft w:val="0"/>
              <w:marRight w:val="0"/>
              <w:marTop w:val="0"/>
              <w:marBottom w:val="0"/>
              <w:divBdr>
                <w:top w:val="none" w:sz="0" w:space="0" w:color="auto"/>
                <w:left w:val="none" w:sz="0" w:space="0" w:color="auto"/>
                <w:bottom w:val="none" w:sz="0" w:space="0" w:color="auto"/>
                <w:right w:val="none" w:sz="0" w:space="0" w:color="auto"/>
              </w:divBdr>
              <w:divsChild>
                <w:div w:id="852033934">
                  <w:marLeft w:val="0"/>
                  <w:marRight w:val="0"/>
                  <w:marTop w:val="240"/>
                  <w:marBottom w:val="240"/>
                  <w:divBdr>
                    <w:top w:val="single" w:sz="12" w:space="0" w:color="EBEBEB"/>
                    <w:left w:val="none" w:sz="0" w:space="0" w:color="auto"/>
                    <w:bottom w:val="single" w:sz="12" w:space="0" w:color="EBEBEB"/>
                    <w:right w:val="none" w:sz="0" w:space="0" w:color="auto"/>
                  </w:divBdr>
                  <w:divsChild>
                    <w:div w:id="1847671800">
                      <w:marLeft w:val="0"/>
                      <w:marRight w:val="0"/>
                      <w:marTop w:val="240"/>
                      <w:marBottom w:val="240"/>
                      <w:divBdr>
                        <w:top w:val="none" w:sz="0" w:space="0" w:color="auto"/>
                        <w:left w:val="none" w:sz="0" w:space="0" w:color="auto"/>
                        <w:bottom w:val="none" w:sz="0" w:space="0" w:color="auto"/>
                        <w:right w:val="none" w:sz="0" w:space="0" w:color="auto"/>
                      </w:divBdr>
                    </w:div>
                  </w:divsChild>
                </w:div>
                <w:div w:id="1966614859">
                  <w:marLeft w:val="0"/>
                  <w:marRight w:val="0"/>
                  <w:marTop w:val="240"/>
                  <w:marBottom w:val="240"/>
                  <w:divBdr>
                    <w:top w:val="single" w:sz="12" w:space="0" w:color="EBEBEB"/>
                    <w:left w:val="none" w:sz="0" w:space="0" w:color="auto"/>
                    <w:bottom w:val="single" w:sz="12" w:space="0" w:color="EBEBEB"/>
                    <w:right w:val="none" w:sz="0" w:space="0" w:color="auto"/>
                  </w:divBdr>
                  <w:divsChild>
                    <w:div w:id="15781278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53183313">
          <w:marLeft w:val="0"/>
          <w:marRight w:val="0"/>
          <w:marTop w:val="0"/>
          <w:marBottom w:val="0"/>
          <w:divBdr>
            <w:top w:val="none" w:sz="0" w:space="0" w:color="auto"/>
            <w:left w:val="none" w:sz="0" w:space="0" w:color="auto"/>
            <w:bottom w:val="none" w:sz="0" w:space="0" w:color="auto"/>
            <w:right w:val="none" w:sz="0" w:space="0" w:color="auto"/>
          </w:divBdr>
        </w:div>
        <w:div w:id="553470434">
          <w:marLeft w:val="0"/>
          <w:marRight w:val="0"/>
          <w:marTop w:val="0"/>
          <w:marBottom w:val="0"/>
          <w:divBdr>
            <w:top w:val="none" w:sz="0" w:space="0" w:color="auto"/>
            <w:left w:val="none" w:sz="0" w:space="0" w:color="auto"/>
            <w:bottom w:val="none" w:sz="0" w:space="0" w:color="auto"/>
            <w:right w:val="none" w:sz="0" w:space="0" w:color="auto"/>
          </w:divBdr>
        </w:div>
        <w:div w:id="124398980">
          <w:marLeft w:val="0"/>
          <w:marRight w:val="0"/>
          <w:marTop w:val="0"/>
          <w:marBottom w:val="0"/>
          <w:divBdr>
            <w:top w:val="none" w:sz="0" w:space="0" w:color="auto"/>
            <w:left w:val="none" w:sz="0" w:space="0" w:color="auto"/>
            <w:bottom w:val="none" w:sz="0" w:space="0" w:color="auto"/>
            <w:right w:val="none" w:sz="0" w:space="0" w:color="auto"/>
          </w:divBdr>
        </w:div>
        <w:div w:id="759066346">
          <w:marLeft w:val="0"/>
          <w:marRight w:val="0"/>
          <w:marTop w:val="0"/>
          <w:marBottom w:val="0"/>
          <w:divBdr>
            <w:top w:val="none" w:sz="0" w:space="0" w:color="auto"/>
            <w:left w:val="none" w:sz="0" w:space="0" w:color="auto"/>
            <w:bottom w:val="none" w:sz="0" w:space="0" w:color="auto"/>
            <w:right w:val="none" w:sz="0" w:space="0" w:color="auto"/>
          </w:divBdr>
        </w:div>
        <w:div w:id="1037504793">
          <w:marLeft w:val="0"/>
          <w:marRight w:val="0"/>
          <w:marTop w:val="0"/>
          <w:marBottom w:val="0"/>
          <w:divBdr>
            <w:top w:val="none" w:sz="0" w:space="0" w:color="auto"/>
            <w:left w:val="none" w:sz="0" w:space="0" w:color="auto"/>
            <w:bottom w:val="none" w:sz="0" w:space="0" w:color="auto"/>
            <w:right w:val="none" w:sz="0" w:space="0" w:color="auto"/>
          </w:divBdr>
        </w:div>
        <w:div w:id="50351707">
          <w:marLeft w:val="0"/>
          <w:marRight w:val="0"/>
          <w:marTop w:val="0"/>
          <w:marBottom w:val="0"/>
          <w:divBdr>
            <w:top w:val="none" w:sz="0" w:space="0" w:color="auto"/>
            <w:left w:val="none" w:sz="0" w:space="0" w:color="auto"/>
            <w:bottom w:val="none" w:sz="0" w:space="0" w:color="auto"/>
            <w:right w:val="none" w:sz="0" w:space="0" w:color="auto"/>
          </w:divBdr>
        </w:div>
        <w:div w:id="380788728">
          <w:marLeft w:val="0"/>
          <w:marRight w:val="0"/>
          <w:marTop w:val="0"/>
          <w:marBottom w:val="0"/>
          <w:divBdr>
            <w:top w:val="none" w:sz="0" w:space="0" w:color="auto"/>
            <w:left w:val="none" w:sz="0" w:space="0" w:color="auto"/>
            <w:bottom w:val="none" w:sz="0" w:space="0" w:color="auto"/>
            <w:right w:val="none" w:sz="0" w:space="0" w:color="auto"/>
          </w:divBdr>
        </w:div>
        <w:div w:id="1395466271">
          <w:marLeft w:val="0"/>
          <w:marRight w:val="0"/>
          <w:marTop w:val="0"/>
          <w:marBottom w:val="0"/>
          <w:divBdr>
            <w:top w:val="none" w:sz="0" w:space="0" w:color="auto"/>
            <w:left w:val="none" w:sz="0" w:space="0" w:color="auto"/>
            <w:bottom w:val="none" w:sz="0" w:space="0" w:color="auto"/>
            <w:right w:val="none" w:sz="0" w:space="0" w:color="auto"/>
          </w:divBdr>
        </w:div>
        <w:div w:id="1760519535">
          <w:marLeft w:val="0"/>
          <w:marRight w:val="0"/>
          <w:marTop w:val="0"/>
          <w:marBottom w:val="0"/>
          <w:divBdr>
            <w:top w:val="none" w:sz="0" w:space="0" w:color="auto"/>
            <w:left w:val="none" w:sz="0" w:space="0" w:color="auto"/>
            <w:bottom w:val="none" w:sz="0" w:space="0" w:color="auto"/>
            <w:right w:val="none" w:sz="0" w:space="0" w:color="auto"/>
          </w:divBdr>
        </w:div>
        <w:div w:id="1923487967">
          <w:marLeft w:val="0"/>
          <w:marRight w:val="0"/>
          <w:marTop w:val="0"/>
          <w:marBottom w:val="0"/>
          <w:divBdr>
            <w:top w:val="none" w:sz="0" w:space="0" w:color="auto"/>
            <w:left w:val="none" w:sz="0" w:space="0" w:color="auto"/>
            <w:bottom w:val="none" w:sz="0" w:space="0" w:color="auto"/>
            <w:right w:val="none" w:sz="0" w:space="0" w:color="auto"/>
          </w:divBdr>
        </w:div>
        <w:div w:id="916552681">
          <w:marLeft w:val="0"/>
          <w:marRight w:val="0"/>
          <w:marTop w:val="0"/>
          <w:marBottom w:val="0"/>
          <w:divBdr>
            <w:top w:val="none" w:sz="0" w:space="0" w:color="auto"/>
            <w:left w:val="none" w:sz="0" w:space="0" w:color="auto"/>
            <w:bottom w:val="none" w:sz="0" w:space="0" w:color="auto"/>
            <w:right w:val="none" w:sz="0" w:space="0" w:color="auto"/>
          </w:divBdr>
        </w:div>
        <w:div w:id="971322193">
          <w:marLeft w:val="0"/>
          <w:marRight w:val="0"/>
          <w:marTop w:val="0"/>
          <w:marBottom w:val="0"/>
          <w:divBdr>
            <w:top w:val="none" w:sz="0" w:space="0" w:color="auto"/>
            <w:left w:val="none" w:sz="0" w:space="0" w:color="auto"/>
            <w:bottom w:val="none" w:sz="0" w:space="0" w:color="auto"/>
            <w:right w:val="none" w:sz="0" w:space="0" w:color="auto"/>
          </w:divBdr>
        </w:div>
        <w:div w:id="1004892871">
          <w:marLeft w:val="0"/>
          <w:marRight w:val="0"/>
          <w:marTop w:val="0"/>
          <w:marBottom w:val="0"/>
          <w:divBdr>
            <w:top w:val="none" w:sz="0" w:space="0" w:color="auto"/>
            <w:left w:val="none" w:sz="0" w:space="0" w:color="auto"/>
            <w:bottom w:val="none" w:sz="0" w:space="0" w:color="auto"/>
            <w:right w:val="none" w:sz="0" w:space="0" w:color="auto"/>
          </w:divBdr>
        </w:div>
        <w:div w:id="1977222484">
          <w:marLeft w:val="0"/>
          <w:marRight w:val="0"/>
          <w:marTop w:val="0"/>
          <w:marBottom w:val="0"/>
          <w:divBdr>
            <w:top w:val="none" w:sz="0" w:space="0" w:color="auto"/>
            <w:left w:val="none" w:sz="0" w:space="0" w:color="auto"/>
            <w:bottom w:val="none" w:sz="0" w:space="0" w:color="auto"/>
            <w:right w:val="none" w:sz="0" w:space="0" w:color="auto"/>
          </w:divBdr>
        </w:div>
        <w:div w:id="2140222064">
          <w:marLeft w:val="0"/>
          <w:marRight w:val="0"/>
          <w:marTop w:val="0"/>
          <w:marBottom w:val="0"/>
          <w:divBdr>
            <w:top w:val="none" w:sz="0" w:space="0" w:color="auto"/>
            <w:left w:val="none" w:sz="0" w:space="0" w:color="auto"/>
            <w:bottom w:val="none" w:sz="0" w:space="0" w:color="auto"/>
            <w:right w:val="none" w:sz="0" w:space="0" w:color="auto"/>
          </w:divBdr>
        </w:div>
        <w:div w:id="282466648">
          <w:marLeft w:val="0"/>
          <w:marRight w:val="0"/>
          <w:marTop w:val="0"/>
          <w:marBottom w:val="0"/>
          <w:divBdr>
            <w:top w:val="none" w:sz="0" w:space="0" w:color="auto"/>
            <w:left w:val="none" w:sz="0" w:space="0" w:color="auto"/>
            <w:bottom w:val="none" w:sz="0" w:space="0" w:color="auto"/>
            <w:right w:val="none" w:sz="0" w:space="0" w:color="auto"/>
          </w:divBdr>
        </w:div>
        <w:div w:id="1362517301">
          <w:marLeft w:val="0"/>
          <w:marRight w:val="0"/>
          <w:marTop w:val="0"/>
          <w:marBottom w:val="0"/>
          <w:divBdr>
            <w:top w:val="none" w:sz="0" w:space="0" w:color="auto"/>
            <w:left w:val="none" w:sz="0" w:space="0" w:color="auto"/>
            <w:bottom w:val="none" w:sz="0" w:space="0" w:color="auto"/>
            <w:right w:val="none" w:sz="0" w:space="0" w:color="auto"/>
          </w:divBdr>
        </w:div>
        <w:div w:id="1329747376">
          <w:marLeft w:val="0"/>
          <w:marRight w:val="0"/>
          <w:marTop w:val="0"/>
          <w:marBottom w:val="0"/>
          <w:divBdr>
            <w:top w:val="none" w:sz="0" w:space="0" w:color="auto"/>
            <w:left w:val="none" w:sz="0" w:space="0" w:color="auto"/>
            <w:bottom w:val="none" w:sz="0" w:space="0" w:color="auto"/>
            <w:right w:val="none" w:sz="0" w:space="0" w:color="auto"/>
          </w:divBdr>
        </w:div>
        <w:div w:id="1767965633">
          <w:marLeft w:val="0"/>
          <w:marRight w:val="0"/>
          <w:marTop w:val="0"/>
          <w:marBottom w:val="0"/>
          <w:divBdr>
            <w:top w:val="none" w:sz="0" w:space="0" w:color="auto"/>
            <w:left w:val="none" w:sz="0" w:space="0" w:color="auto"/>
            <w:bottom w:val="none" w:sz="0" w:space="0" w:color="auto"/>
            <w:right w:val="none" w:sz="0" w:space="0" w:color="auto"/>
          </w:divBdr>
        </w:div>
        <w:div w:id="197546791">
          <w:marLeft w:val="0"/>
          <w:marRight w:val="0"/>
          <w:marTop w:val="0"/>
          <w:marBottom w:val="0"/>
          <w:divBdr>
            <w:top w:val="none" w:sz="0" w:space="0" w:color="auto"/>
            <w:left w:val="none" w:sz="0" w:space="0" w:color="auto"/>
            <w:bottom w:val="none" w:sz="0" w:space="0" w:color="auto"/>
            <w:right w:val="none" w:sz="0" w:space="0" w:color="auto"/>
          </w:divBdr>
        </w:div>
        <w:div w:id="443816989">
          <w:marLeft w:val="0"/>
          <w:marRight w:val="0"/>
          <w:marTop w:val="0"/>
          <w:marBottom w:val="0"/>
          <w:divBdr>
            <w:top w:val="none" w:sz="0" w:space="0" w:color="auto"/>
            <w:left w:val="none" w:sz="0" w:space="0" w:color="auto"/>
            <w:bottom w:val="none" w:sz="0" w:space="0" w:color="auto"/>
            <w:right w:val="none" w:sz="0" w:space="0" w:color="auto"/>
          </w:divBdr>
        </w:div>
        <w:div w:id="389691174">
          <w:marLeft w:val="0"/>
          <w:marRight w:val="0"/>
          <w:marTop w:val="0"/>
          <w:marBottom w:val="0"/>
          <w:divBdr>
            <w:top w:val="none" w:sz="0" w:space="0" w:color="auto"/>
            <w:left w:val="none" w:sz="0" w:space="0" w:color="auto"/>
            <w:bottom w:val="none" w:sz="0" w:space="0" w:color="auto"/>
            <w:right w:val="none" w:sz="0" w:space="0" w:color="auto"/>
          </w:divBdr>
        </w:div>
        <w:div w:id="1219512092">
          <w:marLeft w:val="0"/>
          <w:marRight w:val="0"/>
          <w:marTop w:val="0"/>
          <w:marBottom w:val="0"/>
          <w:divBdr>
            <w:top w:val="none" w:sz="0" w:space="0" w:color="auto"/>
            <w:left w:val="none" w:sz="0" w:space="0" w:color="auto"/>
            <w:bottom w:val="none" w:sz="0" w:space="0" w:color="auto"/>
            <w:right w:val="none" w:sz="0" w:space="0" w:color="auto"/>
          </w:divBdr>
        </w:div>
        <w:div w:id="149449161">
          <w:marLeft w:val="0"/>
          <w:marRight w:val="0"/>
          <w:marTop w:val="0"/>
          <w:marBottom w:val="0"/>
          <w:divBdr>
            <w:top w:val="none" w:sz="0" w:space="0" w:color="auto"/>
            <w:left w:val="none" w:sz="0" w:space="0" w:color="auto"/>
            <w:bottom w:val="none" w:sz="0" w:space="0" w:color="auto"/>
            <w:right w:val="none" w:sz="0" w:space="0" w:color="auto"/>
          </w:divBdr>
        </w:div>
        <w:div w:id="2039238329">
          <w:marLeft w:val="0"/>
          <w:marRight w:val="0"/>
          <w:marTop w:val="0"/>
          <w:marBottom w:val="0"/>
          <w:divBdr>
            <w:top w:val="none" w:sz="0" w:space="0" w:color="auto"/>
            <w:left w:val="none" w:sz="0" w:space="0" w:color="auto"/>
            <w:bottom w:val="none" w:sz="0" w:space="0" w:color="auto"/>
            <w:right w:val="none" w:sz="0" w:space="0" w:color="auto"/>
          </w:divBdr>
        </w:div>
        <w:div w:id="1040783808">
          <w:marLeft w:val="0"/>
          <w:marRight w:val="0"/>
          <w:marTop w:val="0"/>
          <w:marBottom w:val="0"/>
          <w:divBdr>
            <w:top w:val="none" w:sz="0" w:space="0" w:color="auto"/>
            <w:left w:val="none" w:sz="0" w:space="0" w:color="auto"/>
            <w:bottom w:val="none" w:sz="0" w:space="0" w:color="auto"/>
            <w:right w:val="none" w:sz="0" w:space="0" w:color="auto"/>
          </w:divBdr>
        </w:div>
        <w:div w:id="1966349540">
          <w:marLeft w:val="0"/>
          <w:marRight w:val="0"/>
          <w:marTop w:val="0"/>
          <w:marBottom w:val="0"/>
          <w:divBdr>
            <w:top w:val="none" w:sz="0" w:space="0" w:color="auto"/>
            <w:left w:val="none" w:sz="0" w:space="0" w:color="auto"/>
            <w:bottom w:val="none" w:sz="0" w:space="0" w:color="auto"/>
            <w:right w:val="none" w:sz="0" w:space="0" w:color="auto"/>
          </w:divBdr>
        </w:div>
        <w:div w:id="1597059969">
          <w:marLeft w:val="0"/>
          <w:marRight w:val="0"/>
          <w:marTop w:val="0"/>
          <w:marBottom w:val="0"/>
          <w:divBdr>
            <w:top w:val="none" w:sz="0" w:space="0" w:color="auto"/>
            <w:left w:val="none" w:sz="0" w:space="0" w:color="auto"/>
            <w:bottom w:val="none" w:sz="0" w:space="0" w:color="auto"/>
            <w:right w:val="none" w:sz="0" w:space="0" w:color="auto"/>
          </w:divBdr>
        </w:div>
        <w:div w:id="1995378931">
          <w:marLeft w:val="0"/>
          <w:marRight w:val="0"/>
          <w:marTop w:val="0"/>
          <w:marBottom w:val="0"/>
          <w:divBdr>
            <w:top w:val="none" w:sz="0" w:space="0" w:color="auto"/>
            <w:left w:val="none" w:sz="0" w:space="0" w:color="auto"/>
            <w:bottom w:val="none" w:sz="0" w:space="0" w:color="auto"/>
            <w:right w:val="none" w:sz="0" w:space="0" w:color="auto"/>
          </w:divBdr>
        </w:div>
        <w:div w:id="1132407874">
          <w:marLeft w:val="0"/>
          <w:marRight w:val="0"/>
          <w:marTop w:val="0"/>
          <w:marBottom w:val="0"/>
          <w:divBdr>
            <w:top w:val="none" w:sz="0" w:space="0" w:color="auto"/>
            <w:left w:val="none" w:sz="0" w:space="0" w:color="auto"/>
            <w:bottom w:val="none" w:sz="0" w:space="0" w:color="auto"/>
            <w:right w:val="none" w:sz="0" w:space="0" w:color="auto"/>
          </w:divBdr>
        </w:div>
        <w:div w:id="2082486991">
          <w:marLeft w:val="0"/>
          <w:marRight w:val="0"/>
          <w:marTop w:val="0"/>
          <w:marBottom w:val="0"/>
          <w:divBdr>
            <w:top w:val="none" w:sz="0" w:space="0" w:color="auto"/>
            <w:left w:val="none" w:sz="0" w:space="0" w:color="auto"/>
            <w:bottom w:val="none" w:sz="0" w:space="0" w:color="auto"/>
            <w:right w:val="none" w:sz="0" w:space="0" w:color="auto"/>
          </w:divBdr>
        </w:div>
        <w:div w:id="593903269">
          <w:marLeft w:val="0"/>
          <w:marRight w:val="0"/>
          <w:marTop w:val="0"/>
          <w:marBottom w:val="0"/>
          <w:divBdr>
            <w:top w:val="none" w:sz="0" w:space="0" w:color="auto"/>
            <w:left w:val="none" w:sz="0" w:space="0" w:color="auto"/>
            <w:bottom w:val="none" w:sz="0" w:space="0" w:color="auto"/>
            <w:right w:val="none" w:sz="0" w:space="0" w:color="auto"/>
          </w:divBdr>
        </w:div>
        <w:div w:id="1686177100">
          <w:marLeft w:val="0"/>
          <w:marRight w:val="0"/>
          <w:marTop w:val="0"/>
          <w:marBottom w:val="0"/>
          <w:divBdr>
            <w:top w:val="none" w:sz="0" w:space="0" w:color="auto"/>
            <w:left w:val="none" w:sz="0" w:space="0" w:color="auto"/>
            <w:bottom w:val="none" w:sz="0" w:space="0" w:color="auto"/>
            <w:right w:val="none" w:sz="0" w:space="0" w:color="auto"/>
          </w:divBdr>
        </w:div>
        <w:div w:id="1093625544">
          <w:marLeft w:val="0"/>
          <w:marRight w:val="0"/>
          <w:marTop w:val="0"/>
          <w:marBottom w:val="0"/>
          <w:divBdr>
            <w:top w:val="none" w:sz="0" w:space="0" w:color="auto"/>
            <w:left w:val="none" w:sz="0" w:space="0" w:color="auto"/>
            <w:bottom w:val="none" w:sz="0" w:space="0" w:color="auto"/>
            <w:right w:val="none" w:sz="0" w:space="0" w:color="auto"/>
          </w:divBdr>
        </w:div>
        <w:div w:id="595942897">
          <w:marLeft w:val="0"/>
          <w:marRight w:val="0"/>
          <w:marTop w:val="0"/>
          <w:marBottom w:val="0"/>
          <w:divBdr>
            <w:top w:val="none" w:sz="0" w:space="0" w:color="auto"/>
            <w:left w:val="none" w:sz="0" w:space="0" w:color="auto"/>
            <w:bottom w:val="none" w:sz="0" w:space="0" w:color="auto"/>
            <w:right w:val="none" w:sz="0" w:space="0" w:color="auto"/>
          </w:divBdr>
        </w:div>
        <w:div w:id="458304754">
          <w:marLeft w:val="0"/>
          <w:marRight w:val="0"/>
          <w:marTop w:val="0"/>
          <w:marBottom w:val="0"/>
          <w:divBdr>
            <w:top w:val="none" w:sz="0" w:space="0" w:color="auto"/>
            <w:left w:val="none" w:sz="0" w:space="0" w:color="auto"/>
            <w:bottom w:val="none" w:sz="0" w:space="0" w:color="auto"/>
            <w:right w:val="none" w:sz="0" w:space="0" w:color="auto"/>
          </w:divBdr>
        </w:div>
        <w:div w:id="1506676483">
          <w:marLeft w:val="0"/>
          <w:marRight w:val="0"/>
          <w:marTop w:val="0"/>
          <w:marBottom w:val="0"/>
          <w:divBdr>
            <w:top w:val="none" w:sz="0" w:space="0" w:color="auto"/>
            <w:left w:val="none" w:sz="0" w:space="0" w:color="auto"/>
            <w:bottom w:val="none" w:sz="0" w:space="0" w:color="auto"/>
            <w:right w:val="none" w:sz="0" w:space="0" w:color="auto"/>
          </w:divBdr>
        </w:div>
        <w:div w:id="82461126">
          <w:marLeft w:val="0"/>
          <w:marRight w:val="0"/>
          <w:marTop w:val="0"/>
          <w:marBottom w:val="0"/>
          <w:divBdr>
            <w:top w:val="none" w:sz="0" w:space="0" w:color="auto"/>
            <w:left w:val="none" w:sz="0" w:space="0" w:color="auto"/>
            <w:bottom w:val="none" w:sz="0" w:space="0" w:color="auto"/>
            <w:right w:val="none" w:sz="0" w:space="0" w:color="auto"/>
          </w:divBdr>
        </w:div>
        <w:div w:id="1860462898">
          <w:marLeft w:val="0"/>
          <w:marRight w:val="0"/>
          <w:marTop w:val="0"/>
          <w:marBottom w:val="0"/>
          <w:divBdr>
            <w:top w:val="none" w:sz="0" w:space="0" w:color="auto"/>
            <w:left w:val="none" w:sz="0" w:space="0" w:color="auto"/>
            <w:bottom w:val="none" w:sz="0" w:space="0" w:color="auto"/>
            <w:right w:val="none" w:sz="0" w:space="0" w:color="auto"/>
          </w:divBdr>
        </w:div>
        <w:div w:id="1120416890">
          <w:marLeft w:val="0"/>
          <w:marRight w:val="0"/>
          <w:marTop w:val="0"/>
          <w:marBottom w:val="0"/>
          <w:divBdr>
            <w:top w:val="none" w:sz="0" w:space="0" w:color="auto"/>
            <w:left w:val="none" w:sz="0" w:space="0" w:color="auto"/>
            <w:bottom w:val="none" w:sz="0" w:space="0" w:color="auto"/>
            <w:right w:val="none" w:sz="0" w:space="0" w:color="auto"/>
          </w:divBdr>
        </w:div>
        <w:div w:id="1313219864">
          <w:marLeft w:val="0"/>
          <w:marRight w:val="0"/>
          <w:marTop w:val="0"/>
          <w:marBottom w:val="0"/>
          <w:divBdr>
            <w:top w:val="none" w:sz="0" w:space="0" w:color="auto"/>
            <w:left w:val="none" w:sz="0" w:space="0" w:color="auto"/>
            <w:bottom w:val="none" w:sz="0" w:space="0" w:color="auto"/>
            <w:right w:val="none" w:sz="0" w:space="0" w:color="auto"/>
          </w:divBdr>
        </w:div>
        <w:div w:id="663241522">
          <w:marLeft w:val="0"/>
          <w:marRight w:val="0"/>
          <w:marTop w:val="0"/>
          <w:marBottom w:val="0"/>
          <w:divBdr>
            <w:top w:val="none" w:sz="0" w:space="0" w:color="auto"/>
            <w:left w:val="none" w:sz="0" w:space="0" w:color="auto"/>
            <w:bottom w:val="none" w:sz="0" w:space="0" w:color="auto"/>
            <w:right w:val="none" w:sz="0" w:space="0" w:color="auto"/>
          </w:divBdr>
        </w:div>
        <w:div w:id="1616326944">
          <w:marLeft w:val="0"/>
          <w:marRight w:val="0"/>
          <w:marTop w:val="0"/>
          <w:marBottom w:val="0"/>
          <w:divBdr>
            <w:top w:val="none" w:sz="0" w:space="0" w:color="auto"/>
            <w:left w:val="none" w:sz="0" w:space="0" w:color="auto"/>
            <w:bottom w:val="none" w:sz="0" w:space="0" w:color="auto"/>
            <w:right w:val="none" w:sz="0" w:space="0" w:color="auto"/>
          </w:divBdr>
        </w:div>
        <w:div w:id="1064570693">
          <w:marLeft w:val="0"/>
          <w:marRight w:val="0"/>
          <w:marTop w:val="0"/>
          <w:marBottom w:val="0"/>
          <w:divBdr>
            <w:top w:val="none" w:sz="0" w:space="0" w:color="auto"/>
            <w:left w:val="none" w:sz="0" w:space="0" w:color="auto"/>
            <w:bottom w:val="none" w:sz="0" w:space="0" w:color="auto"/>
            <w:right w:val="none" w:sz="0" w:space="0" w:color="auto"/>
          </w:divBdr>
        </w:div>
        <w:div w:id="1451167545">
          <w:marLeft w:val="0"/>
          <w:marRight w:val="0"/>
          <w:marTop w:val="0"/>
          <w:marBottom w:val="0"/>
          <w:divBdr>
            <w:top w:val="none" w:sz="0" w:space="0" w:color="auto"/>
            <w:left w:val="none" w:sz="0" w:space="0" w:color="auto"/>
            <w:bottom w:val="none" w:sz="0" w:space="0" w:color="auto"/>
            <w:right w:val="none" w:sz="0" w:space="0" w:color="auto"/>
          </w:divBdr>
        </w:div>
        <w:div w:id="217283279">
          <w:marLeft w:val="0"/>
          <w:marRight w:val="0"/>
          <w:marTop w:val="0"/>
          <w:marBottom w:val="0"/>
          <w:divBdr>
            <w:top w:val="none" w:sz="0" w:space="0" w:color="auto"/>
            <w:left w:val="none" w:sz="0" w:space="0" w:color="auto"/>
            <w:bottom w:val="none" w:sz="0" w:space="0" w:color="auto"/>
            <w:right w:val="none" w:sz="0" w:space="0" w:color="auto"/>
          </w:divBdr>
        </w:div>
        <w:div w:id="187766330">
          <w:marLeft w:val="0"/>
          <w:marRight w:val="0"/>
          <w:marTop w:val="0"/>
          <w:marBottom w:val="0"/>
          <w:divBdr>
            <w:top w:val="none" w:sz="0" w:space="0" w:color="auto"/>
            <w:left w:val="none" w:sz="0" w:space="0" w:color="auto"/>
            <w:bottom w:val="none" w:sz="0" w:space="0" w:color="auto"/>
            <w:right w:val="none" w:sz="0" w:space="0" w:color="auto"/>
          </w:divBdr>
        </w:div>
        <w:div w:id="1080373463">
          <w:marLeft w:val="0"/>
          <w:marRight w:val="0"/>
          <w:marTop w:val="0"/>
          <w:marBottom w:val="0"/>
          <w:divBdr>
            <w:top w:val="none" w:sz="0" w:space="0" w:color="auto"/>
            <w:left w:val="none" w:sz="0" w:space="0" w:color="auto"/>
            <w:bottom w:val="none" w:sz="0" w:space="0" w:color="auto"/>
            <w:right w:val="none" w:sz="0" w:space="0" w:color="auto"/>
          </w:divBdr>
        </w:div>
        <w:div w:id="751699002">
          <w:marLeft w:val="0"/>
          <w:marRight w:val="0"/>
          <w:marTop w:val="0"/>
          <w:marBottom w:val="0"/>
          <w:divBdr>
            <w:top w:val="none" w:sz="0" w:space="0" w:color="auto"/>
            <w:left w:val="none" w:sz="0" w:space="0" w:color="auto"/>
            <w:bottom w:val="none" w:sz="0" w:space="0" w:color="auto"/>
            <w:right w:val="none" w:sz="0" w:space="0" w:color="auto"/>
          </w:divBdr>
        </w:div>
        <w:div w:id="585310660">
          <w:marLeft w:val="0"/>
          <w:marRight w:val="0"/>
          <w:marTop w:val="0"/>
          <w:marBottom w:val="0"/>
          <w:divBdr>
            <w:top w:val="none" w:sz="0" w:space="0" w:color="auto"/>
            <w:left w:val="none" w:sz="0" w:space="0" w:color="auto"/>
            <w:bottom w:val="none" w:sz="0" w:space="0" w:color="auto"/>
            <w:right w:val="none" w:sz="0" w:space="0" w:color="auto"/>
          </w:divBdr>
        </w:div>
        <w:div w:id="2017347312">
          <w:marLeft w:val="0"/>
          <w:marRight w:val="0"/>
          <w:marTop w:val="0"/>
          <w:marBottom w:val="0"/>
          <w:divBdr>
            <w:top w:val="none" w:sz="0" w:space="0" w:color="auto"/>
            <w:left w:val="none" w:sz="0" w:space="0" w:color="auto"/>
            <w:bottom w:val="none" w:sz="0" w:space="0" w:color="auto"/>
            <w:right w:val="none" w:sz="0" w:space="0" w:color="auto"/>
          </w:divBdr>
        </w:div>
        <w:div w:id="171535861">
          <w:marLeft w:val="0"/>
          <w:marRight w:val="0"/>
          <w:marTop w:val="0"/>
          <w:marBottom w:val="0"/>
          <w:divBdr>
            <w:top w:val="none" w:sz="0" w:space="0" w:color="auto"/>
            <w:left w:val="none" w:sz="0" w:space="0" w:color="auto"/>
            <w:bottom w:val="none" w:sz="0" w:space="0" w:color="auto"/>
            <w:right w:val="none" w:sz="0" w:space="0" w:color="auto"/>
          </w:divBdr>
        </w:div>
        <w:div w:id="2117939210">
          <w:marLeft w:val="0"/>
          <w:marRight w:val="0"/>
          <w:marTop w:val="0"/>
          <w:marBottom w:val="0"/>
          <w:divBdr>
            <w:top w:val="none" w:sz="0" w:space="0" w:color="auto"/>
            <w:left w:val="none" w:sz="0" w:space="0" w:color="auto"/>
            <w:bottom w:val="none" w:sz="0" w:space="0" w:color="auto"/>
            <w:right w:val="none" w:sz="0" w:space="0" w:color="auto"/>
          </w:divBdr>
        </w:div>
        <w:div w:id="387266603">
          <w:marLeft w:val="0"/>
          <w:marRight w:val="0"/>
          <w:marTop w:val="0"/>
          <w:marBottom w:val="0"/>
          <w:divBdr>
            <w:top w:val="none" w:sz="0" w:space="0" w:color="auto"/>
            <w:left w:val="none" w:sz="0" w:space="0" w:color="auto"/>
            <w:bottom w:val="none" w:sz="0" w:space="0" w:color="auto"/>
            <w:right w:val="none" w:sz="0" w:space="0" w:color="auto"/>
          </w:divBdr>
        </w:div>
        <w:div w:id="1703094221">
          <w:marLeft w:val="0"/>
          <w:marRight w:val="0"/>
          <w:marTop w:val="0"/>
          <w:marBottom w:val="0"/>
          <w:divBdr>
            <w:top w:val="none" w:sz="0" w:space="0" w:color="auto"/>
            <w:left w:val="none" w:sz="0" w:space="0" w:color="auto"/>
            <w:bottom w:val="none" w:sz="0" w:space="0" w:color="auto"/>
            <w:right w:val="none" w:sz="0" w:space="0" w:color="auto"/>
          </w:divBdr>
        </w:div>
        <w:div w:id="1902056435">
          <w:marLeft w:val="0"/>
          <w:marRight w:val="0"/>
          <w:marTop w:val="0"/>
          <w:marBottom w:val="0"/>
          <w:divBdr>
            <w:top w:val="none" w:sz="0" w:space="0" w:color="auto"/>
            <w:left w:val="none" w:sz="0" w:space="0" w:color="auto"/>
            <w:bottom w:val="none" w:sz="0" w:space="0" w:color="auto"/>
            <w:right w:val="none" w:sz="0" w:space="0" w:color="auto"/>
          </w:divBdr>
        </w:div>
        <w:div w:id="1435898335">
          <w:marLeft w:val="0"/>
          <w:marRight w:val="0"/>
          <w:marTop w:val="0"/>
          <w:marBottom w:val="0"/>
          <w:divBdr>
            <w:top w:val="none" w:sz="0" w:space="0" w:color="auto"/>
            <w:left w:val="none" w:sz="0" w:space="0" w:color="auto"/>
            <w:bottom w:val="none" w:sz="0" w:space="0" w:color="auto"/>
            <w:right w:val="none" w:sz="0" w:space="0" w:color="auto"/>
          </w:divBdr>
        </w:div>
        <w:div w:id="939068184">
          <w:marLeft w:val="0"/>
          <w:marRight w:val="0"/>
          <w:marTop w:val="0"/>
          <w:marBottom w:val="0"/>
          <w:divBdr>
            <w:top w:val="none" w:sz="0" w:space="0" w:color="auto"/>
            <w:left w:val="none" w:sz="0" w:space="0" w:color="auto"/>
            <w:bottom w:val="none" w:sz="0" w:space="0" w:color="auto"/>
            <w:right w:val="none" w:sz="0" w:space="0" w:color="auto"/>
          </w:divBdr>
        </w:div>
        <w:div w:id="298806242">
          <w:marLeft w:val="0"/>
          <w:marRight w:val="0"/>
          <w:marTop w:val="0"/>
          <w:marBottom w:val="0"/>
          <w:divBdr>
            <w:top w:val="none" w:sz="0" w:space="0" w:color="auto"/>
            <w:left w:val="none" w:sz="0" w:space="0" w:color="auto"/>
            <w:bottom w:val="none" w:sz="0" w:space="0" w:color="auto"/>
            <w:right w:val="none" w:sz="0" w:space="0" w:color="auto"/>
          </w:divBdr>
        </w:div>
        <w:div w:id="1918514114">
          <w:marLeft w:val="0"/>
          <w:marRight w:val="0"/>
          <w:marTop w:val="0"/>
          <w:marBottom w:val="0"/>
          <w:divBdr>
            <w:top w:val="none" w:sz="0" w:space="0" w:color="auto"/>
            <w:left w:val="none" w:sz="0" w:space="0" w:color="auto"/>
            <w:bottom w:val="none" w:sz="0" w:space="0" w:color="auto"/>
            <w:right w:val="none" w:sz="0" w:space="0" w:color="auto"/>
          </w:divBdr>
        </w:div>
        <w:div w:id="1114517620">
          <w:marLeft w:val="0"/>
          <w:marRight w:val="0"/>
          <w:marTop w:val="0"/>
          <w:marBottom w:val="0"/>
          <w:divBdr>
            <w:top w:val="none" w:sz="0" w:space="0" w:color="auto"/>
            <w:left w:val="none" w:sz="0" w:space="0" w:color="auto"/>
            <w:bottom w:val="none" w:sz="0" w:space="0" w:color="auto"/>
            <w:right w:val="none" w:sz="0" w:space="0" w:color="auto"/>
          </w:divBdr>
        </w:div>
        <w:div w:id="1594363365">
          <w:marLeft w:val="0"/>
          <w:marRight w:val="0"/>
          <w:marTop w:val="0"/>
          <w:marBottom w:val="0"/>
          <w:divBdr>
            <w:top w:val="none" w:sz="0" w:space="0" w:color="auto"/>
            <w:left w:val="none" w:sz="0" w:space="0" w:color="auto"/>
            <w:bottom w:val="none" w:sz="0" w:space="0" w:color="auto"/>
            <w:right w:val="none" w:sz="0" w:space="0" w:color="auto"/>
          </w:divBdr>
        </w:div>
        <w:div w:id="370150905">
          <w:marLeft w:val="0"/>
          <w:marRight w:val="0"/>
          <w:marTop w:val="0"/>
          <w:marBottom w:val="0"/>
          <w:divBdr>
            <w:top w:val="none" w:sz="0" w:space="0" w:color="auto"/>
            <w:left w:val="none" w:sz="0" w:space="0" w:color="auto"/>
            <w:bottom w:val="none" w:sz="0" w:space="0" w:color="auto"/>
            <w:right w:val="none" w:sz="0" w:space="0" w:color="auto"/>
          </w:divBdr>
        </w:div>
        <w:div w:id="548690726">
          <w:marLeft w:val="0"/>
          <w:marRight w:val="0"/>
          <w:marTop w:val="0"/>
          <w:marBottom w:val="0"/>
          <w:divBdr>
            <w:top w:val="none" w:sz="0" w:space="0" w:color="auto"/>
            <w:left w:val="none" w:sz="0" w:space="0" w:color="auto"/>
            <w:bottom w:val="none" w:sz="0" w:space="0" w:color="auto"/>
            <w:right w:val="none" w:sz="0" w:space="0" w:color="auto"/>
          </w:divBdr>
        </w:div>
        <w:div w:id="1856916159">
          <w:marLeft w:val="0"/>
          <w:marRight w:val="0"/>
          <w:marTop w:val="0"/>
          <w:marBottom w:val="0"/>
          <w:divBdr>
            <w:top w:val="none" w:sz="0" w:space="0" w:color="auto"/>
            <w:left w:val="none" w:sz="0" w:space="0" w:color="auto"/>
            <w:bottom w:val="none" w:sz="0" w:space="0" w:color="auto"/>
            <w:right w:val="none" w:sz="0" w:space="0" w:color="auto"/>
          </w:divBdr>
        </w:div>
        <w:div w:id="837427206">
          <w:marLeft w:val="0"/>
          <w:marRight w:val="0"/>
          <w:marTop w:val="0"/>
          <w:marBottom w:val="0"/>
          <w:divBdr>
            <w:top w:val="none" w:sz="0" w:space="0" w:color="auto"/>
            <w:left w:val="none" w:sz="0" w:space="0" w:color="auto"/>
            <w:bottom w:val="none" w:sz="0" w:space="0" w:color="auto"/>
            <w:right w:val="none" w:sz="0" w:space="0" w:color="auto"/>
          </w:divBdr>
        </w:div>
        <w:div w:id="131216513">
          <w:marLeft w:val="0"/>
          <w:marRight w:val="0"/>
          <w:marTop w:val="0"/>
          <w:marBottom w:val="0"/>
          <w:divBdr>
            <w:top w:val="none" w:sz="0" w:space="0" w:color="auto"/>
            <w:left w:val="none" w:sz="0" w:space="0" w:color="auto"/>
            <w:bottom w:val="none" w:sz="0" w:space="0" w:color="auto"/>
            <w:right w:val="none" w:sz="0" w:space="0" w:color="auto"/>
          </w:divBdr>
        </w:div>
        <w:div w:id="1385443227">
          <w:marLeft w:val="0"/>
          <w:marRight w:val="0"/>
          <w:marTop w:val="0"/>
          <w:marBottom w:val="0"/>
          <w:divBdr>
            <w:top w:val="none" w:sz="0" w:space="0" w:color="auto"/>
            <w:left w:val="none" w:sz="0" w:space="0" w:color="auto"/>
            <w:bottom w:val="none" w:sz="0" w:space="0" w:color="auto"/>
            <w:right w:val="none" w:sz="0" w:space="0" w:color="auto"/>
          </w:divBdr>
        </w:div>
        <w:div w:id="1820338844">
          <w:marLeft w:val="0"/>
          <w:marRight w:val="0"/>
          <w:marTop w:val="0"/>
          <w:marBottom w:val="0"/>
          <w:divBdr>
            <w:top w:val="none" w:sz="0" w:space="0" w:color="auto"/>
            <w:left w:val="none" w:sz="0" w:space="0" w:color="auto"/>
            <w:bottom w:val="none" w:sz="0" w:space="0" w:color="auto"/>
            <w:right w:val="none" w:sz="0" w:space="0" w:color="auto"/>
          </w:divBdr>
        </w:div>
        <w:div w:id="804197769">
          <w:marLeft w:val="0"/>
          <w:marRight w:val="0"/>
          <w:marTop w:val="0"/>
          <w:marBottom w:val="0"/>
          <w:divBdr>
            <w:top w:val="none" w:sz="0" w:space="0" w:color="auto"/>
            <w:left w:val="none" w:sz="0" w:space="0" w:color="auto"/>
            <w:bottom w:val="none" w:sz="0" w:space="0" w:color="auto"/>
            <w:right w:val="none" w:sz="0" w:space="0" w:color="auto"/>
          </w:divBdr>
        </w:div>
        <w:div w:id="723913837">
          <w:marLeft w:val="0"/>
          <w:marRight w:val="0"/>
          <w:marTop w:val="0"/>
          <w:marBottom w:val="0"/>
          <w:divBdr>
            <w:top w:val="none" w:sz="0" w:space="0" w:color="auto"/>
            <w:left w:val="none" w:sz="0" w:space="0" w:color="auto"/>
            <w:bottom w:val="none" w:sz="0" w:space="0" w:color="auto"/>
            <w:right w:val="none" w:sz="0" w:space="0" w:color="auto"/>
          </w:divBdr>
        </w:div>
        <w:div w:id="825126480">
          <w:marLeft w:val="0"/>
          <w:marRight w:val="0"/>
          <w:marTop w:val="0"/>
          <w:marBottom w:val="0"/>
          <w:divBdr>
            <w:top w:val="none" w:sz="0" w:space="0" w:color="auto"/>
            <w:left w:val="none" w:sz="0" w:space="0" w:color="auto"/>
            <w:bottom w:val="none" w:sz="0" w:space="0" w:color="auto"/>
            <w:right w:val="none" w:sz="0" w:space="0" w:color="auto"/>
          </w:divBdr>
        </w:div>
        <w:div w:id="753164230">
          <w:marLeft w:val="0"/>
          <w:marRight w:val="0"/>
          <w:marTop w:val="0"/>
          <w:marBottom w:val="0"/>
          <w:divBdr>
            <w:top w:val="none" w:sz="0" w:space="0" w:color="auto"/>
            <w:left w:val="none" w:sz="0" w:space="0" w:color="auto"/>
            <w:bottom w:val="none" w:sz="0" w:space="0" w:color="auto"/>
            <w:right w:val="none" w:sz="0" w:space="0" w:color="auto"/>
          </w:divBdr>
        </w:div>
        <w:div w:id="1499232242">
          <w:marLeft w:val="0"/>
          <w:marRight w:val="0"/>
          <w:marTop w:val="0"/>
          <w:marBottom w:val="0"/>
          <w:divBdr>
            <w:top w:val="none" w:sz="0" w:space="0" w:color="auto"/>
            <w:left w:val="none" w:sz="0" w:space="0" w:color="auto"/>
            <w:bottom w:val="none" w:sz="0" w:space="0" w:color="auto"/>
            <w:right w:val="none" w:sz="0" w:space="0" w:color="auto"/>
          </w:divBdr>
        </w:div>
        <w:div w:id="1036388672">
          <w:marLeft w:val="0"/>
          <w:marRight w:val="0"/>
          <w:marTop w:val="0"/>
          <w:marBottom w:val="0"/>
          <w:divBdr>
            <w:top w:val="none" w:sz="0" w:space="0" w:color="auto"/>
            <w:left w:val="none" w:sz="0" w:space="0" w:color="auto"/>
            <w:bottom w:val="none" w:sz="0" w:space="0" w:color="auto"/>
            <w:right w:val="none" w:sz="0" w:space="0" w:color="auto"/>
          </w:divBdr>
        </w:div>
        <w:div w:id="1616982417">
          <w:marLeft w:val="0"/>
          <w:marRight w:val="0"/>
          <w:marTop w:val="0"/>
          <w:marBottom w:val="0"/>
          <w:divBdr>
            <w:top w:val="none" w:sz="0" w:space="0" w:color="auto"/>
            <w:left w:val="none" w:sz="0" w:space="0" w:color="auto"/>
            <w:bottom w:val="none" w:sz="0" w:space="0" w:color="auto"/>
            <w:right w:val="none" w:sz="0" w:space="0" w:color="auto"/>
          </w:divBdr>
        </w:div>
        <w:div w:id="802233655">
          <w:marLeft w:val="0"/>
          <w:marRight w:val="0"/>
          <w:marTop w:val="0"/>
          <w:marBottom w:val="0"/>
          <w:divBdr>
            <w:top w:val="none" w:sz="0" w:space="0" w:color="auto"/>
            <w:left w:val="none" w:sz="0" w:space="0" w:color="auto"/>
            <w:bottom w:val="none" w:sz="0" w:space="0" w:color="auto"/>
            <w:right w:val="none" w:sz="0" w:space="0" w:color="auto"/>
          </w:divBdr>
        </w:div>
        <w:div w:id="1555892905">
          <w:marLeft w:val="0"/>
          <w:marRight w:val="0"/>
          <w:marTop w:val="0"/>
          <w:marBottom w:val="0"/>
          <w:divBdr>
            <w:top w:val="none" w:sz="0" w:space="0" w:color="auto"/>
            <w:left w:val="none" w:sz="0" w:space="0" w:color="auto"/>
            <w:bottom w:val="none" w:sz="0" w:space="0" w:color="auto"/>
            <w:right w:val="none" w:sz="0" w:space="0" w:color="auto"/>
          </w:divBdr>
        </w:div>
        <w:div w:id="1946619028">
          <w:marLeft w:val="0"/>
          <w:marRight w:val="0"/>
          <w:marTop w:val="0"/>
          <w:marBottom w:val="0"/>
          <w:divBdr>
            <w:top w:val="none" w:sz="0" w:space="0" w:color="auto"/>
            <w:left w:val="none" w:sz="0" w:space="0" w:color="auto"/>
            <w:bottom w:val="none" w:sz="0" w:space="0" w:color="auto"/>
            <w:right w:val="none" w:sz="0" w:space="0" w:color="auto"/>
          </w:divBdr>
        </w:div>
        <w:div w:id="90050661">
          <w:marLeft w:val="0"/>
          <w:marRight w:val="0"/>
          <w:marTop w:val="0"/>
          <w:marBottom w:val="0"/>
          <w:divBdr>
            <w:top w:val="none" w:sz="0" w:space="0" w:color="auto"/>
            <w:left w:val="none" w:sz="0" w:space="0" w:color="auto"/>
            <w:bottom w:val="none" w:sz="0" w:space="0" w:color="auto"/>
            <w:right w:val="none" w:sz="0" w:space="0" w:color="auto"/>
          </w:divBdr>
        </w:div>
        <w:div w:id="2032102134">
          <w:marLeft w:val="0"/>
          <w:marRight w:val="0"/>
          <w:marTop w:val="0"/>
          <w:marBottom w:val="0"/>
          <w:divBdr>
            <w:top w:val="none" w:sz="0" w:space="0" w:color="auto"/>
            <w:left w:val="none" w:sz="0" w:space="0" w:color="auto"/>
            <w:bottom w:val="none" w:sz="0" w:space="0" w:color="auto"/>
            <w:right w:val="none" w:sz="0" w:space="0" w:color="auto"/>
          </w:divBdr>
        </w:div>
        <w:div w:id="2039892983">
          <w:marLeft w:val="0"/>
          <w:marRight w:val="0"/>
          <w:marTop w:val="0"/>
          <w:marBottom w:val="0"/>
          <w:divBdr>
            <w:top w:val="none" w:sz="0" w:space="0" w:color="auto"/>
            <w:left w:val="none" w:sz="0" w:space="0" w:color="auto"/>
            <w:bottom w:val="none" w:sz="0" w:space="0" w:color="auto"/>
            <w:right w:val="none" w:sz="0" w:space="0" w:color="auto"/>
          </w:divBdr>
        </w:div>
        <w:div w:id="1770738297">
          <w:marLeft w:val="0"/>
          <w:marRight w:val="0"/>
          <w:marTop w:val="0"/>
          <w:marBottom w:val="0"/>
          <w:divBdr>
            <w:top w:val="none" w:sz="0" w:space="0" w:color="auto"/>
            <w:left w:val="none" w:sz="0" w:space="0" w:color="auto"/>
            <w:bottom w:val="none" w:sz="0" w:space="0" w:color="auto"/>
            <w:right w:val="none" w:sz="0" w:space="0" w:color="auto"/>
          </w:divBdr>
        </w:div>
        <w:div w:id="24211972">
          <w:marLeft w:val="0"/>
          <w:marRight w:val="0"/>
          <w:marTop w:val="0"/>
          <w:marBottom w:val="0"/>
          <w:divBdr>
            <w:top w:val="none" w:sz="0" w:space="0" w:color="auto"/>
            <w:left w:val="none" w:sz="0" w:space="0" w:color="auto"/>
            <w:bottom w:val="none" w:sz="0" w:space="0" w:color="auto"/>
            <w:right w:val="none" w:sz="0" w:space="0" w:color="auto"/>
          </w:divBdr>
        </w:div>
        <w:div w:id="778913508">
          <w:marLeft w:val="0"/>
          <w:marRight w:val="0"/>
          <w:marTop w:val="0"/>
          <w:marBottom w:val="0"/>
          <w:divBdr>
            <w:top w:val="none" w:sz="0" w:space="0" w:color="auto"/>
            <w:left w:val="none" w:sz="0" w:space="0" w:color="auto"/>
            <w:bottom w:val="none" w:sz="0" w:space="0" w:color="auto"/>
            <w:right w:val="none" w:sz="0" w:space="0" w:color="auto"/>
          </w:divBdr>
        </w:div>
        <w:div w:id="1224755257">
          <w:marLeft w:val="0"/>
          <w:marRight w:val="0"/>
          <w:marTop w:val="0"/>
          <w:marBottom w:val="0"/>
          <w:divBdr>
            <w:top w:val="none" w:sz="0" w:space="0" w:color="auto"/>
            <w:left w:val="none" w:sz="0" w:space="0" w:color="auto"/>
            <w:bottom w:val="none" w:sz="0" w:space="0" w:color="auto"/>
            <w:right w:val="none" w:sz="0" w:space="0" w:color="auto"/>
          </w:divBdr>
        </w:div>
        <w:div w:id="1126780598">
          <w:marLeft w:val="0"/>
          <w:marRight w:val="0"/>
          <w:marTop w:val="0"/>
          <w:marBottom w:val="0"/>
          <w:divBdr>
            <w:top w:val="none" w:sz="0" w:space="0" w:color="auto"/>
            <w:left w:val="none" w:sz="0" w:space="0" w:color="auto"/>
            <w:bottom w:val="none" w:sz="0" w:space="0" w:color="auto"/>
            <w:right w:val="none" w:sz="0" w:space="0" w:color="auto"/>
          </w:divBdr>
        </w:div>
        <w:div w:id="831721049">
          <w:marLeft w:val="0"/>
          <w:marRight w:val="0"/>
          <w:marTop w:val="0"/>
          <w:marBottom w:val="0"/>
          <w:divBdr>
            <w:top w:val="none" w:sz="0" w:space="0" w:color="auto"/>
            <w:left w:val="none" w:sz="0" w:space="0" w:color="auto"/>
            <w:bottom w:val="none" w:sz="0" w:space="0" w:color="auto"/>
            <w:right w:val="none" w:sz="0" w:space="0" w:color="auto"/>
          </w:divBdr>
        </w:div>
        <w:div w:id="2093157807">
          <w:marLeft w:val="0"/>
          <w:marRight w:val="0"/>
          <w:marTop w:val="0"/>
          <w:marBottom w:val="0"/>
          <w:divBdr>
            <w:top w:val="none" w:sz="0" w:space="0" w:color="auto"/>
            <w:left w:val="none" w:sz="0" w:space="0" w:color="auto"/>
            <w:bottom w:val="none" w:sz="0" w:space="0" w:color="auto"/>
            <w:right w:val="none" w:sz="0" w:space="0" w:color="auto"/>
          </w:divBdr>
        </w:div>
        <w:div w:id="1834754751">
          <w:marLeft w:val="0"/>
          <w:marRight w:val="0"/>
          <w:marTop w:val="0"/>
          <w:marBottom w:val="0"/>
          <w:divBdr>
            <w:top w:val="none" w:sz="0" w:space="0" w:color="auto"/>
            <w:left w:val="none" w:sz="0" w:space="0" w:color="auto"/>
            <w:bottom w:val="none" w:sz="0" w:space="0" w:color="auto"/>
            <w:right w:val="none" w:sz="0" w:space="0" w:color="auto"/>
          </w:divBdr>
        </w:div>
        <w:div w:id="283191933">
          <w:marLeft w:val="0"/>
          <w:marRight w:val="0"/>
          <w:marTop w:val="0"/>
          <w:marBottom w:val="0"/>
          <w:divBdr>
            <w:top w:val="none" w:sz="0" w:space="0" w:color="auto"/>
            <w:left w:val="none" w:sz="0" w:space="0" w:color="auto"/>
            <w:bottom w:val="none" w:sz="0" w:space="0" w:color="auto"/>
            <w:right w:val="none" w:sz="0" w:space="0" w:color="auto"/>
          </w:divBdr>
        </w:div>
        <w:div w:id="183985055">
          <w:marLeft w:val="0"/>
          <w:marRight w:val="0"/>
          <w:marTop w:val="0"/>
          <w:marBottom w:val="0"/>
          <w:divBdr>
            <w:top w:val="none" w:sz="0" w:space="0" w:color="auto"/>
            <w:left w:val="none" w:sz="0" w:space="0" w:color="auto"/>
            <w:bottom w:val="none" w:sz="0" w:space="0" w:color="auto"/>
            <w:right w:val="none" w:sz="0" w:space="0" w:color="auto"/>
          </w:divBdr>
        </w:div>
        <w:div w:id="1778333153">
          <w:marLeft w:val="0"/>
          <w:marRight w:val="0"/>
          <w:marTop w:val="0"/>
          <w:marBottom w:val="0"/>
          <w:divBdr>
            <w:top w:val="none" w:sz="0" w:space="0" w:color="auto"/>
            <w:left w:val="none" w:sz="0" w:space="0" w:color="auto"/>
            <w:bottom w:val="none" w:sz="0" w:space="0" w:color="auto"/>
            <w:right w:val="none" w:sz="0" w:space="0" w:color="auto"/>
          </w:divBdr>
        </w:div>
        <w:div w:id="157504492">
          <w:marLeft w:val="0"/>
          <w:marRight w:val="0"/>
          <w:marTop w:val="0"/>
          <w:marBottom w:val="0"/>
          <w:divBdr>
            <w:top w:val="none" w:sz="0" w:space="0" w:color="auto"/>
            <w:left w:val="none" w:sz="0" w:space="0" w:color="auto"/>
            <w:bottom w:val="none" w:sz="0" w:space="0" w:color="auto"/>
            <w:right w:val="none" w:sz="0" w:space="0" w:color="auto"/>
          </w:divBdr>
        </w:div>
        <w:div w:id="432166707">
          <w:marLeft w:val="0"/>
          <w:marRight w:val="0"/>
          <w:marTop w:val="0"/>
          <w:marBottom w:val="0"/>
          <w:divBdr>
            <w:top w:val="none" w:sz="0" w:space="0" w:color="auto"/>
            <w:left w:val="none" w:sz="0" w:space="0" w:color="auto"/>
            <w:bottom w:val="none" w:sz="0" w:space="0" w:color="auto"/>
            <w:right w:val="none" w:sz="0" w:space="0" w:color="auto"/>
          </w:divBdr>
        </w:div>
        <w:div w:id="1451127453">
          <w:marLeft w:val="0"/>
          <w:marRight w:val="0"/>
          <w:marTop w:val="0"/>
          <w:marBottom w:val="0"/>
          <w:divBdr>
            <w:top w:val="none" w:sz="0" w:space="0" w:color="auto"/>
            <w:left w:val="none" w:sz="0" w:space="0" w:color="auto"/>
            <w:bottom w:val="none" w:sz="0" w:space="0" w:color="auto"/>
            <w:right w:val="none" w:sz="0" w:space="0" w:color="auto"/>
          </w:divBdr>
        </w:div>
        <w:div w:id="359746994">
          <w:marLeft w:val="0"/>
          <w:marRight w:val="0"/>
          <w:marTop w:val="0"/>
          <w:marBottom w:val="0"/>
          <w:divBdr>
            <w:top w:val="none" w:sz="0" w:space="0" w:color="auto"/>
            <w:left w:val="none" w:sz="0" w:space="0" w:color="auto"/>
            <w:bottom w:val="none" w:sz="0" w:space="0" w:color="auto"/>
            <w:right w:val="none" w:sz="0" w:space="0" w:color="auto"/>
          </w:divBdr>
        </w:div>
        <w:div w:id="955714500">
          <w:marLeft w:val="0"/>
          <w:marRight w:val="0"/>
          <w:marTop w:val="0"/>
          <w:marBottom w:val="0"/>
          <w:divBdr>
            <w:top w:val="none" w:sz="0" w:space="0" w:color="auto"/>
            <w:left w:val="none" w:sz="0" w:space="0" w:color="auto"/>
            <w:bottom w:val="none" w:sz="0" w:space="0" w:color="auto"/>
            <w:right w:val="none" w:sz="0" w:space="0" w:color="auto"/>
          </w:divBdr>
        </w:div>
        <w:div w:id="1820917989">
          <w:marLeft w:val="0"/>
          <w:marRight w:val="0"/>
          <w:marTop w:val="0"/>
          <w:marBottom w:val="0"/>
          <w:divBdr>
            <w:top w:val="none" w:sz="0" w:space="0" w:color="auto"/>
            <w:left w:val="none" w:sz="0" w:space="0" w:color="auto"/>
            <w:bottom w:val="none" w:sz="0" w:space="0" w:color="auto"/>
            <w:right w:val="none" w:sz="0" w:space="0" w:color="auto"/>
          </w:divBdr>
        </w:div>
        <w:div w:id="1362633946">
          <w:marLeft w:val="0"/>
          <w:marRight w:val="0"/>
          <w:marTop w:val="0"/>
          <w:marBottom w:val="0"/>
          <w:divBdr>
            <w:top w:val="none" w:sz="0" w:space="0" w:color="auto"/>
            <w:left w:val="none" w:sz="0" w:space="0" w:color="auto"/>
            <w:bottom w:val="none" w:sz="0" w:space="0" w:color="auto"/>
            <w:right w:val="none" w:sz="0" w:space="0" w:color="auto"/>
          </w:divBdr>
        </w:div>
        <w:div w:id="1197698734">
          <w:marLeft w:val="0"/>
          <w:marRight w:val="0"/>
          <w:marTop w:val="0"/>
          <w:marBottom w:val="0"/>
          <w:divBdr>
            <w:top w:val="none" w:sz="0" w:space="0" w:color="auto"/>
            <w:left w:val="none" w:sz="0" w:space="0" w:color="auto"/>
            <w:bottom w:val="none" w:sz="0" w:space="0" w:color="auto"/>
            <w:right w:val="none" w:sz="0" w:space="0" w:color="auto"/>
          </w:divBdr>
        </w:div>
        <w:div w:id="649409217">
          <w:marLeft w:val="0"/>
          <w:marRight w:val="0"/>
          <w:marTop w:val="0"/>
          <w:marBottom w:val="0"/>
          <w:divBdr>
            <w:top w:val="none" w:sz="0" w:space="0" w:color="auto"/>
            <w:left w:val="none" w:sz="0" w:space="0" w:color="auto"/>
            <w:bottom w:val="none" w:sz="0" w:space="0" w:color="auto"/>
            <w:right w:val="none" w:sz="0" w:space="0" w:color="auto"/>
          </w:divBdr>
        </w:div>
        <w:div w:id="585109921">
          <w:marLeft w:val="0"/>
          <w:marRight w:val="0"/>
          <w:marTop w:val="0"/>
          <w:marBottom w:val="0"/>
          <w:divBdr>
            <w:top w:val="none" w:sz="0" w:space="0" w:color="auto"/>
            <w:left w:val="none" w:sz="0" w:space="0" w:color="auto"/>
            <w:bottom w:val="none" w:sz="0" w:space="0" w:color="auto"/>
            <w:right w:val="none" w:sz="0" w:space="0" w:color="auto"/>
          </w:divBdr>
        </w:div>
        <w:div w:id="1705397379">
          <w:marLeft w:val="0"/>
          <w:marRight w:val="0"/>
          <w:marTop w:val="0"/>
          <w:marBottom w:val="0"/>
          <w:divBdr>
            <w:top w:val="none" w:sz="0" w:space="0" w:color="auto"/>
            <w:left w:val="none" w:sz="0" w:space="0" w:color="auto"/>
            <w:bottom w:val="none" w:sz="0" w:space="0" w:color="auto"/>
            <w:right w:val="none" w:sz="0" w:space="0" w:color="auto"/>
          </w:divBdr>
        </w:div>
        <w:div w:id="1665746261">
          <w:marLeft w:val="0"/>
          <w:marRight w:val="0"/>
          <w:marTop w:val="0"/>
          <w:marBottom w:val="0"/>
          <w:divBdr>
            <w:top w:val="none" w:sz="0" w:space="0" w:color="auto"/>
            <w:left w:val="none" w:sz="0" w:space="0" w:color="auto"/>
            <w:bottom w:val="none" w:sz="0" w:space="0" w:color="auto"/>
            <w:right w:val="none" w:sz="0" w:space="0" w:color="auto"/>
          </w:divBdr>
        </w:div>
        <w:div w:id="1694071590">
          <w:marLeft w:val="0"/>
          <w:marRight w:val="0"/>
          <w:marTop w:val="0"/>
          <w:marBottom w:val="0"/>
          <w:divBdr>
            <w:top w:val="none" w:sz="0" w:space="0" w:color="auto"/>
            <w:left w:val="none" w:sz="0" w:space="0" w:color="auto"/>
            <w:bottom w:val="none" w:sz="0" w:space="0" w:color="auto"/>
            <w:right w:val="none" w:sz="0" w:space="0" w:color="auto"/>
          </w:divBdr>
        </w:div>
        <w:div w:id="405298878">
          <w:marLeft w:val="0"/>
          <w:marRight w:val="0"/>
          <w:marTop w:val="0"/>
          <w:marBottom w:val="0"/>
          <w:divBdr>
            <w:top w:val="none" w:sz="0" w:space="0" w:color="auto"/>
            <w:left w:val="none" w:sz="0" w:space="0" w:color="auto"/>
            <w:bottom w:val="none" w:sz="0" w:space="0" w:color="auto"/>
            <w:right w:val="none" w:sz="0" w:space="0" w:color="auto"/>
          </w:divBdr>
        </w:div>
        <w:div w:id="1173957251">
          <w:marLeft w:val="0"/>
          <w:marRight w:val="0"/>
          <w:marTop w:val="0"/>
          <w:marBottom w:val="0"/>
          <w:divBdr>
            <w:top w:val="none" w:sz="0" w:space="0" w:color="auto"/>
            <w:left w:val="none" w:sz="0" w:space="0" w:color="auto"/>
            <w:bottom w:val="none" w:sz="0" w:space="0" w:color="auto"/>
            <w:right w:val="none" w:sz="0" w:space="0" w:color="auto"/>
          </w:divBdr>
        </w:div>
        <w:div w:id="1987127483">
          <w:marLeft w:val="0"/>
          <w:marRight w:val="0"/>
          <w:marTop w:val="0"/>
          <w:marBottom w:val="0"/>
          <w:divBdr>
            <w:top w:val="none" w:sz="0" w:space="0" w:color="auto"/>
            <w:left w:val="none" w:sz="0" w:space="0" w:color="auto"/>
            <w:bottom w:val="none" w:sz="0" w:space="0" w:color="auto"/>
            <w:right w:val="none" w:sz="0" w:space="0" w:color="auto"/>
          </w:divBdr>
        </w:div>
        <w:div w:id="651756939">
          <w:marLeft w:val="0"/>
          <w:marRight w:val="0"/>
          <w:marTop w:val="0"/>
          <w:marBottom w:val="0"/>
          <w:divBdr>
            <w:top w:val="none" w:sz="0" w:space="0" w:color="auto"/>
            <w:left w:val="none" w:sz="0" w:space="0" w:color="auto"/>
            <w:bottom w:val="none" w:sz="0" w:space="0" w:color="auto"/>
            <w:right w:val="none" w:sz="0" w:space="0" w:color="auto"/>
          </w:divBdr>
        </w:div>
        <w:div w:id="869143152">
          <w:marLeft w:val="0"/>
          <w:marRight w:val="0"/>
          <w:marTop w:val="0"/>
          <w:marBottom w:val="0"/>
          <w:divBdr>
            <w:top w:val="none" w:sz="0" w:space="0" w:color="auto"/>
            <w:left w:val="none" w:sz="0" w:space="0" w:color="auto"/>
            <w:bottom w:val="none" w:sz="0" w:space="0" w:color="auto"/>
            <w:right w:val="none" w:sz="0" w:space="0" w:color="auto"/>
          </w:divBdr>
        </w:div>
        <w:div w:id="1692996295">
          <w:marLeft w:val="0"/>
          <w:marRight w:val="0"/>
          <w:marTop w:val="0"/>
          <w:marBottom w:val="0"/>
          <w:divBdr>
            <w:top w:val="none" w:sz="0" w:space="0" w:color="auto"/>
            <w:left w:val="none" w:sz="0" w:space="0" w:color="auto"/>
            <w:bottom w:val="none" w:sz="0" w:space="0" w:color="auto"/>
            <w:right w:val="none" w:sz="0" w:space="0" w:color="auto"/>
          </w:divBdr>
        </w:div>
        <w:div w:id="1547984281">
          <w:marLeft w:val="0"/>
          <w:marRight w:val="0"/>
          <w:marTop w:val="0"/>
          <w:marBottom w:val="0"/>
          <w:divBdr>
            <w:top w:val="none" w:sz="0" w:space="0" w:color="auto"/>
            <w:left w:val="none" w:sz="0" w:space="0" w:color="auto"/>
            <w:bottom w:val="none" w:sz="0" w:space="0" w:color="auto"/>
            <w:right w:val="none" w:sz="0" w:space="0" w:color="auto"/>
          </w:divBdr>
        </w:div>
        <w:div w:id="1214930319">
          <w:marLeft w:val="0"/>
          <w:marRight w:val="0"/>
          <w:marTop w:val="0"/>
          <w:marBottom w:val="0"/>
          <w:divBdr>
            <w:top w:val="none" w:sz="0" w:space="0" w:color="auto"/>
            <w:left w:val="none" w:sz="0" w:space="0" w:color="auto"/>
            <w:bottom w:val="none" w:sz="0" w:space="0" w:color="auto"/>
            <w:right w:val="none" w:sz="0" w:space="0" w:color="auto"/>
          </w:divBdr>
        </w:div>
        <w:div w:id="1660309508">
          <w:marLeft w:val="0"/>
          <w:marRight w:val="0"/>
          <w:marTop w:val="0"/>
          <w:marBottom w:val="0"/>
          <w:divBdr>
            <w:top w:val="none" w:sz="0" w:space="0" w:color="auto"/>
            <w:left w:val="none" w:sz="0" w:space="0" w:color="auto"/>
            <w:bottom w:val="none" w:sz="0" w:space="0" w:color="auto"/>
            <w:right w:val="none" w:sz="0" w:space="0" w:color="auto"/>
          </w:divBdr>
        </w:div>
        <w:div w:id="1355112257">
          <w:marLeft w:val="0"/>
          <w:marRight w:val="0"/>
          <w:marTop w:val="0"/>
          <w:marBottom w:val="0"/>
          <w:divBdr>
            <w:top w:val="none" w:sz="0" w:space="0" w:color="auto"/>
            <w:left w:val="none" w:sz="0" w:space="0" w:color="auto"/>
            <w:bottom w:val="none" w:sz="0" w:space="0" w:color="auto"/>
            <w:right w:val="none" w:sz="0" w:space="0" w:color="auto"/>
          </w:divBdr>
        </w:div>
        <w:div w:id="1788353096">
          <w:marLeft w:val="0"/>
          <w:marRight w:val="0"/>
          <w:marTop w:val="0"/>
          <w:marBottom w:val="0"/>
          <w:divBdr>
            <w:top w:val="none" w:sz="0" w:space="0" w:color="auto"/>
            <w:left w:val="none" w:sz="0" w:space="0" w:color="auto"/>
            <w:bottom w:val="none" w:sz="0" w:space="0" w:color="auto"/>
            <w:right w:val="none" w:sz="0" w:space="0" w:color="auto"/>
          </w:divBdr>
        </w:div>
        <w:div w:id="1256355378">
          <w:marLeft w:val="0"/>
          <w:marRight w:val="0"/>
          <w:marTop w:val="0"/>
          <w:marBottom w:val="0"/>
          <w:divBdr>
            <w:top w:val="none" w:sz="0" w:space="0" w:color="auto"/>
            <w:left w:val="none" w:sz="0" w:space="0" w:color="auto"/>
            <w:bottom w:val="none" w:sz="0" w:space="0" w:color="auto"/>
            <w:right w:val="none" w:sz="0" w:space="0" w:color="auto"/>
          </w:divBdr>
        </w:div>
        <w:div w:id="439106568">
          <w:marLeft w:val="0"/>
          <w:marRight w:val="0"/>
          <w:marTop w:val="0"/>
          <w:marBottom w:val="0"/>
          <w:divBdr>
            <w:top w:val="none" w:sz="0" w:space="0" w:color="auto"/>
            <w:left w:val="none" w:sz="0" w:space="0" w:color="auto"/>
            <w:bottom w:val="none" w:sz="0" w:space="0" w:color="auto"/>
            <w:right w:val="none" w:sz="0" w:space="0" w:color="auto"/>
          </w:divBdr>
        </w:div>
        <w:div w:id="690574510">
          <w:marLeft w:val="0"/>
          <w:marRight w:val="0"/>
          <w:marTop w:val="0"/>
          <w:marBottom w:val="0"/>
          <w:divBdr>
            <w:top w:val="none" w:sz="0" w:space="0" w:color="auto"/>
            <w:left w:val="none" w:sz="0" w:space="0" w:color="auto"/>
            <w:bottom w:val="none" w:sz="0" w:space="0" w:color="auto"/>
            <w:right w:val="none" w:sz="0" w:space="0" w:color="auto"/>
          </w:divBdr>
        </w:div>
        <w:div w:id="692993518">
          <w:marLeft w:val="0"/>
          <w:marRight w:val="0"/>
          <w:marTop w:val="0"/>
          <w:marBottom w:val="0"/>
          <w:divBdr>
            <w:top w:val="none" w:sz="0" w:space="0" w:color="auto"/>
            <w:left w:val="none" w:sz="0" w:space="0" w:color="auto"/>
            <w:bottom w:val="none" w:sz="0" w:space="0" w:color="auto"/>
            <w:right w:val="none" w:sz="0" w:space="0" w:color="auto"/>
          </w:divBdr>
        </w:div>
        <w:div w:id="2070111089">
          <w:marLeft w:val="0"/>
          <w:marRight w:val="0"/>
          <w:marTop w:val="0"/>
          <w:marBottom w:val="0"/>
          <w:divBdr>
            <w:top w:val="none" w:sz="0" w:space="0" w:color="auto"/>
            <w:left w:val="none" w:sz="0" w:space="0" w:color="auto"/>
            <w:bottom w:val="none" w:sz="0" w:space="0" w:color="auto"/>
            <w:right w:val="none" w:sz="0" w:space="0" w:color="auto"/>
          </w:divBdr>
        </w:div>
        <w:div w:id="65958602">
          <w:marLeft w:val="0"/>
          <w:marRight w:val="0"/>
          <w:marTop w:val="0"/>
          <w:marBottom w:val="0"/>
          <w:divBdr>
            <w:top w:val="none" w:sz="0" w:space="0" w:color="auto"/>
            <w:left w:val="none" w:sz="0" w:space="0" w:color="auto"/>
            <w:bottom w:val="none" w:sz="0" w:space="0" w:color="auto"/>
            <w:right w:val="none" w:sz="0" w:space="0" w:color="auto"/>
          </w:divBdr>
        </w:div>
        <w:div w:id="1242328085">
          <w:marLeft w:val="0"/>
          <w:marRight w:val="0"/>
          <w:marTop w:val="0"/>
          <w:marBottom w:val="0"/>
          <w:divBdr>
            <w:top w:val="none" w:sz="0" w:space="0" w:color="auto"/>
            <w:left w:val="none" w:sz="0" w:space="0" w:color="auto"/>
            <w:bottom w:val="none" w:sz="0" w:space="0" w:color="auto"/>
            <w:right w:val="none" w:sz="0" w:space="0" w:color="auto"/>
          </w:divBdr>
        </w:div>
        <w:div w:id="379790193">
          <w:marLeft w:val="0"/>
          <w:marRight w:val="0"/>
          <w:marTop w:val="0"/>
          <w:marBottom w:val="0"/>
          <w:divBdr>
            <w:top w:val="none" w:sz="0" w:space="0" w:color="auto"/>
            <w:left w:val="none" w:sz="0" w:space="0" w:color="auto"/>
            <w:bottom w:val="none" w:sz="0" w:space="0" w:color="auto"/>
            <w:right w:val="none" w:sz="0" w:space="0" w:color="auto"/>
          </w:divBdr>
        </w:div>
        <w:div w:id="1051229839">
          <w:marLeft w:val="0"/>
          <w:marRight w:val="0"/>
          <w:marTop w:val="0"/>
          <w:marBottom w:val="0"/>
          <w:divBdr>
            <w:top w:val="none" w:sz="0" w:space="0" w:color="auto"/>
            <w:left w:val="none" w:sz="0" w:space="0" w:color="auto"/>
            <w:bottom w:val="none" w:sz="0" w:space="0" w:color="auto"/>
            <w:right w:val="none" w:sz="0" w:space="0" w:color="auto"/>
          </w:divBdr>
        </w:div>
        <w:div w:id="1666392749">
          <w:marLeft w:val="0"/>
          <w:marRight w:val="0"/>
          <w:marTop w:val="0"/>
          <w:marBottom w:val="0"/>
          <w:divBdr>
            <w:top w:val="none" w:sz="0" w:space="0" w:color="auto"/>
            <w:left w:val="none" w:sz="0" w:space="0" w:color="auto"/>
            <w:bottom w:val="none" w:sz="0" w:space="0" w:color="auto"/>
            <w:right w:val="none" w:sz="0" w:space="0" w:color="auto"/>
          </w:divBdr>
        </w:div>
        <w:div w:id="1753894690">
          <w:marLeft w:val="0"/>
          <w:marRight w:val="0"/>
          <w:marTop w:val="0"/>
          <w:marBottom w:val="0"/>
          <w:divBdr>
            <w:top w:val="none" w:sz="0" w:space="0" w:color="auto"/>
            <w:left w:val="none" w:sz="0" w:space="0" w:color="auto"/>
            <w:bottom w:val="none" w:sz="0" w:space="0" w:color="auto"/>
            <w:right w:val="none" w:sz="0" w:space="0" w:color="auto"/>
          </w:divBdr>
        </w:div>
        <w:div w:id="1562643225">
          <w:marLeft w:val="0"/>
          <w:marRight w:val="0"/>
          <w:marTop w:val="0"/>
          <w:marBottom w:val="0"/>
          <w:divBdr>
            <w:top w:val="none" w:sz="0" w:space="0" w:color="auto"/>
            <w:left w:val="none" w:sz="0" w:space="0" w:color="auto"/>
            <w:bottom w:val="none" w:sz="0" w:space="0" w:color="auto"/>
            <w:right w:val="none" w:sz="0" w:space="0" w:color="auto"/>
          </w:divBdr>
        </w:div>
        <w:div w:id="1401905185">
          <w:marLeft w:val="0"/>
          <w:marRight w:val="0"/>
          <w:marTop w:val="0"/>
          <w:marBottom w:val="0"/>
          <w:divBdr>
            <w:top w:val="none" w:sz="0" w:space="0" w:color="auto"/>
            <w:left w:val="none" w:sz="0" w:space="0" w:color="auto"/>
            <w:bottom w:val="none" w:sz="0" w:space="0" w:color="auto"/>
            <w:right w:val="none" w:sz="0" w:space="0" w:color="auto"/>
          </w:divBdr>
        </w:div>
        <w:div w:id="1872956290">
          <w:marLeft w:val="0"/>
          <w:marRight w:val="0"/>
          <w:marTop w:val="0"/>
          <w:marBottom w:val="0"/>
          <w:divBdr>
            <w:top w:val="none" w:sz="0" w:space="0" w:color="auto"/>
            <w:left w:val="none" w:sz="0" w:space="0" w:color="auto"/>
            <w:bottom w:val="none" w:sz="0" w:space="0" w:color="auto"/>
            <w:right w:val="none" w:sz="0" w:space="0" w:color="auto"/>
          </w:divBdr>
        </w:div>
        <w:div w:id="376591752">
          <w:marLeft w:val="0"/>
          <w:marRight w:val="0"/>
          <w:marTop w:val="0"/>
          <w:marBottom w:val="0"/>
          <w:divBdr>
            <w:top w:val="none" w:sz="0" w:space="0" w:color="auto"/>
            <w:left w:val="none" w:sz="0" w:space="0" w:color="auto"/>
            <w:bottom w:val="none" w:sz="0" w:space="0" w:color="auto"/>
            <w:right w:val="none" w:sz="0" w:space="0" w:color="auto"/>
          </w:divBdr>
        </w:div>
        <w:div w:id="1428037318">
          <w:marLeft w:val="0"/>
          <w:marRight w:val="0"/>
          <w:marTop w:val="0"/>
          <w:marBottom w:val="0"/>
          <w:divBdr>
            <w:top w:val="none" w:sz="0" w:space="0" w:color="auto"/>
            <w:left w:val="none" w:sz="0" w:space="0" w:color="auto"/>
            <w:bottom w:val="none" w:sz="0" w:space="0" w:color="auto"/>
            <w:right w:val="none" w:sz="0" w:space="0" w:color="auto"/>
          </w:divBdr>
        </w:div>
        <w:div w:id="594477167">
          <w:marLeft w:val="0"/>
          <w:marRight w:val="0"/>
          <w:marTop w:val="0"/>
          <w:marBottom w:val="0"/>
          <w:divBdr>
            <w:top w:val="none" w:sz="0" w:space="0" w:color="auto"/>
            <w:left w:val="none" w:sz="0" w:space="0" w:color="auto"/>
            <w:bottom w:val="none" w:sz="0" w:space="0" w:color="auto"/>
            <w:right w:val="none" w:sz="0" w:space="0" w:color="auto"/>
          </w:divBdr>
        </w:div>
        <w:div w:id="967200110">
          <w:marLeft w:val="0"/>
          <w:marRight w:val="0"/>
          <w:marTop w:val="0"/>
          <w:marBottom w:val="0"/>
          <w:divBdr>
            <w:top w:val="none" w:sz="0" w:space="0" w:color="auto"/>
            <w:left w:val="none" w:sz="0" w:space="0" w:color="auto"/>
            <w:bottom w:val="none" w:sz="0" w:space="0" w:color="auto"/>
            <w:right w:val="none" w:sz="0" w:space="0" w:color="auto"/>
          </w:divBdr>
        </w:div>
        <w:div w:id="367919289">
          <w:marLeft w:val="0"/>
          <w:marRight w:val="0"/>
          <w:marTop w:val="0"/>
          <w:marBottom w:val="0"/>
          <w:divBdr>
            <w:top w:val="none" w:sz="0" w:space="0" w:color="auto"/>
            <w:left w:val="none" w:sz="0" w:space="0" w:color="auto"/>
            <w:bottom w:val="none" w:sz="0" w:space="0" w:color="auto"/>
            <w:right w:val="none" w:sz="0" w:space="0" w:color="auto"/>
          </w:divBdr>
        </w:div>
        <w:div w:id="1044021045">
          <w:marLeft w:val="0"/>
          <w:marRight w:val="0"/>
          <w:marTop w:val="0"/>
          <w:marBottom w:val="0"/>
          <w:divBdr>
            <w:top w:val="none" w:sz="0" w:space="0" w:color="auto"/>
            <w:left w:val="none" w:sz="0" w:space="0" w:color="auto"/>
            <w:bottom w:val="none" w:sz="0" w:space="0" w:color="auto"/>
            <w:right w:val="none" w:sz="0" w:space="0" w:color="auto"/>
          </w:divBdr>
        </w:div>
        <w:div w:id="1323200804">
          <w:marLeft w:val="0"/>
          <w:marRight w:val="0"/>
          <w:marTop w:val="0"/>
          <w:marBottom w:val="0"/>
          <w:divBdr>
            <w:top w:val="none" w:sz="0" w:space="0" w:color="auto"/>
            <w:left w:val="none" w:sz="0" w:space="0" w:color="auto"/>
            <w:bottom w:val="none" w:sz="0" w:space="0" w:color="auto"/>
            <w:right w:val="none" w:sz="0" w:space="0" w:color="auto"/>
          </w:divBdr>
        </w:div>
        <w:div w:id="314649006">
          <w:marLeft w:val="0"/>
          <w:marRight w:val="0"/>
          <w:marTop w:val="0"/>
          <w:marBottom w:val="0"/>
          <w:divBdr>
            <w:top w:val="none" w:sz="0" w:space="0" w:color="auto"/>
            <w:left w:val="none" w:sz="0" w:space="0" w:color="auto"/>
            <w:bottom w:val="none" w:sz="0" w:space="0" w:color="auto"/>
            <w:right w:val="none" w:sz="0" w:space="0" w:color="auto"/>
          </w:divBdr>
        </w:div>
        <w:div w:id="2117676405">
          <w:marLeft w:val="0"/>
          <w:marRight w:val="0"/>
          <w:marTop w:val="0"/>
          <w:marBottom w:val="0"/>
          <w:divBdr>
            <w:top w:val="none" w:sz="0" w:space="0" w:color="auto"/>
            <w:left w:val="none" w:sz="0" w:space="0" w:color="auto"/>
            <w:bottom w:val="none" w:sz="0" w:space="0" w:color="auto"/>
            <w:right w:val="none" w:sz="0" w:space="0" w:color="auto"/>
          </w:divBdr>
        </w:div>
        <w:div w:id="2084985003">
          <w:marLeft w:val="0"/>
          <w:marRight w:val="0"/>
          <w:marTop w:val="0"/>
          <w:marBottom w:val="0"/>
          <w:divBdr>
            <w:top w:val="none" w:sz="0" w:space="0" w:color="auto"/>
            <w:left w:val="none" w:sz="0" w:space="0" w:color="auto"/>
            <w:bottom w:val="none" w:sz="0" w:space="0" w:color="auto"/>
            <w:right w:val="none" w:sz="0" w:space="0" w:color="auto"/>
          </w:divBdr>
        </w:div>
        <w:div w:id="1042904018">
          <w:marLeft w:val="0"/>
          <w:marRight w:val="0"/>
          <w:marTop w:val="0"/>
          <w:marBottom w:val="0"/>
          <w:divBdr>
            <w:top w:val="none" w:sz="0" w:space="0" w:color="auto"/>
            <w:left w:val="none" w:sz="0" w:space="0" w:color="auto"/>
            <w:bottom w:val="none" w:sz="0" w:space="0" w:color="auto"/>
            <w:right w:val="none" w:sz="0" w:space="0" w:color="auto"/>
          </w:divBdr>
        </w:div>
        <w:div w:id="2045903623">
          <w:marLeft w:val="0"/>
          <w:marRight w:val="0"/>
          <w:marTop w:val="0"/>
          <w:marBottom w:val="0"/>
          <w:divBdr>
            <w:top w:val="none" w:sz="0" w:space="0" w:color="auto"/>
            <w:left w:val="none" w:sz="0" w:space="0" w:color="auto"/>
            <w:bottom w:val="none" w:sz="0" w:space="0" w:color="auto"/>
            <w:right w:val="none" w:sz="0" w:space="0" w:color="auto"/>
          </w:divBdr>
        </w:div>
        <w:div w:id="868418435">
          <w:marLeft w:val="0"/>
          <w:marRight w:val="0"/>
          <w:marTop w:val="0"/>
          <w:marBottom w:val="0"/>
          <w:divBdr>
            <w:top w:val="none" w:sz="0" w:space="0" w:color="auto"/>
            <w:left w:val="none" w:sz="0" w:space="0" w:color="auto"/>
            <w:bottom w:val="none" w:sz="0" w:space="0" w:color="auto"/>
            <w:right w:val="none" w:sz="0" w:space="0" w:color="auto"/>
          </w:divBdr>
        </w:div>
        <w:div w:id="901452743">
          <w:marLeft w:val="0"/>
          <w:marRight w:val="0"/>
          <w:marTop w:val="0"/>
          <w:marBottom w:val="0"/>
          <w:divBdr>
            <w:top w:val="none" w:sz="0" w:space="0" w:color="auto"/>
            <w:left w:val="none" w:sz="0" w:space="0" w:color="auto"/>
            <w:bottom w:val="none" w:sz="0" w:space="0" w:color="auto"/>
            <w:right w:val="none" w:sz="0" w:space="0" w:color="auto"/>
          </w:divBdr>
        </w:div>
        <w:div w:id="1378819602">
          <w:marLeft w:val="0"/>
          <w:marRight w:val="0"/>
          <w:marTop w:val="0"/>
          <w:marBottom w:val="0"/>
          <w:divBdr>
            <w:top w:val="none" w:sz="0" w:space="0" w:color="auto"/>
            <w:left w:val="none" w:sz="0" w:space="0" w:color="auto"/>
            <w:bottom w:val="none" w:sz="0" w:space="0" w:color="auto"/>
            <w:right w:val="none" w:sz="0" w:space="0" w:color="auto"/>
          </w:divBdr>
        </w:div>
        <w:div w:id="476922607">
          <w:marLeft w:val="0"/>
          <w:marRight w:val="0"/>
          <w:marTop w:val="0"/>
          <w:marBottom w:val="0"/>
          <w:divBdr>
            <w:top w:val="none" w:sz="0" w:space="0" w:color="auto"/>
            <w:left w:val="none" w:sz="0" w:space="0" w:color="auto"/>
            <w:bottom w:val="none" w:sz="0" w:space="0" w:color="auto"/>
            <w:right w:val="none" w:sz="0" w:space="0" w:color="auto"/>
          </w:divBdr>
        </w:div>
        <w:div w:id="1816988410">
          <w:marLeft w:val="0"/>
          <w:marRight w:val="0"/>
          <w:marTop w:val="0"/>
          <w:marBottom w:val="0"/>
          <w:divBdr>
            <w:top w:val="none" w:sz="0" w:space="0" w:color="auto"/>
            <w:left w:val="none" w:sz="0" w:space="0" w:color="auto"/>
            <w:bottom w:val="none" w:sz="0" w:space="0" w:color="auto"/>
            <w:right w:val="none" w:sz="0" w:space="0" w:color="auto"/>
          </w:divBdr>
        </w:div>
        <w:div w:id="444273008">
          <w:marLeft w:val="0"/>
          <w:marRight w:val="0"/>
          <w:marTop w:val="0"/>
          <w:marBottom w:val="0"/>
          <w:divBdr>
            <w:top w:val="none" w:sz="0" w:space="0" w:color="auto"/>
            <w:left w:val="none" w:sz="0" w:space="0" w:color="auto"/>
            <w:bottom w:val="none" w:sz="0" w:space="0" w:color="auto"/>
            <w:right w:val="none" w:sz="0" w:space="0" w:color="auto"/>
          </w:divBdr>
        </w:div>
        <w:div w:id="348994306">
          <w:marLeft w:val="0"/>
          <w:marRight w:val="0"/>
          <w:marTop w:val="0"/>
          <w:marBottom w:val="0"/>
          <w:divBdr>
            <w:top w:val="none" w:sz="0" w:space="0" w:color="auto"/>
            <w:left w:val="none" w:sz="0" w:space="0" w:color="auto"/>
            <w:bottom w:val="none" w:sz="0" w:space="0" w:color="auto"/>
            <w:right w:val="none" w:sz="0" w:space="0" w:color="auto"/>
          </w:divBdr>
        </w:div>
        <w:div w:id="1604649986">
          <w:marLeft w:val="0"/>
          <w:marRight w:val="0"/>
          <w:marTop w:val="0"/>
          <w:marBottom w:val="0"/>
          <w:divBdr>
            <w:top w:val="none" w:sz="0" w:space="0" w:color="auto"/>
            <w:left w:val="none" w:sz="0" w:space="0" w:color="auto"/>
            <w:bottom w:val="none" w:sz="0" w:space="0" w:color="auto"/>
            <w:right w:val="none" w:sz="0" w:space="0" w:color="auto"/>
          </w:divBdr>
        </w:div>
        <w:div w:id="1297224322">
          <w:marLeft w:val="0"/>
          <w:marRight w:val="0"/>
          <w:marTop w:val="0"/>
          <w:marBottom w:val="0"/>
          <w:divBdr>
            <w:top w:val="none" w:sz="0" w:space="0" w:color="auto"/>
            <w:left w:val="none" w:sz="0" w:space="0" w:color="auto"/>
            <w:bottom w:val="none" w:sz="0" w:space="0" w:color="auto"/>
            <w:right w:val="none" w:sz="0" w:space="0" w:color="auto"/>
          </w:divBdr>
        </w:div>
        <w:div w:id="478422162">
          <w:marLeft w:val="0"/>
          <w:marRight w:val="0"/>
          <w:marTop w:val="0"/>
          <w:marBottom w:val="0"/>
          <w:divBdr>
            <w:top w:val="none" w:sz="0" w:space="0" w:color="auto"/>
            <w:left w:val="none" w:sz="0" w:space="0" w:color="auto"/>
            <w:bottom w:val="none" w:sz="0" w:space="0" w:color="auto"/>
            <w:right w:val="none" w:sz="0" w:space="0" w:color="auto"/>
          </w:divBdr>
        </w:div>
        <w:div w:id="447554009">
          <w:marLeft w:val="0"/>
          <w:marRight w:val="0"/>
          <w:marTop w:val="0"/>
          <w:marBottom w:val="0"/>
          <w:divBdr>
            <w:top w:val="none" w:sz="0" w:space="0" w:color="auto"/>
            <w:left w:val="none" w:sz="0" w:space="0" w:color="auto"/>
            <w:bottom w:val="none" w:sz="0" w:space="0" w:color="auto"/>
            <w:right w:val="none" w:sz="0" w:space="0" w:color="auto"/>
          </w:divBdr>
        </w:div>
        <w:div w:id="238904389">
          <w:marLeft w:val="0"/>
          <w:marRight w:val="0"/>
          <w:marTop w:val="0"/>
          <w:marBottom w:val="0"/>
          <w:divBdr>
            <w:top w:val="none" w:sz="0" w:space="0" w:color="auto"/>
            <w:left w:val="none" w:sz="0" w:space="0" w:color="auto"/>
            <w:bottom w:val="none" w:sz="0" w:space="0" w:color="auto"/>
            <w:right w:val="none" w:sz="0" w:space="0" w:color="auto"/>
          </w:divBdr>
        </w:div>
        <w:div w:id="1621495413">
          <w:marLeft w:val="0"/>
          <w:marRight w:val="0"/>
          <w:marTop w:val="0"/>
          <w:marBottom w:val="0"/>
          <w:divBdr>
            <w:top w:val="none" w:sz="0" w:space="0" w:color="auto"/>
            <w:left w:val="none" w:sz="0" w:space="0" w:color="auto"/>
            <w:bottom w:val="none" w:sz="0" w:space="0" w:color="auto"/>
            <w:right w:val="none" w:sz="0" w:space="0" w:color="auto"/>
          </w:divBdr>
        </w:div>
        <w:div w:id="1032195092">
          <w:marLeft w:val="0"/>
          <w:marRight w:val="0"/>
          <w:marTop w:val="0"/>
          <w:marBottom w:val="0"/>
          <w:divBdr>
            <w:top w:val="none" w:sz="0" w:space="0" w:color="auto"/>
            <w:left w:val="none" w:sz="0" w:space="0" w:color="auto"/>
            <w:bottom w:val="none" w:sz="0" w:space="0" w:color="auto"/>
            <w:right w:val="none" w:sz="0" w:space="0" w:color="auto"/>
          </w:divBdr>
        </w:div>
        <w:div w:id="1464689535">
          <w:marLeft w:val="0"/>
          <w:marRight w:val="0"/>
          <w:marTop w:val="0"/>
          <w:marBottom w:val="0"/>
          <w:divBdr>
            <w:top w:val="none" w:sz="0" w:space="0" w:color="auto"/>
            <w:left w:val="none" w:sz="0" w:space="0" w:color="auto"/>
            <w:bottom w:val="none" w:sz="0" w:space="0" w:color="auto"/>
            <w:right w:val="none" w:sz="0" w:space="0" w:color="auto"/>
          </w:divBdr>
        </w:div>
        <w:div w:id="870336829">
          <w:marLeft w:val="0"/>
          <w:marRight w:val="0"/>
          <w:marTop w:val="0"/>
          <w:marBottom w:val="0"/>
          <w:divBdr>
            <w:top w:val="none" w:sz="0" w:space="0" w:color="auto"/>
            <w:left w:val="none" w:sz="0" w:space="0" w:color="auto"/>
            <w:bottom w:val="none" w:sz="0" w:space="0" w:color="auto"/>
            <w:right w:val="none" w:sz="0" w:space="0" w:color="auto"/>
          </w:divBdr>
        </w:div>
        <w:div w:id="1457260607">
          <w:marLeft w:val="0"/>
          <w:marRight w:val="0"/>
          <w:marTop w:val="0"/>
          <w:marBottom w:val="0"/>
          <w:divBdr>
            <w:top w:val="none" w:sz="0" w:space="0" w:color="auto"/>
            <w:left w:val="none" w:sz="0" w:space="0" w:color="auto"/>
            <w:bottom w:val="none" w:sz="0" w:space="0" w:color="auto"/>
            <w:right w:val="none" w:sz="0" w:space="0" w:color="auto"/>
          </w:divBdr>
        </w:div>
        <w:div w:id="1928610729">
          <w:marLeft w:val="0"/>
          <w:marRight w:val="0"/>
          <w:marTop w:val="0"/>
          <w:marBottom w:val="0"/>
          <w:divBdr>
            <w:top w:val="none" w:sz="0" w:space="0" w:color="auto"/>
            <w:left w:val="none" w:sz="0" w:space="0" w:color="auto"/>
            <w:bottom w:val="none" w:sz="0" w:space="0" w:color="auto"/>
            <w:right w:val="none" w:sz="0" w:space="0" w:color="auto"/>
          </w:divBdr>
        </w:div>
        <w:div w:id="1162162798">
          <w:marLeft w:val="0"/>
          <w:marRight w:val="0"/>
          <w:marTop w:val="0"/>
          <w:marBottom w:val="0"/>
          <w:divBdr>
            <w:top w:val="none" w:sz="0" w:space="0" w:color="auto"/>
            <w:left w:val="none" w:sz="0" w:space="0" w:color="auto"/>
            <w:bottom w:val="none" w:sz="0" w:space="0" w:color="auto"/>
            <w:right w:val="none" w:sz="0" w:space="0" w:color="auto"/>
          </w:divBdr>
        </w:div>
        <w:div w:id="1189829611">
          <w:marLeft w:val="0"/>
          <w:marRight w:val="0"/>
          <w:marTop w:val="0"/>
          <w:marBottom w:val="0"/>
          <w:divBdr>
            <w:top w:val="none" w:sz="0" w:space="0" w:color="auto"/>
            <w:left w:val="none" w:sz="0" w:space="0" w:color="auto"/>
            <w:bottom w:val="none" w:sz="0" w:space="0" w:color="auto"/>
            <w:right w:val="none" w:sz="0" w:space="0" w:color="auto"/>
          </w:divBdr>
        </w:div>
        <w:div w:id="1905287674">
          <w:marLeft w:val="0"/>
          <w:marRight w:val="0"/>
          <w:marTop w:val="0"/>
          <w:marBottom w:val="0"/>
          <w:divBdr>
            <w:top w:val="none" w:sz="0" w:space="0" w:color="auto"/>
            <w:left w:val="none" w:sz="0" w:space="0" w:color="auto"/>
            <w:bottom w:val="none" w:sz="0" w:space="0" w:color="auto"/>
            <w:right w:val="none" w:sz="0" w:space="0" w:color="auto"/>
          </w:divBdr>
        </w:div>
        <w:div w:id="1714422768">
          <w:marLeft w:val="0"/>
          <w:marRight w:val="0"/>
          <w:marTop w:val="0"/>
          <w:marBottom w:val="0"/>
          <w:divBdr>
            <w:top w:val="none" w:sz="0" w:space="0" w:color="auto"/>
            <w:left w:val="none" w:sz="0" w:space="0" w:color="auto"/>
            <w:bottom w:val="none" w:sz="0" w:space="0" w:color="auto"/>
            <w:right w:val="none" w:sz="0" w:space="0" w:color="auto"/>
          </w:divBdr>
        </w:div>
        <w:div w:id="229778637">
          <w:marLeft w:val="0"/>
          <w:marRight w:val="0"/>
          <w:marTop w:val="0"/>
          <w:marBottom w:val="0"/>
          <w:divBdr>
            <w:top w:val="none" w:sz="0" w:space="0" w:color="auto"/>
            <w:left w:val="none" w:sz="0" w:space="0" w:color="auto"/>
            <w:bottom w:val="none" w:sz="0" w:space="0" w:color="auto"/>
            <w:right w:val="none" w:sz="0" w:space="0" w:color="auto"/>
          </w:divBdr>
        </w:div>
        <w:div w:id="1564490935">
          <w:marLeft w:val="0"/>
          <w:marRight w:val="0"/>
          <w:marTop w:val="0"/>
          <w:marBottom w:val="0"/>
          <w:divBdr>
            <w:top w:val="none" w:sz="0" w:space="0" w:color="auto"/>
            <w:left w:val="none" w:sz="0" w:space="0" w:color="auto"/>
            <w:bottom w:val="none" w:sz="0" w:space="0" w:color="auto"/>
            <w:right w:val="none" w:sz="0" w:space="0" w:color="auto"/>
          </w:divBdr>
        </w:div>
        <w:div w:id="1103766657">
          <w:marLeft w:val="0"/>
          <w:marRight w:val="0"/>
          <w:marTop w:val="0"/>
          <w:marBottom w:val="0"/>
          <w:divBdr>
            <w:top w:val="none" w:sz="0" w:space="0" w:color="auto"/>
            <w:left w:val="none" w:sz="0" w:space="0" w:color="auto"/>
            <w:bottom w:val="none" w:sz="0" w:space="0" w:color="auto"/>
            <w:right w:val="none" w:sz="0" w:space="0" w:color="auto"/>
          </w:divBdr>
        </w:div>
        <w:div w:id="1940067555">
          <w:marLeft w:val="0"/>
          <w:marRight w:val="0"/>
          <w:marTop w:val="0"/>
          <w:marBottom w:val="0"/>
          <w:divBdr>
            <w:top w:val="none" w:sz="0" w:space="0" w:color="auto"/>
            <w:left w:val="none" w:sz="0" w:space="0" w:color="auto"/>
            <w:bottom w:val="none" w:sz="0" w:space="0" w:color="auto"/>
            <w:right w:val="none" w:sz="0" w:space="0" w:color="auto"/>
          </w:divBdr>
        </w:div>
        <w:div w:id="1478454164">
          <w:marLeft w:val="0"/>
          <w:marRight w:val="0"/>
          <w:marTop w:val="0"/>
          <w:marBottom w:val="0"/>
          <w:divBdr>
            <w:top w:val="none" w:sz="0" w:space="0" w:color="auto"/>
            <w:left w:val="none" w:sz="0" w:space="0" w:color="auto"/>
            <w:bottom w:val="none" w:sz="0" w:space="0" w:color="auto"/>
            <w:right w:val="none" w:sz="0" w:space="0" w:color="auto"/>
          </w:divBdr>
        </w:div>
        <w:div w:id="1012103144">
          <w:marLeft w:val="0"/>
          <w:marRight w:val="0"/>
          <w:marTop w:val="0"/>
          <w:marBottom w:val="0"/>
          <w:divBdr>
            <w:top w:val="none" w:sz="0" w:space="0" w:color="auto"/>
            <w:left w:val="none" w:sz="0" w:space="0" w:color="auto"/>
            <w:bottom w:val="none" w:sz="0" w:space="0" w:color="auto"/>
            <w:right w:val="none" w:sz="0" w:space="0" w:color="auto"/>
          </w:divBdr>
        </w:div>
        <w:div w:id="1031491444">
          <w:marLeft w:val="0"/>
          <w:marRight w:val="0"/>
          <w:marTop w:val="0"/>
          <w:marBottom w:val="0"/>
          <w:divBdr>
            <w:top w:val="none" w:sz="0" w:space="0" w:color="auto"/>
            <w:left w:val="none" w:sz="0" w:space="0" w:color="auto"/>
            <w:bottom w:val="none" w:sz="0" w:space="0" w:color="auto"/>
            <w:right w:val="none" w:sz="0" w:space="0" w:color="auto"/>
          </w:divBdr>
        </w:div>
        <w:div w:id="930703522">
          <w:marLeft w:val="0"/>
          <w:marRight w:val="0"/>
          <w:marTop w:val="0"/>
          <w:marBottom w:val="0"/>
          <w:divBdr>
            <w:top w:val="none" w:sz="0" w:space="0" w:color="auto"/>
            <w:left w:val="none" w:sz="0" w:space="0" w:color="auto"/>
            <w:bottom w:val="none" w:sz="0" w:space="0" w:color="auto"/>
            <w:right w:val="none" w:sz="0" w:space="0" w:color="auto"/>
          </w:divBdr>
        </w:div>
        <w:div w:id="892739669">
          <w:marLeft w:val="0"/>
          <w:marRight w:val="0"/>
          <w:marTop w:val="0"/>
          <w:marBottom w:val="0"/>
          <w:divBdr>
            <w:top w:val="none" w:sz="0" w:space="0" w:color="auto"/>
            <w:left w:val="none" w:sz="0" w:space="0" w:color="auto"/>
            <w:bottom w:val="none" w:sz="0" w:space="0" w:color="auto"/>
            <w:right w:val="none" w:sz="0" w:space="0" w:color="auto"/>
          </w:divBdr>
        </w:div>
        <w:div w:id="1833133860">
          <w:marLeft w:val="0"/>
          <w:marRight w:val="0"/>
          <w:marTop w:val="0"/>
          <w:marBottom w:val="0"/>
          <w:divBdr>
            <w:top w:val="none" w:sz="0" w:space="0" w:color="auto"/>
            <w:left w:val="none" w:sz="0" w:space="0" w:color="auto"/>
            <w:bottom w:val="none" w:sz="0" w:space="0" w:color="auto"/>
            <w:right w:val="none" w:sz="0" w:space="0" w:color="auto"/>
          </w:divBdr>
        </w:div>
        <w:div w:id="1860123106">
          <w:marLeft w:val="0"/>
          <w:marRight w:val="0"/>
          <w:marTop w:val="0"/>
          <w:marBottom w:val="0"/>
          <w:divBdr>
            <w:top w:val="none" w:sz="0" w:space="0" w:color="auto"/>
            <w:left w:val="none" w:sz="0" w:space="0" w:color="auto"/>
            <w:bottom w:val="none" w:sz="0" w:space="0" w:color="auto"/>
            <w:right w:val="none" w:sz="0" w:space="0" w:color="auto"/>
          </w:divBdr>
        </w:div>
        <w:div w:id="502742872">
          <w:marLeft w:val="0"/>
          <w:marRight w:val="0"/>
          <w:marTop w:val="480"/>
          <w:marBottom w:val="4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0-www-sciencedirect-com.libus.csd.mu.edu/science/article/pii/S0929119917307344" TargetMode="External"/><Relationship Id="rId21" Type="http://schemas.openxmlformats.org/officeDocument/2006/relationships/hyperlink" Target="https://0-www-sciencedirect-com.libus.csd.mu.edu/topics/economics-econometrics-and-finance/agency-theory" TargetMode="External"/><Relationship Id="rId42" Type="http://schemas.openxmlformats.org/officeDocument/2006/relationships/hyperlink" Target="https://0-www-sciencedirect-com.libus.csd.mu.edu/topics/economics-econometrics-and-finance/public-real-estate" TargetMode="External"/><Relationship Id="rId63" Type="http://schemas.openxmlformats.org/officeDocument/2006/relationships/hyperlink" Target="https://0-www-sciencedirect-com.libus.csd.mu.edu/topics/economics-econometrics-and-finance/bayesian-inference" TargetMode="External"/><Relationship Id="rId84" Type="http://schemas.openxmlformats.org/officeDocument/2006/relationships/hyperlink" Target="https://0-www-sciencedirect-com.libus.csd.mu.edu/science/article/pii/S0929119917307344" TargetMode="External"/><Relationship Id="rId138" Type="http://schemas.openxmlformats.org/officeDocument/2006/relationships/hyperlink" Target="https://0-www-sciencedirect-com.libus.csd.mu.edu/topics/economics-econometrics-and-finance/multivariate-analysis" TargetMode="External"/><Relationship Id="rId159" Type="http://schemas.openxmlformats.org/officeDocument/2006/relationships/hyperlink" Target="https://0-www-sciencedirect-com.libus.csd.mu.edu/science/article/pii/S0929119917307344" TargetMode="External"/><Relationship Id="rId170" Type="http://schemas.openxmlformats.org/officeDocument/2006/relationships/hyperlink" Target="https://0-www-sciencedirect-com.libus.csd.mu.edu/science/article/pii/S0929119917307344" TargetMode="External"/><Relationship Id="rId191" Type="http://schemas.openxmlformats.org/officeDocument/2006/relationships/hyperlink" Target="https://0-www-sciencedirect-com.libus.csd.mu.edu/science/article/pii/S0929119917307344" TargetMode="External"/><Relationship Id="rId205" Type="http://schemas.openxmlformats.org/officeDocument/2006/relationships/hyperlink" Target="https://0-www-sciencedirect-com.libus.csd.mu.edu/science/article/pii/S0929119917307344" TargetMode="External"/><Relationship Id="rId226" Type="http://schemas.openxmlformats.org/officeDocument/2006/relationships/hyperlink" Target="https://0-www-sciencedirect-com.libus.csd.mu.edu/science/article/pii/S0929119917307344" TargetMode="External"/><Relationship Id="rId107" Type="http://schemas.openxmlformats.org/officeDocument/2006/relationships/hyperlink" Target="https://0-www-sciencedirect-com.libus.csd.mu.edu/science/article/pii/S0929119917307344" TargetMode="External"/><Relationship Id="rId11" Type="http://schemas.openxmlformats.org/officeDocument/2006/relationships/hyperlink" Target="https://0-www-sciencedirect-com.libus.csd.mu.edu/topics/economics-econometrics-and-finance/board-of-directors" TargetMode="External"/><Relationship Id="rId32" Type="http://schemas.openxmlformats.org/officeDocument/2006/relationships/hyperlink" Target="https://0-www-sciencedirect-com.libus.csd.mu.edu/topics/economics-econometrics-and-finance/leverage" TargetMode="External"/><Relationship Id="rId53" Type="http://schemas.openxmlformats.org/officeDocument/2006/relationships/hyperlink" Target="https://0-www-sciencedirect-com.libus.csd.mu.edu/topics/economics-econometrics-and-finance/board-of-directors" TargetMode="External"/><Relationship Id="rId74" Type="http://schemas.openxmlformats.org/officeDocument/2006/relationships/hyperlink" Target="https://0-www-sciencedirect-com.libus.csd.mu.edu/science/article/pii/S0929119917307344" TargetMode="External"/><Relationship Id="rId128" Type="http://schemas.openxmlformats.org/officeDocument/2006/relationships/hyperlink" Target="https://0-www-sciencedirect-com.libus.csd.mu.edu/topics/economics-econometrics-and-finance/instrumental-variables" TargetMode="External"/><Relationship Id="rId149" Type="http://schemas.openxmlformats.org/officeDocument/2006/relationships/hyperlink" Target="https://0-www-sciencedirect-com.libus.csd.mu.edu/science/article/pii/S0929119917307344" TargetMode="External"/><Relationship Id="rId5" Type="http://schemas.openxmlformats.org/officeDocument/2006/relationships/styles" Target="styles.xml"/><Relationship Id="rId95" Type="http://schemas.openxmlformats.org/officeDocument/2006/relationships/hyperlink" Target="https://0-www-sciencedirect-com.libus.csd.mu.edu/science/article/pii/S0929119917307344" TargetMode="External"/><Relationship Id="rId160" Type="http://schemas.openxmlformats.org/officeDocument/2006/relationships/hyperlink" Target="https://0-www-sciencedirect-com.libus.csd.mu.edu/science/article/pii/S0929119917307344" TargetMode="External"/><Relationship Id="rId181" Type="http://schemas.openxmlformats.org/officeDocument/2006/relationships/hyperlink" Target="https://0-www-sciencedirect-com.libus.csd.mu.edu/science/article/pii/S0929119917307344" TargetMode="External"/><Relationship Id="rId216" Type="http://schemas.openxmlformats.org/officeDocument/2006/relationships/hyperlink" Target="https://0-www-sciencedirect-com.libus.csd.mu.edu/science/article/pii/S0929119917307344" TargetMode="External"/><Relationship Id="rId22" Type="http://schemas.openxmlformats.org/officeDocument/2006/relationships/hyperlink" Target="https://0-www-sciencedirect-com.libus.csd.mu.edu/topics/economics-econometrics-and-finance/board-of-directors" TargetMode="External"/><Relationship Id="rId43" Type="http://schemas.openxmlformats.org/officeDocument/2006/relationships/hyperlink" Target="https://0-www-sciencedirect-com.libus.csd.mu.edu/science/article/pii/S0929119917307344" TargetMode="External"/><Relationship Id="rId64" Type="http://schemas.openxmlformats.org/officeDocument/2006/relationships/hyperlink" Target="https://0-www-sciencedirect-com.libus.csd.mu.edu/topics/economics-econometrics-and-finance/audit-committee" TargetMode="External"/><Relationship Id="rId118" Type="http://schemas.openxmlformats.org/officeDocument/2006/relationships/hyperlink" Target="https://0-www-sciencedirect-com.libus.csd.mu.edu/topics/economics-econometrics-and-finance/measure-of-dispersion" TargetMode="External"/><Relationship Id="rId139" Type="http://schemas.openxmlformats.org/officeDocument/2006/relationships/hyperlink" Target="https://0-www-sciencedirect-com.libus.csd.mu.edu/topics/economics-econometrics-and-finance/leverage" TargetMode="External"/><Relationship Id="rId85" Type="http://schemas.openxmlformats.org/officeDocument/2006/relationships/hyperlink" Target="https://0-www-sciencedirect-com.libus.csd.mu.edu/science/article/pii/S0929119917307344" TargetMode="External"/><Relationship Id="rId150" Type="http://schemas.openxmlformats.org/officeDocument/2006/relationships/hyperlink" Target="https://0-www-sciencedirect-com.libus.csd.mu.edu/science/article/pii/S0929119917307344" TargetMode="External"/><Relationship Id="rId171" Type="http://schemas.openxmlformats.org/officeDocument/2006/relationships/hyperlink" Target="https://0-www-sciencedirect-com.libus.csd.mu.edu/science/article/pii/S0929119917307344" TargetMode="External"/><Relationship Id="rId192" Type="http://schemas.openxmlformats.org/officeDocument/2006/relationships/hyperlink" Target="https://0-www-sciencedirect-com.libus.csd.mu.edu/science/article/pii/S0929119917307344" TargetMode="External"/><Relationship Id="rId206" Type="http://schemas.openxmlformats.org/officeDocument/2006/relationships/hyperlink" Target="https://0-www-sciencedirect-com.libus.csd.mu.edu/science/article/pii/S0929119917307344" TargetMode="External"/><Relationship Id="rId227" Type="http://schemas.openxmlformats.org/officeDocument/2006/relationships/hyperlink" Target="https://0-www-sciencedirect-com.libus.csd.mu.edu/science/article/pii/S0929119917307344" TargetMode="External"/><Relationship Id="rId12" Type="http://schemas.openxmlformats.org/officeDocument/2006/relationships/hyperlink" Target="https://0-www-sciencedirect-com.libus.csd.mu.edu/topics/economics-econometrics-and-finance/real-estate-investment" TargetMode="External"/><Relationship Id="rId33" Type="http://schemas.openxmlformats.org/officeDocument/2006/relationships/hyperlink" Target="https://0-www-sciencedirect-com.libus.csd.mu.edu/science/article/pii/S0929119917307344" TargetMode="External"/><Relationship Id="rId108" Type="http://schemas.openxmlformats.org/officeDocument/2006/relationships/hyperlink" Target="https://0-www-sciencedirect-com.libus.csd.mu.edu/topics/economics-econometrics-and-finance/declining-markets" TargetMode="External"/><Relationship Id="rId129" Type="http://schemas.openxmlformats.org/officeDocument/2006/relationships/hyperlink" Target="https://0-www-sciencedirect-com.libus.csd.mu.edu/science/article/pii/S0929119917307344" TargetMode="External"/><Relationship Id="rId54" Type="http://schemas.openxmlformats.org/officeDocument/2006/relationships/hyperlink" Target="https://0-www-sciencedirect-com.libus.csd.mu.edu/topics/economics-econometrics-and-finance/corporate-governance" TargetMode="External"/><Relationship Id="rId75" Type="http://schemas.openxmlformats.org/officeDocument/2006/relationships/hyperlink" Target="https://0-www-sciencedirect-com.libus.csd.mu.edu/science/article/pii/S0929119917307344" TargetMode="External"/><Relationship Id="rId96" Type="http://schemas.openxmlformats.org/officeDocument/2006/relationships/hyperlink" Target="https://0-www-sciencedirect-com.libus.csd.mu.edu/science/article/pii/S0929119917307344" TargetMode="External"/><Relationship Id="rId140" Type="http://schemas.openxmlformats.org/officeDocument/2006/relationships/hyperlink" Target="https://0-www-sciencedirect-com.libus.csd.mu.edu/science/article/pii/S0929119917307344" TargetMode="External"/><Relationship Id="rId161" Type="http://schemas.openxmlformats.org/officeDocument/2006/relationships/hyperlink" Target="https://0-www-sciencedirect-com.libus.csd.mu.edu/science/article/pii/S0929119917307344" TargetMode="External"/><Relationship Id="rId182" Type="http://schemas.openxmlformats.org/officeDocument/2006/relationships/hyperlink" Target="https://0-www-sciencedirect-com.libus.csd.mu.edu/science/article/pii/S0929119917307344" TargetMode="External"/><Relationship Id="rId217" Type="http://schemas.openxmlformats.org/officeDocument/2006/relationships/hyperlink" Target="https://0-www-sciencedirect-com.libus.csd.mu.edu/science/article/pii/S0929119917307344" TargetMode="External"/><Relationship Id="rId6" Type="http://schemas.openxmlformats.org/officeDocument/2006/relationships/settings" Target="settings.xml"/><Relationship Id="rId23" Type="http://schemas.openxmlformats.org/officeDocument/2006/relationships/hyperlink" Target="https://0-www-sciencedirect-com.libus.csd.mu.edu/topics/economics-econometrics-and-finance/financial-crisis" TargetMode="External"/><Relationship Id="rId119" Type="http://schemas.openxmlformats.org/officeDocument/2006/relationships/hyperlink" Target="https://0-www-sciencedirect-com.libus.csd.mu.edu/science/article/pii/S0929119917307344" TargetMode="External"/><Relationship Id="rId44" Type="http://schemas.openxmlformats.org/officeDocument/2006/relationships/hyperlink" Target="https://0-www-sciencedirect-com.libus.csd.mu.edu/topics/economics-econometrics-and-finance/financial-crisis" TargetMode="External"/><Relationship Id="rId65" Type="http://schemas.openxmlformats.org/officeDocument/2006/relationships/hyperlink" Target="https://0-www-sciencedirect-com.libus.csd.mu.edu/science/article/pii/S0929119917307344" TargetMode="External"/><Relationship Id="rId86" Type="http://schemas.openxmlformats.org/officeDocument/2006/relationships/hyperlink" Target="https://0-www-sciencedirect-com.libus.csd.mu.edu/topics/economics-econometrics-and-finance/financial-crisis" TargetMode="External"/><Relationship Id="rId130" Type="http://schemas.openxmlformats.org/officeDocument/2006/relationships/hyperlink" Target="https://0-www-sciencedirect-com.libus.csd.mu.edu/science/article/pii/S0929119917307344" TargetMode="External"/><Relationship Id="rId151" Type="http://schemas.openxmlformats.org/officeDocument/2006/relationships/hyperlink" Target="https://0-www-sciencedirect-com.libus.csd.mu.edu/science/article/pii/S0929119917307344" TargetMode="External"/><Relationship Id="rId172" Type="http://schemas.openxmlformats.org/officeDocument/2006/relationships/hyperlink" Target="https://0-www-sciencedirect-com.libus.csd.mu.edu/science/article/pii/S0929119917307344" TargetMode="External"/><Relationship Id="rId193" Type="http://schemas.openxmlformats.org/officeDocument/2006/relationships/hyperlink" Target="https://0-www-sciencedirect-com.libus.csd.mu.edu/science/article/pii/S0929119917307344" TargetMode="External"/><Relationship Id="rId207" Type="http://schemas.openxmlformats.org/officeDocument/2006/relationships/hyperlink" Target="https://0-www-sciencedirect-com.libus.csd.mu.edu/science/article/pii/S0929119917307344" TargetMode="External"/><Relationship Id="rId228" Type="http://schemas.openxmlformats.org/officeDocument/2006/relationships/hyperlink" Target="https://0-www-sciencedirect-com.libus.csd.mu.edu/science/article/pii/S0929119917307344" TargetMode="External"/><Relationship Id="rId13" Type="http://schemas.openxmlformats.org/officeDocument/2006/relationships/hyperlink" Target="https://0-www-sciencedirect-com.libus.csd.mu.edu/topics/economics-econometrics-and-finance/financial-crisis" TargetMode="External"/><Relationship Id="rId109" Type="http://schemas.openxmlformats.org/officeDocument/2006/relationships/hyperlink" Target="https://0-www-sciencedirect-com.libus.csd.mu.edu/topics/economics-econometrics-and-finance/capital-market-returns" TargetMode="External"/><Relationship Id="rId34" Type="http://schemas.openxmlformats.org/officeDocument/2006/relationships/hyperlink" Target="https://0-www-sciencedirect-com.libus.csd.mu.edu/topics/economics-econometrics-and-finance/asymmetric-information" TargetMode="External"/><Relationship Id="rId55" Type="http://schemas.openxmlformats.org/officeDocument/2006/relationships/hyperlink" Target="https://0-www-sciencedirect-com.libus.csd.mu.edu/science/article/pii/S0929119917307344" TargetMode="External"/><Relationship Id="rId76" Type="http://schemas.openxmlformats.org/officeDocument/2006/relationships/hyperlink" Target="https://0-www-sciencedirect-com.libus.csd.mu.edu/science/article/pii/S0929119917307344" TargetMode="External"/><Relationship Id="rId97" Type="http://schemas.openxmlformats.org/officeDocument/2006/relationships/hyperlink" Target="https://0-www-sciencedirect-com.libus.csd.mu.edu/science/article/pii/S0929119917307344" TargetMode="External"/><Relationship Id="rId120" Type="http://schemas.openxmlformats.org/officeDocument/2006/relationships/hyperlink" Target="https://0-www-sciencedirect-com.libus.csd.mu.edu/topics/economics-econometrics-and-finance/capital-market-returns" TargetMode="External"/><Relationship Id="rId141" Type="http://schemas.openxmlformats.org/officeDocument/2006/relationships/hyperlink" Target="https://0-www-sciencedirect-com.libus.csd.mu.edu/science/article/pii/S0929119917307344" TargetMode="External"/><Relationship Id="rId7" Type="http://schemas.openxmlformats.org/officeDocument/2006/relationships/webSettings" Target="webSettings.xml"/><Relationship Id="rId162" Type="http://schemas.openxmlformats.org/officeDocument/2006/relationships/hyperlink" Target="https://0-www-sciencedirect-com.libus.csd.mu.edu/science/article/pii/S0929119916300736?via%3Dihub" TargetMode="External"/><Relationship Id="rId183" Type="http://schemas.openxmlformats.org/officeDocument/2006/relationships/hyperlink" Target="https://0-www-sciencedirect-com.libus.csd.mu.edu/science/article/pii/S0929119917307344" TargetMode="External"/><Relationship Id="rId218" Type="http://schemas.openxmlformats.org/officeDocument/2006/relationships/hyperlink" Target="https://0-www-sciencedirect-com.libus.csd.mu.edu/science/article/pii/S0929119917307344" TargetMode="External"/><Relationship Id="rId24" Type="http://schemas.openxmlformats.org/officeDocument/2006/relationships/hyperlink" Target="https://0-www-sciencedirect-com.libus.csd.mu.edu/topics/economics-econometrics-and-finance/real-estate-investment" TargetMode="External"/><Relationship Id="rId45" Type="http://schemas.openxmlformats.org/officeDocument/2006/relationships/hyperlink" Target="https://0-www-sciencedirect-com.libus.csd.mu.edu/science/article/pii/S0929119917307344" TargetMode="External"/><Relationship Id="rId66" Type="http://schemas.openxmlformats.org/officeDocument/2006/relationships/hyperlink" Target="https://0-www-sciencedirect-com.libus.csd.mu.edu/science/article/pii/S0929119917307344" TargetMode="External"/><Relationship Id="rId87" Type="http://schemas.openxmlformats.org/officeDocument/2006/relationships/hyperlink" Target="https://0-www-sciencedirect-com.libus.csd.mu.edu/topics/economics-econometrics-and-finance/leverage" TargetMode="External"/><Relationship Id="rId110" Type="http://schemas.openxmlformats.org/officeDocument/2006/relationships/hyperlink" Target="https://0-www-sciencedirect-com.libus.csd.mu.edu/topics/economics-econometrics-and-finance/bayesian-inference" TargetMode="External"/><Relationship Id="rId131" Type="http://schemas.openxmlformats.org/officeDocument/2006/relationships/hyperlink" Target="https://0-www-sciencedirect-com.libus.csd.mu.edu/science/article/pii/S0929119917307344" TargetMode="External"/><Relationship Id="rId152" Type="http://schemas.openxmlformats.org/officeDocument/2006/relationships/hyperlink" Target="https://0-www-sciencedirect-com.libus.csd.mu.edu/topics/economics-econometrics-and-finance/capital-structure" TargetMode="External"/><Relationship Id="rId173" Type="http://schemas.openxmlformats.org/officeDocument/2006/relationships/hyperlink" Target="https://0-www-sciencedirect-com.libus.csd.mu.edu/science/article/pii/S0929119917307344" TargetMode="External"/><Relationship Id="rId194" Type="http://schemas.openxmlformats.org/officeDocument/2006/relationships/hyperlink" Target="https://0-www-sciencedirect-com.libus.csd.mu.edu/science/article/pii/S0929119917307344" TargetMode="External"/><Relationship Id="rId208" Type="http://schemas.openxmlformats.org/officeDocument/2006/relationships/hyperlink" Target="https://0-www-sciencedirect-com.libus.csd.mu.edu/science/article/pii/S0929119917307344" TargetMode="External"/><Relationship Id="rId229" Type="http://schemas.openxmlformats.org/officeDocument/2006/relationships/hyperlink" Target="https://0-www-sciencedirect-com.libus.csd.mu.edu/science/article/pii/S0929119917307344" TargetMode="External"/><Relationship Id="rId14" Type="http://schemas.openxmlformats.org/officeDocument/2006/relationships/hyperlink" Target="https://0-www-sciencedirect-com.libus.csd.mu.edu/topics/economics-econometrics-and-finance/corporate-finance" TargetMode="External"/><Relationship Id="rId35" Type="http://schemas.openxmlformats.org/officeDocument/2006/relationships/hyperlink" Target="https://0-www-sciencedirect-com.libus.csd.mu.edu/science/article/pii/S0929119917307344" TargetMode="External"/><Relationship Id="rId56" Type="http://schemas.openxmlformats.org/officeDocument/2006/relationships/hyperlink" Target="https://0-www-sciencedirect-com.libus.csd.mu.edu/science/article/pii/S0929119917307344" TargetMode="External"/><Relationship Id="rId77" Type="http://schemas.openxmlformats.org/officeDocument/2006/relationships/hyperlink" Target="https://0-www-sciencedirect-com.libus.csd.mu.edu/science/article/pii/S0929119917307344" TargetMode="External"/><Relationship Id="rId100" Type="http://schemas.openxmlformats.org/officeDocument/2006/relationships/hyperlink" Target="https://0-www-sciencedirect-com.libus.csd.mu.edu/science/article/pii/S0929119917307344" TargetMode="External"/><Relationship Id="rId8" Type="http://schemas.openxmlformats.org/officeDocument/2006/relationships/hyperlink" Target="https://doi.org/10.1016/j.jcorpfin.2018.05.007" TargetMode="External"/><Relationship Id="rId98" Type="http://schemas.openxmlformats.org/officeDocument/2006/relationships/hyperlink" Target="https://0-www-sciencedirect-com.libus.csd.mu.edu/science/article/pii/S0929119917307344" TargetMode="External"/><Relationship Id="rId121" Type="http://schemas.openxmlformats.org/officeDocument/2006/relationships/hyperlink" Target="https://0-www-sciencedirect-com.libus.csd.mu.edu/science/article/pii/S0929119917307344" TargetMode="External"/><Relationship Id="rId142" Type="http://schemas.openxmlformats.org/officeDocument/2006/relationships/hyperlink" Target="https://0-www-sciencedirect-com.libus.csd.mu.edu/topics/economics-econometrics-and-finance/capital-structure" TargetMode="External"/><Relationship Id="rId163" Type="http://schemas.openxmlformats.org/officeDocument/2006/relationships/hyperlink" Target="https://0-www-sciencedirect-com.libus.csd.mu.edu/science/article/pii/S0929119917307344" TargetMode="External"/><Relationship Id="rId184" Type="http://schemas.openxmlformats.org/officeDocument/2006/relationships/hyperlink" Target="https://0-www-sciencedirect-com.libus.csd.mu.edu/science/article/pii/S0929119917307344" TargetMode="External"/><Relationship Id="rId219" Type="http://schemas.openxmlformats.org/officeDocument/2006/relationships/hyperlink" Target="https://0-www-sciencedirect-com.libus.csd.mu.edu/science/article/pii/S0929119917307344" TargetMode="External"/><Relationship Id="rId230" Type="http://schemas.openxmlformats.org/officeDocument/2006/relationships/hyperlink" Target="https://www.reit.com/data-research/reit-indexes/monthly-index-values-returns" TargetMode="External"/><Relationship Id="rId25" Type="http://schemas.openxmlformats.org/officeDocument/2006/relationships/hyperlink" Target="https://0-www-sciencedirect-com.libus.csd.mu.edu/topics/economics-econometrics-and-finance/cash-flow" TargetMode="External"/><Relationship Id="rId46" Type="http://schemas.openxmlformats.org/officeDocument/2006/relationships/hyperlink" Target="https://0-www-sciencedirect-com.libus.csd.mu.edu/topics/economics-econometrics-and-finance/agency-theory" TargetMode="External"/><Relationship Id="rId67" Type="http://schemas.openxmlformats.org/officeDocument/2006/relationships/hyperlink" Target="https://0-www-sciencedirect-com.libus.csd.mu.edu/science/article/pii/S0929119917307344" TargetMode="External"/><Relationship Id="rId116" Type="http://schemas.openxmlformats.org/officeDocument/2006/relationships/hyperlink" Target="https://0-www-sciencedirect-com.libus.csd.mu.edu/topics/economics-econometrics-and-finance/leverage" TargetMode="External"/><Relationship Id="rId137" Type="http://schemas.openxmlformats.org/officeDocument/2006/relationships/hyperlink" Target="https://0-www-sciencedirect-com.libus.csd.mu.edu/science/article/pii/S0929119917307344" TargetMode="External"/><Relationship Id="rId158" Type="http://schemas.openxmlformats.org/officeDocument/2006/relationships/hyperlink" Target="https://0-www-sciencedirect-com.libus.csd.mu.edu/topics/economics-econometrics-and-finance/bayesian-inference" TargetMode="External"/><Relationship Id="rId20" Type="http://schemas.openxmlformats.org/officeDocument/2006/relationships/hyperlink" Target="https://0-www-sciencedirect-com.libus.csd.mu.edu/topics/economics-econometrics-and-finance/capital-market-returns" TargetMode="External"/><Relationship Id="rId41" Type="http://schemas.openxmlformats.org/officeDocument/2006/relationships/hyperlink" Target="https://0-www-sciencedirect-com.libus.csd.mu.edu/science/article/pii/S0929119917307344" TargetMode="External"/><Relationship Id="rId62" Type="http://schemas.openxmlformats.org/officeDocument/2006/relationships/hyperlink" Target="https://0-www-sciencedirect-com.libus.csd.mu.edu/science/article/pii/S0929119917307344" TargetMode="External"/><Relationship Id="rId83" Type="http://schemas.openxmlformats.org/officeDocument/2006/relationships/hyperlink" Target="https://0-www-sciencedirect-com.libus.csd.mu.edu/science/article/pii/S0929119917307344" TargetMode="External"/><Relationship Id="rId88" Type="http://schemas.openxmlformats.org/officeDocument/2006/relationships/hyperlink" Target="https://0-www-sciencedirect-com.libus.csd.mu.edu/science/article/pii/S0929119917307344" TargetMode="External"/><Relationship Id="rId111" Type="http://schemas.openxmlformats.org/officeDocument/2006/relationships/hyperlink" Target="https://0-www-sciencedirect-com.libus.csd.mu.edu/science/article/pii/S0929119917307344" TargetMode="External"/><Relationship Id="rId132" Type="http://schemas.openxmlformats.org/officeDocument/2006/relationships/hyperlink" Target="https://0-www-sciencedirect-com.libus.csd.mu.edu/science/article/pii/S0929119917307344" TargetMode="External"/><Relationship Id="rId153" Type="http://schemas.openxmlformats.org/officeDocument/2006/relationships/hyperlink" Target="https://0-www-sciencedirect-com.libus.csd.mu.edu/topics/economics-econometrics-and-finance/corporate-governance" TargetMode="External"/><Relationship Id="rId174" Type="http://schemas.openxmlformats.org/officeDocument/2006/relationships/hyperlink" Target="https://0-www-sciencedirect-com.libus.csd.mu.edu/science/article/pii/S0929119917307344" TargetMode="External"/><Relationship Id="rId179" Type="http://schemas.openxmlformats.org/officeDocument/2006/relationships/hyperlink" Target="https://0-www-sciencedirect-com.libus.csd.mu.edu/science/article/pii/S0929119917307344" TargetMode="External"/><Relationship Id="rId195" Type="http://schemas.openxmlformats.org/officeDocument/2006/relationships/hyperlink" Target="https://0-www-sciencedirect-com.libus.csd.mu.edu/science/article/pii/S0929119917307344" TargetMode="External"/><Relationship Id="rId209" Type="http://schemas.openxmlformats.org/officeDocument/2006/relationships/hyperlink" Target="https://0-www-sciencedirect-com.libus.csd.mu.edu/science/article/pii/S0929119917307344" TargetMode="External"/><Relationship Id="rId190" Type="http://schemas.openxmlformats.org/officeDocument/2006/relationships/hyperlink" Target="https://0-www-sciencedirect-com.libus.csd.mu.edu/science/article/pii/S0929119917307344" TargetMode="External"/><Relationship Id="rId204" Type="http://schemas.openxmlformats.org/officeDocument/2006/relationships/hyperlink" Target="https://0-www-sciencedirect-com.libus.csd.mu.edu/science/article/pii/S0929119917307344" TargetMode="External"/><Relationship Id="rId220" Type="http://schemas.openxmlformats.org/officeDocument/2006/relationships/hyperlink" Target="https://www.reit.com/data-research/reit-indexes/monthly-index-values-returns" TargetMode="External"/><Relationship Id="rId225" Type="http://schemas.openxmlformats.org/officeDocument/2006/relationships/hyperlink" Target="https://0-www-sciencedirect-com.libus.csd.mu.edu/science/article/pii/S0929119917307344" TargetMode="External"/><Relationship Id="rId15" Type="http://schemas.openxmlformats.org/officeDocument/2006/relationships/hyperlink" Target="https://0-www-sciencedirect-com.libus.csd.mu.edu/topics/economics-econometrics-and-finance/capital-structure" TargetMode="External"/><Relationship Id="rId36" Type="http://schemas.openxmlformats.org/officeDocument/2006/relationships/hyperlink" Target="https://0-www-sciencedirect-com.libus.csd.mu.edu/science/article/pii/S0929119917307344" TargetMode="External"/><Relationship Id="rId57" Type="http://schemas.openxmlformats.org/officeDocument/2006/relationships/hyperlink" Target="https://0-www-sciencedirect-com.libus.csd.mu.edu/science/article/pii/S0929119917307344" TargetMode="External"/><Relationship Id="rId106" Type="http://schemas.openxmlformats.org/officeDocument/2006/relationships/hyperlink" Target="https://0-www-sciencedirect-com.libus.csd.mu.edu/topics/economics-econometrics-and-finance/leverage" TargetMode="External"/><Relationship Id="rId127" Type="http://schemas.openxmlformats.org/officeDocument/2006/relationships/hyperlink" Target="https://0-www-sciencedirect-com.libus.csd.mu.edu/science/article/pii/S0929119917307344" TargetMode="External"/><Relationship Id="rId10" Type="http://schemas.openxmlformats.org/officeDocument/2006/relationships/hyperlink" Target="https://0-www-sciencedirect-com.libus.csd.mu.edu/topics/economics-econometrics-and-finance/leverage" TargetMode="External"/><Relationship Id="rId31" Type="http://schemas.openxmlformats.org/officeDocument/2006/relationships/hyperlink" Target="https://0-www-sciencedirect-com.libus.csd.mu.edu/science/article/pii/S0929119917307344" TargetMode="External"/><Relationship Id="rId52" Type="http://schemas.openxmlformats.org/officeDocument/2006/relationships/hyperlink" Target="https://0-www-sciencedirect-com.libus.csd.mu.edu/topics/economics-econometrics-and-finance/financing-decision" TargetMode="External"/><Relationship Id="rId73" Type="http://schemas.openxmlformats.org/officeDocument/2006/relationships/hyperlink" Target="https://0-www-sciencedirect-com.libus.csd.mu.edu/science/article/pii/S0929119917307344" TargetMode="External"/><Relationship Id="rId78" Type="http://schemas.openxmlformats.org/officeDocument/2006/relationships/hyperlink" Target="https://0-www-sciencedirect-com.libus.csd.mu.edu/science/article/pii/S0929119917307344" TargetMode="External"/><Relationship Id="rId94" Type="http://schemas.openxmlformats.org/officeDocument/2006/relationships/hyperlink" Target="https://0-www-sciencedirect-com.libus.csd.mu.edu/science/article/pii/S0929119917307344" TargetMode="External"/><Relationship Id="rId99" Type="http://schemas.openxmlformats.org/officeDocument/2006/relationships/hyperlink" Target="https://0-www-sciencedirect-com.libus.csd.mu.edu/science/article/pii/S0929119917307344" TargetMode="External"/><Relationship Id="rId101" Type="http://schemas.openxmlformats.org/officeDocument/2006/relationships/hyperlink" Target="https://0-www-sciencedirect-com.libus.csd.mu.edu/topics/economics-econometrics-and-finance/bayesian-inference" TargetMode="External"/><Relationship Id="rId122" Type="http://schemas.openxmlformats.org/officeDocument/2006/relationships/hyperlink" Target="https://0-www-sciencedirect-com.libus.csd.mu.edu/science/article/pii/S0929119917307344" TargetMode="External"/><Relationship Id="rId143" Type="http://schemas.openxmlformats.org/officeDocument/2006/relationships/hyperlink" Target="https://0-www-sciencedirect-com.libus.csd.mu.edu/science/article/pii/S0929119917307344" TargetMode="External"/><Relationship Id="rId148" Type="http://schemas.openxmlformats.org/officeDocument/2006/relationships/hyperlink" Target="https://0-www-sciencedirect-com.libus.csd.mu.edu/topics/economics-econometrics-and-finance/capital-market-returns" TargetMode="External"/><Relationship Id="rId164" Type="http://schemas.openxmlformats.org/officeDocument/2006/relationships/hyperlink" Target="https://0-www-sciencedirect-com.libus.csd.mu.edu/science/article/pii/S0929119917307344" TargetMode="External"/><Relationship Id="rId169" Type="http://schemas.openxmlformats.org/officeDocument/2006/relationships/hyperlink" Target="https://0-www-sciencedirect-com.libus.csd.mu.edu/science/article/pii/S0929119917307344" TargetMode="External"/><Relationship Id="rId185" Type="http://schemas.openxmlformats.org/officeDocument/2006/relationships/hyperlink" Target="https://0-www-sciencedirect-com.libus.csd.mu.edu/science/article/pii/S0929119917307344"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80" Type="http://schemas.openxmlformats.org/officeDocument/2006/relationships/hyperlink" Target="https://0-www-sciencedirect-com.libus.csd.mu.edu/science/article/pii/S0929119917307344" TargetMode="External"/><Relationship Id="rId210" Type="http://schemas.openxmlformats.org/officeDocument/2006/relationships/hyperlink" Target="https://0-www-sciencedirect-com.libus.csd.mu.edu/science/article/pii/S0929119917307344" TargetMode="External"/><Relationship Id="rId215" Type="http://schemas.openxmlformats.org/officeDocument/2006/relationships/hyperlink" Target="https://0-www-sciencedirect-com.libus.csd.mu.edu/science/article/pii/S0929119917307344" TargetMode="External"/><Relationship Id="rId26" Type="http://schemas.openxmlformats.org/officeDocument/2006/relationships/hyperlink" Target="https://0-www-sciencedirect-com.libus.csd.mu.edu/topics/economics-econometrics-and-finance/organizational-change" TargetMode="External"/><Relationship Id="rId231" Type="http://schemas.openxmlformats.org/officeDocument/2006/relationships/fontTable" Target="fontTable.xml"/><Relationship Id="rId47" Type="http://schemas.openxmlformats.org/officeDocument/2006/relationships/hyperlink" Target="https://0-www-sciencedirect-com.libus.csd.mu.edu/science/article/pii/S0929119917307344" TargetMode="External"/><Relationship Id="rId68" Type="http://schemas.openxmlformats.org/officeDocument/2006/relationships/hyperlink" Target="https://0-www-sciencedirect-com.libus.csd.mu.edu/science/article/pii/S0929119917307344" TargetMode="External"/><Relationship Id="rId89" Type="http://schemas.openxmlformats.org/officeDocument/2006/relationships/hyperlink" Target="https://0-www-sciencedirect-com.libus.csd.mu.edu/science/article/pii/S0929119917307344" TargetMode="External"/><Relationship Id="rId112" Type="http://schemas.openxmlformats.org/officeDocument/2006/relationships/hyperlink" Target="https://0-www-sciencedirect-com.libus.csd.mu.edu/topics/economics-econometrics-and-finance/financial-crisis" TargetMode="External"/><Relationship Id="rId133" Type="http://schemas.openxmlformats.org/officeDocument/2006/relationships/hyperlink" Target="https://0-www-sciencedirect-com.libus.csd.mu.edu/topics/economics-econometrics-and-finance/leverage" TargetMode="External"/><Relationship Id="rId154" Type="http://schemas.openxmlformats.org/officeDocument/2006/relationships/hyperlink" Target="https://0-www-sciencedirect-com.libus.csd.mu.edu/topics/economics-econometrics-and-finance/capital-structure-theory" TargetMode="External"/><Relationship Id="rId175" Type="http://schemas.openxmlformats.org/officeDocument/2006/relationships/hyperlink" Target="https://0-www-sciencedirect-com.libus.csd.mu.edu/science/article/pii/S0929119917307344" TargetMode="External"/><Relationship Id="rId196" Type="http://schemas.openxmlformats.org/officeDocument/2006/relationships/hyperlink" Target="https://0-www-sciencedirect-com.libus.csd.mu.edu/science/article/pii/S0929119917307344" TargetMode="External"/><Relationship Id="rId200" Type="http://schemas.openxmlformats.org/officeDocument/2006/relationships/hyperlink" Target="https://0-www-sciencedirect-com.libus.csd.mu.edu/science/article/pii/S0929119917307344" TargetMode="External"/><Relationship Id="rId16" Type="http://schemas.openxmlformats.org/officeDocument/2006/relationships/hyperlink" Target="https://0-www-sciencedirect-com.libus.csd.mu.edu/topics/economics-econometrics-and-finance/corporate-governance" TargetMode="External"/><Relationship Id="rId221" Type="http://schemas.openxmlformats.org/officeDocument/2006/relationships/hyperlink" Target="https://0-www-sciencedirect-com.libus.csd.mu.edu/science/article/pii/S0929119917307344" TargetMode="External"/><Relationship Id="rId37" Type="http://schemas.openxmlformats.org/officeDocument/2006/relationships/hyperlink" Target="https://0-www-sciencedirect-com.libus.csd.mu.edu/topics/economics-econometrics-and-finance/capital-market-returns" TargetMode="External"/><Relationship Id="rId58" Type="http://schemas.openxmlformats.org/officeDocument/2006/relationships/hyperlink" Target="https://0-www-sciencedirect-com.libus.csd.mu.edu/science/article/pii/S0929119917307344" TargetMode="External"/><Relationship Id="rId79" Type="http://schemas.openxmlformats.org/officeDocument/2006/relationships/hyperlink" Target="https://0-www-sciencedirect-com.libus.csd.mu.edu/science/article/pii/S0929119917307344" TargetMode="External"/><Relationship Id="rId102" Type="http://schemas.openxmlformats.org/officeDocument/2006/relationships/hyperlink" Target="https://0-www-sciencedirect-com.libus.csd.mu.edu/topics/economics-econometrics-and-finance/leverage" TargetMode="External"/><Relationship Id="rId123" Type="http://schemas.openxmlformats.org/officeDocument/2006/relationships/hyperlink" Target="https://0-www-sciencedirect-com.libus.csd.mu.edu/topics/economics-econometrics-and-finance/instrumental-variables" TargetMode="External"/><Relationship Id="rId144" Type="http://schemas.openxmlformats.org/officeDocument/2006/relationships/hyperlink" Target="https://0-www-sciencedirect-com.libus.csd.mu.edu/science/article/pii/S0929119917307344" TargetMode="External"/><Relationship Id="rId90" Type="http://schemas.openxmlformats.org/officeDocument/2006/relationships/hyperlink" Target="https://0-www-sciencedirect-com.libus.csd.mu.edu/science/article/pii/S0929119917307344" TargetMode="External"/><Relationship Id="rId165" Type="http://schemas.openxmlformats.org/officeDocument/2006/relationships/hyperlink" Target="https://0-www-sciencedirect-com.libus.csd.mu.edu/science/article/pii/S0929119917307344" TargetMode="External"/><Relationship Id="rId186" Type="http://schemas.openxmlformats.org/officeDocument/2006/relationships/hyperlink" Target="https://0-www-sciencedirect-com.libus.csd.mu.edu/science/article/pii/S0929119917307344" TargetMode="External"/><Relationship Id="rId211" Type="http://schemas.openxmlformats.org/officeDocument/2006/relationships/hyperlink" Target="https://0-www-sciencedirect-com.libus.csd.mu.edu/science/article/pii/S0929119917307344" TargetMode="External"/><Relationship Id="rId232" Type="http://schemas.openxmlformats.org/officeDocument/2006/relationships/theme" Target="theme/theme1.xml"/><Relationship Id="rId27" Type="http://schemas.openxmlformats.org/officeDocument/2006/relationships/hyperlink" Target="https://0-www-sciencedirect-com.libus.csd.mu.edu/topics/economics-econometrics-and-finance/bayesian-inference" TargetMode="External"/><Relationship Id="rId48" Type="http://schemas.openxmlformats.org/officeDocument/2006/relationships/hyperlink" Target="https://0-www-sciencedirect-com.libus.csd.mu.edu/science/article/pii/S0929119917307344" TargetMode="External"/><Relationship Id="rId69" Type="http://schemas.openxmlformats.org/officeDocument/2006/relationships/hyperlink" Target="https://0-www-sciencedirect-com.libus.csd.mu.edu/topics/economics-econometrics-and-finance/governance-structure" TargetMode="External"/><Relationship Id="rId113" Type="http://schemas.openxmlformats.org/officeDocument/2006/relationships/hyperlink" Target="https://0-www-sciencedirect-com.libus.csd.mu.edu/topics/economics-econometrics-and-finance/leverage" TargetMode="External"/><Relationship Id="rId134" Type="http://schemas.openxmlformats.org/officeDocument/2006/relationships/hyperlink" Target="https://0-www-sciencedirect-com.libus.csd.mu.edu/science/article/pii/S0929119917307344" TargetMode="External"/><Relationship Id="rId80" Type="http://schemas.openxmlformats.org/officeDocument/2006/relationships/hyperlink" Target="https://0-www-sciencedirect-com.libus.csd.mu.edu/topics/economics-econometrics-and-finance/instrumental-variables" TargetMode="External"/><Relationship Id="rId155" Type="http://schemas.openxmlformats.org/officeDocument/2006/relationships/hyperlink" Target="https://0-www-sciencedirect-com.libus.csd.mu.edu/topics/economics-econometrics-and-finance/leverage" TargetMode="External"/><Relationship Id="rId176" Type="http://schemas.openxmlformats.org/officeDocument/2006/relationships/hyperlink" Target="https://0-www-sciencedirect-com.libus.csd.mu.edu/science/article/pii/S0929119917307344" TargetMode="External"/><Relationship Id="rId197" Type="http://schemas.openxmlformats.org/officeDocument/2006/relationships/hyperlink" Target="https://0-www-sciencedirect-com.libus.csd.mu.edu/science/article/pii/S0929119917307344" TargetMode="External"/><Relationship Id="rId201" Type="http://schemas.openxmlformats.org/officeDocument/2006/relationships/hyperlink" Target="https://0-www-sciencedirect-com.libus.csd.mu.edu/science/article/pii/S0929119917307344" TargetMode="External"/><Relationship Id="rId222" Type="http://schemas.openxmlformats.org/officeDocument/2006/relationships/hyperlink" Target="https://0-www-sciencedirect-com.libus.csd.mu.edu/science/article/pii/S0929119917307344" TargetMode="External"/><Relationship Id="rId17" Type="http://schemas.openxmlformats.org/officeDocument/2006/relationships/hyperlink" Target="https://0-www-sciencedirect-com.libus.csd.mu.edu/topics/economics-econometrics-and-finance/capital-structure-theory" TargetMode="External"/><Relationship Id="rId38" Type="http://schemas.openxmlformats.org/officeDocument/2006/relationships/hyperlink" Target="https://0-www-sciencedirect-com.libus.csd.mu.edu/science/article/pii/S0929119917307344" TargetMode="External"/><Relationship Id="rId59" Type="http://schemas.openxmlformats.org/officeDocument/2006/relationships/hyperlink" Target="https://0-www-sciencedirect-com.libus.csd.mu.edu/science/article/pii/S0929119917307344" TargetMode="External"/><Relationship Id="rId103" Type="http://schemas.openxmlformats.org/officeDocument/2006/relationships/hyperlink" Target="https://0-www-sciencedirect-com.libus.csd.mu.edu/science/article/pii/S0929119917307344" TargetMode="External"/><Relationship Id="rId124" Type="http://schemas.openxmlformats.org/officeDocument/2006/relationships/hyperlink" Target="https://0-www-sciencedirect-com.libus.csd.mu.edu/topics/economics-econometrics-and-finance/leverage" TargetMode="External"/><Relationship Id="rId70" Type="http://schemas.openxmlformats.org/officeDocument/2006/relationships/hyperlink" Target="https://0-www-sciencedirect-com.libus.csd.mu.edu/topics/economics-econometrics-and-finance/accounting-policy" TargetMode="External"/><Relationship Id="rId91" Type="http://schemas.openxmlformats.org/officeDocument/2006/relationships/hyperlink" Target="https://0-www-sciencedirect-com.libus.csd.mu.edu/science/article/pii/S0929119917307344" TargetMode="External"/><Relationship Id="rId145" Type="http://schemas.openxmlformats.org/officeDocument/2006/relationships/hyperlink" Target="https://0-www-sciencedirect-com.libus.csd.mu.edu/science/article/pii/S0929119917307344" TargetMode="External"/><Relationship Id="rId166" Type="http://schemas.openxmlformats.org/officeDocument/2006/relationships/hyperlink" Target="https://0-www-sciencedirect-com.libus.csd.mu.edu/science/article/pii/S0929119917307344" TargetMode="External"/><Relationship Id="rId187" Type="http://schemas.openxmlformats.org/officeDocument/2006/relationships/hyperlink" Target="https://0-www-sciencedirect-com.libus.csd.mu.edu/science/article/pii/S0929119917307344" TargetMode="External"/><Relationship Id="rId1" Type="http://schemas.openxmlformats.org/officeDocument/2006/relationships/customXml" Target="../customXml/item1.xml"/><Relationship Id="rId212" Type="http://schemas.openxmlformats.org/officeDocument/2006/relationships/hyperlink" Target="https://0-www-sciencedirect-com.libus.csd.mu.edu/science/article/pii/S0929119917307344" TargetMode="External"/><Relationship Id="rId28" Type="http://schemas.openxmlformats.org/officeDocument/2006/relationships/hyperlink" Target="https://0-www-sciencedirect-com.libus.csd.mu.edu/topics/economics-econometrics-and-finance/audit-committee" TargetMode="External"/><Relationship Id="rId49" Type="http://schemas.openxmlformats.org/officeDocument/2006/relationships/hyperlink" Target="https://0-www-sciencedirect-com.libus.csd.mu.edu/science/article/pii/S0929119917307344" TargetMode="External"/><Relationship Id="rId114" Type="http://schemas.openxmlformats.org/officeDocument/2006/relationships/hyperlink" Target="https://0-www-sciencedirect-com.libus.csd.mu.edu/science/article/pii/S0929119917307344" TargetMode="External"/><Relationship Id="rId60" Type="http://schemas.openxmlformats.org/officeDocument/2006/relationships/hyperlink" Target="https://0-www-sciencedirect-com.libus.csd.mu.edu/science/article/pii/S0929119917307344" TargetMode="External"/><Relationship Id="rId81" Type="http://schemas.openxmlformats.org/officeDocument/2006/relationships/hyperlink" Target="https://0-www-sciencedirect-com.libus.csd.mu.edu/topics/economics-econometrics-and-finance/capital-market-returns" TargetMode="External"/><Relationship Id="rId135" Type="http://schemas.openxmlformats.org/officeDocument/2006/relationships/hyperlink" Target="https://0-www-sciencedirect-com.libus.csd.mu.edu/topics/economics-econometrics-and-finance/difference-in-differences" TargetMode="External"/><Relationship Id="rId156" Type="http://schemas.openxmlformats.org/officeDocument/2006/relationships/hyperlink" Target="https://0-www-sciencedirect-com.libus.csd.mu.edu/topics/economics-econometrics-and-finance/capital-market-returns" TargetMode="External"/><Relationship Id="rId177" Type="http://schemas.openxmlformats.org/officeDocument/2006/relationships/hyperlink" Target="https://0-www-sciencedirect-com.libus.csd.mu.edu/science/article/pii/S0929119917307344" TargetMode="External"/><Relationship Id="rId198" Type="http://schemas.openxmlformats.org/officeDocument/2006/relationships/hyperlink" Target="https://0-www-sciencedirect-com.libus.csd.mu.edu/science/article/pii/S0929119917307344" TargetMode="External"/><Relationship Id="rId202" Type="http://schemas.openxmlformats.org/officeDocument/2006/relationships/hyperlink" Target="https://0-www-sciencedirect-com.libus.csd.mu.edu/science/article/pii/S0929119917307344" TargetMode="External"/><Relationship Id="rId223" Type="http://schemas.openxmlformats.org/officeDocument/2006/relationships/hyperlink" Target="https://0-www-sciencedirect-com.libus.csd.mu.edu/science/article/pii/S0929119917307344" TargetMode="External"/><Relationship Id="rId18" Type="http://schemas.openxmlformats.org/officeDocument/2006/relationships/hyperlink" Target="https://0-www-sciencedirect-com.libus.csd.mu.edu/topics/economics-econometrics-and-finance/leverage" TargetMode="External"/><Relationship Id="rId39" Type="http://schemas.openxmlformats.org/officeDocument/2006/relationships/hyperlink" Target="https://0-www-sciencedirect-com.libus.csd.mu.edu/topics/economics-econometrics-and-finance/returns-volatility" TargetMode="External"/><Relationship Id="rId50" Type="http://schemas.openxmlformats.org/officeDocument/2006/relationships/hyperlink" Target="https://0-www-sciencedirect-com.libus.csd.mu.edu/science/article/pii/S0929119917307344" TargetMode="External"/><Relationship Id="rId104" Type="http://schemas.openxmlformats.org/officeDocument/2006/relationships/hyperlink" Target="https://0-www-sciencedirect-com.libus.csd.mu.edu/topics/economics-econometrics-and-finance/good-governance" TargetMode="External"/><Relationship Id="rId125" Type="http://schemas.openxmlformats.org/officeDocument/2006/relationships/hyperlink" Target="https://0-www-sciencedirect-com.libus.csd.mu.edu/topics/economics-econometrics-and-finance/financial-crisis" TargetMode="External"/><Relationship Id="rId146" Type="http://schemas.openxmlformats.org/officeDocument/2006/relationships/hyperlink" Target="https://0-www-sciencedirect-com.libus.csd.mu.edu/topics/economics-econometrics-and-finance/leverage" TargetMode="External"/><Relationship Id="rId167" Type="http://schemas.openxmlformats.org/officeDocument/2006/relationships/hyperlink" Target="https://0-www-sciencedirect-com.libus.csd.mu.edu/science/article/pii/S0929119917307344" TargetMode="External"/><Relationship Id="rId188" Type="http://schemas.openxmlformats.org/officeDocument/2006/relationships/hyperlink" Target="https://0-www-sciencedirect-com.libus.csd.mu.edu/science/article/pii/S0929119917307344" TargetMode="External"/><Relationship Id="rId71" Type="http://schemas.openxmlformats.org/officeDocument/2006/relationships/hyperlink" Target="https://0-www-sciencedirect-com.libus.csd.mu.edu/science/article/pii/S0929119917307344" TargetMode="External"/><Relationship Id="rId92" Type="http://schemas.openxmlformats.org/officeDocument/2006/relationships/hyperlink" Target="https://0-www-sciencedirect-com.libus.csd.mu.edu/science/article/pii/S0929119917307344" TargetMode="External"/><Relationship Id="rId213" Type="http://schemas.openxmlformats.org/officeDocument/2006/relationships/hyperlink" Target="https://0-www-sciencedirect-com.libus.csd.mu.edu/science/article/pii/S0929119917307344" TargetMode="External"/><Relationship Id="rId2" Type="http://schemas.openxmlformats.org/officeDocument/2006/relationships/customXml" Target="../customXml/item2.xml"/><Relationship Id="rId29" Type="http://schemas.openxmlformats.org/officeDocument/2006/relationships/hyperlink" Target="https://0-www-sciencedirect-com.libus.csd.mu.edu/topics/economics-econometrics-and-finance/measure-of-dispersion" TargetMode="External"/><Relationship Id="rId40" Type="http://schemas.openxmlformats.org/officeDocument/2006/relationships/hyperlink" Target="https://0-www-sciencedirect-com.libus.csd.mu.edu/science/article/pii/S0929119917307344" TargetMode="External"/><Relationship Id="rId115" Type="http://schemas.openxmlformats.org/officeDocument/2006/relationships/hyperlink" Target="https://0-www-sciencedirect-com.libus.csd.mu.edu/topics/economics-econometrics-and-finance/financial-crisis" TargetMode="External"/><Relationship Id="rId136" Type="http://schemas.openxmlformats.org/officeDocument/2006/relationships/hyperlink" Target="https://0-www-sciencedirect-com.libus.csd.mu.edu/science/article/pii/S0929119917307344" TargetMode="External"/><Relationship Id="rId157" Type="http://schemas.openxmlformats.org/officeDocument/2006/relationships/hyperlink" Target="https://0-www-sciencedirect-com.libus.csd.mu.edu/topics/economics-econometrics-and-finance/financial-crisis" TargetMode="External"/><Relationship Id="rId178" Type="http://schemas.openxmlformats.org/officeDocument/2006/relationships/hyperlink" Target="https://0-www-sciencedirect-com.libus.csd.mu.edu/science/article/pii/S0929119917307344" TargetMode="External"/><Relationship Id="rId61" Type="http://schemas.openxmlformats.org/officeDocument/2006/relationships/hyperlink" Target="https://0-www-sciencedirect-com.libus.csd.mu.edu/science/article/pii/S0929119917307344" TargetMode="External"/><Relationship Id="rId82" Type="http://schemas.openxmlformats.org/officeDocument/2006/relationships/hyperlink" Target="https://0-www-sciencedirect-com.libus.csd.mu.edu/topics/economics-econometrics-and-finance/bayesian-inference" TargetMode="External"/><Relationship Id="rId199" Type="http://schemas.openxmlformats.org/officeDocument/2006/relationships/hyperlink" Target="https://0-www-sciencedirect-com.libus.csd.mu.edu/science/article/pii/S0929119917307344" TargetMode="External"/><Relationship Id="rId203" Type="http://schemas.openxmlformats.org/officeDocument/2006/relationships/hyperlink" Target="https://0-www-sciencedirect-com.libus.csd.mu.edu/science/article/pii/S0929119917307344" TargetMode="External"/><Relationship Id="rId19" Type="http://schemas.openxmlformats.org/officeDocument/2006/relationships/hyperlink" Target="https://0-www-sciencedirect-com.libus.csd.mu.edu/topics/economics-econometrics-and-finance/asymmetric-information" TargetMode="External"/><Relationship Id="rId224" Type="http://schemas.openxmlformats.org/officeDocument/2006/relationships/hyperlink" Target="https://0-www-sciencedirect-com.libus.csd.mu.edu/science/article/pii/S0929119917307344" TargetMode="External"/><Relationship Id="rId30" Type="http://schemas.openxmlformats.org/officeDocument/2006/relationships/hyperlink" Target="https://0-www-sciencedirect-com.libus.csd.mu.edu/topics/economics-econometrics-and-finance/descriptive-statistics" TargetMode="External"/><Relationship Id="rId105" Type="http://schemas.openxmlformats.org/officeDocument/2006/relationships/hyperlink" Target="https://0-www-sciencedirect-com.libus.csd.mu.edu/topics/economics-econometrics-and-finance/financial-crisis" TargetMode="External"/><Relationship Id="rId126" Type="http://schemas.openxmlformats.org/officeDocument/2006/relationships/hyperlink" Target="https://0-www-sciencedirect-com.libus.csd.mu.edu/topics/economics-econometrics-and-finance/capital-market-returns" TargetMode="External"/><Relationship Id="rId147" Type="http://schemas.openxmlformats.org/officeDocument/2006/relationships/hyperlink" Target="https://0-www-sciencedirect-com.libus.csd.mu.edu/topics/economics-econometrics-and-finance/financial-crisis" TargetMode="External"/><Relationship Id="rId168" Type="http://schemas.openxmlformats.org/officeDocument/2006/relationships/hyperlink" Target="https://0-www-sciencedirect-com.libus.csd.mu.edu/science/article/pii/S0929119917307344" TargetMode="External"/><Relationship Id="rId51" Type="http://schemas.openxmlformats.org/officeDocument/2006/relationships/hyperlink" Target="https://0-www-sciencedirect-com.libus.csd.mu.edu/topics/economics-econometrics-and-finance/capital-structure" TargetMode="External"/><Relationship Id="rId72" Type="http://schemas.openxmlformats.org/officeDocument/2006/relationships/hyperlink" Target="https://0-www-sciencedirect-com.libus.csd.mu.edu/science/article/pii/S0929119917307344" TargetMode="External"/><Relationship Id="rId93" Type="http://schemas.openxmlformats.org/officeDocument/2006/relationships/hyperlink" Target="https://0-www-sciencedirect-com.libus.csd.mu.edu/topics/economics-econometrics-and-finance/descriptive-statistics" TargetMode="External"/><Relationship Id="rId189" Type="http://schemas.openxmlformats.org/officeDocument/2006/relationships/hyperlink" Target="https://0-www-sciencedirect-com.libus.csd.mu.edu/science/article/pii/S0929119917307344" TargetMode="External"/><Relationship Id="rId3" Type="http://schemas.openxmlformats.org/officeDocument/2006/relationships/customXml" Target="../customXml/item3.xml"/><Relationship Id="rId214" Type="http://schemas.openxmlformats.org/officeDocument/2006/relationships/hyperlink" Target="https://0-www-sciencedirect-com.libus.csd.mu.edu/science/article/pii/S092911991730734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265558-037E-440D-9D2A-2E44D53934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69981A-2ADA-4EBA-B979-C014B65E7B57}">
  <ds:schemaRefs>
    <ds:schemaRef ds:uri="http://schemas.microsoft.com/sharepoint/v3/contenttype/forms"/>
  </ds:schemaRefs>
</ds:datastoreItem>
</file>

<file path=customXml/itemProps3.xml><?xml version="1.0" encoding="utf-8"?>
<ds:datastoreItem xmlns:ds="http://schemas.openxmlformats.org/officeDocument/2006/customXml" ds:itemID="{CA0D2F71-7925-4E88-A23D-B0A4A3C97CF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30</Pages>
  <Words>20051</Words>
  <Characters>109881</Characters>
  <Application>Microsoft Office Word</Application>
  <DocSecurity>8</DocSecurity>
  <Lines>4777</Lines>
  <Paragraphs>3169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65</cp:revision>
  <dcterms:created xsi:type="dcterms:W3CDTF">2019-09-26T16:03:00Z</dcterms:created>
  <dcterms:modified xsi:type="dcterms:W3CDTF">2019-10-07T15:34:00Z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