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AF3118A" w:rsidR="000A7622" w:rsidRPr="00C04F25" w:rsidRDefault="00CA0531" w:rsidP="00D14423">
      <w:pPr>
        <w:autoSpaceDE w:val="0"/>
        <w:autoSpaceDN w:val="0"/>
        <w:adjustRightInd w:val="0"/>
        <w:rPr>
          <w:rFonts w:cstheme="minorHAnsi"/>
          <w:b/>
          <w:bCs/>
          <w:i/>
          <w:iCs/>
          <w:sz w:val="32"/>
          <w:szCs w:val="32"/>
        </w:rPr>
      </w:pPr>
      <w:r>
        <w:rPr>
          <w:rFonts w:cstheme="minorHAnsi"/>
          <w:b/>
          <w:bCs/>
          <w:i/>
          <w:iCs/>
          <w:sz w:val="32"/>
          <w:szCs w:val="32"/>
        </w:rPr>
        <w:t xml:space="preserve">Accounting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A38AFE1" w14:textId="2642850E" w:rsidR="000A7622" w:rsidRPr="004F6F6C" w:rsidRDefault="00EA04E1" w:rsidP="00D14423">
      <w:pPr>
        <w:rPr>
          <w:rFonts w:cstheme="minorHAnsi"/>
          <w:color w:val="000000" w:themeColor="text1"/>
          <w:sz w:val="24"/>
          <w:szCs w:val="24"/>
        </w:rPr>
      </w:pPr>
      <w:proofErr w:type="spellStart"/>
      <w:r w:rsidRPr="004F6F6C">
        <w:rPr>
          <w:rFonts w:cstheme="minorHAnsi"/>
          <w:i/>
          <w:color w:val="000000" w:themeColor="text1"/>
          <w:sz w:val="24"/>
          <w:szCs w:val="24"/>
          <w:lang w:val="fr-FR"/>
        </w:rPr>
        <w:t>Nonprofit</w:t>
      </w:r>
      <w:proofErr w:type="spellEnd"/>
      <w:r w:rsidRPr="004F6F6C">
        <w:rPr>
          <w:rFonts w:cstheme="minorHAnsi"/>
          <w:i/>
          <w:color w:val="000000" w:themeColor="text1"/>
          <w:sz w:val="24"/>
          <w:szCs w:val="24"/>
          <w:lang w:val="fr-FR"/>
        </w:rPr>
        <w:t xml:space="preserve"> and </w:t>
      </w:r>
      <w:proofErr w:type="spellStart"/>
      <w:r w:rsidRPr="004F6F6C">
        <w:rPr>
          <w:rFonts w:cstheme="minorHAnsi"/>
          <w:i/>
          <w:color w:val="000000" w:themeColor="text1"/>
          <w:sz w:val="24"/>
          <w:szCs w:val="24"/>
          <w:lang w:val="fr-FR"/>
        </w:rPr>
        <w:t>Voluntary</w:t>
      </w:r>
      <w:proofErr w:type="spellEnd"/>
      <w:r w:rsidRPr="004F6F6C">
        <w:rPr>
          <w:rFonts w:cstheme="minorHAnsi"/>
          <w:i/>
          <w:color w:val="000000" w:themeColor="text1"/>
          <w:sz w:val="24"/>
          <w:szCs w:val="24"/>
          <w:lang w:val="fr-FR"/>
        </w:rPr>
        <w:t xml:space="preserve"> </w:t>
      </w:r>
      <w:proofErr w:type="spellStart"/>
      <w:r w:rsidRPr="004F6F6C">
        <w:rPr>
          <w:rFonts w:cstheme="minorHAnsi"/>
          <w:i/>
          <w:color w:val="000000" w:themeColor="text1"/>
          <w:sz w:val="24"/>
          <w:szCs w:val="24"/>
          <w:lang w:val="fr-FR"/>
        </w:rPr>
        <w:t>Sector</w:t>
      </w:r>
      <w:proofErr w:type="spellEnd"/>
      <w:r w:rsidRPr="004F6F6C">
        <w:rPr>
          <w:rFonts w:cstheme="minorHAnsi"/>
          <w:i/>
          <w:color w:val="000000" w:themeColor="text1"/>
          <w:sz w:val="24"/>
          <w:szCs w:val="24"/>
          <w:lang w:val="fr-FR"/>
        </w:rPr>
        <w:t xml:space="preserve"> </w:t>
      </w:r>
      <w:proofErr w:type="spellStart"/>
      <w:r w:rsidRPr="004F6F6C">
        <w:rPr>
          <w:rFonts w:cstheme="minorHAnsi"/>
          <w:i/>
          <w:color w:val="000000" w:themeColor="text1"/>
          <w:sz w:val="24"/>
          <w:szCs w:val="24"/>
          <w:lang w:val="fr-FR"/>
        </w:rPr>
        <w:t>Quarterly</w:t>
      </w:r>
      <w:proofErr w:type="spellEnd"/>
      <w:r w:rsidR="000A7622" w:rsidRPr="004F6F6C">
        <w:rPr>
          <w:rFonts w:cstheme="minorHAnsi"/>
          <w:color w:val="000000" w:themeColor="text1"/>
          <w:sz w:val="24"/>
          <w:szCs w:val="24"/>
          <w:lang w:val="fr-FR"/>
        </w:rPr>
        <w:t xml:space="preserve">, Vol. </w:t>
      </w:r>
      <w:r w:rsidR="004F6F6C">
        <w:rPr>
          <w:rFonts w:cstheme="minorHAnsi"/>
          <w:color w:val="000000" w:themeColor="text1"/>
          <w:sz w:val="24"/>
          <w:szCs w:val="24"/>
          <w:lang w:val="fr-FR"/>
        </w:rPr>
        <w:t>51</w:t>
      </w:r>
      <w:r w:rsidR="000A7622" w:rsidRPr="004F6F6C">
        <w:rPr>
          <w:rFonts w:cstheme="minorHAnsi"/>
          <w:color w:val="000000" w:themeColor="text1"/>
          <w:sz w:val="24"/>
          <w:szCs w:val="24"/>
          <w:lang w:val="fr-FR"/>
        </w:rPr>
        <w:t xml:space="preserve">, No. </w:t>
      </w:r>
      <w:r w:rsidR="004F6F6C">
        <w:rPr>
          <w:rFonts w:cstheme="minorHAnsi"/>
          <w:color w:val="000000" w:themeColor="text1"/>
          <w:sz w:val="24"/>
          <w:szCs w:val="24"/>
          <w:lang w:val="fr-FR"/>
        </w:rPr>
        <w:t>4</w:t>
      </w:r>
      <w:r w:rsidR="000A7622" w:rsidRPr="004F6F6C">
        <w:rPr>
          <w:rFonts w:cstheme="minorHAnsi"/>
          <w:color w:val="000000" w:themeColor="text1"/>
          <w:sz w:val="24"/>
          <w:szCs w:val="24"/>
          <w:lang w:val="fr-FR"/>
        </w:rPr>
        <w:t xml:space="preserve"> (</w:t>
      </w:r>
      <w:r w:rsidR="004F6F6C">
        <w:rPr>
          <w:rFonts w:cstheme="minorHAnsi"/>
          <w:color w:val="000000" w:themeColor="text1"/>
          <w:sz w:val="24"/>
          <w:szCs w:val="24"/>
          <w:lang w:val="fr-FR"/>
        </w:rPr>
        <w:t>August 01, 2022</w:t>
      </w:r>
      <w:proofErr w:type="gramStart"/>
      <w:r w:rsidR="000A7622" w:rsidRPr="004F6F6C">
        <w:rPr>
          <w:rFonts w:cstheme="minorHAnsi"/>
          <w:color w:val="000000" w:themeColor="text1"/>
          <w:sz w:val="24"/>
          <w:szCs w:val="24"/>
          <w:lang w:val="fr-FR"/>
        </w:rPr>
        <w:t>):</w:t>
      </w:r>
      <w:proofErr w:type="gramEnd"/>
      <w:r w:rsidR="000A7622" w:rsidRPr="004F6F6C">
        <w:rPr>
          <w:rFonts w:cstheme="minorHAnsi"/>
          <w:color w:val="000000" w:themeColor="text1"/>
          <w:sz w:val="24"/>
          <w:szCs w:val="24"/>
          <w:lang w:val="fr-FR"/>
        </w:rPr>
        <w:t xml:space="preserve"> </w:t>
      </w:r>
      <w:r w:rsidR="004F6F6C">
        <w:rPr>
          <w:rFonts w:cstheme="minorHAnsi"/>
          <w:color w:val="000000" w:themeColor="text1"/>
          <w:sz w:val="24"/>
          <w:szCs w:val="24"/>
          <w:lang w:val="fr-FR"/>
        </w:rPr>
        <w:t>759-782</w:t>
      </w:r>
      <w:r w:rsidR="000A7622" w:rsidRPr="004F6F6C">
        <w:rPr>
          <w:rFonts w:cstheme="minorHAnsi"/>
          <w:color w:val="000000" w:themeColor="text1"/>
          <w:sz w:val="24"/>
          <w:szCs w:val="24"/>
          <w:lang w:val="fr-FR"/>
        </w:rPr>
        <w:t xml:space="preserve">. </w:t>
      </w:r>
      <w:hyperlink r:id="rId8" w:history="1">
        <w:r w:rsidR="000A7622" w:rsidRPr="000016EC">
          <w:rPr>
            <w:rStyle w:val="Hyperlink"/>
            <w:rFonts w:cstheme="minorHAnsi"/>
            <w:sz w:val="24"/>
            <w:szCs w:val="24"/>
            <w:lang w:val="fr-FR"/>
          </w:rPr>
          <w:t>DOI</w:t>
        </w:r>
      </w:hyperlink>
      <w:r w:rsidR="000A7622" w:rsidRPr="004F6F6C">
        <w:rPr>
          <w:rFonts w:cstheme="minorHAnsi"/>
          <w:color w:val="000000" w:themeColor="text1"/>
          <w:sz w:val="24"/>
          <w:szCs w:val="24"/>
          <w:lang w:val="fr-FR"/>
        </w:rPr>
        <w:t xml:space="preserve">. </w:t>
      </w:r>
      <w:r w:rsidR="000A7622" w:rsidRPr="004F6F6C">
        <w:rPr>
          <w:rFonts w:cstheme="minorHAnsi"/>
          <w:color w:val="000000" w:themeColor="text1"/>
          <w:sz w:val="24"/>
          <w:szCs w:val="24"/>
        </w:rPr>
        <w:t xml:space="preserve">This article is © </w:t>
      </w:r>
      <w:r w:rsidR="000016EC">
        <w:rPr>
          <w:rFonts w:cstheme="minorHAnsi"/>
          <w:color w:val="000000" w:themeColor="text1"/>
          <w:sz w:val="24"/>
          <w:szCs w:val="24"/>
        </w:rPr>
        <w:t>SAGE Publications</w:t>
      </w:r>
      <w:r w:rsidR="000A7622" w:rsidRPr="004F6F6C">
        <w:rPr>
          <w:rFonts w:cstheme="minorHAnsi"/>
          <w:color w:val="000000" w:themeColor="text1"/>
          <w:sz w:val="24"/>
          <w:szCs w:val="24"/>
        </w:rPr>
        <w:t xml:space="preserve"> and permission has been granted for this version to appear in </w:t>
      </w:r>
      <w:hyperlink r:id="rId9" w:history="1">
        <w:r w:rsidR="000A7622" w:rsidRPr="004F6F6C">
          <w:rPr>
            <w:rFonts w:cstheme="minorHAnsi"/>
            <w:color w:val="000000" w:themeColor="text1"/>
            <w:sz w:val="24"/>
            <w:szCs w:val="24"/>
            <w:u w:val="single"/>
          </w:rPr>
          <w:t>e-Publications@Marquette</w:t>
        </w:r>
      </w:hyperlink>
      <w:r w:rsidR="000A7622" w:rsidRPr="004F6F6C">
        <w:rPr>
          <w:rFonts w:cstheme="minorHAnsi"/>
          <w:color w:val="000000" w:themeColor="text1"/>
          <w:sz w:val="24"/>
          <w:szCs w:val="24"/>
        </w:rPr>
        <w:t xml:space="preserve">. </w:t>
      </w:r>
      <w:r w:rsidR="000016EC">
        <w:rPr>
          <w:rFonts w:cstheme="minorHAnsi"/>
          <w:color w:val="000000" w:themeColor="text1"/>
          <w:sz w:val="24"/>
          <w:szCs w:val="24"/>
        </w:rPr>
        <w:t>SAGE Publications</w:t>
      </w:r>
      <w:r w:rsidR="000A7622" w:rsidRPr="004F6F6C">
        <w:rPr>
          <w:rFonts w:cstheme="minorHAnsi"/>
          <w:color w:val="000000" w:themeColor="text1"/>
          <w:sz w:val="24"/>
          <w:szCs w:val="24"/>
        </w:rPr>
        <w:t xml:space="preserve"> does not grant permission for this article to be further copied/distributed or hosted elsewhere without the express permission from </w:t>
      </w:r>
      <w:r w:rsidR="000016EC">
        <w:rPr>
          <w:rFonts w:cstheme="minorHAnsi"/>
          <w:color w:val="000000" w:themeColor="text1"/>
          <w:sz w:val="24"/>
          <w:szCs w:val="24"/>
        </w:rPr>
        <w:t>SAGE Publications</w:t>
      </w:r>
      <w:r w:rsidR="000A7622" w:rsidRPr="004F6F6C">
        <w:rPr>
          <w:rFonts w:cstheme="minorHAnsi"/>
          <w:color w:val="000000" w:themeColor="text1"/>
          <w:sz w:val="24"/>
          <w:szCs w:val="24"/>
        </w:rPr>
        <w:t xml:space="preserve">. </w:t>
      </w:r>
      <w:bookmarkEnd w:id="1"/>
    </w:p>
    <w:p w14:paraId="36D66B89" w14:textId="673D8DDF" w:rsidR="000976FB" w:rsidRDefault="000976FB" w:rsidP="000976FB"/>
    <w:p w14:paraId="2233FC5E" w14:textId="77777777" w:rsidR="008C24CF" w:rsidRPr="008C24CF" w:rsidRDefault="008C24CF" w:rsidP="008C24CF">
      <w:pPr>
        <w:pStyle w:val="Title"/>
      </w:pPr>
      <w:r>
        <w:t>Perception of Internal Controls Helps Explain Whistleblowing</w:t>
      </w:r>
    </w:p>
    <w:p w14:paraId="1637150F" w14:textId="6E2FA95D" w:rsidR="00019CDB" w:rsidRDefault="00019CDB"/>
    <w:p w14:paraId="153B6D9F" w14:textId="1619DC7D" w:rsidR="470D96B5" w:rsidRDefault="470D96B5" w:rsidP="00019CDB">
      <w:pPr>
        <w:spacing w:after="0"/>
        <w:rPr>
          <w:color w:val="333333"/>
          <w:sz w:val="18"/>
          <w:szCs w:val="18"/>
        </w:rPr>
      </w:pPr>
      <w:r w:rsidRPr="00019CDB">
        <w:rPr>
          <w:sz w:val="28"/>
          <w:szCs w:val="28"/>
        </w:rPr>
        <w:t>Andrea M. Scheetz</w:t>
      </w:r>
      <w:r>
        <w:br/>
      </w:r>
      <w:r w:rsidR="7D12B1A9" w:rsidRPr="00019CDB">
        <w:t>Georgia Southern University, Statesboro, USA</w:t>
      </w:r>
    </w:p>
    <w:p w14:paraId="1B4ECDE4" w14:textId="0B544C18" w:rsidR="470D96B5" w:rsidRDefault="470D96B5" w:rsidP="00019CDB">
      <w:pPr>
        <w:spacing w:after="0"/>
        <w:rPr>
          <w:sz w:val="28"/>
          <w:szCs w:val="28"/>
        </w:rPr>
      </w:pPr>
      <w:r w:rsidRPr="00019CDB">
        <w:rPr>
          <w:sz w:val="28"/>
          <w:szCs w:val="28"/>
        </w:rPr>
        <w:t xml:space="preserve">Tonya D. W. Smalls </w:t>
      </w:r>
    </w:p>
    <w:p w14:paraId="6E692124" w14:textId="56AAF501" w:rsidR="4FE43ECE" w:rsidRDefault="4FE43ECE" w:rsidP="00019CDB">
      <w:pPr>
        <w:spacing w:after="0"/>
      </w:pPr>
      <w:r w:rsidRPr="00019CDB">
        <w:t>Clark Atlanta University, GA, USA</w:t>
      </w:r>
    </w:p>
    <w:p w14:paraId="568BE038" w14:textId="29CC9058" w:rsidR="008C24CF" w:rsidRDefault="008C24CF" w:rsidP="00019CDB">
      <w:pPr>
        <w:spacing w:after="0"/>
        <w:rPr>
          <w:color w:val="333333"/>
          <w:sz w:val="18"/>
          <w:szCs w:val="18"/>
        </w:rPr>
      </w:pPr>
      <w:r w:rsidRPr="00019CDB">
        <w:rPr>
          <w:sz w:val="28"/>
          <w:szCs w:val="28"/>
        </w:rPr>
        <w:t xml:space="preserve">Joseph Wall </w:t>
      </w:r>
      <w:r>
        <w:br/>
      </w:r>
      <w:r w:rsidR="4C8470B7" w:rsidRPr="00019CDB">
        <w:t>Marquette University, Milwaukee, WI, USA</w:t>
      </w:r>
    </w:p>
    <w:p w14:paraId="4A04E982" w14:textId="5E82A25B" w:rsidR="5D928EBC" w:rsidRDefault="5D928EBC" w:rsidP="00019CDB">
      <w:pPr>
        <w:spacing w:after="0"/>
      </w:pPr>
      <w:r w:rsidRPr="00019CDB">
        <w:rPr>
          <w:sz w:val="28"/>
          <w:szCs w:val="28"/>
        </w:rPr>
        <w:t xml:space="preserve">Aaron B. Wilson </w:t>
      </w:r>
      <w:r>
        <w:br/>
      </w:r>
      <w:r w:rsidR="4DE2F5C3" w:rsidRPr="00019CDB">
        <w:t>Ohio University, Athens, OH, USA</w:t>
      </w:r>
    </w:p>
    <w:p w14:paraId="69516AD7" w14:textId="737C9BE2" w:rsidR="008C24CF" w:rsidRDefault="008C24CF" w:rsidP="000976FB"/>
    <w:p w14:paraId="1FC978E3" w14:textId="77777777" w:rsidR="008C24CF" w:rsidRPr="008C24CF" w:rsidRDefault="008C24CF" w:rsidP="00019CDB">
      <w:pPr>
        <w:pStyle w:val="Heading1"/>
        <w:rPr>
          <w:rFonts w:ascii="Calibri" w:eastAsia="Meiryo" w:hAnsi="Calibri" w:cs="Arial"/>
        </w:rPr>
      </w:pPr>
      <w:r>
        <w:t>Abstract</w:t>
      </w:r>
    </w:p>
    <w:p w14:paraId="0F2F533E" w14:textId="77777777" w:rsidR="008C24CF" w:rsidRPr="008C24CF" w:rsidRDefault="008C24CF" w:rsidP="008C24CF">
      <w:r w:rsidRPr="008C24CF">
        <w:t xml:space="preserve">The nonprofit sector may suffer financially from inconsistency in regulations and polices surrounding internal control implementation. To address this issue, our study explores how perceived internal control strength differs between nonprofit and for-profit organizations. Furthermore, we examine three components of the Committee of Sponsoring Organization framework to determine which components might significantly influence whistleblowing for nonprofit organizations. As expected, all three components appear to significantly influence whistleblowing for those in for-profit organizations. For those in nonprofit organizations, the perception of control activities and monitoring activities significantly mediates the relationship between organization type and </w:t>
      </w:r>
      <w:r w:rsidRPr="008C24CF">
        <w:lastRenderedPageBreak/>
        <w:t>whistleblowing intentions. Finally, the data indicate that the use of an anonymous website for whistleblowing at a nonprofit organization may require added attention and resources if employees at nonprofits are to use this outlet to the same extent as it is used at a for-profit organization.</w:t>
      </w:r>
    </w:p>
    <w:p w14:paraId="25991C89" w14:textId="77777777" w:rsidR="008C24CF" w:rsidRPr="008C24CF" w:rsidRDefault="008C24CF" w:rsidP="00019CDB">
      <w:pPr>
        <w:pStyle w:val="Heading1"/>
        <w:rPr>
          <w:rFonts w:ascii="Calibri" w:eastAsia="Meiryo" w:hAnsi="Calibri" w:cs="Arial"/>
        </w:rPr>
      </w:pPr>
      <w:r>
        <w:t>Keywords </w:t>
      </w:r>
    </w:p>
    <w:p w14:paraId="7DE87148" w14:textId="6F1E7139" w:rsidR="008C24CF" w:rsidRPr="008C24CF" w:rsidRDefault="008C24CF" w:rsidP="008C24CF">
      <w:r w:rsidRPr="00D84464">
        <w:t>whistleblowing</w:t>
      </w:r>
      <w:r w:rsidRPr="008C24CF">
        <w:t>, </w:t>
      </w:r>
      <w:r w:rsidRPr="00D84464">
        <w:t>reporting intentions</w:t>
      </w:r>
      <w:r w:rsidRPr="008C24CF">
        <w:t>, </w:t>
      </w:r>
      <w:r w:rsidRPr="00D84464">
        <w:t>nonprofit</w:t>
      </w:r>
      <w:r w:rsidRPr="008C24CF">
        <w:t>, </w:t>
      </w:r>
      <w:r w:rsidRPr="00D84464">
        <w:t>organization type</w:t>
      </w:r>
      <w:r w:rsidRPr="008C24CF">
        <w:t>, </w:t>
      </w:r>
      <w:r w:rsidRPr="00D84464">
        <w:t>internal controls</w:t>
      </w:r>
    </w:p>
    <w:p w14:paraId="594EDC3A" w14:textId="77777777" w:rsidR="008C24CF" w:rsidRPr="008C24CF" w:rsidRDefault="008C24CF" w:rsidP="00019CDB">
      <w:pPr>
        <w:pStyle w:val="Heading1"/>
        <w:rPr>
          <w:rFonts w:ascii="Calibri" w:eastAsia="Meiryo" w:hAnsi="Calibri" w:cs="Arial"/>
        </w:rPr>
      </w:pPr>
      <w:bookmarkStart w:id="2" w:name="_i1"/>
      <w:bookmarkEnd w:id="2"/>
      <w:r>
        <w:t>Introduction</w:t>
      </w:r>
    </w:p>
    <w:p w14:paraId="41638DB0" w14:textId="2798EE52" w:rsidR="008C24CF" w:rsidRPr="008C24CF" w:rsidRDefault="008C24CF" w:rsidP="008C24CF">
      <w:r w:rsidRPr="008C24CF">
        <w:t>Nonprofits are not immune to fraud, and even those with the best intentions can still become victims. Nonprofit fraud cases that make the news shock the public and bring up questions as to what nonprofits are doing to protect themselves and their donors. Such headlines include “How Red Cross fraud cost Ebola fight efforts $6 million” (</w:t>
      </w:r>
      <w:r w:rsidRPr="00D84464">
        <w:t>Mukherjee, 2017</w:t>
      </w:r>
      <w:r w:rsidRPr="008C24CF">
        <w:t>); “Indictment in US$6.7 million IT fraud at charity” (</w:t>
      </w:r>
      <w:r w:rsidRPr="00D84464">
        <w:t xml:space="preserve">The </w:t>
      </w:r>
      <w:proofErr w:type="spellStart"/>
      <w:r w:rsidRPr="00D84464">
        <w:t>NonProfit</w:t>
      </w:r>
      <w:proofErr w:type="spellEnd"/>
      <w:r w:rsidRPr="00D84464">
        <w:t xml:space="preserve"> Times, 2019</w:t>
      </w:r>
      <w:r w:rsidRPr="008C24CF">
        <w:t>); and “Nonprofit manager charged with embezzling money meant for disabled kids” (</w:t>
      </w:r>
      <w:r w:rsidRPr="00D84464">
        <w:t>Rasmussen, 2019</w:t>
      </w:r>
      <w:r w:rsidRPr="008C24CF">
        <w:t>). Because fraud is an issue in nonprofits, the control systems need to be effective not only in reducing fraud intentions but also in increasing whistleblowing intentions. Tips from insiders are one of the most prevalent forms of whistleblowing. Thus, it is important to know to what extent the perception of the organization’s existing internal controls encourages whistleblowing. We investigate this question, focusing on the nonprofit community.</w:t>
      </w:r>
    </w:p>
    <w:p w14:paraId="233F7301" w14:textId="5A05686A" w:rsidR="008C24CF" w:rsidRPr="008C24CF" w:rsidRDefault="008C24CF" w:rsidP="008C24CF">
      <w:r w:rsidRPr="008C24CF">
        <w:t>The nonprofit community lacks the regulatory attention for-profits have relating to internal controls. Furthermore, there is a lack of clarity and consistency across nonprofits that choose to implement internal controls. This shortcoming may lead to a perception that nonprofits do not place the same emphasis on internal controls that for-profits do. Little research investigates this perception within nonprofit organizations. One study focuses on for-profits but acknowledges the potential usefulness of documentation and testing for nonprofits (</w:t>
      </w:r>
      <w:r w:rsidRPr="00D84464">
        <w:t>Graham, 2015</w:t>
      </w:r>
      <w:r w:rsidRPr="008C24CF">
        <w:t>). Overall, literature is uninformed about how the strength of each perceived internal controls affects whistleblowing, especially in nonprofit organizations.</w:t>
      </w:r>
    </w:p>
    <w:p w14:paraId="542BAD93" w14:textId="6EC69EB2" w:rsidR="008C24CF" w:rsidRPr="008C24CF" w:rsidRDefault="008C24CF" w:rsidP="008C24CF">
      <w:r w:rsidRPr="008C24CF">
        <w:t>Recent research has shown that nonprofits experience similar pressures as for-profits to obtain positive audit opinions (</w:t>
      </w:r>
      <w:r w:rsidRPr="00D84464">
        <w:t>Feng, 2014</w:t>
      </w:r>
      <w:r w:rsidRPr="008C24CF">
        <w:t>); manage pension assumptions (</w:t>
      </w:r>
      <w:r w:rsidRPr="00D84464">
        <w:t>Vermeer et al., 2014</w:t>
      </w:r>
      <w:r w:rsidRPr="008C24CF">
        <w:t>) and taxable income (</w:t>
      </w:r>
      <w:r w:rsidRPr="00D84464">
        <w:t xml:space="preserve">Omer &amp; </w:t>
      </w:r>
      <w:proofErr w:type="spellStart"/>
      <w:r w:rsidRPr="00D84464">
        <w:t>Yetman</w:t>
      </w:r>
      <w:proofErr w:type="spellEnd"/>
      <w:r w:rsidRPr="00D84464">
        <w:t>, 2003</w:t>
      </w:r>
      <w:r w:rsidRPr="008C24CF">
        <w:t>); and actively manage ratios that may help to attract donors to a nonprofit, because greater efficiency is associated with higher donations (</w:t>
      </w:r>
      <w:r w:rsidRPr="00D84464">
        <w:t>Parsons et al., 2017</w:t>
      </w:r>
      <w:r w:rsidRPr="008C24CF">
        <w:t>; </w:t>
      </w:r>
      <w:proofErr w:type="spellStart"/>
      <w:r w:rsidRPr="00D84464">
        <w:t>Tinkelman</w:t>
      </w:r>
      <w:proofErr w:type="spellEnd"/>
      <w:r w:rsidRPr="00D84464">
        <w:t>, 1999</w:t>
      </w:r>
      <w:r w:rsidRPr="008C24CF">
        <w:t xml:space="preserve">). These financial pressures may increase the pressure for individuals to commit fraud. Yet, where public for-profit organizations are mandated to have internal controls that help counter these incentives, nonprofit organizations lack such mandates. As a result, those in nonprofit organizations may not be influenced by </w:t>
      </w:r>
      <w:proofErr w:type="gramStart"/>
      <w:r w:rsidRPr="008C24CF">
        <w:t>all of</w:t>
      </w:r>
      <w:proofErr w:type="gramEnd"/>
      <w:r w:rsidRPr="008C24CF">
        <w:t xml:space="preserve"> the same controls as are those in for-profit organizations.</w:t>
      </w:r>
    </w:p>
    <w:p w14:paraId="2AAED3CB" w14:textId="749C9265" w:rsidR="008C24CF" w:rsidRPr="008C24CF" w:rsidRDefault="008C24CF" w:rsidP="008C24CF">
      <w:r w:rsidRPr="008C24CF">
        <w:t>Literature finds that firms with strong internal controls are less likely to experience fraud. For example, strong internal controls reduce the opportunities to engage in self-interested behavior (</w:t>
      </w:r>
      <w:r w:rsidRPr="00D84464">
        <w:t>Patterson &amp; Smith, 2007</w:t>
      </w:r>
      <w:r w:rsidRPr="008C24CF">
        <w:t>). Furthermore, </w:t>
      </w:r>
      <w:r w:rsidRPr="00D84464">
        <w:t>Liu et al. (2015)</w:t>
      </w:r>
      <w:r w:rsidRPr="008C24CF">
        <w:t> find that the way in which management frames the purpose of the controls influences fraud intent. When controls are framed as being used for monitoring purposes, fraud intent decreases, whereas when controls are framed as being used for coordinating purposes, fraud intent increases. This framing is consistent with regulatory actions and auditing standards commonly associated with for-profit organizations (e.g., </w:t>
      </w:r>
      <w:r w:rsidRPr="00D84464">
        <w:t>American Institute of Certified Public Accountants [AICPA], 2002</w:t>
      </w:r>
      <w:r w:rsidRPr="008C24CF">
        <w:t>; </w:t>
      </w:r>
      <w:r w:rsidRPr="00D84464">
        <w:t>Committee of Sponsoring Organizations [COSO], 1999</w:t>
      </w:r>
      <w:r w:rsidRPr="008C24CF">
        <w:t>; </w:t>
      </w:r>
      <w:r w:rsidRPr="00D84464">
        <w:t>Public Company Accounting Oversight Board [PCAOB], 2007a</w:t>
      </w:r>
      <w:r w:rsidRPr="008C24CF">
        <w:t>, </w:t>
      </w:r>
      <w:r w:rsidRPr="00D84464">
        <w:t>2007b</w:t>
      </w:r>
      <w:r w:rsidRPr="008C24CF">
        <w:t>, </w:t>
      </w:r>
      <w:r w:rsidRPr="00D84464">
        <w:t>2010</w:t>
      </w:r>
      <w:r w:rsidRPr="008C24CF">
        <w:t>). Up until now, little prior knowledge has existed about how the perception of internal controls affects whistleblowing intentions, particularly in environments where internal controls are not required.</w:t>
      </w:r>
    </w:p>
    <w:p w14:paraId="0FFFE219" w14:textId="77777777" w:rsidR="008C24CF" w:rsidRPr="008C24CF" w:rsidRDefault="008C24CF" w:rsidP="008C24CF">
      <w:r w:rsidRPr="008C24CF">
        <w:lastRenderedPageBreak/>
        <w:t>Thus, informed by literature and practice, this study attempts to address part of the gap in knowledge by examining the relationship of internal controls on the path between organization type and whistleblowing intentions. To measure the strength of internal controls, we developed questions based on the COSO framework, focusing on control environment, control activities, and monitoring activities. Each of the three components is examined to identify the effect of organization type on the perception of internal controls. Furthermore, the paths between each internal control component and whistleblowing intentions are tested.</w:t>
      </w:r>
    </w:p>
    <w:p w14:paraId="66919A45" w14:textId="62B66BC1" w:rsidR="008C24CF" w:rsidRPr="008C24CF" w:rsidRDefault="008C24CF" w:rsidP="008C24CF">
      <w:r w:rsidRPr="008C24CF">
        <w:t>We conduct a survey of 272 individuals who are currently employed full-time in either a nonprofit or for-profit organization. Research suggests the implementation of Section 404 of Sarbanes–Oxley (SOX 404) in public companies led to both stronger internal controls and a decrease in fraud (</w:t>
      </w:r>
      <w:r w:rsidRPr="00D84464">
        <w:t>Patterson &amp; Smith, 2007</w:t>
      </w:r>
      <w:r w:rsidRPr="008C24CF">
        <w:t xml:space="preserve">). Thus, it seems likely that nonprofits with similar internal controls may also benefit similarly. As a result, we believe that perception of internal controls describes the path between organization type and whistleblowing intention. </w:t>
      </w:r>
      <w:proofErr w:type="spellStart"/>
      <w:r w:rsidRPr="008C24CF">
        <w:t>Untabulated</w:t>
      </w:r>
      <w:proofErr w:type="spellEnd"/>
      <w:r w:rsidRPr="008C24CF">
        <w:t xml:space="preserve"> results suggest that these findings apply to asset misappropriation in a similar manner to the financial statement fraud results reported in this study.</w:t>
      </w:r>
    </w:p>
    <w:p w14:paraId="7AD823F3" w14:textId="77777777" w:rsidR="008C24CF" w:rsidRPr="008C24CF" w:rsidRDefault="008C24CF" w:rsidP="008C24CF">
      <w:r w:rsidRPr="008C24CF">
        <w:t>The data suggest organization type influences the perceived strength of the total internal control framework, as well as each of the components (control environment, control activities, and monitoring activities). In all instances, the perceived strength of the internal control framework and the perceived strength of each of the three components of the framework significantly predict reporting intentions to the whistleblowing hotline. Similarly, perceived internal control strength, control activities, and monitoring activities separately mediate the path between organization type and whistleblowing intention. The data suggest a focus on control and monitoring activities would be beneficial for nonprofits seeking to encourage a culture of whistleblowing. Finally, it is helpful for nonprofits to know that nonprofit employees may not yet be as comfortable reporting through a website as are for-profit employees. With this knowledge, theory is extended, and nonprofit management can take steps to improve internal controls and encourage whistleblowing.</w:t>
      </w:r>
    </w:p>
    <w:p w14:paraId="50E82E24" w14:textId="77777777" w:rsidR="008C24CF" w:rsidRPr="008C24CF" w:rsidRDefault="008C24CF" w:rsidP="008C24CF">
      <w:r w:rsidRPr="008C24CF">
        <w:t>The next section of this article consists of literature review and hypothesis development, followed by the “Method” and “Results” sections. We close with the “Discussion” section where we address implications of our findings, limitations, and future research.</w:t>
      </w:r>
    </w:p>
    <w:p w14:paraId="763F077F" w14:textId="77777777" w:rsidR="008C24CF" w:rsidRPr="008C24CF" w:rsidRDefault="008C24CF" w:rsidP="00019CDB">
      <w:pPr>
        <w:pStyle w:val="Heading1"/>
        <w:rPr>
          <w:rFonts w:ascii="Calibri" w:eastAsia="Meiryo" w:hAnsi="Calibri" w:cs="Arial"/>
        </w:rPr>
      </w:pPr>
      <w:bookmarkStart w:id="3" w:name="_i2"/>
      <w:bookmarkEnd w:id="3"/>
      <w:r>
        <w:t>Literature Review and Hypotheses</w:t>
      </w:r>
    </w:p>
    <w:p w14:paraId="6B0F8CF8" w14:textId="77777777" w:rsidR="008C24CF" w:rsidRPr="008C24CF" w:rsidRDefault="008C24CF" w:rsidP="00019CDB">
      <w:pPr>
        <w:pStyle w:val="Heading2"/>
        <w:rPr>
          <w:rFonts w:ascii="Calibri" w:eastAsia="Meiryo" w:hAnsi="Calibri" w:cs="Arial"/>
        </w:rPr>
      </w:pPr>
      <w:r>
        <w:t>Whistleblowing</w:t>
      </w:r>
    </w:p>
    <w:p w14:paraId="4E9FED6B" w14:textId="40758078" w:rsidR="008C24CF" w:rsidRPr="008C24CF" w:rsidRDefault="008C24CF" w:rsidP="008C24CF">
      <w:r w:rsidRPr="00D84464">
        <w:t>Near and Miceli (1985)</w:t>
      </w:r>
      <w:r w:rsidRPr="008C24CF">
        <w:t> provided what has become the standard in whistleblowing literature by defining whistleblowing as “the disclosure by organization members (former or current) of illegal, immoral, or illegitimate practices under the control of their employers, to persons or organizations that may be able to affect action.” </w:t>
      </w:r>
      <w:r w:rsidRPr="00D84464">
        <w:t>Near and Miceli (1988)</w:t>
      </w:r>
      <w:r w:rsidRPr="008C24CF">
        <w:t xml:space="preserve"> further expanded their definition to include identifying and bringing attention to questionable practices </w:t>
      </w:r>
      <w:proofErr w:type="gramStart"/>
      <w:r w:rsidRPr="008C24CF">
        <w:t>in an attempt to</w:t>
      </w:r>
      <w:proofErr w:type="gramEnd"/>
      <w:r w:rsidRPr="008C24CF">
        <w:t xml:space="preserve"> help potential victims and/or benefit the organization if the practices diverged from the organization’s stated values. They later (1996) identified three elements necessary to whistleblowing: (a) someone needs to commit a perceived wrongdoing, (b) another needs to become aware of the perceived wrongdoing and report it, and (c) someone else needs to record the report of wrongdoing (</w:t>
      </w:r>
      <w:r w:rsidRPr="00D84464">
        <w:t>Near &amp; Miceli, 1996</w:t>
      </w:r>
      <w:r w:rsidRPr="008C24CF">
        <w:t>).</w:t>
      </w:r>
    </w:p>
    <w:p w14:paraId="68640E4A" w14:textId="7D37CCB9" w:rsidR="008C24CF" w:rsidRPr="008C24CF" w:rsidRDefault="008C24CF" w:rsidP="008C24CF">
      <w:r w:rsidRPr="00D84464">
        <w:t>Lee and Xiao (2018)</w:t>
      </w:r>
      <w:r w:rsidRPr="008C24CF">
        <w:t> and </w:t>
      </w:r>
      <w:r w:rsidRPr="00D84464">
        <w:t>Gao and Brink (2017)</w:t>
      </w:r>
      <w:r w:rsidRPr="008C24CF">
        <w:t xml:space="preserve"> recently completed a review of the whistleblowing literature, examining what has been studied as determinants of internal and external whistleblowing. Such determinants include characteristics of the whistleblower (personality, affective states, attitudes, moral judgment, demographics, compensation, perceived responsibility, costs and benefits, etc.); report recipient (similar to whistleblower, plus inquiry, retaliation, likeability, etc.); reporting channel (administration, anonymity, monetary incentives, etc.); wrongdoer (power, credibility, likeability, social relationship, etc.); wrongdoing (evidence, </w:t>
      </w:r>
      <w:r w:rsidRPr="008C24CF">
        <w:lastRenderedPageBreak/>
        <w:t>legality, dependence on the wrongdoing, severity, etc.); and organization (climate, response, justice, structure, governance, etc.) (</w:t>
      </w:r>
      <w:r w:rsidRPr="00D84464">
        <w:t>Gao &amp; Brink, 2017</w:t>
      </w:r>
      <w:r w:rsidRPr="008C24CF">
        <w:t>; </w:t>
      </w:r>
      <w:r w:rsidRPr="00D84464">
        <w:t>Lee &amp; Xiao, 2018</w:t>
      </w:r>
      <w:r w:rsidRPr="008C24CF">
        <w:t>).</w:t>
      </w:r>
    </w:p>
    <w:p w14:paraId="618526B7" w14:textId="3D614F9C" w:rsidR="008C24CF" w:rsidRPr="008C24CF" w:rsidRDefault="008C24CF" w:rsidP="008C24CF">
      <w:r w:rsidRPr="008C24CF">
        <w:t>The 2020 Global Study on Occupational Fraud and Abuse includes information about reported nonprofit fraud. The study notes a median loss for fraud in nonprofits as US$75,000 (which rises to US$250,000 if the fraud is committed by an executive) and an average loss of US$639,000 (</w:t>
      </w:r>
      <w:r w:rsidRPr="00D84464">
        <w:t>Association of Certified Fraud Examiners [ACFE], 2020</w:t>
      </w:r>
      <w:r w:rsidRPr="008C24CF">
        <w:t>). In 35% of the cases reported, a lack of internal controls was cited as the primary weakness that contributed to the occurrence of fraud (</w:t>
      </w:r>
      <w:r w:rsidRPr="00D84464">
        <w:t>ACFE, 2020</w:t>
      </w:r>
      <w:r w:rsidRPr="008C24CF">
        <w:t>). An investigation by the Washington Post revealed that between 2008 and 2012 more than 1,000 nonprofit organizations indicated on Internal Revenue Service (IRS) Form 990 that the organization had experienced a significant diversion of assets (</w:t>
      </w:r>
      <w:r w:rsidRPr="00D84464">
        <w:t>Stephens &amp; Flaherty, 2013</w:t>
      </w:r>
      <w:r w:rsidRPr="008C24CF">
        <w:t>). Many of the losses ranged from US$1 million to well over US$40 million (</w:t>
      </w:r>
      <w:r w:rsidRPr="00D84464">
        <w:t>Stephens &amp; Flaherty, 2013</w:t>
      </w:r>
      <w:r w:rsidRPr="008C24CF">
        <w:t>). </w:t>
      </w:r>
      <w:proofErr w:type="spellStart"/>
      <w:r w:rsidRPr="00D84464">
        <w:t>Archambeault</w:t>
      </w:r>
      <w:proofErr w:type="spellEnd"/>
      <w:r w:rsidRPr="00D84464">
        <w:t xml:space="preserve"> et al. (2015)</w:t>
      </w:r>
      <w:r w:rsidRPr="008C24CF">
        <w:t> found that less than 20% of the organizations, which met the criteria for Form 990 diversion of asset disclosure, correctly completed the report requirements. Their findings suggest the number of nonprofits experiencing fraud may be much higher than the statistics indicate. Furthermore, </w:t>
      </w:r>
      <w:r w:rsidRPr="00D84464">
        <w:t>Snyder et al. (2017)</w:t>
      </w:r>
      <w:r w:rsidRPr="008C24CF">
        <w:t> indicated that 19% of their nonprofit sample specified an incidence of fraud in the prior year, a number far higher than that typically seen in reports.</w:t>
      </w:r>
    </w:p>
    <w:p w14:paraId="4C2B21A8" w14:textId="33AF4959" w:rsidR="008C24CF" w:rsidRPr="008C24CF" w:rsidRDefault="008C24CF" w:rsidP="008C24CF">
      <w:r w:rsidRPr="00D84464">
        <w:t>Rothschild (2013)</w:t>
      </w:r>
      <w:r w:rsidRPr="008C24CF">
        <w:t xml:space="preserve"> discovered that employees of nonprofits generally view their organizations as having much higher moral leadership than employees of other organization types and these nonprofit employees are less likely to </w:t>
      </w:r>
      <w:proofErr w:type="spellStart"/>
      <w:r w:rsidRPr="008C24CF">
        <w:t>whistleblow</w:t>
      </w:r>
      <w:proofErr w:type="spellEnd"/>
      <w:r w:rsidRPr="008C24CF">
        <w:t>. Overall, </w:t>
      </w:r>
      <w:r w:rsidRPr="00D84464">
        <w:t>Rothschild (2013)</w:t>
      </w:r>
      <w:r w:rsidRPr="008C24CF">
        <w:t> concludes that whistleblowing is much more prevalent among public sector employees than among nonprofit employees. </w:t>
      </w:r>
      <w:r w:rsidRPr="00D84464">
        <w:t>Scheetz, Smalls, Wall, and Wilson (2020)</w:t>
      </w:r>
      <w:r w:rsidRPr="008C24CF">
        <w:t xml:space="preserve"> examined organization size and type to find that nonprofit employees are significantly less likely to </w:t>
      </w:r>
      <w:proofErr w:type="spellStart"/>
      <w:r w:rsidRPr="008C24CF">
        <w:t>whistleblow</w:t>
      </w:r>
      <w:proofErr w:type="spellEnd"/>
      <w:r w:rsidRPr="008C24CF">
        <w:t xml:space="preserve"> than for-profit employees, especially those nonprofit employees in international organizations where inconsistency in policies (such as whistleblowing or internal control implementation) between regions may be an issue.</w:t>
      </w:r>
    </w:p>
    <w:p w14:paraId="2DB70871" w14:textId="0258B76C" w:rsidR="008C24CF" w:rsidRPr="008C24CF" w:rsidRDefault="008C24CF" w:rsidP="008C24CF">
      <w:r w:rsidRPr="008C24CF">
        <w:t>The nonprofit literature has, for the last decade or two, tried to bring attention to the lack of internal controls in the nonprofit sector (</w:t>
      </w:r>
      <w:proofErr w:type="spellStart"/>
      <w:r w:rsidRPr="00D84464">
        <w:t>Archambeault</w:t>
      </w:r>
      <w:proofErr w:type="spellEnd"/>
      <w:r w:rsidRPr="00D84464">
        <w:t xml:space="preserve"> et al., 2015</w:t>
      </w:r>
      <w:r w:rsidRPr="008C24CF">
        <w:t>; </w:t>
      </w:r>
      <w:r w:rsidRPr="00D84464">
        <w:t>Gallagher &amp; Radcliffe, 2002</w:t>
      </w:r>
      <w:r w:rsidRPr="008C24CF">
        <w:t>; </w:t>
      </w:r>
      <w:r w:rsidRPr="00D84464">
        <w:t>Greenlee et al., 2007</w:t>
      </w:r>
      <w:r w:rsidRPr="008C24CF">
        <w:t>). These studies highlight the nonprofit fraud problem and express a belief that internal controls can help curb this problem.</w:t>
      </w:r>
    </w:p>
    <w:p w14:paraId="61CBABCB" w14:textId="77777777" w:rsidR="008C24CF" w:rsidRPr="008C24CF" w:rsidRDefault="008C24CF" w:rsidP="00019CDB">
      <w:pPr>
        <w:pStyle w:val="Heading2"/>
        <w:rPr>
          <w:rFonts w:ascii="Calibri" w:eastAsia="Meiryo" w:hAnsi="Calibri" w:cs="Arial"/>
        </w:rPr>
      </w:pPr>
      <w:r>
        <w:t>Internal Controls</w:t>
      </w:r>
    </w:p>
    <w:p w14:paraId="5D8A754B" w14:textId="1D7E121B" w:rsidR="008C24CF" w:rsidRPr="008C24CF" w:rsidRDefault="008C24CF" w:rsidP="008C24CF">
      <w:r w:rsidRPr="008C24CF">
        <w:t>Although Section 404 of the SOX Act of 2002 applies mostly to public companies, some nonprofit organizations, due to their funding sources,</w:t>
      </w:r>
      <w:r w:rsidRPr="00D84464">
        <w:rPr>
          <w:vertAlign w:val="superscript"/>
        </w:rPr>
        <w:t>1</w:t>
      </w:r>
      <w:r w:rsidRPr="008C24CF">
        <w:t> are also required to implement internal controls and undergo audits (</w:t>
      </w:r>
      <w:r w:rsidRPr="00D84464">
        <w:t>U.S. Congress, 2002</w:t>
      </w:r>
      <w:r w:rsidRPr="008C24CF">
        <w:t>). In addition, many nonprofits simply choose to adopt best practices from SOX, including internal controls (</w:t>
      </w:r>
      <w:proofErr w:type="spellStart"/>
      <w:r w:rsidRPr="00D84464">
        <w:t>Iyer</w:t>
      </w:r>
      <w:proofErr w:type="spellEnd"/>
      <w:r w:rsidRPr="00D84464">
        <w:t xml:space="preserve"> &amp; Watkins, 2008</w:t>
      </w:r>
      <w:r w:rsidRPr="008C24CF">
        <w:t>). The implementation of SOX reporting requirements on the effectiveness of internal controls provides data on how the implementation of such controls affects fraud occurrences and detection. </w:t>
      </w:r>
      <w:proofErr w:type="spellStart"/>
      <w:r w:rsidRPr="00D84464">
        <w:t>Nezhina</w:t>
      </w:r>
      <w:proofErr w:type="spellEnd"/>
      <w:r w:rsidRPr="00D84464">
        <w:t xml:space="preserve"> and </w:t>
      </w:r>
      <w:proofErr w:type="spellStart"/>
      <w:r w:rsidRPr="00D84464">
        <w:t>Brudney</w:t>
      </w:r>
      <w:proofErr w:type="spellEnd"/>
      <w:r w:rsidRPr="00D84464">
        <w:t xml:space="preserve"> (2012)</w:t>
      </w:r>
      <w:r w:rsidRPr="008C24CF">
        <w:t> learned that in their sample of nonprofit organizations, half had implemented some components of SOX. Those nonprofits that adopted SOX provisions experienced better internal controls, to which many nonprofits attributed their reduced fraud risk (</w:t>
      </w:r>
      <w:proofErr w:type="spellStart"/>
      <w:r w:rsidRPr="00D84464">
        <w:t>Nezhina</w:t>
      </w:r>
      <w:proofErr w:type="spellEnd"/>
      <w:r w:rsidRPr="00D84464">
        <w:t xml:space="preserve"> &amp; </w:t>
      </w:r>
      <w:proofErr w:type="spellStart"/>
      <w:r w:rsidRPr="00D84464">
        <w:t>Brudney</w:t>
      </w:r>
      <w:proofErr w:type="spellEnd"/>
      <w:r w:rsidRPr="00D84464">
        <w:t>, 2012</w:t>
      </w:r>
      <w:r w:rsidRPr="008C24CF">
        <w:t>). </w:t>
      </w:r>
      <w:r w:rsidRPr="00D84464">
        <w:t>Patterson and Smith (2007)</w:t>
      </w:r>
      <w:r w:rsidRPr="008C24CF">
        <w:t xml:space="preserve"> recorded that following the implementation of SOX 404, the strength of internal controls </w:t>
      </w:r>
      <w:proofErr w:type="gramStart"/>
      <w:r w:rsidRPr="008C24CF">
        <w:t>increased</w:t>
      </w:r>
      <w:proofErr w:type="gramEnd"/>
      <w:r w:rsidRPr="008C24CF">
        <w:t xml:space="preserve"> and fraud decreased. Similarly, </w:t>
      </w:r>
      <w:r w:rsidRPr="00D84464">
        <w:t>Donelson et al. (2017)</w:t>
      </w:r>
      <w:r w:rsidRPr="008C24CF">
        <w:t> observed a significant association between material internal control weaknesses and financial reporting fraud. Recent research has suggested nonprofits report financial statement error rates that are nearly twice as high as those of similarly sized publicly traded corporations (</w:t>
      </w:r>
      <w:r w:rsidRPr="00D84464">
        <w:t>Burks, 2015</w:t>
      </w:r>
      <w:r w:rsidRPr="008C24CF">
        <w:t>) and that SOX may increase reporting quality for nonprofits (</w:t>
      </w:r>
      <w:proofErr w:type="spellStart"/>
      <w:r w:rsidRPr="00D84464">
        <w:t>Garven</w:t>
      </w:r>
      <w:proofErr w:type="spellEnd"/>
      <w:r w:rsidRPr="00D84464">
        <w:t xml:space="preserve"> et al., 2017</w:t>
      </w:r>
      <w:r w:rsidRPr="008C24CF">
        <w:t>). Although nonprofit organizations are not required to adhere to SOX, the data about error rates and ineffective controls are troubling and reaffirm the need for internal controls in all organizations.</w:t>
      </w:r>
    </w:p>
    <w:p w14:paraId="23C2A354" w14:textId="656D48FC" w:rsidR="008C24CF" w:rsidRPr="008C24CF" w:rsidRDefault="008C24CF" w:rsidP="008C24CF">
      <w:r w:rsidRPr="008C24CF">
        <w:t>Some research suggests that parts of internal controls may be detrimental to the firm (e.g., </w:t>
      </w:r>
      <w:r w:rsidRPr="00D84464">
        <w:t>Christ, 2013</w:t>
      </w:r>
      <w:r w:rsidRPr="008C24CF">
        <w:t>; </w:t>
      </w:r>
      <w:r w:rsidRPr="00D84464">
        <w:t>Christ et al., 2008</w:t>
      </w:r>
      <w:r w:rsidRPr="008C24CF">
        <w:t>, </w:t>
      </w:r>
      <w:r w:rsidRPr="00D84464">
        <w:t>2012</w:t>
      </w:r>
      <w:r w:rsidRPr="008C24CF">
        <w:t>; </w:t>
      </w:r>
      <w:r w:rsidRPr="00D84464">
        <w:t>Das &amp; Teng, 2001</w:t>
      </w:r>
      <w:r w:rsidRPr="008C24CF">
        <w:t>; </w:t>
      </w:r>
      <w:r w:rsidRPr="00D84464">
        <w:t xml:space="preserve">Falk &amp; </w:t>
      </w:r>
      <w:proofErr w:type="spellStart"/>
      <w:r w:rsidRPr="00D84464">
        <w:t>Kosfeld</w:t>
      </w:r>
      <w:proofErr w:type="spellEnd"/>
      <w:r w:rsidRPr="00D84464">
        <w:t>, 2006</w:t>
      </w:r>
      <w:r w:rsidRPr="008C24CF">
        <w:t>; </w:t>
      </w:r>
      <w:r w:rsidRPr="00D84464">
        <w:t>Hannan et al., 2006</w:t>
      </w:r>
      <w:r w:rsidRPr="008C24CF">
        <w:t>; </w:t>
      </w:r>
      <w:r w:rsidRPr="00D84464">
        <w:t>Liu et al., 2015</w:t>
      </w:r>
      <w:r w:rsidRPr="008C24CF">
        <w:t xml:space="preserve">). For </w:t>
      </w:r>
      <w:r w:rsidRPr="008C24CF">
        <w:lastRenderedPageBreak/>
        <w:t>example, </w:t>
      </w:r>
      <w:r w:rsidRPr="00D84464">
        <w:t>Christ (2013)</w:t>
      </w:r>
      <w:r w:rsidRPr="008C24CF">
        <w:t> contends that employees reduce effort when formal controls are in place, as employees infer the control as a sign of distrust. </w:t>
      </w:r>
      <w:r w:rsidRPr="00D84464">
        <w:t>Christ et al. (2008)</w:t>
      </w:r>
      <w:r w:rsidRPr="008C24CF">
        <w:t> also propose that behavioral controls can compromise trust and cooperation. </w:t>
      </w:r>
      <w:r w:rsidRPr="00D84464">
        <w:t xml:space="preserve">Falk and </w:t>
      </w:r>
      <w:proofErr w:type="spellStart"/>
      <w:r w:rsidRPr="00D84464">
        <w:t>Kosfeld</w:t>
      </w:r>
      <w:proofErr w:type="spellEnd"/>
      <w:r w:rsidRPr="00D84464">
        <w:t xml:space="preserve"> (2006)</w:t>
      </w:r>
      <w:r w:rsidRPr="008C24CF">
        <w:t> suggest most employees exhibit control-adverse behavior, where performance can decrease in reaction to controls. These studies have primarily focused on the impact controls have in a public company environment. Thus, the debate over the impact of required controls (such as in public companies) versus the impact of voluntarily instituted controls (such as in private companies and nonprofits) is both restricted in scope and unresolved.</w:t>
      </w:r>
    </w:p>
    <w:p w14:paraId="7D008243" w14:textId="657F615A" w:rsidR="008C24CF" w:rsidRPr="008C24CF" w:rsidRDefault="008C24CF" w:rsidP="008C24CF">
      <w:r w:rsidRPr="008C24CF">
        <w:t>Often, the COSO internal controls framework is used as a basis for designing internal controls by those small public or private companies and nonprofit organizations that choose to adopt an internal control focus. The COSO framework established five interrelated components related to these controls: control environment, risk assessment, control activities, information and communication, and monitoring activities (</w:t>
      </w:r>
      <w:r w:rsidRPr="00D84464">
        <w:t>COSO, 2013</w:t>
      </w:r>
      <w:r w:rsidRPr="008C24CF">
        <w:t>). This study uses the COSO framework to measure perception of internal controls and focuses on control environment, control activities, and monitoring activities because they are more observable by employees at every level of the organization.</w:t>
      </w:r>
    </w:p>
    <w:p w14:paraId="17923FC0" w14:textId="5E487A85" w:rsidR="008C24CF" w:rsidRPr="008C24CF" w:rsidRDefault="008C24CF" w:rsidP="008C24CF">
      <w:r w:rsidRPr="008C24CF">
        <w:t>The control environment component of the COSO framework focuses on the entity’s organizational structure, processes, policies, and standards to facilitate a healthy control culture within an organization (</w:t>
      </w:r>
      <w:r w:rsidRPr="00D84464">
        <w:t>COSO, 2013</w:t>
      </w:r>
      <w:r w:rsidRPr="008C24CF">
        <w:t>). This component captures a range of elements considered necessary for a strong internal control system. One of the factors considered when assessing the strength of the control environment is whether people throughout the organization both are aware of the importance of risk management and understand the risk profile of the organization. Another factor to consider is whether management and the board of directors set a strong tone at the top. In a poor control environment, retaliatory actions may be tolerated or empowered, thus reducing whistleblowing intent. </w:t>
      </w:r>
      <w:r w:rsidRPr="00D84464">
        <w:t>Donelson et al. (2017)</w:t>
      </w:r>
      <w:r w:rsidRPr="008C24CF">
        <w:t> suggest that weaknesses in entity-wide controls are associated with an increased risk of fraud instance and disclosure by the entity. Thus, a strong control environment may reduce fraud instances, but increase the likelihood of whistleblowing.</w:t>
      </w:r>
    </w:p>
    <w:p w14:paraId="60A46285" w14:textId="036E2D50" w:rsidR="008C24CF" w:rsidRPr="008C24CF" w:rsidRDefault="008C24CF" w:rsidP="008C24CF">
      <w:r w:rsidRPr="008C24CF">
        <w:t>Control activities help address control environment weaknesses. Control activities refer to the internal control system of the organization, which includes the policies and procedures that define the approval processes, authorization levels, security of assets, and the segregation of duties (</w:t>
      </w:r>
      <w:proofErr w:type="spellStart"/>
      <w:r w:rsidRPr="00D84464">
        <w:t>Agbejule</w:t>
      </w:r>
      <w:proofErr w:type="spellEnd"/>
      <w:r w:rsidRPr="00D84464">
        <w:t xml:space="preserve"> &amp; </w:t>
      </w:r>
      <w:proofErr w:type="spellStart"/>
      <w:r w:rsidRPr="00D84464">
        <w:t>Jokipii</w:t>
      </w:r>
      <w:proofErr w:type="spellEnd"/>
      <w:r w:rsidRPr="00D84464">
        <w:t>, 2009</w:t>
      </w:r>
      <w:r w:rsidRPr="008C24CF">
        <w:t>; </w:t>
      </w:r>
      <w:r w:rsidRPr="00D84464">
        <w:t>COSO, 2013</w:t>
      </w:r>
      <w:r w:rsidRPr="008C24CF">
        <w:t>). </w:t>
      </w:r>
      <w:r w:rsidRPr="00D84464">
        <w:t>COSO (2013)</w:t>
      </w:r>
      <w:r w:rsidRPr="008C24CF">
        <w:t> defined control activities as “the actions established through policies and procedures that help ensure that management’s directives to mitigate risks to the achievement of objectives are carried out” (p. 6).</w:t>
      </w:r>
    </w:p>
    <w:p w14:paraId="1D6463E2" w14:textId="2188DD80" w:rsidR="008C24CF" w:rsidRPr="008C24CF" w:rsidRDefault="008C24CF" w:rsidP="008C24CF">
      <w:r w:rsidRPr="008C24CF">
        <w:t>Although control activities define an organization’s internal control system, the monitoring activities component focuses on the observation of these systems and ensuring their effectiveness, such as direct supervision and evaluation (</w:t>
      </w:r>
      <w:proofErr w:type="spellStart"/>
      <w:r w:rsidRPr="00D84464">
        <w:t>Agbejule</w:t>
      </w:r>
      <w:proofErr w:type="spellEnd"/>
      <w:r w:rsidRPr="00D84464">
        <w:t xml:space="preserve"> &amp; </w:t>
      </w:r>
      <w:proofErr w:type="spellStart"/>
      <w:r w:rsidRPr="00D84464">
        <w:t>Jokipii</w:t>
      </w:r>
      <w:proofErr w:type="spellEnd"/>
      <w:r w:rsidRPr="00D84464">
        <w:t>, 2009</w:t>
      </w:r>
      <w:r w:rsidRPr="008C24CF">
        <w:t>; </w:t>
      </w:r>
      <w:r w:rsidRPr="00D84464">
        <w:t>COSO, 2013</w:t>
      </w:r>
      <w:r w:rsidRPr="008C24CF">
        <w:t>). Research has found that weak monitoring of controls results in a pervasive negative impact through an increased reporting of material weaknesses (</w:t>
      </w:r>
      <w:proofErr w:type="spellStart"/>
      <w:r w:rsidRPr="00D84464">
        <w:t>Klamm</w:t>
      </w:r>
      <w:proofErr w:type="spellEnd"/>
      <w:r w:rsidRPr="00D84464">
        <w:t xml:space="preserve"> &amp; Watson, 2009</w:t>
      </w:r>
      <w:r w:rsidRPr="008C24CF">
        <w:t>). In addition, high degrees of monitoring contribute to highly effective internal control systems, which provide reasonable assurance to those charged with governance that financial statements are being reliably prepared (</w:t>
      </w:r>
      <w:proofErr w:type="spellStart"/>
      <w:r w:rsidRPr="00D84464">
        <w:t>Agbejule</w:t>
      </w:r>
      <w:proofErr w:type="spellEnd"/>
      <w:r w:rsidRPr="00D84464">
        <w:t xml:space="preserve"> &amp; </w:t>
      </w:r>
      <w:proofErr w:type="spellStart"/>
      <w:r w:rsidRPr="00D84464">
        <w:t>Jokipii</w:t>
      </w:r>
      <w:proofErr w:type="spellEnd"/>
      <w:r w:rsidRPr="00D84464">
        <w:t>, 2009</w:t>
      </w:r>
      <w:r w:rsidRPr="008C24CF">
        <w:t>).</w:t>
      </w:r>
    </w:p>
    <w:p w14:paraId="2F58873B" w14:textId="2D226F8B" w:rsidR="008C24CF" w:rsidRPr="008C24CF" w:rsidRDefault="008C24CF" w:rsidP="008C24CF">
      <w:r w:rsidRPr="008C24CF">
        <w:t>Much of literature has found that the control environment, control activities, and monitoring activities help prevent, deter, and detect fraud in public organizations (</w:t>
      </w:r>
      <w:proofErr w:type="spellStart"/>
      <w:r w:rsidRPr="00D84464">
        <w:t>Dorminey</w:t>
      </w:r>
      <w:proofErr w:type="spellEnd"/>
      <w:r w:rsidRPr="00D84464">
        <w:t xml:space="preserve"> et al., 2012</w:t>
      </w:r>
      <w:r w:rsidRPr="008C24CF">
        <w:t>). And yet, there is little direct evidence linking internal controls to higher whistleblowing intentions. Given the lack of literature specifically examining the influence of internal controls on whistleblowing intentions, we believe strength will beget strength. Given the findings of </w:t>
      </w:r>
      <w:r w:rsidRPr="00D84464">
        <w:t>Scheetz et al. (2020)</w:t>
      </w:r>
      <w:r w:rsidRPr="008C24CF">
        <w:t xml:space="preserve"> that organization type significantly influences whistleblowing intentions, we expect that the perception of internal controls will help explain the path between organization type and whistleblowing intention. Prior research suggests whistleblowing intention is high in the for-profit </w:t>
      </w:r>
      <w:r w:rsidRPr="008C24CF">
        <w:lastRenderedPageBreak/>
        <w:t>community. This higher whistleblowing intention makes sense given the mandatory internal control environment in the public for-profit community. However, because nonprofit organizations choose their control environment, it seems likely this whistleblowing intention may be better explained by the perception of the internal controls. To determine the effect, the responses of those in nonprofit organizations need to be tested. Thus, our hypotheses, formally stated, are as follows:</w:t>
      </w:r>
    </w:p>
    <w:p w14:paraId="7248A9C3" w14:textId="77777777" w:rsidR="008C24CF" w:rsidRPr="008C24CF" w:rsidRDefault="008C24CF" w:rsidP="008C24CF">
      <w:pPr>
        <w:numPr>
          <w:ilvl w:val="0"/>
          <w:numId w:val="20"/>
        </w:numPr>
      </w:pPr>
      <w:r w:rsidRPr="008C24CF">
        <w:rPr>
          <w:b/>
          <w:bCs/>
        </w:rPr>
        <w:t>Hypothesis 1 (H1):</w:t>
      </w:r>
      <w:r w:rsidRPr="008C24CF">
        <w:t> The overall perception of the combined internal controls system will mediate the path between organization type and whistleblowing intention.</w:t>
      </w:r>
    </w:p>
    <w:p w14:paraId="68A59B0B" w14:textId="77777777" w:rsidR="008C24CF" w:rsidRPr="008C24CF" w:rsidRDefault="008C24CF" w:rsidP="008C24CF">
      <w:pPr>
        <w:numPr>
          <w:ilvl w:val="0"/>
          <w:numId w:val="20"/>
        </w:numPr>
      </w:pPr>
      <w:r w:rsidRPr="008C24CF">
        <w:rPr>
          <w:b/>
          <w:bCs/>
        </w:rPr>
        <w:t>Hypothesis 2 (H2)</w:t>
      </w:r>
      <w:r w:rsidRPr="008C24CF">
        <w:t>: Each primary component of an internal control system will mediate the path between organization type and whistleblowing intention.</w:t>
      </w:r>
    </w:p>
    <w:p w14:paraId="3439E2EB" w14:textId="30EF5171" w:rsidR="008C24CF" w:rsidRPr="008C24CF" w:rsidRDefault="008C24CF" w:rsidP="008C24CF">
      <w:r w:rsidRPr="008C24CF">
        <w:t>Although we believe that internal controls will mediate the path between organization type and whistleblowing intention, and expect strong internal controls to increase whistleblowing, we have not yet answered the question of what aspects of internal controls are most useful to nonprofits in this context. A vast review of literature informs us of the tendency of nonprofit organizations to become more business-like (</w:t>
      </w:r>
      <w:r w:rsidRPr="00D84464">
        <w:t>Maier et al., 2016</w:t>
      </w:r>
      <w:r w:rsidRPr="008C24CF">
        <w:t>). Furthermore, a compendium of contributions from around the world finds that internal controls are very important but are inconsistently implemented (</w:t>
      </w:r>
      <w:proofErr w:type="spellStart"/>
      <w:r w:rsidRPr="00D84464">
        <w:t>Anheier</w:t>
      </w:r>
      <w:proofErr w:type="spellEnd"/>
      <w:r w:rsidRPr="00D84464">
        <w:t xml:space="preserve"> &amp; Toepler, 2020</w:t>
      </w:r>
      <w:r w:rsidRPr="008C24CF">
        <w:t>). The same book suggests ways firms could adopt policies keeping COSO components in mind. Yet, nonprofits have limited resources and often face immense pressure to employ practices that primarily benefit whichever resources are provided (</w:t>
      </w:r>
      <w:proofErr w:type="spellStart"/>
      <w:r w:rsidRPr="00D84464">
        <w:t>Verbruggen</w:t>
      </w:r>
      <w:proofErr w:type="spellEnd"/>
      <w:r w:rsidRPr="00D84464">
        <w:t xml:space="preserve"> et al., 2011</w:t>
      </w:r>
      <w:r w:rsidRPr="008C24CF">
        <w:t>). Thus, not all COSO components may matter to those in nonprofit organizations. Understanding which components influence whistleblowing intentions in nonprofits, as measured through the lens of each primary component of an internal control system, should help nonprofits design policies, which are more effective in increasing whistleblowing intentions. Thus informed, we ask the question:</w:t>
      </w:r>
    </w:p>
    <w:p w14:paraId="2BC316C2" w14:textId="77777777" w:rsidR="008C24CF" w:rsidRPr="008C24CF" w:rsidRDefault="008C24CF" w:rsidP="008C24CF">
      <w:pPr>
        <w:numPr>
          <w:ilvl w:val="0"/>
          <w:numId w:val="21"/>
        </w:numPr>
      </w:pPr>
      <w:r w:rsidRPr="008C24CF">
        <w:rPr>
          <w:b/>
          <w:bCs/>
        </w:rPr>
        <w:t>Research Question 1 (RQ 1):</w:t>
      </w:r>
      <w:r w:rsidRPr="008C24CF">
        <w:t> Which primary components of an internal control system are relevant to nonprofit organizations seeking to encourage whistleblowing?</w:t>
      </w:r>
    </w:p>
    <w:p w14:paraId="764CCB98" w14:textId="77777777" w:rsidR="008C24CF" w:rsidRPr="008C24CF" w:rsidRDefault="008C24CF" w:rsidP="00019CDB">
      <w:pPr>
        <w:pStyle w:val="Heading1"/>
        <w:rPr>
          <w:rFonts w:ascii="Calibri" w:eastAsia="Meiryo" w:hAnsi="Calibri" w:cs="Arial"/>
        </w:rPr>
      </w:pPr>
      <w:bookmarkStart w:id="4" w:name="_i5"/>
      <w:bookmarkEnd w:id="4"/>
      <w:r>
        <w:t>Method</w:t>
      </w:r>
    </w:p>
    <w:p w14:paraId="7B2B6C1E" w14:textId="77777777" w:rsidR="008C24CF" w:rsidRPr="008C24CF" w:rsidRDefault="008C24CF" w:rsidP="00019CDB">
      <w:pPr>
        <w:pStyle w:val="Heading2"/>
        <w:rPr>
          <w:rFonts w:ascii="Calibri" w:eastAsia="Meiryo" w:hAnsi="Calibri" w:cs="Arial"/>
        </w:rPr>
      </w:pPr>
      <w:r>
        <w:t>Design</w:t>
      </w:r>
    </w:p>
    <w:p w14:paraId="4BDFBC4D" w14:textId="77777777" w:rsidR="008C24CF" w:rsidRPr="008C24CF" w:rsidRDefault="008C24CF" w:rsidP="008C24CF">
      <w:r w:rsidRPr="008C24CF">
        <w:t>Due to the lack of literature exploring whistleblowing intentions in nonprofit and for-profit organizations in the same study and, more specifically, how perceived internal controls mediate whistleblowing behavior, we implemented a survey approach to assess judgment and decision-making differences between individuals working in these organization types. We utilized a survey in which (</w:t>
      </w:r>
      <w:r w:rsidRPr="008C24CF">
        <w:rPr>
          <w:i/>
          <w:iCs/>
        </w:rPr>
        <w:t>n</w:t>
      </w:r>
      <w:r w:rsidRPr="008C24CF">
        <w:t> = 272) full-time workers answer questions about the organization for which they work, their perceptions of internal controls in their workplace, and their likelihood of whistleblowing.</w:t>
      </w:r>
    </w:p>
    <w:p w14:paraId="6147A41F" w14:textId="77777777" w:rsidR="008C24CF" w:rsidRPr="008C24CF" w:rsidRDefault="008C24CF" w:rsidP="00019CDB">
      <w:pPr>
        <w:pStyle w:val="Heading2"/>
        <w:rPr>
          <w:rFonts w:ascii="Calibri" w:eastAsia="Meiryo" w:hAnsi="Calibri" w:cs="Arial"/>
        </w:rPr>
      </w:pPr>
      <w:r>
        <w:t>Materials and Procedures</w:t>
      </w:r>
    </w:p>
    <w:p w14:paraId="1470246A" w14:textId="21F65BB4" w:rsidR="008C24CF" w:rsidRPr="008C24CF" w:rsidRDefault="008C24CF" w:rsidP="008C24CF">
      <w:r w:rsidRPr="008C24CF">
        <w:t>A large survey company contacted the participants who met our desired participation requirements. The survey company emailed individuals directly with the access code to our online survey. Initial screening questions were provided to ensure that participants met our desired employment requirements, which were the following: the individual works for pay 30 or more hours a week for a nonprofit or for-profit and has also been employed by the organization for at least 1 year. Participants who qualified were then allowed to proceed with the remainder of the survey.</w:t>
      </w:r>
      <w:r w:rsidRPr="00D84464">
        <w:rPr>
          <w:vertAlign w:val="superscript"/>
        </w:rPr>
        <w:t>2</w:t>
      </w:r>
    </w:p>
    <w:p w14:paraId="2D31A03F" w14:textId="6D2195A2" w:rsidR="008C24CF" w:rsidRPr="008C24CF" w:rsidRDefault="008C24CF" w:rsidP="008C24CF">
      <w:r w:rsidRPr="008C24CF">
        <w:t xml:space="preserve">Participants were provided with a brief scenario describing a financial statement fraud that was occurring within their organization. The scenario stated, </w:t>
      </w:r>
      <w:proofErr w:type="gramStart"/>
      <w:r w:rsidRPr="008C24CF">
        <w:t>You</w:t>
      </w:r>
      <w:proofErr w:type="gramEnd"/>
      <w:r w:rsidRPr="008C24CF">
        <w:t xml:space="preserve"> discover your supervisor within the organization is falsely manipulating the financials to make the organization look better than it is. This scenario was chosen because it is </w:t>
      </w:r>
      <w:r w:rsidRPr="008C24CF">
        <w:lastRenderedPageBreak/>
        <w:t>very broad and could apply to any size or type of organization.</w:t>
      </w:r>
      <w:r w:rsidRPr="00D84464">
        <w:rPr>
          <w:vertAlign w:val="superscript"/>
        </w:rPr>
        <w:t>3</w:t>
      </w:r>
      <w:r w:rsidRPr="008C24CF">
        <w:t> Participants were then asked to identify the likelihood that they would report the fraud via an anonymous reporting phone hotline. The remainder of the survey consisted of questions to assess the participant’s perception of internal controls in their organization, as well as capture their demographic information.</w:t>
      </w:r>
    </w:p>
    <w:p w14:paraId="63DD4B07" w14:textId="77777777" w:rsidR="008C24CF" w:rsidRPr="008C24CF" w:rsidRDefault="008C24CF" w:rsidP="00019CDB">
      <w:pPr>
        <w:pStyle w:val="Heading2"/>
        <w:rPr>
          <w:rFonts w:ascii="Calibri" w:eastAsia="Meiryo" w:hAnsi="Calibri" w:cs="Arial"/>
        </w:rPr>
      </w:pPr>
      <w:r>
        <w:t>Participants</w:t>
      </w:r>
    </w:p>
    <w:p w14:paraId="3B9449F3" w14:textId="77777777" w:rsidR="008C24CF" w:rsidRPr="008C24CF" w:rsidRDefault="008C24CF" w:rsidP="008C24CF">
      <w:r w:rsidRPr="008C24CF">
        <w:t>We believe that practical experience best uncovers underlying differences in organization types and, therefore, sought a wide range of participants with experience working in nonprofit and for-profit organizations. We asked participants to answer questions about internal control strength in their organizations based on their experiences at their organizations. It was imperative that the participants be currently employed by a nonprofit or for-profit so that we could tease out how perceptions of control strength differed by organization type and ultimately affect whistleblowing. Two hundred seventy-two of the participants selected by the survey company fully completed the survey.</w:t>
      </w:r>
    </w:p>
    <w:p w14:paraId="42E5B32A" w14:textId="29AEF0CF" w:rsidR="008C24CF" w:rsidRPr="008C24CF" w:rsidRDefault="008C24CF" w:rsidP="008C24CF">
      <w:r>
        <w:t>One hundred fifty-three participants were from for-profit organizations, while 119 were from nonprofit organizations. Although the gender of participants is relatively evenly split in the for-profit sample, gender is skewed female (82%) in the nonprofit sample. This imbalance reflects the gender imbalance seen in practice (</w:t>
      </w:r>
      <w:r w:rsidRPr="00D84464">
        <w:t>Lennon et al., 2013</w:t>
      </w:r>
      <w:r>
        <w:t>). The mean age, full-time work experience, and years at current employer of both samples are relatively similar. However, the nonprofit sample has a higher average level of education: 18% of for-profit employees have a master’s degree and 8% have a PhD, compared with 27% and 10% of nonprofit employees. Participants come from a wide range of occupations such as clerk, pastor, health care executive, case manager, legal assistant, marketing specialist, receptionist, and director of communications. Demographic information can be found in </w:t>
      </w:r>
      <w:r w:rsidRPr="00D84464">
        <w:t>Table 1</w:t>
      </w:r>
      <w:r>
        <w:t>.</w:t>
      </w:r>
    </w:p>
    <w:p w14:paraId="2E886F54" w14:textId="3E12338E" w:rsidR="49705274" w:rsidRDefault="49705274" w:rsidP="000C32FE">
      <w:pPr>
        <w:spacing w:after="0"/>
      </w:pPr>
      <w:r w:rsidRPr="00019CDB">
        <w:rPr>
          <w:b/>
          <w:bCs/>
        </w:rPr>
        <w:t>Table 1.</w:t>
      </w:r>
      <w:r>
        <w:t> Demographic Statistics (</w:t>
      </w:r>
      <w:r w:rsidRPr="00019CDB">
        <w:rPr>
          <w:i/>
          <w:iCs/>
        </w:rPr>
        <w:t>N</w:t>
      </w:r>
      <w:r>
        <w:t> = 272).</w:t>
      </w:r>
    </w:p>
    <w:tbl>
      <w:tblPr>
        <w:tblStyle w:val="TableGrid"/>
        <w:tblW w:w="0" w:type="auto"/>
        <w:tblLook w:val="06A0" w:firstRow="1" w:lastRow="0" w:firstColumn="1" w:lastColumn="0" w:noHBand="1" w:noVBand="1"/>
      </w:tblPr>
      <w:tblGrid>
        <w:gridCol w:w="4886"/>
        <w:gridCol w:w="875"/>
        <w:gridCol w:w="1077"/>
        <w:gridCol w:w="1090"/>
      </w:tblGrid>
      <w:tr w:rsidR="00019CDB" w14:paraId="6096C020" w14:textId="77777777" w:rsidTr="000C32FE">
        <w:tc>
          <w:tcPr>
            <w:tcW w:w="0" w:type="auto"/>
          </w:tcPr>
          <w:p w14:paraId="51473DC0" w14:textId="1680F861" w:rsidR="49705274" w:rsidRDefault="49705274" w:rsidP="00019CDB">
            <w:r>
              <w:t>Demographic Categories</w:t>
            </w:r>
          </w:p>
        </w:tc>
        <w:tc>
          <w:tcPr>
            <w:tcW w:w="0" w:type="auto"/>
          </w:tcPr>
          <w:p w14:paraId="3271F6B8" w14:textId="60906317" w:rsidR="49705274" w:rsidRDefault="49705274" w:rsidP="00019CDB">
            <w:pPr>
              <w:jc w:val="center"/>
              <w:rPr>
                <w:vertAlign w:val="superscript"/>
              </w:rPr>
            </w:pPr>
            <w:proofErr w:type="spellStart"/>
            <w:r>
              <w:t>Total</w:t>
            </w:r>
            <w:r w:rsidRPr="00019CDB">
              <w:rPr>
                <w:vertAlign w:val="superscript"/>
              </w:rPr>
              <w:t>a</w:t>
            </w:r>
            <w:proofErr w:type="spellEnd"/>
          </w:p>
        </w:tc>
        <w:tc>
          <w:tcPr>
            <w:tcW w:w="0" w:type="auto"/>
          </w:tcPr>
          <w:p w14:paraId="0E59CB88" w14:textId="50DAFB09" w:rsidR="49705274" w:rsidRDefault="49705274" w:rsidP="00019CDB">
            <w:pPr>
              <w:jc w:val="center"/>
            </w:pPr>
            <w:r>
              <w:t>For-profit</w:t>
            </w:r>
          </w:p>
        </w:tc>
        <w:tc>
          <w:tcPr>
            <w:tcW w:w="0" w:type="auto"/>
          </w:tcPr>
          <w:p w14:paraId="2C9021D4" w14:textId="7D6BC476" w:rsidR="49705274" w:rsidRDefault="49705274" w:rsidP="00019CDB">
            <w:pPr>
              <w:jc w:val="center"/>
            </w:pPr>
            <w:r>
              <w:t>Nonprofit</w:t>
            </w:r>
          </w:p>
        </w:tc>
      </w:tr>
      <w:tr w:rsidR="00019CDB" w14:paraId="4D50E155" w14:textId="77777777" w:rsidTr="000C32FE">
        <w:tc>
          <w:tcPr>
            <w:tcW w:w="0" w:type="auto"/>
          </w:tcPr>
          <w:p w14:paraId="2F47131B" w14:textId="01293705" w:rsidR="49705274" w:rsidRDefault="49705274" w:rsidP="00019CDB">
            <w:r>
              <w:t>Gender</w:t>
            </w:r>
          </w:p>
        </w:tc>
        <w:tc>
          <w:tcPr>
            <w:tcW w:w="0" w:type="auto"/>
          </w:tcPr>
          <w:p w14:paraId="0CB0A90A" w14:textId="06FA474B" w:rsidR="00019CDB" w:rsidRDefault="00019CDB" w:rsidP="00019CDB">
            <w:pPr>
              <w:jc w:val="center"/>
            </w:pPr>
          </w:p>
        </w:tc>
        <w:tc>
          <w:tcPr>
            <w:tcW w:w="0" w:type="auto"/>
          </w:tcPr>
          <w:p w14:paraId="1A03D3C8" w14:textId="06FA474B" w:rsidR="00019CDB" w:rsidRDefault="00019CDB" w:rsidP="00019CDB">
            <w:pPr>
              <w:jc w:val="center"/>
            </w:pPr>
          </w:p>
        </w:tc>
        <w:tc>
          <w:tcPr>
            <w:tcW w:w="0" w:type="auto"/>
          </w:tcPr>
          <w:p w14:paraId="7AE806D8" w14:textId="06FA474B" w:rsidR="00019CDB" w:rsidRDefault="00019CDB" w:rsidP="00019CDB">
            <w:pPr>
              <w:jc w:val="center"/>
            </w:pPr>
          </w:p>
        </w:tc>
      </w:tr>
      <w:tr w:rsidR="00019CDB" w14:paraId="5879E3EB" w14:textId="77777777" w:rsidTr="000C32FE">
        <w:tc>
          <w:tcPr>
            <w:tcW w:w="0" w:type="auto"/>
          </w:tcPr>
          <w:p w14:paraId="26BF4B8D" w14:textId="3B9A72C9" w:rsidR="49705274" w:rsidRDefault="49705274" w:rsidP="00019CDB">
            <w:pPr>
              <w:spacing w:line="259" w:lineRule="auto"/>
            </w:pPr>
            <w:r>
              <w:t>Male</w:t>
            </w:r>
          </w:p>
        </w:tc>
        <w:tc>
          <w:tcPr>
            <w:tcW w:w="0" w:type="auto"/>
          </w:tcPr>
          <w:p w14:paraId="470BCE37" w14:textId="4DEE2DAF" w:rsidR="49705274" w:rsidRDefault="49705274" w:rsidP="00019CDB">
            <w:pPr>
              <w:jc w:val="center"/>
            </w:pPr>
            <w:r>
              <w:t>35.5%</w:t>
            </w:r>
          </w:p>
        </w:tc>
        <w:tc>
          <w:tcPr>
            <w:tcW w:w="0" w:type="auto"/>
          </w:tcPr>
          <w:p w14:paraId="50F6D362" w14:textId="7EAC7EC7" w:rsidR="49705274" w:rsidRDefault="49705274" w:rsidP="00019CDB">
            <w:pPr>
              <w:jc w:val="center"/>
            </w:pPr>
            <w:r>
              <w:t>49.7%</w:t>
            </w:r>
          </w:p>
        </w:tc>
        <w:tc>
          <w:tcPr>
            <w:tcW w:w="0" w:type="auto"/>
          </w:tcPr>
          <w:p w14:paraId="06254824" w14:textId="7EDE7852" w:rsidR="49705274" w:rsidRDefault="49705274" w:rsidP="00019CDB">
            <w:pPr>
              <w:jc w:val="center"/>
            </w:pPr>
            <w:r>
              <w:t>16.8%</w:t>
            </w:r>
          </w:p>
        </w:tc>
      </w:tr>
      <w:tr w:rsidR="00019CDB" w14:paraId="3A05FC5E" w14:textId="77777777" w:rsidTr="000C32FE">
        <w:tc>
          <w:tcPr>
            <w:tcW w:w="0" w:type="auto"/>
          </w:tcPr>
          <w:p w14:paraId="2BE76BFB" w14:textId="61B594ED" w:rsidR="49705274" w:rsidRDefault="49705274" w:rsidP="00019CDB">
            <w:pPr>
              <w:spacing w:line="259" w:lineRule="auto"/>
            </w:pPr>
            <w:proofErr w:type="spellStart"/>
            <w:r>
              <w:t>Female</w:t>
            </w:r>
            <w:r w:rsidRPr="00019CDB">
              <w:rPr>
                <w:vertAlign w:val="superscript"/>
              </w:rPr>
              <w:t>b</w:t>
            </w:r>
            <w:proofErr w:type="spellEnd"/>
          </w:p>
        </w:tc>
        <w:tc>
          <w:tcPr>
            <w:tcW w:w="0" w:type="auto"/>
          </w:tcPr>
          <w:p w14:paraId="6B2B118D" w14:textId="7397C413" w:rsidR="49705274" w:rsidRDefault="49705274" w:rsidP="00019CDB">
            <w:pPr>
              <w:jc w:val="center"/>
            </w:pPr>
            <w:r>
              <w:t>64.5%</w:t>
            </w:r>
          </w:p>
        </w:tc>
        <w:tc>
          <w:tcPr>
            <w:tcW w:w="0" w:type="auto"/>
          </w:tcPr>
          <w:p w14:paraId="004AC582" w14:textId="35091FAF" w:rsidR="49705274" w:rsidRDefault="49705274" w:rsidP="00019CDB">
            <w:pPr>
              <w:jc w:val="center"/>
            </w:pPr>
            <w:r>
              <w:t>50.3%</w:t>
            </w:r>
          </w:p>
        </w:tc>
        <w:tc>
          <w:tcPr>
            <w:tcW w:w="0" w:type="auto"/>
          </w:tcPr>
          <w:p w14:paraId="70100D37" w14:textId="77A4C1C6" w:rsidR="49705274" w:rsidRDefault="49705274" w:rsidP="00019CDB">
            <w:pPr>
              <w:jc w:val="center"/>
            </w:pPr>
            <w:r>
              <w:t>82.4%</w:t>
            </w:r>
          </w:p>
        </w:tc>
      </w:tr>
      <w:tr w:rsidR="00019CDB" w14:paraId="4AFB9051" w14:textId="77777777" w:rsidTr="000C32FE">
        <w:tc>
          <w:tcPr>
            <w:tcW w:w="0" w:type="auto"/>
          </w:tcPr>
          <w:p w14:paraId="326EA385" w14:textId="37DDD6CC" w:rsidR="49705274" w:rsidRDefault="49705274" w:rsidP="00019CDB">
            <w:r>
              <w:t>Age</w:t>
            </w:r>
          </w:p>
        </w:tc>
        <w:tc>
          <w:tcPr>
            <w:tcW w:w="0" w:type="auto"/>
          </w:tcPr>
          <w:p w14:paraId="5463042C" w14:textId="06FA474B" w:rsidR="00019CDB" w:rsidRDefault="00019CDB" w:rsidP="00019CDB">
            <w:pPr>
              <w:jc w:val="center"/>
            </w:pPr>
          </w:p>
        </w:tc>
        <w:tc>
          <w:tcPr>
            <w:tcW w:w="0" w:type="auto"/>
          </w:tcPr>
          <w:p w14:paraId="5EE00272" w14:textId="06FA474B" w:rsidR="00019CDB" w:rsidRDefault="00019CDB" w:rsidP="00019CDB">
            <w:pPr>
              <w:jc w:val="center"/>
            </w:pPr>
          </w:p>
        </w:tc>
        <w:tc>
          <w:tcPr>
            <w:tcW w:w="0" w:type="auto"/>
          </w:tcPr>
          <w:p w14:paraId="60DE9CD4" w14:textId="06FA474B" w:rsidR="00019CDB" w:rsidRDefault="00019CDB" w:rsidP="00019CDB">
            <w:pPr>
              <w:jc w:val="center"/>
            </w:pPr>
          </w:p>
        </w:tc>
      </w:tr>
      <w:tr w:rsidR="00019CDB" w14:paraId="47EBF46E" w14:textId="77777777" w:rsidTr="000C32FE">
        <w:tc>
          <w:tcPr>
            <w:tcW w:w="0" w:type="auto"/>
          </w:tcPr>
          <w:p w14:paraId="6A0E53A8" w14:textId="2D325992" w:rsidR="49705274" w:rsidRDefault="49705274" w:rsidP="00019CDB">
            <w:r>
              <w:t>Mean</w:t>
            </w:r>
          </w:p>
        </w:tc>
        <w:tc>
          <w:tcPr>
            <w:tcW w:w="0" w:type="auto"/>
          </w:tcPr>
          <w:p w14:paraId="1A43EE21" w14:textId="189CBC40" w:rsidR="49705274" w:rsidRDefault="49705274" w:rsidP="00019CDB">
            <w:pPr>
              <w:jc w:val="center"/>
            </w:pPr>
            <w:r>
              <w:t>42.35</w:t>
            </w:r>
          </w:p>
        </w:tc>
        <w:tc>
          <w:tcPr>
            <w:tcW w:w="0" w:type="auto"/>
          </w:tcPr>
          <w:p w14:paraId="76DB240D" w14:textId="1AB5526F" w:rsidR="49705274" w:rsidRDefault="49705274" w:rsidP="00019CDB">
            <w:pPr>
              <w:jc w:val="center"/>
            </w:pPr>
            <w:r>
              <w:t>41.22</w:t>
            </w:r>
          </w:p>
        </w:tc>
        <w:tc>
          <w:tcPr>
            <w:tcW w:w="0" w:type="auto"/>
          </w:tcPr>
          <w:p w14:paraId="6F452207" w14:textId="3C39F611" w:rsidR="49705274" w:rsidRDefault="49705274" w:rsidP="00019CDB">
            <w:pPr>
              <w:jc w:val="center"/>
            </w:pPr>
            <w:r>
              <w:t>43.80</w:t>
            </w:r>
          </w:p>
        </w:tc>
      </w:tr>
      <w:tr w:rsidR="00019CDB" w14:paraId="295C6B49" w14:textId="77777777" w:rsidTr="000C32FE">
        <w:tc>
          <w:tcPr>
            <w:tcW w:w="0" w:type="auto"/>
          </w:tcPr>
          <w:p w14:paraId="71BFA6D0" w14:textId="3901219C" w:rsidR="49705274" w:rsidRDefault="49705274" w:rsidP="00019CDB">
            <w:r>
              <w:t>SD</w:t>
            </w:r>
          </w:p>
        </w:tc>
        <w:tc>
          <w:tcPr>
            <w:tcW w:w="0" w:type="auto"/>
          </w:tcPr>
          <w:p w14:paraId="48F1E0AC" w14:textId="227FE781" w:rsidR="49705274" w:rsidRDefault="49705274" w:rsidP="00019CDB">
            <w:pPr>
              <w:jc w:val="center"/>
            </w:pPr>
            <w:r>
              <w:t>13.93</w:t>
            </w:r>
          </w:p>
        </w:tc>
        <w:tc>
          <w:tcPr>
            <w:tcW w:w="0" w:type="auto"/>
          </w:tcPr>
          <w:p w14:paraId="75DDF399" w14:textId="4B04FE7E" w:rsidR="49705274" w:rsidRDefault="49705274" w:rsidP="00019CDB">
            <w:pPr>
              <w:jc w:val="center"/>
            </w:pPr>
            <w:r>
              <w:t>13.64</w:t>
            </w:r>
          </w:p>
        </w:tc>
        <w:tc>
          <w:tcPr>
            <w:tcW w:w="0" w:type="auto"/>
          </w:tcPr>
          <w:p w14:paraId="36C97E18" w14:textId="56211C0A" w:rsidR="49705274" w:rsidRDefault="49705274" w:rsidP="00019CDB">
            <w:pPr>
              <w:jc w:val="center"/>
            </w:pPr>
            <w:r>
              <w:t>14.78</w:t>
            </w:r>
          </w:p>
        </w:tc>
      </w:tr>
      <w:tr w:rsidR="00019CDB" w14:paraId="76E71130" w14:textId="77777777" w:rsidTr="000C32FE">
        <w:tc>
          <w:tcPr>
            <w:tcW w:w="0" w:type="auto"/>
          </w:tcPr>
          <w:p w14:paraId="7B25BB70" w14:textId="56D97640" w:rsidR="49705274" w:rsidRDefault="49705274" w:rsidP="00019CDB">
            <w:r>
              <w:t>Education</w:t>
            </w:r>
          </w:p>
        </w:tc>
        <w:tc>
          <w:tcPr>
            <w:tcW w:w="0" w:type="auto"/>
          </w:tcPr>
          <w:p w14:paraId="371E73F6" w14:textId="2E7662A1" w:rsidR="00019CDB" w:rsidRDefault="00019CDB" w:rsidP="00019CDB">
            <w:pPr>
              <w:jc w:val="center"/>
            </w:pPr>
          </w:p>
        </w:tc>
        <w:tc>
          <w:tcPr>
            <w:tcW w:w="0" w:type="auto"/>
          </w:tcPr>
          <w:p w14:paraId="0E8A0286" w14:textId="06FA474B" w:rsidR="00019CDB" w:rsidRDefault="00019CDB" w:rsidP="00019CDB">
            <w:pPr>
              <w:jc w:val="center"/>
            </w:pPr>
          </w:p>
        </w:tc>
        <w:tc>
          <w:tcPr>
            <w:tcW w:w="0" w:type="auto"/>
          </w:tcPr>
          <w:p w14:paraId="5A0F3FC7" w14:textId="06FA474B" w:rsidR="00019CDB" w:rsidRDefault="00019CDB" w:rsidP="00019CDB">
            <w:pPr>
              <w:jc w:val="center"/>
            </w:pPr>
          </w:p>
        </w:tc>
      </w:tr>
      <w:tr w:rsidR="00019CDB" w14:paraId="4118093D" w14:textId="77777777" w:rsidTr="000C32FE">
        <w:tc>
          <w:tcPr>
            <w:tcW w:w="0" w:type="auto"/>
          </w:tcPr>
          <w:p w14:paraId="5F07EB17" w14:textId="791D8476" w:rsidR="49705274" w:rsidRDefault="49705274" w:rsidP="00019CDB">
            <w:r>
              <w:t>High school diploma</w:t>
            </w:r>
          </w:p>
        </w:tc>
        <w:tc>
          <w:tcPr>
            <w:tcW w:w="0" w:type="auto"/>
          </w:tcPr>
          <w:p w14:paraId="593AD5B8" w14:textId="7C9913BC" w:rsidR="49705274" w:rsidRDefault="49705274" w:rsidP="00019CDB">
            <w:pPr>
              <w:jc w:val="center"/>
            </w:pPr>
            <w:r>
              <w:t>14.7%</w:t>
            </w:r>
          </w:p>
        </w:tc>
        <w:tc>
          <w:tcPr>
            <w:tcW w:w="0" w:type="auto"/>
          </w:tcPr>
          <w:p w14:paraId="05023107" w14:textId="75E93856" w:rsidR="49705274" w:rsidRDefault="49705274" w:rsidP="00019CDB">
            <w:pPr>
              <w:jc w:val="center"/>
            </w:pPr>
            <w:r>
              <w:t>19.6%</w:t>
            </w:r>
          </w:p>
        </w:tc>
        <w:tc>
          <w:tcPr>
            <w:tcW w:w="0" w:type="auto"/>
          </w:tcPr>
          <w:p w14:paraId="5721AB16" w14:textId="6249ABA8" w:rsidR="49705274" w:rsidRDefault="49705274" w:rsidP="00019CDB">
            <w:pPr>
              <w:jc w:val="center"/>
            </w:pPr>
            <w:r>
              <w:t>8.4%</w:t>
            </w:r>
          </w:p>
        </w:tc>
      </w:tr>
      <w:tr w:rsidR="00019CDB" w14:paraId="70429F8F" w14:textId="77777777" w:rsidTr="000C32FE">
        <w:tc>
          <w:tcPr>
            <w:tcW w:w="0" w:type="auto"/>
          </w:tcPr>
          <w:p w14:paraId="68A80E75" w14:textId="17985D81" w:rsidR="49705274" w:rsidRDefault="49705274" w:rsidP="00019CDB">
            <w:r>
              <w:t>Associate degree</w:t>
            </w:r>
          </w:p>
        </w:tc>
        <w:tc>
          <w:tcPr>
            <w:tcW w:w="0" w:type="auto"/>
          </w:tcPr>
          <w:p w14:paraId="564E88D3" w14:textId="625BA9A5" w:rsidR="49705274" w:rsidRDefault="49705274" w:rsidP="00019CDB">
            <w:pPr>
              <w:jc w:val="center"/>
            </w:pPr>
            <w:r>
              <w:t>13.2%</w:t>
            </w:r>
          </w:p>
        </w:tc>
        <w:tc>
          <w:tcPr>
            <w:tcW w:w="0" w:type="auto"/>
          </w:tcPr>
          <w:p w14:paraId="5CBDB7C4" w14:textId="24C3B688" w:rsidR="49705274" w:rsidRDefault="49705274" w:rsidP="00019CDB">
            <w:pPr>
              <w:jc w:val="center"/>
            </w:pPr>
            <w:r>
              <w:t>13.7%</w:t>
            </w:r>
          </w:p>
        </w:tc>
        <w:tc>
          <w:tcPr>
            <w:tcW w:w="0" w:type="auto"/>
          </w:tcPr>
          <w:p w14:paraId="4E660E89" w14:textId="6D2F5F36" w:rsidR="49705274" w:rsidRDefault="49705274" w:rsidP="00019CDB">
            <w:pPr>
              <w:jc w:val="center"/>
            </w:pPr>
            <w:r>
              <w:t>12.6%</w:t>
            </w:r>
          </w:p>
        </w:tc>
      </w:tr>
      <w:tr w:rsidR="00019CDB" w14:paraId="30DC7EF9" w14:textId="77777777" w:rsidTr="000C32FE">
        <w:tc>
          <w:tcPr>
            <w:tcW w:w="0" w:type="auto"/>
          </w:tcPr>
          <w:p w14:paraId="347CD64A" w14:textId="706AE377" w:rsidR="49705274" w:rsidRDefault="49705274" w:rsidP="00019CDB">
            <w:r>
              <w:t>Bachelor's degree</w:t>
            </w:r>
          </w:p>
        </w:tc>
        <w:tc>
          <w:tcPr>
            <w:tcW w:w="0" w:type="auto"/>
          </w:tcPr>
          <w:p w14:paraId="1E255F21" w14:textId="3B81AB4D" w:rsidR="49705274" w:rsidRDefault="49705274" w:rsidP="00019CDB">
            <w:pPr>
              <w:jc w:val="center"/>
            </w:pPr>
            <w:r>
              <w:t>41.2%</w:t>
            </w:r>
          </w:p>
        </w:tc>
        <w:tc>
          <w:tcPr>
            <w:tcW w:w="0" w:type="auto"/>
          </w:tcPr>
          <w:p w14:paraId="7F0CE758" w14:textId="3A0CABB8" w:rsidR="49705274" w:rsidRDefault="49705274" w:rsidP="00019CDB">
            <w:pPr>
              <w:jc w:val="center"/>
            </w:pPr>
            <w:r>
              <w:t>40.5%</w:t>
            </w:r>
          </w:p>
        </w:tc>
        <w:tc>
          <w:tcPr>
            <w:tcW w:w="0" w:type="auto"/>
          </w:tcPr>
          <w:p w14:paraId="6FF4FD81" w14:textId="46E4F454" w:rsidR="49705274" w:rsidRDefault="49705274" w:rsidP="00019CDB">
            <w:pPr>
              <w:jc w:val="center"/>
            </w:pPr>
            <w:r>
              <w:t>42.0%</w:t>
            </w:r>
          </w:p>
        </w:tc>
      </w:tr>
      <w:tr w:rsidR="00019CDB" w14:paraId="5AD3AFB9" w14:textId="77777777" w:rsidTr="000C32FE">
        <w:tc>
          <w:tcPr>
            <w:tcW w:w="0" w:type="auto"/>
          </w:tcPr>
          <w:p w14:paraId="1B105C03" w14:textId="2B04E10E" w:rsidR="49705274" w:rsidRDefault="49705274" w:rsidP="00019CDB">
            <w:r>
              <w:t>Master's degree</w:t>
            </w:r>
          </w:p>
        </w:tc>
        <w:tc>
          <w:tcPr>
            <w:tcW w:w="0" w:type="auto"/>
          </w:tcPr>
          <w:p w14:paraId="6A5E1A04" w14:textId="5607AEF4" w:rsidR="49705274" w:rsidRDefault="49705274" w:rsidP="00019CDB">
            <w:pPr>
              <w:jc w:val="center"/>
            </w:pPr>
            <w:r>
              <w:t>22.1%</w:t>
            </w:r>
          </w:p>
        </w:tc>
        <w:tc>
          <w:tcPr>
            <w:tcW w:w="0" w:type="auto"/>
          </w:tcPr>
          <w:p w14:paraId="459895AD" w14:textId="205BDAD3" w:rsidR="49705274" w:rsidRDefault="49705274" w:rsidP="00019CDB">
            <w:pPr>
              <w:jc w:val="center"/>
            </w:pPr>
            <w:r>
              <w:t>18.3%</w:t>
            </w:r>
          </w:p>
        </w:tc>
        <w:tc>
          <w:tcPr>
            <w:tcW w:w="0" w:type="auto"/>
          </w:tcPr>
          <w:p w14:paraId="6A244A15" w14:textId="13E3DDBA" w:rsidR="49705274" w:rsidRDefault="49705274" w:rsidP="00019CDB">
            <w:pPr>
              <w:jc w:val="center"/>
            </w:pPr>
            <w:r>
              <w:t>26.9%</w:t>
            </w:r>
          </w:p>
        </w:tc>
      </w:tr>
      <w:tr w:rsidR="00019CDB" w14:paraId="38A105E5" w14:textId="77777777" w:rsidTr="000C32FE">
        <w:tc>
          <w:tcPr>
            <w:tcW w:w="0" w:type="auto"/>
          </w:tcPr>
          <w:p w14:paraId="0E0137DF" w14:textId="2E4F2CC7" w:rsidR="49705274" w:rsidRDefault="49705274" w:rsidP="00019CDB">
            <w:r>
              <w:t>Doctoral of full-</w:t>
            </w:r>
            <w:proofErr w:type="spellStart"/>
            <w:r>
              <w:t>tim</w:t>
            </w:r>
            <w:proofErr w:type="spellEnd"/>
            <w:r>
              <w:t xml:space="preserve"> experience</w:t>
            </w:r>
          </w:p>
        </w:tc>
        <w:tc>
          <w:tcPr>
            <w:tcW w:w="0" w:type="auto"/>
          </w:tcPr>
          <w:p w14:paraId="4640A05A" w14:textId="68BB2B5A" w:rsidR="49705274" w:rsidRDefault="49705274" w:rsidP="00019CDB">
            <w:pPr>
              <w:jc w:val="center"/>
            </w:pPr>
            <w:r>
              <w:t>8.8%</w:t>
            </w:r>
          </w:p>
        </w:tc>
        <w:tc>
          <w:tcPr>
            <w:tcW w:w="0" w:type="auto"/>
          </w:tcPr>
          <w:p w14:paraId="6138762E" w14:textId="2BDE9C52" w:rsidR="49705274" w:rsidRDefault="49705274" w:rsidP="00019CDB">
            <w:pPr>
              <w:jc w:val="center"/>
            </w:pPr>
            <w:r>
              <w:t>7.8%</w:t>
            </w:r>
          </w:p>
        </w:tc>
        <w:tc>
          <w:tcPr>
            <w:tcW w:w="0" w:type="auto"/>
          </w:tcPr>
          <w:p w14:paraId="779049EF" w14:textId="2C88F547" w:rsidR="49705274" w:rsidRDefault="49705274" w:rsidP="00019CDB">
            <w:pPr>
              <w:jc w:val="center"/>
            </w:pPr>
            <w:r>
              <w:t>10.1%</w:t>
            </w:r>
          </w:p>
        </w:tc>
      </w:tr>
      <w:tr w:rsidR="00019CDB" w14:paraId="762443C0" w14:textId="77777777" w:rsidTr="000C32FE">
        <w:tc>
          <w:tcPr>
            <w:tcW w:w="0" w:type="auto"/>
          </w:tcPr>
          <w:p w14:paraId="60172C59" w14:textId="76764A20" w:rsidR="49705274" w:rsidRDefault="49705274" w:rsidP="00019CDB">
            <w:r>
              <w:t>Years of full-time work experience</w:t>
            </w:r>
          </w:p>
        </w:tc>
        <w:tc>
          <w:tcPr>
            <w:tcW w:w="0" w:type="auto"/>
          </w:tcPr>
          <w:p w14:paraId="503CF87D" w14:textId="0DED8C21" w:rsidR="00019CDB" w:rsidRDefault="00019CDB" w:rsidP="00019CDB">
            <w:pPr>
              <w:jc w:val="center"/>
            </w:pPr>
          </w:p>
        </w:tc>
        <w:tc>
          <w:tcPr>
            <w:tcW w:w="0" w:type="auto"/>
          </w:tcPr>
          <w:p w14:paraId="19FFB8F2" w14:textId="156B27C1" w:rsidR="00019CDB" w:rsidRDefault="00019CDB" w:rsidP="00019CDB">
            <w:pPr>
              <w:jc w:val="center"/>
            </w:pPr>
          </w:p>
        </w:tc>
        <w:tc>
          <w:tcPr>
            <w:tcW w:w="0" w:type="auto"/>
          </w:tcPr>
          <w:p w14:paraId="29A2E095" w14:textId="1242C09B" w:rsidR="00019CDB" w:rsidRDefault="00019CDB" w:rsidP="00019CDB">
            <w:pPr>
              <w:jc w:val="center"/>
            </w:pPr>
          </w:p>
        </w:tc>
      </w:tr>
      <w:tr w:rsidR="00019CDB" w14:paraId="01ABE827" w14:textId="77777777" w:rsidTr="000C32FE">
        <w:tc>
          <w:tcPr>
            <w:tcW w:w="0" w:type="auto"/>
          </w:tcPr>
          <w:p w14:paraId="22CB23CA" w14:textId="3E613B2A" w:rsidR="49705274" w:rsidRDefault="49705274" w:rsidP="00019CDB">
            <w:r>
              <w:t>M</w:t>
            </w:r>
          </w:p>
        </w:tc>
        <w:tc>
          <w:tcPr>
            <w:tcW w:w="0" w:type="auto"/>
          </w:tcPr>
          <w:p w14:paraId="7F006A6A" w14:textId="6E7892D8" w:rsidR="49705274" w:rsidRDefault="49705274" w:rsidP="00019CDB">
            <w:pPr>
              <w:jc w:val="center"/>
            </w:pPr>
            <w:r>
              <w:t>18.18</w:t>
            </w:r>
          </w:p>
        </w:tc>
        <w:tc>
          <w:tcPr>
            <w:tcW w:w="0" w:type="auto"/>
          </w:tcPr>
          <w:p w14:paraId="3A318F34" w14:textId="1C313A09" w:rsidR="49705274" w:rsidRDefault="49705274" w:rsidP="00019CDB">
            <w:pPr>
              <w:jc w:val="center"/>
            </w:pPr>
            <w:r>
              <w:t>18.46</w:t>
            </w:r>
          </w:p>
        </w:tc>
        <w:tc>
          <w:tcPr>
            <w:tcW w:w="0" w:type="auto"/>
          </w:tcPr>
          <w:p w14:paraId="3F3A0E69" w14:textId="32440A2B" w:rsidR="49705274" w:rsidRDefault="49705274" w:rsidP="00019CDB">
            <w:pPr>
              <w:jc w:val="center"/>
            </w:pPr>
            <w:r>
              <w:t>17.81</w:t>
            </w:r>
          </w:p>
        </w:tc>
      </w:tr>
      <w:tr w:rsidR="00019CDB" w14:paraId="795471E9" w14:textId="77777777" w:rsidTr="000C32FE">
        <w:tc>
          <w:tcPr>
            <w:tcW w:w="0" w:type="auto"/>
          </w:tcPr>
          <w:p w14:paraId="3D5BC3ED" w14:textId="3E6D9AC0" w:rsidR="49705274" w:rsidRDefault="49705274" w:rsidP="00019CDB">
            <w:r>
              <w:t>SD</w:t>
            </w:r>
          </w:p>
        </w:tc>
        <w:tc>
          <w:tcPr>
            <w:tcW w:w="0" w:type="auto"/>
          </w:tcPr>
          <w:p w14:paraId="0897DC0E" w14:textId="3F66782E" w:rsidR="49705274" w:rsidRDefault="49705274" w:rsidP="00019CDB">
            <w:pPr>
              <w:jc w:val="center"/>
            </w:pPr>
            <w:r>
              <w:t>10.30</w:t>
            </w:r>
          </w:p>
        </w:tc>
        <w:tc>
          <w:tcPr>
            <w:tcW w:w="0" w:type="auto"/>
          </w:tcPr>
          <w:p w14:paraId="278759AE" w14:textId="0D709720" w:rsidR="49705274" w:rsidRDefault="49705274" w:rsidP="00019CDB">
            <w:pPr>
              <w:jc w:val="center"/>
            </w:pPr>
            <w:r>
              <w:t>10.37</w:t>
            </w:r>
          </w:p>
        </w:tc>
        <w:tc>
          <w:tcPr>
            <w:tcW w:w="0" w:type="auto"/>
          </w:tcPr>
          <w:p w14:paraId="6513B805" w14:textId="3F2B773C" w:rsidR="49705274" w:rsidRDefault="49705274" w:rsidP="00019CDB">
            <w:pPr>
              <w:jc w:val="center"/>
            </w:pPr>
            <w:r>
              <w:t>10.23</w:t>
            </w:r>
          </w:p>
        </w:tc>
      </w:tr>
      <w:tr w:rsidR="00019CDB" w14:paraId="37C34504" w14:textId="77777777" w:rsidTr="000C32FE">
        <w:tc>
          <w:tcPr>
            <w:tcW w:w="0" w:type="auto"/>
          </w:tcPr>
          <w:p w14:paraId="73872BF6" w14:textId="7CE5AACD" w:rsidR="49705274" w:rsidRDefault="49705274" w:rsidP="00019CDB">
            <w:r>
              <w:t>Years at current employer</w:t>
            </w:r>
          </w:p>
        </w:tc>
        <w:tc>
          <w:tcPr>
            <w:tcW w:w="0" w:type="auto"/>
          </w:tcPr>
          <w:p w14:paraId="6843AB05" w14:textId="134C229F" w:rsidR="00019CDB" w:rsidRDefault="00019CDB" w:rsidP="00019CDB">
            <w:pPr>
              <w:jc w:val="center"/>
            </w:pPr>
          </w:p>
        </w:tc>
        <w:tc>
          <w:tcPr>
            <w:tcW w:w="0" w:type="auto"/>
          </w:tcPr>
          <w:p w14:paraId="089CA274" w14:textId="40D6CFD4" w:rsidR="00019CDB" w:rsidRDefault="00019CDB" w:rsidP="00019CDB">
            <w:pPr>
              <w:jc w:val="center"/>
            </w:pPr>
          </w:p>
        </w:tc>
        <w:tc>
          <w:tcPr>
            <w:tcW w:w="0" w:type="auto"/>
          </w:tcPr>
          <w:p w14:paraId="1D7DFD63" w14:textId="4052B563" w:rsidR="00019CDB" w:rsidRDefault="00019CDB" w:rsidP="00019CDB">
            <w:pPr>
              <w:jc w:val="center"/>
            </w:pPr>
          </w:p>
        </w:tc>
      </w:tr>
      <w:tr w:rsidR="00019CDB" w14:paraId="769D24F1" w14:textId="77777777" w:rsidTr="000C32FE">
        <w:tc>
          <w:tcPr>
            <w:tcW w:w="0" w:type="auto"/>
          </w:tcPr>
          <w:p w14:paraId="6DA0BCC3" w14:textId="60410D02" w:rsidR="49705274" w:rsidRDefault="49705274" w:rsidP="00019CDB">
            <w:r>
              <w:t>M</w:t>
            </w:r>
          </w:p>
        </w:tc>
        <w:tc>
          <w:tcPr>
            <w:tcW w:w="0" w:type="auto"/>
          </w:tcPr>
          <w:p w14:paraId="1A73B2B3" w14:textId="2E755BEB" w:rsidR="49705274" w:rsidRDefault="49705274" w:rsidP="00019CDB">
            <w:pPr>
              <w:jc w:val="center"/>
            </w:pPr>
            <w:r>
              <w:t>9.28</w:t>
            </w:r>
          </w:p>
        </w:tc>
        <w:tc>
          <w:tcPr>
            <w:tcW w:w="0" w:type="auto"/>
          </w:tcPr>
          <w:p w14:paraId="48306EC2" w14:textId="305AC256" w:rsidR="49705274" w:rsidRDefault="49705274" w:rsidP="00019CDB">
            <w:pPr>
              <w:jc w:val="center"/>
            </w:pPr>
            <w:r>
              <w:t>9.11</w:t>
            </w:r>
          </w:p>
        </w:tc>
        <w:tc>
          <w:tcPr>
            <w:tcW w:w="0" w:type="auto"/>
          </w:tcPr>
          <w:p w14:paraId="5442E81C" w14:textId="58BA9962" w:rsidR="49705274" w:rsidRDefault="49705274" w:rsidP="00019CDB">
            <w:pPr>
              <w:jc w:val="center"/>
            </w:pPr>
            <w:r>
              <w:t>9.49</w:t>
            </w:r>
          </w:p>
        </w:tc>
      </w:tr>
      <w:tr w:rsidR="00019CDB" w14:paraId="6602EC74" w14:textId="77777777" w:rsidTr="000C32FE">
        <w:tc>
          <w:tcPr>
            <w:tcW w:w="0" w:type="auto"/>
          </w:tcPr>
          <w:p w14:paraId="2199563E" w14:textId="4C3A92C6" w:rsidR="49705274" w:rsidRDefault="49705274" w:rsidP="00019CDB">
            <w:r>
              <w:t>SD</w:t>
            </w:r>
          </w:p>
        </w:tc>
        <w:tc>
          <w:tcPr>
            <w:tcW w:w="0" w:type="auto"/>
          </w:tcPr>
          <w:p w14:paraId="13C7F835" w14:textId="680C4739" w:rsidR="49705274" w:rsidRDefault="49705274" w:rsidP="00019CDB">
            <w:pPr>
              <w:jc w:val="center"/>
            </w:pPr>
            <w:r>
              <w:t>7.37</w:t>
            </w:r>
          </w:p>
        </w:tc>
        <w:tc>
          <w:tcPr>
            <w:tcW w:w="0" w:type="auto"/>
          </w:tcPr>
          <w:p w14:paraId="45EED9B6" w14:textId="377488CE" w:rsidR="49705274" w:rsidRDefault="49705274" w:rsidP="00019CDB">
            <w:pPr>
              <w:jc w:val="center"/>
            </w:pPr>
            <w:r>
              <w:t>7.02</w:t>
            </w:r>
          </w:p>
        </w:tc>
        <w:tc>
          <w:tcPr>
            <w:tcW w:w="0" w:type="auto"/>
          </w:tcPr>
          <w:p w14:paraId="4BFC27BF" w14:textId="409F48F9" w:rsidR="49705274" w:rsidRDefault="49705274" w:rsidP="00019CDB">
            <w:pPr>
              <w:jc w:val="center"/>
            </w:pPr>
            <w:r>
              <w:t>7.82</w:t>
            </w:r>
          </w:p>
        </w:tc>
      </w:tr>
      <w:tr w:rsidR="00019CDB" w14:paraId="4F627815" w14:textId="77777777" w:rsidTr="000C32FE">
        <w:tc>
          <w:tcPr>
            <w:tcW w:w="0" w:type="auto"/>
          </w:tcPr>
          <w:p w14:paraId="67EEC7D0" w14:textId="5DBB4519" w:rsidR="49705274" w:rsidRDefault="49705274" w:rsidP="00019CDB">
            <w:r>
              <w:t>Overall internal controls perception</w:t>
            </w:r>
          </w:p>
        </w:tc>
        <w:tc>
          <w:tcPr>
            <w:tcW w:w="0" w:type="auto"/>
          </w:tcPr>
          <w:p w14:paraId="0E7835C0" w14:textId="3C09DB5F" w:rsidR="00019CDB" w:rsidRDefault="00019CDB" w:rsidP="00019CDB">
            <w:pPr>
              <w:jc w:val="center"/>
            </w:pPr>
          </w:p>
        </w:tc>
        <w:tc>
          <w:tcPr>
            <w:tcW w:w="0" w:type="auto"/>
          </w:tcPr>
          <w:p w14:paraId="029F8AF1" w14:textId="7AD6BD7D" w:rsidR="00019CDB" w:rsidRDefault="00019CDB" w:rsidP="00019CDB">
            <w:pPr>
              <w:jc w:val="center"/>
            </w:pPr>
          </w:p>
        </w:tc>
        <w:tc>
          <w:tcPr>
            <w:tcW w:w="0" w:type="auto"/>
          </w:tcPr>
          <w:p w14:paraId="5245AB23" w14:textId="5346F970" w:rsidR="00019CDB" w:rsidRDefault="00019CDB" w:rsidP="00019CDB">
            <w:pPr>
              <w:jc w:val="center"/>
            </w:pPr>
          </w:p>
        </w:tc>
      </w:tr>
      <w:tr w:rsidR="00019CDB" w14:paraId="77F1AFEA" w14:textId="77777777" w:rsidTr="000C32FE">
        <w:tc>
          <w:tcPr>
            <w:tcW w:w="0" w:type="auto"/>
          </w:tcPr>
          <w:p w14:paraId="22AFEA22" w14:textId="59D5232E" w:rsidR="49705274" w:rsidRDefault="49705274" w:rsidP="00019CDB">
            <w:r>
              <w:t>M</w:t>
            </w:r>
          </w:p>
        </w:tc>
        <w:tc>
          <w:tcPr>
            <w:tcW w:w="0" w:type="auto"/>
          </w:tcPr>
          <w:p w14:paraId="047A2929" w14:textId="023A0547" w:rsidR="49705274" w:rsidRDefault="49705274" w:rsidP="00019CDB">
            <w:pPr>
              <w:jc w:val="center"/>
            </w:pPr>
            <w:r>
              <w:t>5.32</w:t>
            </w:r>
          </w:p>
        </w:tc>
        <w:tc>
          <w:tcPr>
            <w:tcW w:w="0" w:type="auto"/>
          </w:tcPr>
          <w:p w14:paraId="3D449D4D" w14:textId="22CC4161" w:rsidR="49705274" w:rsidRDefault="49705274" w:rsidP="00019CDB">
            <w:pPr>
              <w:jc w:val="center"/>
            </w:pPr>
            <w:r>
              <w:t>5.49</w:t>
            </w:r>
          </w:p>
        </w:tc>
        <w:tc>
          <w:tcPr>
            <w:tcW w:w="0" w:type="auto"/>
          </w:tcPr>
          <w:p w14:paraId="2CA27724" w14:textId="2D4CD1CD" w:rsidR="49705274" w:rsidRDefault="49705274" w:rsidP="00019CDB">
            <w:pPr>
              <w:jc w:val="center"/>
            </w:pPr>
            <w:r>
              <w:t>5.11</w:t>
            </w:r>
          </w:p>
        </w:tc>
      </w:tr>
      <w:tr w:rsidR="00019CDB" w14:paraId="37A09169" w14:textId="77777777" w:rsidTr="000C32FE">
        <w:tc>
          <w:tcPr>
            <w:tcW w:w="0" w:type="auto"/>
          </w:tcPr>
          <w:p w14:paraId="0E057D3F" w14:textId="43AA9CA5" w:rsidR="49705274" w:rsidRDefault="49705274" w:rsidP="00019CDB">
            <w:r>
              <w:t>SD</w:t>
            </w:r>
          </w:p>
        </w:tc>
        <w:tc>
          <w:tcPr>
            <w:tcW w:w="0" w:type="auto"/>
          </w:tcPr>
          <w:p w14:paraId="1796CACC" w14:textId="00036AE5" w:rsidR="49705274" w:rsidRDefault="49705274" w:rsidP="00019CDB">
            <w:pPr>
              <w:jc w:val="center"/>
            </w:pPr>
            <w:r>
              <w:t>1.21</w:t>
            </w:r>
          </w:p>
        </w:tc>
        <w:tc>
          <w:tcPr>
            <w:tcW w:w="0" w:type="auto"/>
          </w:tcPr>
          <w:p w14:paraId="702F60C5" w14:textId="0E07816D" w:rsidR="49705274" w:rsidRDefault="49705274" w:rsidP="00019CDB">
            <w:pPr>
              <w:jc w:val="center"/>
            </w:pPr>
            <w:r>
              <w:t>1.12</w:t>
            </w:r>
          </w:p>
        </w:tc>
        <w:tc>
          <w:tcPr>
            <w:tcW w:w="0" w:type="auto"/>
          </w:tcPr>
          <w:p w14:paraId="23866658" w14:textId="1E0562CA" w:rsidR="49705274" w:rsidRDefault="49705274" w:rsidP="00019CDB">
            <w:pPr>
              <w:jc w:val="center"/>
            </w:pPr>
            <w:r>
              <w:t>1.29</w:t>
            </w:r>
          </w:p>
        </w:tc>
      </w:tr>
      <w:tr w:rsidR="00019CDB" w14:paraId="2FD423CA" w14:textId="77777777" w:rsidTr="000C32FE">
        <w:tc>
          <w:tcPr>
            <w:tcW w:w="0" w:type="auto"/>
          </w:tcPr>
          <w:p w14:paraId="19E38951" w14:textId="30BCF8BD" w:rsidR="49705274" w:rsidRDefault="49705274" w:rsidP="00019CDB">
            <w:r>
              <w:t>Organization type</w:t>
            </w:r>
          </w:p>
        </w:tc>
        <w:tc>
          <w:tcPr>
            <w:tcW w:w="0" w:type="auto"/>
          </w:tcPr>
          <w:p w14:paraId="0ED233B1" w14:textId="4916CEF5" w:rsidR="00019CDB" w:rsidRDefault="00019CDB" w:rsidP="00019CDB">
            <w:pPr>
              <w:jc w:val="center"/>
            </w:pPr>
          </w:p>
        </w:tc>
        <w:tc>
          <w:tcPr>
            <w:tcW w:w="0" w:type="auto"/>
          </w:tcPr>
          <w:p w14:paraId="7ED85C21" w14:textId="639C5E75" w:rsidR="00019CDB" w:rsidRDefault="00019CDB" w:rsidP="00019CDB">
            <w:pPr>
              <w:jc w:val="center"/>
            </w:pPr>
          </w:p>
        </w:tc>
        <w:tc>
          <w:tcPr>
            <w:tcW w:w="0" w:type="auto"/>
          </w:tcPr>
          <w:p w14:paraId="4B7EBDC8" w14:textId="739615E8" w:rsidR="00019CDB" w:rsidRDefault="00019CDB" w:rsidP="00019CDB">
            <w:pPr>
              <w:jc w:val="center"/>
            </w:pPr>
          </w:p>
        </w:tc>
      </w:tr>
      <w:tr w:rsidR="00019CDB" w14:paraId="27924E9C" w14:textId="77777777" w:rsidTr="000C32FE">
        <w:tc>
          <w:tcPr>
            <w:tcW w:w="0" w:type="auto"/>
          </w:tcPr>
          <w:p w14:paraId="190EE17E" w14:textId="0FC4F18B" w:rsidR="49705274" w:rsidRDefault="49705274" w:rsidP="00019CDB">
            <w:r>
              <w:t>For-profit public</w:t>
            </w:r>
          </w:p>
        </w:tc>
        <w:tc>
          <w:tcPr>
            <w:tcW w:w="0" w:type="auto"/>
          </w:tcPr>
          <w:p w14:paraId="3E03F811" w14:textId="1252B9F4" w:rsidR="49705274" w:rsidRDefault="49705274" w:rsidP="00019CDB">
            <w:pPr>
              <w:jc w:val="center"/>
            </w:pPr>
            <w:r>
              <w:t>27.9%</w:t>
            </w:r>
          </w:p>
        </w:tc>
        <w:tc>
          <w:tcPr>
            <w:tcW w:w="0" w:type="auto"/>
          </w:tcPr>
          <w:p w14:paraId="3BEA0E14" w14:textId="39C65F9D" w:rsidR="49705274" w:rsidRDefault="49705274" w:rsidP="00019CDB">
            <w:pPr>
              <w:jc w:val="center"/>
            </w:pPr>
            <w:r>
              <w:t>-</w:t>
            </w:r>
          </w:p>
        </w:tc>
        <w:tc>
          <w:tcPr>
            <w:tcW w:w="0" w:type="auto"/>
          </w:tcPr>
          <w:p w14:paraId="6246C531" w14:textId="09D44DFB" w:rsidR="49705274" w:rsidRDefault="49705274" w:rsidP="00019CDB">
            <w:pPr>
              <w:jc w:val="center"/>
            </w:pPr>
            <w:r>
              <w:t>-</w:t>
            </w:r>
          </w:p>
        </w:tc>
      </w:tr>
      <w:tr w:rsidR="00019CDB" w14:paraId="1015AFCF" w14:textId="77777777" w:rsidTr="000C32FE">
        <w:tc>
          <w:tcPr>
            <w:tcW w:w="0" w:type="auto"/>
          </w:tcPr>
          <w:p w14:paraId="4354FA5B" w14:textId="423E2FD8" w:rsidR="49705274" w:rsidRDefault="49705274" w:rsidP="00019CDB">
            <w:r>
              <w:lastRenderedPageBreak/>
              <w:t>For-profit private</w:t>
            </w:r>
          </w:p>
        </w:tc>
        <w:tc>
          <w:tcPr>
            <w:tcW w:w="0" w:type="auto"/>
          </w:tcPr>
          <w:p w14:paraId="22C430C5" w14:textId="5F101E27" w:rsidR="49705274" w:rsidRDefault="49705274" w:rsidP="00019CDB">
            <w:pPr>
              <w:jc w:val="center"/>
            </w:pPr>
            <w:r>
              <w:t>28.3%</w:t>
            </w:r>
          </w:p>
        </w:tc>
        <w:tc>
          <w:tcPr>
            <w:tcW w:w="0" w:type="auto"/>
          </w:tcPr>
          <w:p w14:paraId="4A87F807" w14:textId="75C6319E" w:rsidR="49705274" w:rsidRDefault="49705274" w:rsidP="00019CDB">
            <w:pPr>
              <w:jc w:val="center"/>
            </w:pPr>
            <w:r>
              <w:t>-</w:t>
            </w:r>
          </w:p>
        </w:tc>
        <w:tc>
          <w:tcPr>
            <w:tcW w:w="0" w:type="auto"/>
          </w:tcPr>
          <w:p w14:paraId="4FC8DC2E" w14:textId="245C2305" w:rsidR="49705274" w:rsidRDefault="49705274" w:rsidP="00019CDB">
            <w:pPr>
              <w:jc w:val="center"/>
            </w:pPr>
            <w:r>
              <w:t>-</w:t>
            </w:r>
          </w:p>
        </w:tc>
      </w:tr>
      <w:tr w:rsidR="00019CDB" w14:paraId="2E06316D" w14:textId="77777777" w:rsidTr="000C32FE">
        <w:tc>
          <w:tcPr>
            <w:tcW w:w="0" w:type="auto"/>
          </w:tcPr>
          <w:p w14:paraId="0F4FDF0B" w14:textId="590A41EE" w:rsidR="49705274" w:rsidRDefault="49705274" w:rsidP="00019CDB">
            <w:r>
              <w:t>Nonprofit</w:t>
            </w:r>
          </w:p>
        </w:tc>
        <w:tc>
          <w:tcPr>
            <w:tcW w:w="0" w:type="auto"/>
          </w:tcPr>
          <w:p w14:paraId="42135C20" w14:textId="04C365E5" w:rsidR="49705274" w:rsidRDefault="49705274" w:rsidP="00019CDB">
            <w:pPr>
              <w:jc w:val="center"/>
            </w:pPr>
            <w:r>
              <w:t>43.8%</w:t>
            </w:r>
          </w:p>
        </w:tc>
        <w:tc>
          <w:tcPr>
            <w:tcW w:w="0" w:type="auto"/>
          </w:tcPr>
          <w:p w14:paraId="0F87428D" w14:textId="444ABF54" w:rsidR="49705274" w:rsidRDefault="49705274" w:rsidP="00019CDB">
            <w:pPr>
              <w:jc w:val="center"/>
            </w:pPr>
            <w:r>
              <w:t>-</w:t>
            </w:r>
          </w:p>
        </w:tc>
        <w:tc>
          <w:tcPr>
            <w:tcW w:w="0" w:type="auto"/>
          </w:tcPr>
          <w:p w14:paraId="45B03F6D" w14:textId="6E12E2F0" w:rsidR="49705274" w:rsidRDefault="49705274" w:rsidP="00019CDB">
            <w:pPr>
              <w:jc w:val="center"/>
            </w:pPr>
            <w:r>
              <w:t>-</w:t>
            </w:r>
          </w:p>
        </w:tc>
      </w:tr>
      <w:tr w:rsidR="00019CDB" w14:paraId="0E9CFE32" w14:textId="77777777" w:rsidTr="000C32FE">
        <w:tc>
          <w:tcPr>
            <w:tcW w:w="0" w:type="auto"/>
          </w:tcPr>
          <w:p w14:paraId="115EF3E4" w14:textId="22B3A97A" w:rsidR="49705274" w:rsidRDefault="49705274" w:rsidP="00019CDB">
            <w:pPr>
              <w:rPr>
                <w:vertAlign w:val="superscript"/>
              </w:rPr>
            </w:pPr>
            <w:proofErr w:type="spellStart"/>
            <w:r>
              <w:t>Location</w:t>
            </w:r>
            <w:r w:rsidRPr="00019CDB">
              <w:rPr>
                <w:vertAlign w:val="superscript"/>
              </w:rPr>
              <w:t>c</w:t>
            </w:r>
            <w:proofErr w:type="spellEnd"/>
          </w:p>
        </w:tc>
        <w:tc>
          <w:tcPr>
            <w:tcW w:w="0" w:type="auto"/>
          </w:tcPr>
          <w:p w14:paraId="2333FBD3" w14:textId="05988CE5" w:rsidR="00019CDB" w:rsidRDefault="00019CDB" w:rsidP="00019CDB">
            <w:pPr>
              <w:jc w:val="center"/>
            </w:pPr>
          </w:p>
        </w:tc>
        <w:tc>
          <w:tcPr>
            <w:tcW w:w="0" w:type="auto"/>
          </w:tcPr>
          <w:p w14:paraId="5C39FC9C" w14:textId="2161E3D2" w:rsidR="00019CDB" w:rsidRDefault="00019CDB" w:rsidP="00019CDB">
            <w:pPr>
              <w:jc w:val="center"/>
            </w:pPr>
          </w:p>
        </w:tc>
        <w:tc>
          <w:tcPr>
            <w:tcW w:w="0" w:type="auto"/>
          </w:tcPr>
          <w:p w14:paraId="15303EA0" w14:textId="68C1EB0C" w:rsidR="00019CDB" w:rsidRDefault="00019CDB" w:rsidP="00019CDB">
            <w:pPr>
              <w:jc w:val="center"/>
            </w:pPr>
          </w:p>
        </w:tc>
      </w:tr>
      <w:tr w:rsidR="00019CDB" w14:paraId="069E6525" w14:textId="77777777" w:rsidTr="000C32FE">
        <w:tc>
          <w:tcPr>
            <w:tcW w:w="0" w:type="auto"/>
          </w:tcPr>
          <w:p w14:paraId="43A83028" w14:textId="1C563C59" w:rsidR="49705274" w:rsidRDefault="49705274" w:rsidP="00019CDB">
            <w:r>
              <w:t>Northeast (New England and Mid-Atlantic)</w:t>
            </w:r>
          </w:p>
        </w:tc>
        <w:tc>
          <w:tcPr>
            <w:tcW w:w="0" w:type="auto"/>
          </w:tcPr>
          <w:p w14:paraId="11969A05" w14:textId="5C02C10F" w:rsidR="49705274" w:rsidRDefault="49705274" w:rsidP="00019CDB">
            <w:pPr>
              <w:jc w:val="center"/>
            </w:pPr>
            <w:r>
              <w:t>22.06%</w:t>
            </w:r>
          </w:p>
        </w:tc>
        <w:tc>
          <w:tcPr>
            <w:tcW w:w="0" w:type="auto"/>
          </w:tcPr>
          <w:p w14:paraId="4046B468" w14:textId="7FA6ACED" w:rsidR="49705274" w:rsidRDefault="49705274" w:rsidP="00019CDB">
            <w:pPr>
              <w:jc w:val="center"/>
            </w:pPr>
            <w:r>
              <w:t>15.69%</w:t>
            </w:r>
          </w:p>
        </w:tc>
        <w:tc>
          <w:tcPr>
            <w:tcW w:w="0" w:type="auto"/>
          </w:tcPr>
          <w:p w14:paraId="76DA0936" w14:textId="4E027250" w:rsidR="49705274" w:rsidRDefault="49705274" w:rsidP="00019CDB">
            <w:pPr>
              <w:jc w:val="center"/>
            </w:pPr>
            <w:r>
              <w:t>30.25%</w:t>
            </w:r>
          </w:p>
        </w:tc>
      </w:tr>
      <w:tr w:rsidR="00019CDB" w14:paraId="6E3C7C44" w14:textId="77777777" w:rsidTr="000C32FE">
        <w:tc>
          <w:tcPr>
            <w:tcW w:w="0" w:type="auto"/>
          </w:tcPr>
          <w:p w14:paraId="0C6CCAC1" w14:textId="25D22C44" w:rsidR="49705274" w:rsidRDefault="49705274" w:rsidP="00019CDB">
            <w:r>
              <w:t>Midwest (East and West North Central)</w:t>
            </w:r>
          </w:p>
        </w:tc>
        <w:tc>
          <w:tcPr>
            <w:tcW w:w="0" w:type="auto"/>
          </w:tcPr>
          <w:p w14:paraId="25507005" w14:textId="706060DC" w:rsidR="49705274" w:rsidRDefault="49705274" w:rsidP="00019CDB">
            <w:pPr>
              <w:jc w:val="center"/>
            </w:pPr>
            <w:r>
              <w:t>27.21%</w:t>
            </w:r>
          </w:p>
        </w:tc>
        <w:tc>
          <w:tcPr>
            <w:tcW w:w="0" w:type="auto"/>
          </w:tcPr>
          <w:p w14:paraId="2DFE973C" w14:textId="34D65231" w:rsidR="49705274" w:rsidRDefault="49705274" w:rsidP="00019CDB">
            <w:pPr>
              <w:jc w:val="center"/>
            </w:pPr>
            <w:r>
              <w:t>24.84%</w:t>
            </w:r>
          </w:p>
        </w:tc>
        <w:tc>
          <w:tcPr>
            <w:tcW w:w="0" w:type="auto"/>
          </w:tcPr>
          <w:p w14:paraId="2D3915CC" w14:textId="218911EC" w:rsidR="49705274" w:rsidRDefault="49705274" w:rsidP="00019CDB">
            <w:pPr>
              <w:jc w:val="center"/>
            </w:pPr>
            <w:r>
              <w:t>30.25%</w:t>
            </w:r>
          </w:p>
        </w:tc>
      </w:tr>
      <w:tr w:rsidR="00019CDB" w14:paraId="4B577564" w14:textId="77777777" w:rsidTr="000C32FE">
        <w:tc>
          <w:tcPr>
            <w:tcW w:w="0" w:type="auto"/>
          </w:tcPr>
          <w:p w14:paraId="124072F2" w14:textId="397714B4" w:rsidR="49705274" w:rsidRDefault="49705274" w:rsidP="00019CDB">
            <w:r>
              <w:t>South (South Atlantic, East, and West South Central)</w:t>
            </w:r>
          </w:p>
        </w:tc>
        <w:tc>
          <w:tcPr>
            <w:tcW w:w="0" w:type="auto"/>
          </w:tcPr>
          <w:p w14:paraId="78C36642" w14:textId="5FCDE0B2" w:rsidR="49705274" w:rsidRDefault="49705274" w:rsidP="00019CDB">
            <w:pPr>
              <w:jc w:val="center"/>
            </w:pPr>
            <w:r>
              <w:t>30.88%</w:t>
            </w:r>
          </w:p>
        </w:tc>
        <w:tc>
          <w:tcPr>
            <w:tcW w:w="0" w:type="auto"/>
          </w:tcPr>
          <w:p w14:paraId="4CC2637B" w14:textId="1710CCCF" w:rsidR="49705274" w:rsidRDefault="49705274" w:rsidP="00019CDB">
            <w:pPr>
              <w:jc w:val="center"/>
            </w:pPr>
            <w:r>
              <w:t>36.30%</w:t>
            </w:r>
          </w:p>
        </w:tc>
        <w:tc>
          <w:tcPr>
            <w:tcW w:w="0" w:type="auto"/>
          </w:tcPr>
          <w:p w14:paraId="00007BDF" w14:textId="612B3619" w:rsidR="49705274" w:rsidRDefault="49705274" w:rsidP="00019CDB">
            <w:pPr>
              <w:jc w:val="center"/>
            </w:pPr>
            <w:r>
              <w:t>23.53%</w:t>
            </w:r>
          </w:p>
        </w:tc>
      </w:tr>
      <w:tr w:rsidR="00019CDB" w14:paraId="35EF8490" w14:textId="77777777" w:rsidTr="000C32FE">
        <w:tc>
          <w:tcPr>
            <w:tcW w:w="0" w:type="auto"/>
          </w:tcPr>
          <w:p w14:paraId="11068B8C" w14:textId="2028E0E2" w:rsidR="49705274" w:rsidRDefault="49705274" w:rsidP="00019CDB">
            <w:r>
              <w:t>West (Mountain and Pacific)</w:t>
            </w:r>
          </w:p>
        </w:tc>
        <w:tc>
          <w:tcPr>
            <w:tcW w:w="0" w:type="auto"/>
          </w:tcPr>
          <w:p w14:paraId="1D09FD27" w14:textId="36EAE3E4" w:rsidR="49705274" w:rsidRDefault="49705274" w:rsidP="00019CDB">
            <w:pPr>
              <w:jc w:val="center"/>
            </w:pPr>
            <w:r>
              <w:t>19.85%</w:t>
            </w:r>
          </w:p>
        </w:tc>
        <w:tc>
          <w:tcPr>
            <w:tcW w:w="0" w:type="auto"/>
          </w:tcPr>
          <w:p w14:paraId="2DB5035A" w14:textId="40992A10" w:rsidR="49705274" w:rsidRDefault="49705274" w:rsidP="00019CDB">
            <w:pPr>
              <w:jc w:val="center"/>
            </w:pPr>
            <w:r>
              <w:t>22.87%</w:t>
            </w:r>
          </w:p>
        </w:tc>
        <w:tc>
          <w:tcPr>
            <w:tcW w:w="0" w:type="auto"/>
          </w:tcPr>
          <w:p w14:paraId="670265AB" w14:textId="11AF6C15" w:rsidR="49705274" w:rsidRDefault="49705274" w:rsidP="00019CDB">
            <w:pPr>
              <w:jc w:val="center"/>
            </w:pPr>
            <w:r>
              <w:t>15.97%</w:t>
            </w:r>
          </w:p>
        </w:tc>
      </w:tr>
    </w:tbl>
    <w:p w14:paraId="35CD849B" w14:textId="6D1AAB17" w:rsidR="004E43B5" w:rsidRDefault="004E43B5" w:rsidP="004E43B5">
      <w:pPr>
        <w:pStyle w:val="NoSpacing"/>
      </w:pPr>
      <w:proofErr w:type="spellStart"/>
      <w:r w:rsidRPr="00019CDB">
        <w:rPr>
          <w:vertAlign w:val="superscript"/>
        </w:rPr>
        <w:t>a</w:t>
      </w:r>
      <w:r w:rsidR="49705274" w:rsidRPr="00019CDB">
        <w:t>All</w:t>
      </w:r>
      <w:proofErr w:type="spellEnd"/>
      <w:r w:rsidR="49705274" w:rsidRPr="00019CDB">
        <w:t xml:space="preserve"> participants are paid employees working at least 30 </w:t>
      </w:r>
      <w:proofErr w:type="spellStart"/>
      <w:r w:rsidR="49705274" w:rsidRPr="00019CDB">
        <w:t>hr</w:t>
      </w:r>
      <w:proofErr w:type="spellEnd"/>
      <w:r w:rsidR="49705274" w:rsidRPr="00019CDB">
        <w:t xml:space="preserve"> per week for a for-profit or nonprofit organization. </w:t>
      </w:r>
      <w:proofErr w:type="spellStart"/>
      <w:r w:rsidRPr="00019CDB">
        <w:rPr>
          <w:vertAlign w:val="superscript"/>
        </w:rPr>
        <w:t>b</w:t>
      </w:r>
      <w:r w:rsidR="49705274" w:rsidRPr="00019CDB">
        <w:t>Nonprofit</w:t>
      </w:r>
      <w:proofErr w:type="spellEnd"/>
      <w:r w:rsidR="49705274" w:rsidRPr="00019CDB">
        <w:t xml:space="preserve"> organizations have a large imbalance of females compared with males. Research notes the percentage of females to be about 7</w:t>
      </w:r>
      <w:r w:rsidR="585814D0" w:rsidRPr="00019CDB">
        <w:t xml:space="preserve">5 (Lennon et al., 2013). </w:t>
      </w:r>
    </w:p>
    <w:p w14:paraId="331D93D4" w14:textId="46F94B59" w:rsidR="008C24CF" w:rsidRPr="008C24CF" w:rsidRDefault="004E43B5" w:rsidP="004E43B5">
      <w:pPr>
        <w:pStyle w:val="NoSpacing"/>
      </w:pPr>
      <w:proofErr w:type="spellStart"/>
      <w:r w:rsidRPr="00019CDB">
        <w:rPr>
          <w:vertAlign w:val="superscript"/>
        </w:rPr>
        <w:t>c</w:t>
      </w:r>
      <w:r w:rsidR="585814D0" w:rsidRPr="00019CDB">
        <w:t>Forty</w:t>
      </w:r>
      <w:proofErr w:type="spellEnd"/>
      <w:r w:rsidR="585814D0" w:rsidRPr="00019CDB">
        <w:t xml:space="preserve">-five states and the District of Columbia are represented. </w:t>
      </w:r>
    </w:p>
    <w:p w14:paraId="10BCFF3A" w14:textId="350C9FA9" w:rsidR="008C24CF" w:rsidRPr="008C24CF" w:rsidRDefault="008C24CF" w:rsidP="00019CDB">
      <w:pPr>
        <w:rPr>
          <w:b/>
          <w:bCs/>
        </w:rPr>
      </w:pPr>
    </w:p>
    <w:p w14:paraId="3D980FAD" w14:textId="77777777" w:rsidR="008C24CF" w:rsidRPr="008C24CF" w:rsidRDefault="008C24CF" w:rsidP="00019CDB">
      <w:pPr>
        <w:pStyle w:val="Heading2"/>
        <w:rPr>
          <w:rFonts w:ascii="Calibri" w:eastAsia="Meiryo" w:hAnsi="Calibri" w:cs="Arial"/>
        </w:rPr>
      </w:pPr>
      <w:r>
        <w:t>Variables</w:t>
      </w:r>
    </w:p>
    <w:p w14:paraId="0D9E3981" w14:textId="77777777" w:rsidR="008C24CF" w:rsidRPr="008C24CF" w:rsidRDefault="008C24CF" w:rsidP="00019CDB">
      <w:pPr>
        <w:pStyle w:val="Heading3"/>
        <w:rPr>
          <w:rFonts w:ascii="Calibri" w:eastAsia="Meiryo" w:hAnsi="Calibri" w:cs="Arial"/>
          <w:b/>
          <w:bCs/>
          <w:i/>
          <w:iCs/>
        </w:rPr>
      </w:pPr>
      <w:r>
        <w:t>Measured variable: Organization type</w:t>
      </w:r>
    </w:p>
    <w:p w14:paraId="0A10B6F9" w14:textId="77777777" w:rsidR="008C24CF" w:rsidRPr="008C24CF" w:rsidRDefault="008C24CF" w:rsidP="008C24CF">
      <w:r w:rsidRPr="008C24CF">
        <w:t>Organization type is a measured variable with two levels: nonprofit and for-profit. Participants were initially contacted by the survey company based on their reported employment and were further measured within the survey by their responses regarding the type of organization (nonprofit versus for-profit) they are currently employed by in a full-time capacity.</w:t>
      </w:r>
    </w:p>
    <w:p w14:paraId="3E482F45" w14:textId="77777777" w:rsidR="008C24CF" w:rsidRPr="008C24CF" w:rsidRDefault="008C24CF" w:rsidP="00019CDB">
      <w:pPr>
        <w:pStyle w:val="Heading3"/>
        <w:rPr>
          <w:rFonts w:ascii="Calibri" w:eastAsia="Meiryo" w:hAnsi="Calibri" w:cs="Arial"/>
          <w:b/>
          <w:bCs/>
          <w:i/>
          <w:iCs/>
        </w:rPr>
      </w:pPr>
      <w:r>
        <w:t>Measured variable: Internal controls</w:t>
      </w:r>
    </w:p>
    <w:p w14:paraId="724A4879" w14:textId="2B11364A" w:rsidR="008C24CF" w:rsidRPr="008C24CF" w:rsidRDefault="008C24CF" w:rsidP="008C24CF">
      <w:r w:rsidRPr="008C24CF">
        <w:t>Because actual internal controls cannot be measured in a survey we chose to focus on the individuals’ perceptions of internal controls in their current organization. To measure these perceptions, we use the COSO framework, which has been accepted by regulators and used by public companies for several decades and thus provides a sound basis for questions. We adopted the questions for this study directly from the principles laid out in the updated COSO framework (</w:t>
      </w:r>
      <w:r w:rsidRPr="00D84464">
        <w:t>COSO, 2013</w:t>
      </w:r>
      <w:r w:rsidRPr="008C24CF">
        <w:t>). We are focusing on three of the five core COSO components: control environment, control activities, and monitoring activities. Pilot testing indicated that the components of risk assessment and communication were performed at a level of the organization beyond that of our participants. As a result, pilot participants indicated they could not knowledgeably answer questions related to these components. Thus, we chose to exclude these two components from the final study.</w:t>
      </w:r>
    </w:p>
    <w:p w14:paraId="26CB4511" w14:textId="77777777" w:rsidR="008C24CF" w:rsidRPr="008C24CF" w:rsidRDefault="008C24CF" w:rsidP="008C24CF">
      <w:r w:rsidRPr="008C24CF">
        <w:t>Participants were given a scale with questions to assess each of the three components: control environment, control activities, and monitoring activities. Each of the variables in the scale, shown in Online Appendix A, is measured on a 7-point Likert-type scale, with 1 being “strongly disagree” and 7 being “strongly agree.” The variables for the three components are created by averaging the Likert-type scale responses for that component (four for control environment, three for control activities, and three for monitoring activities). The internal control systems variable is created by averaging the Likert-type scale responses to all 10 questions (encompassing all three components).</w:t>
      </w:r>
    </w:p>
    <w:p w14:paraId="5F25616F" w14:textId="77777777" w:rsidR="008C24CF" w:rsidRPr="008C24CF" w:rsidRDefault="008C24CF" w:rsidP="00019CDB">
      <w:pPr>
        <w:pStyle w:val="Heading3"/>
        <w:rPr>
          <w:rFonts w:ascii="Calibri" w:eastAsia="Meiryo" w:hAnsi="Calibri" w:cs="Arial"/>
          <w:b/>
          <w:bCs/>
          <w:i/>
          <w:iCs/>
        </w:rPr>
      </w:pPr>
      <w:r>
        <w:t>Dependent variable: Whistleblowing intention</w:t>
      </w:r>
    </w:p>
    <w:p w14:paraId="3817CB5F" w14:textId="37BA6D8B" w:rsidR="008C24CF" w:rsidRPr="008C24CF" w:rsidRDefault="008C24CF" w:rsidP="008C24CF">
      <w:r w:rsidRPr="008C24CF">
        <w:t>Employee tips are the most common fraud detection method in a nonprofit (40%) (</w:t>
      </w:r>
      <w:r w:rsidRPr="00D84464">
        <w:t>ACFE, 2020</w:t>
      </w:r>
      <w:r w:rsidRPr="008C24CF">
        <w:t>). Overall (for all organization types), this number increases to 49% for companies that provide hotlines for whistleblowers (</w:t>
      </w:r>
      <w:r w:rsidRPr="00D84464">
        <w:t>ACFE, 2020</w:t>
      </w:r>
      <w:r w:rsidRPr="008C24CF">
        <w:t>). </w:t>
      </w:r>
      <w:r w:rsidRPr="00D84464">
        <w:t>Greenlee et al. (2007)</w:t>
      </w:r>
      <w:r w:rsidRPr="008C24CF">
        <w:t> reported that in their sample of 58 nonprofit frauds, 43% were detected through tips, but internal controls (14%) also was a significant contributor. Formal tip reports were made most often through a whistleblowing telephone hotline, email, or web-based/online form (all used about 30% of the time) (</w:t>
      </w:r>
      <w:r w:rsidRPr="00D84464">
        <w:t>ACFE, 2020</w:t>
      </w:r>
      <w:r w:rsidRPr="008C24CF">
        <w:t>).</w:t>
      </w:r>
    </w:p>
    <w:p w14:paraId="03E1D282" w14:textId="77777777" w:rsidR="008C24CF" w:rsidRPr="008C24CF" w:rsidRDefault="008C24CF" w:rsidP="008C24CF">
      <w:r w:rsidRPr="008C24CF">
        <w:t xml:space="preserve">As a result of the above, the primary dependent variable for the main analyses is intention to report via phone to a whistleblowing hotline. Participants were asked to respond on a 7-point Likert-type scale, with 1 being </w:t>
      </w:r>
      <w:r w:rsidRPr="008C24CF">
        <w:lastRenderedPageBreak/>
        <w:t>labeled “extremely unlikely” and 7 being labeled “extremely likely.” The question posed to the participants was, “How likely are you to report the discovery to the whistleblowing hotline by phone?” Participant responses to this question were used to capture our dependent variable of interest.</w:t>
      </w:r>
    </w:p>
    <w:p w14:paraId="09557449" w14:textId="77777777" w:rsidR="008C24CF" w:rsidRPr="008C24CF" w:rsidRDefault="008C24CF" w:rsidP="008C24CF">
      <w:r w:rsidRPr="008C24CF">
        <w:t>The dependent variables for the post hoc analysis are reporting intentions through other channels. Participants were additionally asked to respond on a 7-point Likert-type scale, with 1 being labeled “extremely unlikely” and 7 being labeled “extremely likely” to the following questions. “How likely are you to report the discovery to the supervisor’s manager?” and “How likely are you to report the discovery to the whistleblowing hotline by website?” Participant responses to these individual questions were used to capture our post hoc dependent variables.</w:t>
      </w:r>
    </w:p>
    <w:p w14:paraId="2E5ACAB2" w14:textId="77777777" w:rsidR="008C24CF" w:rsidRPr="008C24CF" w:rsidRDefault="008C24CF" w:rsidP="00019CDB">
      <w:pPr>
        <w:pStyle w:val="Heading1"/>
        <w:rPr>
          <w:rFonts w:ascii="Calibri" w:eastAsia="Meiryo" w:hAnsi="Calibri" w:cs="Arial"/>
        </w:rPr>
      </w:pPr>
      <w:bookmarkStart w:id="5" w:name="_i14"/>
      <w:bookmarkEnd w:id="5"/>
      <w:r>
        <w:t>Results</w:t>
      </w:r>
    </w:p>
    <w:p w14:paraId="6C1ECEA7" w14:textId="77777777" w:rsidR="008C24CF" w:rsidRPr="008C24CF" w:rsidRDefault="008C24CF" w:rsidP="00019CDB">
      <w:pPr>
        <w:pStyle w:val="Heading2"/>
        <w:rPr>
          <w:rFonts w:ascii="Calibri" w:eastAsia="Meiryo" w:hAnsi="Calibri" w:cs="Arial"/>
        </w:rPr>
      </w:pPr>
      <w:r>
        <w:t>Test of Covariates</w:t>
      </w:r>
    </w:p>
    <w:p w14:paraId="74EABB26" w14:textId="77777777" w:rsidR="008C24CF" w:rsidRPr="008C24CF" w:rsidRDefault="008C24CF" w:rsidP="008C24CF">
      <w:r w:rsidRPr="008C24CF">
        <w:t>We tested our demographic variables of gender, age, education, work experience, and years at current employer as potential covariates and found none to be significant. Given the large bias toward females in our nonprofit sample, we also conducted further testing around gender. Whistleblowing does not significantly differ by gender in for-profits (</w:t>
      </w:r>
      <w:r w:rsidRPr="008C24CF">
        <w:rPr>
          <w:i/>
          <w:iCs/>
        </w:rPr>
        <w:t>t</w:t>
      </w:r>
      <w:r w:rsidRPr="008C24CF">
        <w:t> = 0.760, </w:t>
      </w:r>
      <w:r w:rsidRPr="008C24CF">
        <w:rPr>
          <w:i/>
          <w:iCs/>
        </w:rPr>
        <w:t>p</w:t>
      </w:r>
      <w:r w:rsidRPr="008C24CF">
        <w:t> = .449) or nonprofits (</w:t>
      </w:r>
      <w:r w:rsidRPr="008C24CF">
        <w:rPr>
          <w:i/>
          <w:iCs/>
        </w:rPr>
        <w:t>t</w:t>
      </w:r>
      <w:r w:rsidRPr="008C24CF">
        <w:t> = 0.417, </w:t>
      </w:r>
      <w:r w:rsidRPr="008C24CF">
        <w:rPr>
          <w:i/>
          <w:iCs/>
        </w:rPr>
        <w:t>p</w:t>
      </w:r>
      <w:r w:rsidRPr="008C24CF">
        <w:t> = .677). Furthermore, perception of internal controls does not differ by gender in for-profits (</w:t>
      </w:r>
      <w:r w:rsidRPr="008C24CF">
        <w:rPr>
          <w:i/>
          <w:iCs/>
        </w:rPr>
        <w:t>t</w:t>
      </w:r>
      <w:r w:rsidRPr="008C24CF">
        <w:t> = 0.986, </w:t>
      </w:r>
      <w:r w:rsidRPr="008C24CF">
        <w:rPr>
          <w:i/>
          <w:iCs/>
        </w:rPr>
        <w:t>p</w:t>
      </w:r>
      <w:r w:rsidRPr="008C24CF">
        <w:t> = .326) or nonprofits (</w:t>
      </w:r>
      <w:r w:rsidRPr="008C24CF">
        <w:rPr>
          <w:i/>
          <w:iCs/>
        </w:rPr>
        <w:t>t</w:t>
      </w:r>
      <w:r w:rsidRPr="008C24CF">
        <w:t> = 0.474, </w:t>
      </w:r>
      <w:r w:rsidRPr="008C24CF">
        <w:rPr>
          <w:i/>
          <w:iCs/>
        </w:rPr>
        <w:t>p</w:t>
      </w:r>
      <w:r w:rsidRPr="008C24CF">
        <w:t> = .636).</w:t>
      </w:r>
    </w:p>
    <w:p w14:paraId="6C1AA2F4" w14:textId="77777777" w:rsidR="008C24CF" w:rsidRPr="008C24CF" w:rsidRDefault="008C24CF" w:rsidP="00019CDB">
      <w:pPr>
        <w:pStyle w:val="Heading2"/>
        <w:rPr>
          <w:rFonts w:ascii="Calibri" w:eastAsia="Meiryo" w:hAnsi="Calibri" w:cs="Arial"/>
        </w:rPr>
      </w:pPr>
      <w:r>
        <w:t>Descriptive Statistics</w:t>
      </w:r>
    </w:p>
    <w:p w14:paraId="54EA581C" w14:textId="234C3836" w:rsidR="008C24CF" w:rsidRPr="008C24CF" w:rsidRDefault="008C24CF" w:rsidP="008C24CF">
      <w:r w:rsidRPr="008C24CF">
        <w:t>Prior to running the below mediation analyses, we examined the means of each control component by organization type. As seen in Panel A of </w:t>
      </w:r>
      <w:r w:rsidRPr="00D84464">
        <w:t>Tables 2</w:t>
      </w:r>
      <w:r w:rsidRPr="008C24CF">
        <w:t> through </w:t>
      </w:r>
      <w:r w:rsidRPr="00D84464">
        <w:t>5</w:t>
      </w:r>
      <w:r w:rsidRPr="008C24CF">
        <w:t>, for-profit employees perceive the overall internal control system (for-profit mean of 5.49, </w:t>
      </w:r>
      <w:r w:rsidRPr="008C24CF">
        <w:rPr>
          <w:i/>
          <w:iCs/>
        </w:rPr>
        <w:t>SD</w:t>
      </w:r>
      <w:r w:rsidRPr="008C24CF">
        <w:t> = 1.12; nonprofit </w:t>
      </w:r>
      <w:r w:rsidRPr="008C24CF">
        <w:rPr>
          <w:i/>
          <w:iCs/>
        </w:rPr>
        <w:t>M</w:t>
      </w:r>
      <w:r w:rsidRPr="008C24CF">
        <w:t> = 5.11, </w:t>
      </w:r>
      <w:r w:rsidRPr="008C24CF">
        <w:rPr>
          <w:i/>
          <w:iCs/>
        </w:rPr>
        <w:t>SD</w:t>
      </w:r>
      <w:r w:rsidRPr="008C24CF">
        <w:t> = 1.29), control environment (for-profit mean of 5.68, </w:t>
      </w:r>
      <w:r w:rsidRPr="008C24CF">
        <w:rPr>
          <w:i/>
          <w:iCs/>
        </w:rPr>
        <w:t>SD</w:t>
      </w:r>
      <w:r w:rsidRPr="008C24CF">
        <w:t> = 1.15; nonprofit </w:t>
      </w:r>
      <w:r w:rsidRPr="008C24CF">
        <w:rPr>
          <w:i/>
          <w:iCs/>
        </w:rPr>
        <w:t>M</w:t>
      </w:r>
      <w:r w:rsidRPr="008C24CF">
        <w:t> = 5.51, </w:t>
      </w:r>
      <w:r w:rsidRPr="008C24CF">
        <w:rPr>
          <w:i/>
          <w:iCs/>
        </w:rPr>
        <w:t>SD</w:t>
      </w:r>
      <w:r w:rsidRPr="008C24CF">
        <w:t> = 1.30), control activities (for-profit mean of 5.51, </w:t>
      </w:r>
      <w:r w:rsidRPr="008C24CF">
        <w:rPr>
          <w:i/>
          <w:iCs/>
        </w:rPr>
        <w:t>SD</w:t>
      </w:r>
      <w:r w:rsidRPr="008C24CF">
        <w:t> = 1.19; nonprofit </w:t>
      </w:r>
      <w:r w:rsidRPr="008C24CF">
        <w:rPr>
          <w:i/>
          <w:iCs/>
        </w:rPr>
        <w:t>M</w:t>
      </w:r>
      <w:r w:rsidRPr="008C24CF">
        <w:t> = 5.03, </w:t>
      </w:r>
      <w:r w:rsidRPr="008C24CF">
        <w:rPr>
          <w:i/>
          <w:iCs/>
        </w:rPr>
        <w:t>SD</w:t>
      </w:r>
      <w:r w:rsidRPr="008C24CF">
        <w:t> = 1.42), and monitoring activities (for-profit </w:t>
      </w:r>
      <w:r w:rsidRPr="008C24CF">
        <w:rPr>
          <w:i/>
          <w:iCs/>
        </w:rPr>
        <w:t>M</w:t>
      </w:r>
      <w:r w:rsidRPr="008C24CF">
        <w:t> = 5.21, </w:t>
      </w:r>
      <w:r w:rsidRPr="008C24CF">
        <w:rPr>
          <w:i/>
          <w:iCs/>
        </w:rPr>
        <w:t>SD</w:t>
      </w:r>
      <w:r w:rsidRPr="008C24CF">
        <w:t> = 1.34; nonprofit </w:t>
      </w:r>
      <w:r w:rsidRPr="008C24CF">
        <w:rPr>
          <w:i/>
          <w:iCs/>
        </w:rPr>
        <w:t>M</w:t>
      </w:r>
      <w:r w:rsidRPr="008C24CF">
        <w:t> = 4.66, </w:t>
      </w:r>
      <w:r w:rsidRPr="008C24CF">
        <w:rPr>
          <w:i/>
          <w:iCs/>
        </w:rPr>
        <w:t>SD</w:t>
      </w:r>
      <w:r w:rsidRPr="008C24CF">
        <w:t> = 1.49) to be higher than nonprofit employees. Given that these controls are mandated in public for-profits and not in nonprofits, this is not surprising, but the differences in the means do provide an indication of which components may act as mediators.</w:t>
      </w:r>
    </w:p>
    <w:p w14:paraId="3D43128C" w14:textId="77777777" w:rsidR="008C24CF" w:rsidRPr="008C24CF" w:rsidRDefault="008C24CF" w:rsidP="00019CDB">
      <w:pPr>
        <w:pStyle w:val="Heading2"/>
        <w:rPr>
          <w:rFonts w:ascii="Calibri" w:eastAsia="Meiryo" w:hAnsi="Calibri" w:cs="Arial"/>
        </w:rPr>
      </w:pPr>
      <w:r>
        <w:t>Tests of Hypotheses</w:t>
      </w:r>
    </w:p>
    <w:p w14:paraId="512B5FAC" w14:textId="7C4100CB" w:rsidR="008C24CF" w:rsidRPr="008C24CF" w:rsidRDefault="008C24CF" w:rsidP="008C24CF">
      <w:r w:rsidRPr="008C24CF">
        <w:t>To test our hypotheses, we used mediation analyses. There is a growing set of literature which disputes the logic of the Baron–Kenny procedure first laid out in </w:t>
      </w:r>
      <w:r w:rsidRPr="00D84464">
        <w:t>Baron and Kenny’s (1986)</w:t>
      </w:r>
      <w:r w:rsidRPr="008C24CF">
        <w:t> “Moderator-Mediator Variables Distinction in Social Psychological Research: Conceptual, Strategic, and Statistical Considerations.” </w:t>
      </w:r>
      <w:r w:rsidRPr="00D84464">
        <w:t>Hayes (2009)</w:t>
      </w:r>
      <w:r w:rsidRPr="008C24CF">
        <w:t> states that a significant total effect (X must affect Y) is not required to test indirect effects (M): “a failure to test for indirect effects in the absence of a total effect can lead you to miss some potentially interesting, important, or useful mechanisms by which X exerts some kind of effect on Y” (</w:t>
      </w:r>
      <w:r w:rsidRPr="00D84464">
        <w:t>Hayes, 2009</w:t>
      </w:r>
      <w:r w:rsidRPr="008C24CF">
        <w:t>, p. 415). </w:t>
      </w:r>
      <w:r w:rsidRPr="00D84464">
        <w:t>Zhao et al. (2010)</w:t>
      </w:r>
      <w:r w:rsidRPr="008C24CF">
        <w:t> agree and state that a “zero-order effect of X on Y is in fact mathematically equivalent to the “total effect” of X on Y . . . that is, it exactly equals the sum of the “indirect path” (path a x path b, usually hypothesized) and the “direct path” (path c, usually not hypothesized)” (</w:t>
      </w:r>
      <w:r w:rsidRPr="00D84464">
        <w:t>Zhao et al., 2010</w:t>
      </w:r>
      <w:r w:rsidRPr="008C24CF">
        <w:t>, p. 199). In alignment with this logic, we do not test or show results for the direct effect of X (organization type) on Y (whistleblowing intention). To test mediation, the Hayes Process macro was used (PROCESS Procedure for SPSS Version 3.5) (</w:t>
      </w:r>
      <w:r w:rsidRPr="00D84464">
        <w:t>Hayes, 2018</w:t>
      </w:r>
      <w:r w:rsidRPr="008C24CF">
        <w:t>). Based on the guidance provided by </w:t>
      </w:r>
      <w:r w:rsidRPr="00D84464">
        <w:t>Preacher and Hayes (2008)</w:t>
      </w:r>
      <w:r w:rsidRPr="008C24CF">
        <w:t>, a bootstrapping iteration of 5,000 was used in the mediation analysis.</w:t>
      </w:r>
    </w:p>
    <w:p w14:paraId="08022906" w14:textId="79872108" w:rsidR="008C24CF" w:rsidRPr="008C24CF" w:rsidRDefault="008C24CF" w:rsidP="008C24CF">
      <w:r w:rsidRPr="00D84464">
        <w:t>Tables 2</w:t>
      </w:r>
      <w:r>
        <w:t>–</w:t>
      </w:r>
      <w:r w:rsidRPr="00D84464">
        <w:t>5</w:t>
      </w:r>
      <w:r>
        <w:t> display the results for the hypotheses. </w:t>
      </w:r>
      <w:r w:rsidRPr="00D84464">
        <w:t>Table 6</w:t>
      </w:r>
      <w:r>
        <w:t> displays the results for the research question and </w:t>
      </w:r>
      <w:r w:rsidRPr="00D84464">
        <w:t>Table 7</w:t>
      </w:r>
      <w:r>
        <w:t> displays the results for the post hoc analysis. </w:t>
      </w:r>
      <w:r w:rsidRPr="00D84464">
        <w:t>Figure 1</w:t>
      </w:r>
      <w:r>
        <w:t> depicts the mean values for control environment, control activities, and monitoring activities for the various organization type conditions.</w:t>
      </w:r>
    </w:p>
    <w:p w14:paraId="55EC6EFF" w14:textId="6BF5440C" w:rsidR="008C24CF" w:rsidRPr="008C24CF" w:rsidRDefault="5B844375" w:rsidP="005165D9">
      <w:pPr>
        <w:pStyle w:val="NoSpacing"/>
      </w:pPr>
      <w:r>
        <w:rPr>
          <w:noProof/>
        </w:rPr>
        <w:lastRenderedPageBreak/>
        <w:drawing>
          <wp:inline distT="0" distB="0" distL="0" distR="0" wp14:anchorId="212CA6BB" wp14:editId="31F00988">
            <wp:extent cx="2743200" cy="1426464"/>
            <wp:effectExtent l="0" t="0" r="0" b="2540"/>
            <wp:docPr id="1562099754" name="Picture 156209975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099754" name="Picture 1562099754">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743200" cy="1426464"/>
                    </a:xfrm>
                    <a:prstGeom prst="rect">
                      <a:avLst/>
                    </a:prstGeom>
                  </pic:spPr>
                </pic:pic>
              </a:graphicData>
            </a:graphic>
          </wp:inline>
        </w:drawing>
      </w:r>
    </w:p>
    <w:p w14:paraId="6A6AFFBB" w14:textId="77777777" w:rsidR="008C24CF" w:rsidRPr="008C24CF" w:rsidRDefault="008C24CF" w:rsidP="005165D9">
      <w:pPr>
        <w:pStyle w:val="NoSpacing"/>
      </w:pPr>
      <w:r w:rsidRPr="00019CDB">
        <w:rPr>
          <w:b/>
          <w:bCs/>
        </w:rPr>
        <w:t>Figure 1.</w:t>
      </w:r>
      <w:r>
        <w:t> Mean values of perceived strength of internal control components by organization type.</w:t>
      </w:r>
    </w:p>
    <w:p w14:paraId="7A312AC5" w14:textId="2B9D0E7C" w:rsidR="00019CDB" w:rsidRDefault="00019CDB" w:rsidP="00019CDB"/>
    <w:p w14:paraId="25E193A2" w14:textId="7E1B5729" w:rsidR="008C24CF" w:rsidRPr="008C24CF" w:rsidRDefault="008C24CF" w:rsidP="008C24CF">
      <w:r>
        <w:t xml:space="preserve">We first examine the effects of the perception of the internal controls </w:t>
      </w:r>
      <w:proofErr w:type="gramStart"/>
      <w:r>
        <w:t>system as a whole</w:t>
      </w:r>
      <w:proofErr w:type="gramEnd"/>
      <w:r>
        <w:t xml:space="preserve"> (the average of the three components together). The results </w:t>
      </w:r>
      <w:proofErr w:type="gramStart"/>
      <w:r>
        <w:t>are located in</w:t>
      </w:r>
      <w:proofErr w:type="gramEnd"/>
      <w:r>
        <w:t xml:space="preserve"> Panel B of </w:t>
      </w:r>
      <w:r w:rsidRPr="00D84464">
        <w:t>Table 2</w:t>
      </w:r>
      <w:r>
        <w:t>. Results indicate that organization type significantly predicts the perception of the overall internal control system (</w:t>
      </w:r>
      <w:r w:rsidRPr="00019CDB">
        <w:rPr>
          <w:i/>
          <w:iCs/>
        </w:rPr>
        <w:t>B</w:t>
      </w:r>
      <w:r>
        <w:t> = −0.381, </w:t>
      </w:r>
      <w:r w:rsidRPr="00019CDB">
        <w:rPr>
          <w:i/>
          <w:iCs/>
        </w:rPr>
        <w:t>SE</w:t>
      </w:r>
      <w:r>
        <w:t> = 0.147, </w:t>
      </w:r>
      <w:r w:rsidRPr="00019CDB">
        <w:rPr>
          <w:i/>
          <w:iCs/>
        </w:rPr>
        <w:t>p</w:t>
      </w:r>
      <w:r>
        <w:t> &lt; .01), where perception of internal controls is lower among nonprofit employees, and that perception of the overall system positively and significantly predicts whistleblowing intention (</w:t>
      </w:r>
      <w:r w:rsidRPr="00019CDB">
        <w:rPr>
          <w:i/>
          <w:iCs/>
        </w:rPr>
        <w:t>B</w:t>
      </w:r>
      <w:r>
        <w:t> = 0.255, </w:t>
      </w:r>
      <w:r w:rsidRPr="00019CDB">
        <w:rPr>
          <w:i/>
          <w:iCs/>
        </w:rPr>
        <w:t>SE</w:t>
      </w:r>
      <w:r>
        <w:t> = 0.098, </w:t>
      </w:r>
      <w:r w:rsidRPr="00019CDB">
        <w:rPr>
          <w:i/>
          <w:iCs/>
        </w:rPr>
        <w:t>p</w:t>
      </w:r>
      <w:r>
        <w:t> &lt; .01), where higher perceived controls increase whistleblowing. These results support mediation. Organization type is not a significant predictor of whistleblowing after controlling for the mediator, perception of the overall internal control system (</w:t>
      </w:r>
      <w:r w:rsidRPr="00019CDB">
        <w:rPr>
          <w:i/>
          <w:iCs/>
        </w:rPr>
        <w:t>B</w:t>
      </w:r>
      <w:r>
        <w:t> = −0.105, </w:t>
      </w:r>
      <w:r w:rsidRPr="00019CDB">
        <w:rPr>
          <w:i/>
          <w:iCs/>
        </w:rPr>
        <w:t>SE</w:t>
      </w:r>
      <w:r>
        <w:t> = 0.239, ns), consistent with mediation. The results indicate that the indirect coefficient (the effect of organization type on whistleblowing through perception of the control system) is significant (</w:t>
      </w:r>
      <w:r w:rsidRPr="00019CDB">
        <w:rPr>
          <w:i/>
          <w:iCs/>
        </w:rPr>
        <w:t>B</w:t>
      </w:r>
      <w:r>
        <w:t> = −0.097, </w:t>
      </w:r>
      <w:r w:rsidRPr="00019CDB">
        <w:rPr>
          <w:i/>
          <w:iCs/>
        </w:rPr>
        <w:t>SE</w:t>
      </w:r>
      <w:r>
        <w:t xml:space="preserve"> = 0.060, 95% confidence interval [CI] = −0.238, −0.008), further supporting mediation. Nonprofit organizations were associated with intentions to </w:t>
      </w:r>
      <w:proofErr w:type="spellStart"/>
      <w:r>
        <w:t>whistleblow</w:t>
      </w:r>
      <w:proofErr w:type="spellEnd"/>
      <w:r>
        <w:t>, which were 0.097 points lower as mediated by perception of the overall internal control system.</w:t>
      </w:r>
    </w:p>
    <w:p w14:paraId="6D7AFA39" w14:textId="77777777" w:rsidR="008C24CF" w:rsidRPr="008C24CF" w:rsidRDefault="008C24CF" w:rsidP="005165D9">
      <w:pPr>
        <w:spacing w:after="0"/>
      </w:pPr>
      <w:r w:rsidRPr="00019CDB">
        <w:rPr>
          <w:b/>
          <w:bCs/>
        </w:rPr>
        <w:t>Table 2.</w:t>
      </w:r>
      <w:r>
        <w:t> Overall Internal Control System Results.</w:t>
      </w:r>
    </w:p>
    <w:tbl>
      <w:tblPr>
        <w:tblStyle w:val="TableGrid"/>
        <w:tblW w:w="0" w:type="auto"/>
        <w:tblLook w:val="06A0" w:firstRow="1" w:lastRow="0" w:firstColumn="1" w:lastColumn="0" w:noHBand="1" w:noVBand="1"/>
      </w:tblPr>
      <w:tblGrid>
        <w:gridCol w:w="6025"/>
        <w:gridCol w:w="1671"/>
        <w:gridCol w:w="718"/>
        <w:gridCol w:w="828"/>
        <w:gridCol w:w="828"/>
      </w:tblGrid>
      <w:tr w:rsidR="005A0B12" w:rsidRPr="007032E9" w14:paraId="17DD67FE" w14:textId="77777777" w:rsidTr="007032E9">
        <w:tc>
          <w:tcPr>
            <w:tcW w:w="6025" w:type="dxa"/>
          </w:tcPr>
          <w:p w14:paraId="1BE1A818" w14:textId="3F87ECDB" w:rsidR="005A0B12" w:rsidRPr="007032E9" w:rsidRDefault="005A0B12" w:rsidP="007032E9">
            <w:pPr>
              <w:pStyle w:val="NoSpacing"/>
              <w:rPr>
                <w:rFonts w:cstheme="minorHAnsi"/>
              </w:rPr>
            </w:pPr>
            <w:r w:rsidRPr="007032E9">
              <w:rPr>
                <w:rFonts w:cstheme="minorHAnsi"/>
              </w:rPr>
              <w:t>Panel A: Descriptive Statistics of Perceived Overall Internal Controls by Organization Type</w:t>
            </w:r>
          </w:p>
        </w:tc>
        <w:tc>
          <w:tcPr>
            <w:tcW w:w="1671" w:type="dxa"/>
          </w:tcPr>
          <w:p w14:paraId="3A43E931" w14:textId="77777777" w:rsidR="005A0B12" w:rsidRPr="007032E9" w:rsidRDefault="005A0B12" w:rsidP="007032E9">
            <w:pPr>
              <w:pStyle w:val="NoSpacing"/>
              <w:rPr>
                <w:rFonts w:cstheme="minorHAnsi"/>
              </w:rPr>
            </w:pPr>
          </w:p>
        </w:tc>
        <w:tc>
          <w:tcPr>
            <w:tcW w:w="718" w:type="dxa"/>
          </w:tcPr>
          <w:p w14:paraId="3AFA73AA" w14:textId="42B1CE4B" w:rsidR="005A0B12" w:rsidRPr="007032E9" w:rsidRDefault="005A0B12" w:rsidP="007032E9">
            <w:pPr>
              <w:pStyle w:val="NoSpacing"/>
              <w:rPr>
                <w:rFonts w:cstheme="minorHAnsi"/>
              </w:rPr>
            </w:pPr>
          </w:p>
        </w:tc>
        <w:tc>
          <w:tcPr>
            <w:tcW w:w="828" w:type="dxa"/>
          </w:tcPr>
          <w:p w14:paraId="279EE2C0" w14:textId="77777777" w:rsidR="005A0B12" w:rsidRPr="007032E9" w:rsidRDefault="005A0B12" w:rsidP="007032E9">
            <w:pPr>
              <w:pStyle w:val="NoSpacing"/>
              <w:rPr>
                <w:rFonts w:cstheme="minorHAnsi"/>
              </w:rPr>
            </w:pPr>
          </w:p>
        </w:tc>
        <w:tc>
          <w:tcPr>
            <w:tcW w:w="828" w:type="dxa"/>
          </w:tcPr>
          <w:p w14:paraId="673C4756" w14:textId="50780684" w:rsidR="005A0B12" w:rsidRPr="007032E9" w:rsidRDefault="005A0B12" w:rsidP="007032E9">
            <w:pPr>
              <w:pStyle w:val="NoSpacing"/>
              <w:rPr>
                <w:rFonts w:cstheme="minorHAnsi"/>
              </w:rPr>
            </w:pPr>
          </w:p>
        </w:tc>
      </w:tr>
      <w:tr w:rsidR="005A0B12" w:rsidRPr="007032E9" w14:paraId="2149D73C" w14:textId="77777777" w:rsidTr="007032E9">
        <w:tc>
          <w:tcPr>
            <w:tcW w:w="6025" w:type="dxa"/>
          </w:tcPr>
          <w:p w14:paraId="6771B7F9" w14:textId="659F6EE4" w:rsidR="005A0B12" w:rsidRPr="007032E9" w:rsidRDefault="005A0B12" w:rsidP="007032E9">
            <w:pPr>
              <w:pStyle w:val="NoSpacing"/>
              <w:rPr>
                <w:rFonts w:cstheme="minorHAnsi"/>
              </w:rPr>
            </w:pPr>
            <w:r w:rsidRPr="007032E9">
              <w:rPr>
                <w:rFonts w:cstheme="minorHAnsi"/>
              </w:rPr>
              <w:t>Type of organization</w:t>
            </w:r>
          </w:p>
        </w:tc>
        <w:tc>
          <w:tcPr>
            <w:tcW w:w="1671" w:type="dxa"/>
          </w:tcPr>
          <w:p w14:paraId="6B40F878" w14:textId="77777777" w:rsidR="005A0B12" w:rsidRPr="007032E9" w:rsidRDefault="005A0B12" w:rsidP="007032E9">
            <w:pPr>
              <w:pStyle w:val="NoSpacing"/>
              <w:rPr>
                <w:rFonts w:cstheme="minorHAnsi"/>
              </w:rPr>
            </w:pPr>
          </w:p>
        </w:tc>
        <w:tc>
          <w:tcPr>
            <w:tcW w:w="718" w:type="dxa"/>
          </w:tcPr>
          <w:p w14:paraId="536B7052" w14:textId="505BC27C" w:rsidR="005A0B12" w:rsidRPr="007032E9" w:rsidRDefault="005A0B12" w:rsidP="007032E9">
            <w:pPr>
              <w:pStyle w:val="NoSpacing"/>
              <w:rPr>
                <w:rFonts w:cstheme="minorHAnsi"/>
              </w:rPr>
            </w:pPr>
            <w:r w:rsidRPr="007032E9">
              <w:rPr>
                <w:rFonts w:cstheme="minorHAnsi"/>
              </w:rPr>
              <w:t>M</w:t>
            </w:r>
          </w:p>
        </w:tc>
        <w:tc>
          <w:tcPr>
            <w:tcW w:w="828" w:type="dxa"/>
          </w:tcPr>
          <w:p w14:paraId="36149504" w14:textId="6972E40F" w:rsidR="005A0B12" w:rsidRPr="007032E9" w:rsidRDefault="005A0B12" w:rsidP="007032E9">
            <w:pPr>
              <w:pStyle w:val="NoSpacing"/>
              <w:rPr>
                <w:rFonts w:cstheme="minorHAnsi"/>
              </w:rPr>
            </w:pPr>
            <w:r w:rsidRPr="007032E9">
              <w:rPr>
                <w:rFonts w:cstheme="minorHAnsi"/>
              </w:rPr>
              <w:t>SD</w:t>
            </w:r>
          </w:p>
        </w:tc>
        <w:tc>
          <w:tcPr>
            <w:tcW w:w="828" w:type="dxa"/>
          </w:tcPr>
          <w:p w14:paraId="16B550E8" w14:textId="43EB966D" w:rsidR="005A0B12" w:rsidRPr="007032E9" w:rsidRDefault="005A0B12" w:rsidP="007032E9">
            <w:pPr>
              <w:pStyle w:val="NoSpacing"/>
              <w:rPr>
                <w:rFonts w:cstheme="minorHAnsi"/>
              </w:rPr>
            </w:pPr>
            <w:r w:rsidRPr="007032E9">
              <w:rPr>
                <w:rFonts w:cstheme="minorHAnsi"/>
              </w:rPr>
              <w:t>N</w:t>
            </w:r>
          </w:p>
        </w:tc>
      </w:tr>
      <w:tr w:rsidR="005A0B12" w:rsidRPr="007032E9" w14:paraId="57CE82C3" w14:textId="77777777" w:rsidTr="007032E9">
        <w:tc>
          <w:tcPr>
            <w:tcW w:w="6025" w:type="dxa"/>
          </w:tcPr>
          <w:p w14:paraId="7634FDAD" w14:textId="7F1D91A7" w:rsidR="005A0B12" w:rsidRPr="007032E9" w:rsidRDefault="005A0B12" w:rsidP="007032E9">
            <w:pPr>
              <w:pStyle w:val="NoSpacing"/>
              <w:rPr>
                <w:rFonts w:cstheme="minorHAnsi"/>
              </w:rPr>
            </w:pPr>
            <w:r w:rsidRPr="007032E9">
              <w:rPr>
                <w:rFonts w:cstheme="minorHAnsi"/>
              </w:rPr>
              <w:t>For-profit</w:t>
            </w:r>
          </w:p>
        </w:tc>
        <w:tc>
          <w:tcPr>
            <w:tcW w:w="1671" w:type="dxa"/>
          </w:tcPr>
          <w:p w14:paraId="6321958D" w14:textId="77777777" w:rsidR="005A0B12" w:rsidRPr="007032E9" w:rsidRDefault="005A0B12" w:rsidP="007032E9">
            <w:pPr>
              <w:pStyle w:val="NoSpacing"/>
              <w:rPr>
                <w:rFonts w:cstheme="minorHAnsi"/>
              </w:rPr>
            </w:pPr>
          </w:p>
        </w:tc>
        <w:tc>
          <w:tcPr>
            <w:tcW w:w="718" w:type="dxa"/>
          </w:tcPr>
          <w:p w14:paraId="43D2E847" w14:textId="698309F3" w:rsidR="005A0B12" w:rsidRPr="007032E9" w:rsidRDefault="005A0B12" w:rsidP="007032E9">
            <w:pPr>
              <w:pStyle w:val="NoSpacing"/>
              <w:rPr>
                <w:rFonts w:cstheme="minorHAnsi"/>
              </w:rPr>
            </w:pPr>
            <w:r w:rsidRPr="007032E9">
              <w:rPr>
                <w:rFonts w:cstheme="minorHAnsi"/>
              </w:rPr>
              <w:t>5.49</w:t>
            </w:r>
          </w:p>
        </w:tc>
        <w:tc>
          <w:tcPr>
            <w:tcW w:w="828" w:type="dxa"/>
          </w:tcPr>
          <w:p w14:paraId="1F1C0D56" w14:textId="7CFD52EE" w:rsidR="005A0B12" w:rsidRPr="007032E9" w:rsidRDefault="005A0B12" w:rsidP="007032E9">
            <w:pPr>
              <w:pStyle w:val="NoSpacing"/>
              <w:rPr>
                <w:rFonts w:cstheme="minorHAnsi"/>
              </w:rPr>
            </w:pPr>
            <w:r w:rsidRPr="007032E9">
              <w:rPr>
                <w:rFonts w:cstheme="minorHAnsi"/>
              </w:rPr>
              <w:t>1.12</w:t>
            </w:r>
          </w:p>
        </w:tc>
        <w:tc>
          <w:tcPr>
            <w:tcW w:w="828" w:type="dxa"/>
          </w:tcPr>
          <w:p w14:paraId="480BE129" w14:textId="4B11F107" w:rsidR="005A0B12" w:rsidRPr="007032E9" w:rsidRDefault="005A0B12" w:rsidP="007032E9">
            <w:pPr>
              <w:pStyle w:val="NoSpacing"/>
              <w:rPr>
                <w:rFonts w:cstheme="minorHAnsi"/>
              </w:rPr>
            </w:pPr>
            <w:r w:rsidRPr="007032E9">
              <w:rPr>
                <w:rFonts w:cstheme="minorHAnsi"/>
              </w:rPr>
              <w:t>153</w:t>
            </w:r>
          </w:p>
        </w:tc>
      </w:tr>
      <w:tr w:rsidR="005A0B12" w:rsidRPr="007032E9" w14:paraId="4852F87E" w14:textId="77777777" w:rsidTr="007032E9">
        <w:tc>
          <w:tcPr>
            <w:tcW w:w="6025" w:type="dxa"/>
          </w:tcPr>
          <w:p w14:paraId="07534AA1" w14:textId="5070215B" w:rsidR="005A0B12" w:rsidRPr="007032E9" w:rsidRDefault="005A0B12" w:rsidP="007032E9">
            <w:pPr>
              <w:pStyle w:val="NoSpacing"/>
              <w:rPr>
                <w:rFonts w:cstheme="minorHAnsi"/>
              </w:rPr>
            </w:pPr>
            <w:r w:rsidRPr="007032E9">
              <w:rPr>
                <w:rFonts w:cstheme="minorHAnsi"/>
              </w:rPr>
              <w:t>Nonprofit</w:t>
            </w:r>
          </w:p>
        </w:tc>
        <w:tc>
          <w:tcPr>
            <w:tcW w:w="1671" w:type="dxa"/>
          </w:tcPr>
          <w:p w14:paraId="5BEBF971" w14:textId="77777777" w:rsidR="005A0B12" w:rsidRPr="007032E9" w:rsidRDefault="005A0B12" w:rsidP="007032E9">
            <w:pPr>
              <w:pStyle w:val="NoSpacing"/>
              <w:rPr>
                <w:rFonts w:cstheme="minorHAnsi"/>
              </w:rPr>
            </w:pPr>
          </w:p>
        </w:tc>
        <w:tc>
          <w:tcPr>
            <w:tcW w:w="718" w:type="dxa"/>
          </w:tcPr>
          <w:p w14:paraId="6A9F2B4B" w14:textId="082A5AD9" w:rsidR="005A0B12" w:rsidRPr="007032E9" w:rsidRDefault="005A0B12" w:rsidP="007032E9">
            <w:pPr>
              <w:pStyle w:val="NoSpacing"/>
              <w:rPr>
                <w:rFonts w:cstheme="minorHAnsi"/>
              </w:rPr>
            </w:pPr>
            <w:r w:rsidRPr="007032E9">
              <w:rPr>
                <w:rFonts w:cstheme="minorHAnsi"/>
              </w:rPr>
              <w:t>5.11</w:t>
            </w:r>
          </w:p>
        </w:tc>
        <w:tc>
          <w:tcPr>
            <w:tcW w:w="828" w:type="dxa"/>
          </w:tcPr>
          <w:p w14:paraId="36F75DB7" w14:textId="19AD05F7" w:rsidR="005A0B12" w:rsidRPr="007032E9" w:rsidRDefault="005A0B12" w:rsidP="007032E9">
            <w:pPr>
              <w:pStyle w:val="NoSpacing"/>
              <w:rPr>
                <w:rFonts w:cstheme="minorHAnsi"/>
              </w:rPr>
            </w:pPr>
            <w:r w:rsidRPr="007032E9">
              <w:rPr>
                <w:rFonts w:cstheme="minorHAnsi"/>
              </w:rPr>
              <w:t>1.29</w:t>
            </w:r>
          </w:p>
        </w:tc>
        <w:tc>
          <w:tcPr>
            <w:tcW w:w="828" w:type="dxa"/>
          </w:tcPr>
          <w:p w14:paraId="0F57EFA7" w14:textId="448C0EE8" w:rsidR="005A0B12" w:rsidRPr="007032E9" w:rsidRDefault="005A0B12" w:rsidP="007032E9">
            <w:pPr>
              <w:pStyle w:val="NoSpacing"/>
              <w:rPr>
                <w:rFonts w:cstheme="minorHAnsi"/>
              </w:rPr>
            </w:pPr>
            <w:r w:rsidRPr="007032E9">
              <w:rPr>
                <w:rFonts w:cstheme="minorHAnsi"/>
              </w:rPr>
              <w:t>119</w:t>
            </w:r>
          </w:p>
        </w:tc>
      </w:tr>
      <w:tr w:rsidR="005A0B12" w:rsidRPr="007032E9" w14:paraId="059D8D34" w14:textId="77777777" w:rsidTr="007032E9">
        <w:tc>
          <w:tcPr>
            <w:tcW w:w="6025" w:type="dxa"/>
          </w:tcPr>
          <w:p w14:paraId="328B5E16" w14:textId="0D9BD1F0" w:rsidR="005A0B12" w:rsidRPr="007032E9" w:rsidRDefault="005A0B12" w:rsidP="007032E9">
            <w:pPr>
              <w:pStyle w:val="NoSpacing"/>
              <w:rPr>
                <w:rFonts w:cstheme="minorHAnsi"/>
              </w:rPr>
            </w:pPr>
            <w:r w:rsidRPr="007032E9">
              <w:rPr>
                <w:rFonts w:cstheme="minorHAnsi"/>
              </w:rPr>
              <w:t>Total</w:t>
            </w:r>
          </w:p>
        </w:tc>
        <w:tc>
          <w:tcPr>
            <w:tcW w:w="1671" w:type="dxa"/>
          </w:tcPr>
          <w:p w14:paraId="2B7E52BC" w14:textId="77777777" w:rsidR="005A0B12" w:rsidRPr="007032E9" w:rsidRDefault="005A0B12" w:rsidP="007032E9">
            <w:pPr>
              <w:pStyle w:val="NoSpacing"/>
              <w:rPr>
                <w:rFonts w:cstheme="minorHAnsi"/>
              </w:rPr>
            </w:pPr>
          </w:p>
        </w:tc>
        <w:tc>
          <w:tcPr>
            <w:tcW w:w="718" w:type="dxa"/>
          </w:tcPr>
          <w:p w14:paraId="758CD790" w14:textId="5E2AD01A" w:rsidR="005A0B12" w:rsidRPr="007032E9" w:rsidRDefault="005A0B12" w:rsidP="007032E9">
            <w:pPr>
              <w:pStyle w:val="NoSpacing"/>
              <w:rPr>
                <w:rFonts w:cstheme="minorHAnsi"/>
              </w:rPr>
            </w:pPr>
            <w:r w:rsidRPr="007032E9">
              <w:rPr>
                <w:rFonts w:cstheme="minorHAnsi"/>
              </w:rPr>
              <w:t>5.32</w:t>
            </w:r>
          </w:p>
        </w:tc>
        <w:tc>
          <w:tcPr>
            <w:tcW w:w="828" w:type="dxa"/>
          </w:tcPr>
          <w:p w14:paraId="31D89EEE" w14:textId="707362DD" w:rsidR="005A0B12" w:rsidRPr="007032E9" w:rsidRDefault="005A0B12" w:rsidP="007032E9">
            <w:pPr>
              <w:pStyle w:val="NoSpacing"/>
              <w:rPr>
                <w:rFonts w:cstheme="minorHAnsi"/>
              </w:rPr>
            </w:pPr>
            <w:r w:rsidRPr="007032E9">
              <w:rPr>
                <w:rFonts w:cstheme="minorHAnsi"/>
              </w:rPr>
              <w:t>1.21</w:t>
            </w:r>
          </w:p>
        </w:tc>
        <w:tc>
          <w:tcPr>
            <w:tcW w:w="828" w:type="dxa"/>
          </w:tcPr>
          <w:p w14:paraId="77426266" w14:textId="2C7A6D9D" w:rsidR="005A0B12" w:rsidRPr="007032E9" w:rsidRDefault="005A0B12" w:rsidP="007032E9">
            <w:pPr>
              <w:pStyle w:val="NoSpacing"/>
              <w:rPr>
                <w:rFonts w:cstheme="minorHAnsi"/>
              </w:rPr>
            </w:pPr>
            <w:r w:rsidRPr="007032E9">
              <w:rPr>
                <w:rFonts w:cstheme="minorHAnsi"/>
              </w:rPr>
              <w:t>272</w:t>
            </w:r>
          </w:p>
        </w:tc>
      </w:tr>
      <w:tr w:rsidR="005A0B12" w:rsidRPr="007032E9" w14:paraId="257BA45C" w14:textId="77777777" w:rsidTr="007032E9">
        <w:tc>
          <w:tcPr>
            <w:tcW w:w="6025" w:type="dxa"/>
          </w:tcPr>
          <w:p w14:paraId="0E82881B" w14:textId="3D3F0486" w:rsidR="005A0B12" w:rsidRPr="007032E9" w:rsidRDefault="005A0B12" w:rsidP="007032E9">
            <w:pPr>
              <w:pStyle w:val="NoSpacing"/>
              <w:rPr>
                <w:rFonts w:cstheme="minorHAnsi"/>
              </w:rPr>
            </w:pPr>
            <w:r w:rsidRPr="007032E9">
              <w:rPr>
                <w:rFonts w:cstheme="minorHAnsi"/>
              </w:rPr>
              <w:t>Panel B: Perceived Overall Internal Control Mediation Analysis.</w:t>
            </w:r>
          </w:p>
        </w:tc>
        <w:tc>
          <w:tcPr>
            <w:tcW w:w="1671" w:type="dxa"/>
          </w:tcPr>
          <w:p w14:paraId="0AE01B46" w14:textId="77777777" w:rsidR="005A0B12" w:rsidRPr="007032E9" w:rsidRDefault="005A0B12" w:rsidP="007032E9">
            <w:pPr>
              <w:pStyle w:val="NoSpacing"/>
              <w:rPr>
                <w:rFonts w:cstheme="minorHAnsi"/>
              </w:rPr>
            </w:pPr>
          </w:p>
        </w:tc>
        <w:tc>
          <w:tcPr>
            <w:tcW w:w="718" w:type="dxa"/>
          </w:tcPr>
          <w:p w14:paraId="40AC2004" w14:textId="3A77395B" w:rsidR="005A0B12" w:rsidRPr="007032E9" w:rsidRDefault="005A0B12" w:rsidP="007032E9">
            <w:pPr>
              <w:pStyle w:val="NoSpacing"/>
              <w:rPr>
                <w:rFonts w:cstheme="minorHAnsi"/>
              </w:rPr>
            </w:pPr>
          </w:p>
        </w:tc>
        <w:tc>
          <w:tcPr>
            <w:tcW w:w="828" w:type="dxa"/>
          </w:tcPr>
          <w:p w14:paraId="265519BD" w14:textId="77777777" w:rsidR="005A0B12" w:rsidRPr="007032E9" w:rsidRDefault="005A0B12" w:rsidP="007032E9">
            <w:pPr>
              <w:pStyle w:val="NoSpacing"/>
              <w:rPr>
                <w:rFonts w:cstheme="minorHAnsi"/>
              </w:rPr>
            </w:pPr>
          </w:p>
        </w:tc>
        <w:tc>
          <w:tcPr>
            <w:tcW w:w="828" w:type="dxa"/>
          </w:tcPr>
          <w:p w14:paraId="29C92ACC" w14:textId="77777777" w:rsidR="005A0B12" w:rsidRPr="007032E9" w:rsidRDefault="005A0B12" w:rsidP="007032E9">
            <w:pPr>
              <w:pStyle w:val="NoSpacing"/>
              <w:rPr>
                <w:rFonts w:cstheme="minorHAnsi"/>
              </w:rPr>
            </w:pPr>
          </w:p>
        </w:tc>
      </w:tr>
      <w:tr w:rsidR="005A0B12" w:rsidRPr="007032E9" w14:paraId="07954F8E" w14:textId="77777777" w:rsidTr="007032E9">
        <w:tc>
          <w:tcPr>
            <w:tcW w:w="6025" w:type="dxa"/>
          </w:tcPr>
          <w:p w14:paraId="1FA2FEF3" w14:textId="660BD754" w:rsidR="005A0B12" w:rsidRPr="007032E9" w:rsidRDefault="005A0B12" w:rsidP="007032E9">
            <w:pPr>
              <w:pStyle w:val="NoSpacing"/>
              <w:rPr>
                <w:rFonts w:cstheme="minorHAnsi"/>
              </w:rPr>
            </w:pPr>
            <w:r w:rsidRPr="007032E9">
              <w:rPr>
                <w:rFonts w:cstheme="minorHAnsi"/>
              </w:rPr>
              <w:t>Path A—Organization type predicts perception of overall internal control system</w:t>
            </w:r>
          </w:p>
        </w:tc>
        <w:tc>
          <w:tcPr>
            <w:tcW w:w="1671" w:type="dxa"/>
          </w:tcPr>
          <w:p w14:paraId="23728409" w14:textId="77777777" w:rsidR="005A0B12" w:rsidRPr="007032E9" w:rsidRDefault="005A0B12" w:rsidP="007032E9">
            <w:pPr>
              <w:pStyle w:val="NoSpacing"/>
              <w:rPr>
                <w:rFonts w:cstheme="minorHAnsi"/>
              </w:rPr>
            </w:pPr>
          </w:p>
        </w:tc>
        <w:tc>
          <w:tcPr>
            <w:tcW w:w="718" w:type="dxa"/>
          </w:tcPr>
          <w:p w14:paraId="4B1B6135" w14:textId="381547DC" w:rsidR="005A0B12" w:rsidRPr="007032E9" w:rsidRDefault="005A0B12" w:rsidP="007032E9">
            <w:pPr>
              <w:pStyle w:val="NoSpacing"/>
              <w:rPr>
                <w:rFonts w:cstheme="minorHAnsi"/>
              </w:rPr>
            </w:pPr>
          </w:p>
        </w:tc>
        <w:tc>
          <w:tcPr>
            <w:tcW w:w="828" w:type="dxa"/>
          </w:tcPr>
          <w:p w14:paraId="746CF92E" w14:textId="77777777" w:rsidR="005A0B12" w:rsidRPr="007032E9" w:rsidRDefault="005A0B12" w:rsidP="007032E9">
            <w:pPr>
              <w:pStyle w:val="NoSpacing"/>
              <w:rPr>
                <w:rFonts w:cstheme="minorHAnsi"/>
              </w:rPr>
            </w:pPr>
          </w:p>
        </w:tc>
        <w:tc>
          <w:tcPr>
            <w:tcW w:w="828" w:type="dxa"/>
          </w:tcPr>
          <w:p w14:paraId="13A04C21" w14:textId="77777777" w:rsidR="005A0B12" w:rsidRPr="007032E9" w:rsidRDefault="005A0B12" w:rsidP="007032E9">
            <w:pPr>
              <w:pStyle w:val="NoSpacing"/>
              <w:rPr>
                <w:rFonts w:cstheme="minorHAnsi"/>
              </w:rPr>
            </w:pPr>
          </w:p>
        </w:tc>
      </w:tr>
      <w:tr w:rsidR="005A0B12" w:rsidRPr="007032E9" w14:paraId="3EA51D3C" w14:textId="77777777" w:rsidTr="007032E9">
        <w:tc>
          <w:tcPr>
            <w:tcW w:w="6025" w:type="dxa"/>
          </w:tcPr>
          <w:p w14:paraId="5F981695" w14:textId="182E7BAB" w:rsidR="005A0B12" w:rsidRPr="007032E9" w:rsidRDefault="005A0B12" w:rsidP="007032E9">
            <w:pPr>
              <w:pStyle w:val="NoSpacing"/>
              <w:rPr>
                <w:rFonts w:cstheme="minorHAnsi"/>
              </w:rPr>
            </w:pPr>
          </w:p>
        </w:tc>
        <w:tc>
          <w:tcPr>
            <w:tcW w:w="1671" w:type="dxa"/>
          </w:tcPr>
          <w:p w14:paraId="6485FEFF" w14:textId="4A4B09A4" w:rsidR="005A0B12" w:rsidRPr="007032E9" w:rsidRDefault="005A0B12" w:rsidP="007032E9">
            <w:pPr>
              <w:pStyle w:val="NoSpacing"/>
              <w:rPr>
                <w:rFonts w:cstheme="minorHAnsi"/>
                <w:i/>
                <w:iCs/>
              </w:rPr>
            </w:pPr>
            <w:r w:rsidRPr="007032E9">
              <w:rPr>
                <w:rFonts w:cstheme="minorHAnsi"/>
              </w:rPr>
              <w:t xml:space="preserve">Coefficient (unstandardized </w:t>
            </w:r>
            <w:r w:rsidRPr="007032E9">
              <w:rPr>
                <w:rFonts w:cstheme="minorHAnsi"/>
                <w:i/>
                <w:iCs/>
              </w:rPr>
              <w:t>B</w:t>
            </w:r>
            <w:r w:rsidRPr="007032E9">
              <w:rPr>
                <w:rFonts w:cstheme="minorHAnsi"/>
              </w:rPr>
              <w:t>)</w:t>
            </w:r>
          </w:p>
        </w:tc>
        <w:tc>
          <w:tcPr>
            <w:tcW w:w="718" w:type="dxa"/>
          </w:tcPr>
          <w:p w14:paraId="68A739E7" w14:textId="2A3C4093" w:rsidR="005A0B12" w:rsidRPr="007032E9" w:rsidRDefault="005A0B12" w:rsidP="007032E9">
            <w:pPr>
              <w:pStyle w:val="NoSpacing"/>
              <w:rPr>
                <w:rFonts w:cstheme="minorHAnsi"/>
              </w:rPr>
            </w:pPr>
            <w:r w:rsidRPr="007032E9">
              <w:rPr>
                <w:rFonts w:cstheme="minorHAnsi"/>
                <w:i/>
                <w:iCs/>
              </w:rPr>
              <w:t>SE</w:t>
            </w:r>
          </w:p>
        </w:tc>
        <w:tc>
          <w:tcPr>
            <w:tcW w:w="828" w:type="dxa"/>
          </w:tcPr>
          <w:p w14:paraId="726542B5" w14:textId="35065ECA" w:rsidR="005A0B12" w:rsidRPr="007032E9" w:rsidRDefault="005A0B12" w:rsidP="007032E9">
            <w:pPr>
              <w:pStyle w:val="NoSpacing"/>
              <w:rPr>
                <w:rFonts w:cstheme="minorHAnsi"/>
              </w:rPr>
            </w:pPr>
            <w:r w:rsidRPr="007032E9">
              <w:rPr>
                <w:rFonts w:cstheme="minorHAnsi"/>
              </w:rPr>
              <w:t>t</w:t>
            </w:r>
          </w:p>
        </w:tc>
        <w:tc>
          <w:tcPr>
            <w:tcW w:w="828" w:type="dxa"/>
          </w:tcPr>
          <w:p w14:paraId="31BD1A42" w14:textId="3F884757" w:rsidR="005A0B12" w:rsidRPr="007032E9" w:rsidRDefault="005A0B12" w:rsidP="007032E9">
            <w:pPr>
              <w:pStyle w:val="NoSpacing"/>
              <w:rPr>
                <w:rFonts w:cstheme="minorHAnsi"/>
              </w:rPr>
            </w:pPr>
            <w:r w:rsidRPr="007032E9">
              <w:rPr>
                <w:rFonts w:cstheme="minorHAnsi"/>
                <w:i/>
                <w:iCs/>
              </w:rPr>
              <w:t>p</w:t>
            </w:r>
            <w:r w:rsidRPr="007032E9">
              <w:rPr>
                <w:rFonts w:cstheme="minorHAnsi"/>
              </w:rPr>
              <w:t>-value</w:t>
            </w:r>
          </w:p>
        </w:tc>
      </w:tr>
      <w:tr w:rsidR="005A0B12" w:rsidRPr="007032E9" w14:paraId="0FF7AFD4" w14:textId="77777777" w:rsidTr="007032E9">
        <w:tc>
          <w:tcPr>
            <w:tcW w:w="6025" w:type="dxa"/>
          </w:tcPr>
          <w:p w14:paraId="1963E4B3" w14:textId="77777777" w:rsidR="005A0B12" w:rsidRPr="007032E9" w:rsidRDefault="005A0B12" w:rsidP="007032E9">
            <w:pPr>
              <w:pStyle w:val="NoSpacing"/>
              <w:rPr>
                <w:rFonts w:cstheme="minorHAnsi"/>
              </w:rPr>
            </w:pPr>
          </w:p>
        </w:tc>
        <w:tc>
          <w:tcPr>
            <w:tcW w:w="1671" w:type="dxa"/>
          </w:tcPr>
          <w:p w14:paraId="6AD4ECC2" w14:textId="430F9ECB" w:rsidR="005A0B12" w:rsidRPr="007032E9" w:rsidRDefault="005A0B12" w:rsidP="007032E9">
            <w:pPr>
              <w:pStyle w:val="NoSpacing"/>
              <w:rPr>
                <w:rFonts w:cstheme="minorHAnsi"/>
              </w:rPr>
            </w:pPr>
            <w:r w:rsidRPr="007032E9">
              <w:rPr>
                <w:rFonts w:cstheme="minorHAnsi"/>
              </w:rPr>
              <w:t>−0.381</w:t>
            </w:r>
          </w:p>
        </w:tc>
        <w:tc>
          <w:tcPr>
            <w:tcW w:w="718" w:type="dxa"/>
          </w:tcPr>
          <w:p w14:paraId="28495D5A" w14:textId="7466452C" w:rsidR="005A0B12" w:rsidRPr="007032E9" w:rsidRDefault="005A0B12" w:rsidP="007032E9">
            <w:pPr>
              <w:pStyle w:val="NoSpacing"/>
              <w:rPr>
                <w:rFonts w:cstheme="minorHAnsi"/>
              </w:rPr>
            </w:pPr>
            <w:r w:rsidRPr="007032E9">
              <w:rPr>
                <w:rFonts w:cstheme="minorHAnsi"/>
              </w:rPr>
              <w:t>0.147</w:t>
            </w:r>
          </w:p>
        </w:tc>
        <w:tc>
          <w:tcPr>
            <w:tcW w:w="828" w:type="dxa"/>
          </w:tcPr>
          <w:p w14:paraId="218F139F" w14:textId="09923A81" w:rsidR="005A0B12" w:rsidRPr="007032E9" w:rsidRDefault="00750630" w:rsidP="007032E9">
            <w:pPr>
              <w:pStyle w:val="NoSpacing"/>
              <w:rPr>
                <w:rFonts w:cstheme="minorHAnsi"/>
              </w:rPr>
            </w:pPr>
            <w:r w:rsidRPr="007032E9">
              <w:rPr>
                <w:rFonts w:cstheme="minorHAnsi"/>
              </w:rPr>
              <w:t>−2.603</w:t>
            </w:r>
          </w:p>
        </w:tc>
        <w:tc>
          <w:tcPr>
            <w:tcW w:w="828" w:type="dxa"/>
          </w:tcPr>
          <w:p w14:paraId="08F09102" w14:textId="6A96F1DF" w:rsidR="005A0B12" w:rsidRPr="007032E9" w:rsidRDefault="00750630" w:rsidP="007032E9">
            <w:pPr>
              <w:pStyle w:val="NoSpacing"/>
              <w:rPr>
                <w:rFonts w:cstheme="minorHAnsi"/>
              </w:rPr>
            </w:pPr>
            <w:r w:rsidRPr="007032E9">
              <w:rPr>
                <w:rFonts w:cstheme="minorHAnsi"/>
              </w:rPr>
              <w:t>.005</w:t>
            </w:r>
          </w:p>
        </w:tc>
      </w:tr>
      <w:tr w:rsidR="005A0B12" w:rsidRPr="007032E9" w14:paraId="5C2DBBB4" w14:textId="77777777" w:rsidTr="007032E9">
        <w:tc>
          <w:tcPr>
            <w:tcW w:w="6025" w:type="dxa"/>
          </w:tcPr>
          <w:p w14:paraId="5C2CA3DF" w14:textId="6CAE0ACC" w:rsidR="005A0B12" w:rsidRPr="007032E9" w:rsidRDefault="00750630" w:rsidP="007032E9">
            <w:pPr>
              <w:pStyle w:val="NoSpacing"/>
              <w:rPr>
                <w:rFonts w:cstheme="minorHAnsi"/>
              </w:rPr>
            </w:pPr>
            <w:r w:rsidRPr="007032E9">
              <w:rPr>
                <w:rFonts w:cstheme="minorHAnsi"/>
              </w:rPr>
              <w:t>Path B—Perception of overall internal control system predicts whistleblowing</w:t>
            </w:r>
          </w:p>
        </w:tc>
        <w:tc>
          <w:tcPr>
            <w:tcW w:w="1671" w:type="dxa"/>
          </w:tcPr>
          <w:p w14:paraId="42264D57" w14:textId="77777777" w:rsidR="005A0B12" w:rsidRPr="007032E9" w:rsidRDefault="005A0B12" w:rsidP="007032E9">
            <w:pPr>
              <w:pStyle w:val="NoSpacing"/>
              <w:rPr>
                <w:rFonts w:cstheme="minorHAnsi"/>
              </w:rPr>
            </w:pPr>
          </w:p>
        </w:tc>
        <w:tc>
          <w:tcPr>
            <w:tcW w:w="718" w:type="dxa"/>
          </w:tcPr>
          <w:p w14:paraId="379777BB" w14:textId="103E53EC" w:rsidR="005A0B12" w:rsidRPr="007032E9" w:rsidRDefault="005A0B12" w:rsidP="007032E9">
            <w:pPr>
              <w:pStyle w:val="NoSpacing"/>
              <w:rPr>
                <w:rFonts w:cstheme="minorHAnsi"/>
              </w:rPr>
            </w:pPr>
          </w:p>
        </w:tc>
        <w:tc>
          <w:tcPr>
            <w:tcW w:w="828" w:type="dxa"/>
          </w:tcPr>
          <w:p w14:paraId="48D912FB" w14:textId="77777777" w:rsidR="005A0B12" w:rsidRPr="007032E9" w:rsidRDefault="005A0B12" w:rsidP="007032E9">
            <w:pPr>
              <w:pStyle w:val="NoSpacing"/>
              <w:rPr>
                <w:rFonts w:cstheme="minorHAnsi"/>
              </w:rPr>
            </w:pPr>
          </w:p>
        </w:tc>
        <w:tc>
          <w:tcPr>
            <w:tcW w:w="828" w:type="dxa"/>
          </w:tcPr>
          <w:p w14:paraId="4AB9FD0D" w14:textId="77777777" w:rsidR="005A0B12" w:rsidRPr="007032E9" w:rsidRDefault="005A0B12" w:rsidP="007032E9">
            <w:pPr>
              <w:pStyle w:val="NoSpacing"/>
              <w:rPr>
                <w:rFonts w:cstheme="minorHAnsi"/>
              </w:rPr>
            </w:pPr>
          </w:p>
        </w:tc>
      </w:tr>
      <w:tr w:rsidR="00750630" w:rsidRPr="007032E9" w14:paraId="481B64DD" w14:textId="77777777" w:rsidTr="007032E9">
        <w:tc>
          <w:tcPr>
            <w:tcW w:w="6025" w:type="dxa"/>
          </w:tcPr>
          <w:p w14:paraId="6DA439A5" w14:textId="77777777" w:rsidR="00750630" w:rsidRPr="007032E9" w:rsidRDefault="00750630" w:rsidP="007032E9">
            <w:pPr>
              <w:pStyle w:val="NoSpacing"/>
              <w:rPr>
                <w:rFonts w:cstheme="minorHAnsi"/>
              </w:rPr>
            </w:pPr>
          </w:p>
        </w:tc>
        <w:tc>
          <w:tcPr>
            <w:tcW w:w="1671" w:type="dxa"/>
          </w:tcPr>
          <w:p w14:paraId="01132AFF" w14:textId="20A01144" w:rsidR="00750630" w:rsidRPr="007032E9" w:rsidRDefault="00750630" w:rsidP="007032E9">
            <w:pPr>
              <w:pStyle w:val="NoSpacing"/>
              <w:rPr>
                <w:rFonts w:cstheme="minorHAnsi"/>
              </w:rPr>
            </w:pPr>
            <w:r w:rsidRPr="007032E9">
              <w:rPr>
                <w:rFonts w:cstheme="minorHAnsi"/>
              </w:rPr>
              <w:t xml:space="preserve">Coefficient (unstandardized </w:t>
            </w:r>
            <w:r w:rsidRPr="007032E9">
              <w:rPr>
                <w:rFonts w:cstheme="minorHAnsi"/>
                <w:i/>
                <w:iCs/>
              </w:rPr>
              <w:t>B</w:t>
            </w:r>
            <w:r w:rsidRPr="007032E9">
              <w:rPr>
                <w:rFonts w:cstheme="minorHAnsi"/>
              </w:rPr>
              <w:t>)</w:t>
            </w:r>
          </w:p>
        </w:tc>
        <w:tc>
          <w:tcPr>
            <w:tcW w:w="718" w:type="dxa"/>
          </w:tcPr>
          <w:p w14:paraId="50444FF9" w14:textId="1B03248C" w:rsidR="00750630" w:rsidRPr="007032E9" w:rsidRDefault="00750630" w:rsidP="007032E9">
            <w:pPr>
              <w:pStyle w:val="NoSpacing"/>
              <w:rPr>
                <w:rFonts w:cstheme="minorHAnsi"/>
              </w:rPr>
            </w:pPr>
            <w:r w:rsidRPr="007032E9">
              <w:rPr>
                <w:rFonts w:cstheme="minorHAnsi"/>
                <w:i/>
                <w:iCs/>
              </w:rPr>
              <w:t>SE</w:t>
            </w:r>
          </w:p>
        </w:tc>
        <w:tc>
          <w:tcPr>
            <w:tcW w:w="828" w:type="dxa"/>
          </w:tcPr>
          <w:p w14:paraId="67BCE5FC" w14:textId="629DBE70" w:rsidR="00750630" w:rsidRPr="007032E9" w:rsidRDefault="00750630" w:rsidP="007032E9">
            <w:pPr>
              <w:pStyle w:val="NoSpacing"/>
              <w:rPr>
                <w:rFonts w:cstheme="minorHAnsi"/>
              </w:rPr>
            </w:pPr>
            <w:r w:rsidRPr="007032E9">
              <w:rPr>
                <w:rFonts w:cstheme="minorHAnsi"/>
              </w:rPr>
              <w:t>t</w:t>
            </w:r>
          </w:p>
        </w:tc>
        <w:tc>
          <w:tcPr>
            <w:tcW w:w="828" w:type="dxa"/>
          </w:tcPr>
          <w:p w14:paraId="54CFEF47" w14:textId="589FB5A3" w:rsidR="00750630" w:rsidRPr="007032E9" w:rsidRDefault="00750630" w:rsidP="007032E9">
            <w:pPr>
              <w:pStyle w:val="NoSpacing"/>
              <w:rPr>
                <w:rFonts w:cstheme="minorHAnsi"/>
              </w:rPr>
            </w:pPr>
            <w:r w:rsidRPr="007032E9">
              <w:rPr>
                <w:rFonts w:cstheme="minorHAnsi"/>
                <w:i/>
                <w:iCs/>
              </w:rPr>
              <w:t>p</w:t>
            </w:r>
            <w:r w:rsidRPr="007032E9">
              <w:rPr>
                <w:rFonts w:cstheme="minorHAnsi"/>
              </w:rPr>
              <w:t>-value</w:t>
            </w:r>
          </w:p>
        </w:tc>
      </w:tr>
      <w:tr w:rsidR="005A0B12" w:rsidRPr="007032E9" w14:paraId="5DE2F607" w14:textId="77777777" w:rsidTr="007032E9">
        <w:tc>
          <w:tcPr>
            <w:tcW w:w="6025" w:type="dxa"/>
          </w:tcPr>
          <w:p w14:paraId="79D323B8" w14:textId="77777777" w:rsidR="005A0B12" w:rsidRPr="007032E9" w:rsidRDefault="005A0B12" w:rsidP="007032E9">
            <w:pPr>
              <w:pStyle w:val="NoSpacing"/>
              <w:rPr>
                <w:rFonts w:cstheme="minorHAnsi"/>
              </w:rPr>
            </w:pPr>
          </w:p>
        </w:tc>
        <w:tc>
          <w:tcPr>
            <w:tcW w:w="1671" w:type="dxa"/>
          </w:tcPr>
          <w:p w14:paraId="44E29C87" w14:textId="5B189289" w:rsidR="005A0B12" w:rsidRPr="007032E9" w:rsidRDefault="003F6870" w:rsidP="007032E9">
            <w:pPr>
              <w:pStyle w:val="NoSpacing"/>
              <w:rPr>
                <w:rFonts w:cstheme="minorHAnsi"/>
              </w:rPr>
            </w:pPr>
            <w:r w:rsidRPr="007032E9">
              <w:rPr>
                <w:rFonts w:cstheme="minorHAnsi"/>
              </w:rPr>
              <w:t>0.255</w:t>
            </w:r>
          </w:p>
        </w:tc>
        <w:tc>
          <w:tcPr>
            <w:tcW w:w="718" w:type="dxa"/>
          </w:tcPr>
          <w:p w14:paraId="340E31C5" w14:textId="450FFE7E" w:rsidR="005A0B12" w:rsidRPr="007032E9" w:rsidRDefault="003F6870" w:rsidP="007032E9">
            <w:pPr>
              <w:pStyle w:val="NoSpacing"/>
              <w:rPr>
                <w:rFonts w:cstheme="minorHAnsi"/>
              </w:rPr>
            </w:pPr>
            <w:r w:rsidRPr="007032E9">
              <w:rPr>
                <w:rFonts w:cstheme="minorHAnsi"/>
              </w:rPr>
              <w:t>0.098</w:t>
            </w:r>
          </w:p>
        </w:tc>
        <w:tc>
          <w:tcPr>
            <w:tcW w:w="828" w:type="dxa"/>
          </w:tcPr>
          <w:p w14:paraId="1F982A03" w14:textId="0F08B780" w:rsidR="005A0B12" w:rsidRPr="007032E9" w:rsidRDefault="003F6870" w:rsidP="007032E9">
            <w:pPr>
              <w:pStyle w:val="NoSpacing"/>
              <w:rPr>
                <w:rFonts w:cstheme="minorHAnsi"/>
              </w:rPr>
            </w:pPr>
            <w:r w:rsidRPr="007032E9">
              <w:rPr>
                <w:rFonts w:cstheme="minorHAnsi"/>
              </w:rPr>
              <w:t>2.600</w:t>
            </w:r>
          </w:p>
        </w:tc>
        <w:tc>
          <w:tcPr>
            <w:tcW w:w="828" w:type="dxa"/>
          </w:tcPr>
          <w:p w14:paraId="2B906798" w14:textId="0D55DE0E" w:rsidR="005A0B12" w:rsidRPr="007032E9" w:rsidRDefault="003F6870" w:rsidP="007032E9">
            <w:pPr>
              <w:pStyle w:val="NoSpacing"/>
              <w:rPr>
                <w:rFonts w:cstheme="minorHAnsi"/>
              </w:rPr>
            </w:pPr>
            <w:r w:rsidRPr="007032E9">
              <w:rPr>
                <w:rFonts w:cstheme="minorHAnsi"/>
              </w:rPr>
              <w:t>.005</w:t>
            </w:r>
          </w:p>
        </w:tc>
      </w:tr>
      <w:tr w:rsidR="005A0B12" w:rsidRPr="007032E9" w14:paraId="0D9C4C3C" w14:textId="77777777" w:rsidTr="007032E9">
        <w:tc>
          <w:tcPr>
            <w:tcW w:w="6025" w:type="dxa"/>
          </w:tcPr>
          <w:p w14:paraId="612A4C65" w14:textId="345C9D39" w:rsidR="005A0B12" w:rsidRPr="007032E9" w:rsidRDefault="00882979" w:rsidP="007032E9">
            <w:pPr>
              <w:pStyle w:val="NoSpacing"/>
              <w:rPr>
                <w:rFonts w:cstheme="minorHAnsi"/>
              </w:rPr>
            </w:pPr>
            <w:r w:rsidRPr="007032E9">
              <w:rPr>
                <w:rFonts w:cstheme="minorHAnsi"/>
              </w:rPr>
              <w:t>Path C</w:t>
            </w:r>
            <w:r w:rsidRPr="007032E9">
              <w:rPr>
                <w:rFonts w:eastAsia="SegoeUI" w:cstheme="minorHAnsi"/>
              </w:rPr>
              <w:t>′</w:t>
            </w:r>
            <w:r w:rsidRPr="007032E9">
              <w:rPr>
                <w:rFonts w:cstheme="minorHAnsi"/>
              </w:rPr>
              <w:t>—Mediated path—Organization type predicts whistleblowing through perception of IC</w:t>
            </w:r>
          </w:p>
        </w:tc>
        <w:tc>
          <w:tcPr>
            <w:tcW w:w="1671" w:type="dxa"/>
          </w:tcPr>
          <w:p w14:paraId="0750A1D3" w14:textId="77777777" w:rsidR="005A0B12" w:rsidRPr="007032E9" w:rsidRDefault="005A0B12" w:rsidP="007032E9">
            <w:pPr>
              <w:pStyle w:val="NoSpacing"/>
              <w:rPr>
                <w:rFonts w:cstheme="minorHAnsi"/>
              </w:rPr>
            </w:pPr>
          </w:p>
        </w:tc>
        <w:tc>
          <w:tcPr>
            <w:tcW w:w="718" w:type="dxa"/>
          </w:tcPr>
          <w:p w14:paraId="2EC1B84D" w14:textId="5CE2E3F9" w:rsidR="005A0B12" w:rsidRPr="007032E9" w:rsidRDefault="005A0B12" w:rsidP="007032E9">
            <w:pPr>
              <w:pStyle w:val="NoSpacing"/>
              <w:rPr>
                <w:rFonts w:cstheme="minorHAnsi"/>
              </w:rPr>
            </w:pPr>
          </w:p>
        </w:tc>
        <w:tc>
          <w:tcPr>
            <w:tcW w:w="828" w:type="dxa"/>
          </w:tcPr>
          <w:p w14:paraId="58C8343E" w14:textId="77777777" w:rsidR="005A0B12" w:rsidRPr="007032E9" w:rsidRDefault="005A0B12" w:rsidP="007032E9">
            <w:pPr>
              <w:pStyle w:val="NoSpacing"/>
              <w:rPr>
                <w:rFonts w:cstheme="minorHAnsi"/>
              </w:rPr>
            </w:pPr>
          </w:p>
        </w:tc>
        <w:tc>
          <w:tcPr>
            <w:tcW w:w="828" w:type="dxa"/>
          </w:tcPr>
          <w:p w14:paraId="1389194D" w14:textId="77777777" w:rsidR="005A0B12" w:rsidRPr="007032E9" w:rsidRDefault="005A0B12" w:rsidP="007032E9">
            <w:pPr>
              <w:pStyle w:val="NoSpacing"/>
              <w:rPr>
                <w:rFonts w:cstheme="minorHAnsi"/>
              </w:rPr>
            </w:pPr>
          </w:p>
        </w:tc>
      </w:tr>
      <w:tr w:rsidR="00882979" w:rsidRPr="007032E9" w14:paraId="39EB9336" w14:textId="77777777" w:rsidTr="007032E9">
        <w:tc>
          <w:tcPr>
            <w:tcW w:w="6025" w:type="dxa"/>
          </w:tcPr>
          <w:p w14:paraId="1D1C1F82" w14:textId="77777777" w:rsidR="00882979" w:rsidRPr="007032E9" w:rsidRDefault="00882979" w:rsidP="007032E9">
            <w:pPr>
              <w:pStyle w:val="NoSpacing"/>
              <w:rPr>
                <w:rFonts w:cstheme="minorHAnsi"/>
              </w:rPr>
            </w:pPr>
          </w:p>
        </w:tc>
        <w:tc>
          <w:tcPr>
            <w:tcW w:w="1671" w:type="dxa"/>
          </w:tcPr>
          <w:p w14:paraId="5AF179B8" w14:textId="0CB8F65B" w:rsidR="00882979" w:rsidRPr="007032E9" w:rsidRDefault="00882979" w:rsidP="007032E9">
            <w:pPr>
              <w:pStyle w:val="NoSpacing"/>
              <w:rPr>
                <w:rFonts w:cstheme="minorHAnsi"/>
              </w:rPr>
            </w:pPr>
            <w:r w:rsidRPr="007032E9">
              <w:rPr>
                <w:rFonts w:cstheme="minorHAnsi"/>
              </w:rPr>
              <w:t xml:space="preserve">Coefficient (unstandardized </w:t>
            </w:r>
            <w:r w:rsidRPr="007032E9">
              <w:rPr>
                <w:rFonts w:cstheme="minorHAnsi"/>
                <w:i/>
                <w:iCs/>
              </w:rPr>
              <w:t>B</w:t>
            </w:r>
            <w:r w:rsidRPr="007032E9">
              <w:rPr>
                <w:rFonts w:cstheme="minorHAnsi"/>
              </w:rPr>
              <w:t>)</w:t>
            </w:r>
          </w:p>
        </w:tc>
        <w:tc>
          <w:tcPr>
            <w:tcW w:w="718" w:type="dxa"/>
          </w:tcPr>
          <w:p w14:paraId="7CD76A39" w14:textId="2ECFBF66" w:rsidR="00882979" w:rsidRPr="007032E9" w:rsidRDefault="00882979" w:rsidP="007032E9">
            <w:pPr>
              <w:pStyle w:val="NoSpacing"/>
              <w:rPr>
                <w:rFonts w:cstheme="minorHAnsi"/>
              </w:rPr>
            </w:pPr>
            <w:r w:rsidRPr="007032E9">
              <w:rPr>
                <w:rFonts w:cstheme="minorHAnsi"/>
                <w:i/>
                <w:iCs/>
              </w:rPr>
              <w:t>SE</w:t>
            </w:r>
          </w:p>
        </w:tc>
        <w:tc>
          <w:tcPr>
            <w:tcW w:w="828" w:type="dxa"/>
          </w:tcPr>
          <w:p w14:paraId="6F12F980" w14:textId="72EE8AB0" w:rsidR="00882979" w:rsidRPr="007032E9" w:rsidRDefault="00882979" w:rsidP="007032E9">
            <w:pPr>
              <w:pStyle w:val="NoSpacing"/>
              <w:rPr>
                <w:rFonts w:cstheme="minorHAnsi"/>
              </w:rPr>
            </w:pPr>
            <w:r w:rsidRPr="007032E9">
              <w:rPr>
                <w:rFonts w:cstheme="minorHAnsi"/>
              </w:rPr>
              <w:t>t</w:t>
            </w:r>
          </w:p>
        </w:tc>
        <w:tc>
          <w:tcPr>
            <w:tcW w:w="828" w:type="dxa"/>
          </w:tcPr>
          <w:p w14:paraId="45FA99D0" w14:textId="444B6B96" w:rsidR="00882979" w:rsidRPr="007032E9" w:rsidRDefault="00882979" w:rsidP="007032E9">
            <w:pPr>
              <w:pStyle w:val="NoSpacing"/>
              <w:rPr>
                <w:rFonts w:cstheme="minorHAnsi"/>
              </w:rPr>
            </w:pPr>
            <w:r w:rsidRPr="007032E9">
              <w:rPr>
                <w:rFonts w:cstheme="minorHAnsi"/>
                <w:i/>
                <w:iCs/>
              </w:rPr>
              <w:t>p</w:t>
            </w:r>
            <w:r w:rsidRPr="007032E9">
              <w:rPr>
                <w:rFonts w:cstheme="minorHAnsi"/>
              </w:rPr>
              <w:t>-value</w:t>
            </w:r>
          </w:p>
        </w:tc>
      </w:tr>
      <w:tr w:rsidR="003F6870" w:rsidRPr="007032E9" w14:paraId="2BF0A56A" w14:textId="77777777" w:rsidTr="007032E9">
        <w:tc>
          <w:tcPr>
            <w:tcW w:w="6025" w:type="dxa"/>
          </w:tcPr>
          <w:p w14:paraId="6BD4A670" w14:textId="77777777" w:rsidR="003F6870" w:rsidRPr="007032E9" w:rsidRDefault="003F6870" w:rsidP="007032E9">
            <w:pPr>
              <w:pStyle w:val="NoSpacing"/>
              <w:rPr>
                <w:rFonts w:cstheme="minorHAnsi"/>
              </w:rPr>
            </w:pPr>
          </w:p>
        </w:tc>
        <w:tc>
          <w:tcPr>
            <w:tcW w:w="1671" w:type="dxa"/>
          </w:tcPr>
          <w:p w14:paraId="580201AF" w14:textId="296A6211" w:rsidR="003F6870" w:rsidRPr="007032E9" w:rsidRDefault="00882979" w:rsidP="007032E9">
            <w:pPr>
              <w:pStyle w:val="NoSpacing"/>
              <w:rPr>
                <w:rFonts w:cstheme="minorHAnsi"/>
              </w:rPr>
            </w:pPr>
            <w:r w:rsidRPr="007032E9">
              <w:rPr>
                <w:rFonts w:cstheme="minorHAnsi"/>
              </w:rPr>
              <w:t>−0.105</w:t>
            </w:r>
          </w:p>
        </w:tc>
        <w:tc>
          <w:tcPr>
            <w:tcW w:w="718" w:type="dxa"/>
          </w:tcPr>
          <w:p w14:paraId="60077F19" w14:textId="22B7200B" w:rsidR="003F6870" w:rsidRPr="007032E9" w:rsidRDefault="004C57E1" w:rsidP="007032E9">
            <w:pPr>
              <w:pStyle w:val="NoSpacing"/>
              <w:rPr>
                <w:rFonts w:cstheme="minorHAnsi"/>
              </w:rPr>
            </w:pPr>
            <w:r w:rsidRPr="007032E9">
              <w:rPr>
                <w:rFonts w:cstheme="minorHAnsi"/>
              </w:rPr>
              <w:t>0.239</w:t>
            </w:r>
          </w:p>
        </w:tc>
        <w:tc>
          <w:tcPr>
            <w:tcW w:w="828" w:type="dxa"/>
          </w:tcPr>
          <w:p w14:paraId="1AA3CAD6" w14:textId="62DDA9FA" w:rsidR="003F6870" w:rsidRPr="007032E9" w:rsidRDefault="004C57E1" w:rsidP="007032E9">
            <w:pPr>
              <w:pStyle w:val="NoSpacing"/>
              <w:rPr>
                <w:rFonts w:cstheme="minorHAnsi"/>
              </w:rPr>
            </w:pPr>
            <w:r w:rsidRPr="007032E9">
              <w:rPr>
                <w:rFonts w:cstheme="minorHAnsi"/>
              </w:rPr>
              <w:t>−0.438</w:t>
            </w:r>
          </w:p>
        </w:tc>
        <w:tc>
          <w:tcPr>
            <w:tcW w:w="828" w:type="dxa"/>
          </w:tcPr>
          <w:p w14:paraId="18A924AC" w14:textId="72240A8C" w:rsidR="003F6870" w:rsidRPr="007032E9" w:rsidRDefault="004C57E1" w:rsidP="007032E9">
            <w:pPr>
              <w:pStyle w:val="NoSpacing"/>
              <w:rPr>
                <w:rFonts w:cstheme="minorHAnsi"/>
              </w:rPr>
            </w:pPr>
            <w:r w:rsidRPr="007032E9">
              <w:rPr>
                <w:rFonts w:cstheme="minorHAnsi"/>
              </w:rPr>
              <w:t>.331</w:t>
            </w:r>
          </w:p>
        </w:tc>
      </w:tr>
      <w:tr w:rsidR="004C57E1" w:rsidRPr="007032E9" w14:paraId="79996EE0" w14:textId="77777777" w:rsidTr="007032E9">
        <w:tc>
          <w:tcPr>
            <w:tcW w:w="6025" w:type="dxa"/>
          </w:tcPr>
          <w:p w14:paraId="5F6A5B23" w14:textId="48F249FA" w:rsidR="004C57E1" w:rsidRPr="007032E9" w:rsidRDefault="004C57E1" w:rsidP="007032E9">
            <w:pPr>
              <w:pStyle w:val="NoSpacing"/>
              <w:rPr>
                <w:rFonts w:cstheme="minorHAnsi"/>
              </w:rPr>
            </w:pPr>
            <w:r w:rsidRPr="007032E9">
              <w:rPr>
                <w:rFonts w:cstheme="minorHAnsi"/>
              </w:rPr>
              <w:t>Total direct effects</w:t>
            </w:r>
          </w:p>
        </w:tc>
        <w:tc>
          <w:tcPr>
            <w:tcW w:w="1671" w:type="dxa"/>
          </w:tcPr>
          <w:p w14:paraId="0E37290E" w14:textId="3B4553DF" w:rsidR="004C57E1" w:rsidRPr="007032E9" w:rsidRDefault="004C57E1" w:rsidP="007032E9">
            <w:pPr>
              <w:pStyle w:val="NoSpacing"/>
              <w:rPr>
                <w:rFonts w:cstheme="minorHAnsi"/>
              </w:rPr>
            </w:pPr>
            <w:r w:rsidRPr="007032E9">
              <w:rPr>
                <w:rFonts w:cstheme="minorHAnsi"/>
              </w:rPr>
              <w:t xml:space="preserve">Coefficient (unstandardized </w:t>
            </w:r>
            <w:r w:rsidRPr="007032E9">
              <w:rPr>
                <w:rFonts w:cstheme="minorHAnsi"/>
                <w:i/>
                <w:iCs/>
              </w:rPr>
              <w:t>B</w:t>
            </w:r>
            <w:r w:rsidRPr="007032E9">
              <w:rPr>
                <w:rFonts w:cstheme="minorHAnsi"/>
              </w:rPr>
              <w:t>)</w:t>
            </w:r>
          </w:p>
        </w:tc>
        <w:tc>
          <w:tcPr>
            <w:tcW w:w="718" w:type="dxa"/>
          </w:tcPr>
          <w:p w14:paraId="752EC1AB" w14:textId="6DAF58AB" w:rsidR="004C57E1" w:rsidRPr="007032E9" w:rsidRDefault="004C57E1" w:rsidP="007032E9">
            <w:pPr>
              <w:pStyle w:val="NoSpacing"/>
              <w:rPr>
                <w:rFonts w:cstheme="minorHAnsi"/>
              </w:rPr>
            </w:pPr>
            <w:r w:rsidRPr="007032E9">
              <w:rPr>
                <w:rFonts w:cstheme="minorHAnsi"/>
                <w:i/>
                <w:iCs/>
              </w:rPr>
              <w:t>SE</w:t>
            </w:r>
          </w:p>
        </w:tc>
        <w:tc>
          <w:tcPr>
            <w:tcW w:w="828" w:type="dxa"/>
          </w:tcPr>
          <w:p w14:paraId="1DC8B72F" w14:textId="7AE97CF9" w:rsidR="004C57E1" w:rsidRPr="007032E9" w:rsidRDefault="004C57E1" w:rsidP="007032E9">
            <w:pPr>
              <w:pStyle w:val="NoSpacing"/>
              <w:rPr>
                <w:rFonts w:cstheme="minorHAnsi"/>
              </w:rPr>
            </w:pPr>
            <w:r w:rsidRPr="007032E9">
              <w:rPr>
                <w:rFonts w:cstheme="minorHAnsi"/>
              </w:rPr>
              <w:t>t</w:t>
            </w:r>
          </w:p>
        </w:tc>
        <w:tc>
          <w:tcPr>
            <w:tcW w:w="828" w:type="dxa"/>
          </w:tcPr>
          <w:p w14:paraId="38283581" w14:textId="6A6C492D" w:rsidR="004C57E1" w:rsidRPr="007032E9" w:rsidRDefault="004C57E1" w:rsidP="007032E9">
            <w:pPr>
              <w:pStyle w:val="NoSpacing"/>
              <w:rPr>
                <w:rFonts w:cstheme="minorHAnsi"/>
              </w:rPr>
            </w:pPr>
            <w:r w:rsidRPr="007032E9">
              <w:rPr>
                <w:rFonts w:cstheme="minorHAnsi"/>
                <w:i/>
                <w:iCs/>
              </w:rPr>
              <w:t>p</w:t>
            </w:r>
            <w:r w:rsidRPr="007032E9">
              <w:rPr>
                <w:rFonts w:cstheme="minorHAnsi"/>
              </w:rPr>
              <w:t>-value</w:t>
            </w:r>
          </w:p>
        </w:tc>
      </w:tr>
      <w:tr w:rsidR="003F6870" w:rsidRPr="007032E9" w14:paraId="61D5556D" w14:textId="77777777" w:rsidTr="007032E9">
        <w:tc>
          <w:tcPr>
            <w:tcW w:w="6025" w:type="dxa"/>
          </w:tcPr>
          <w:p w14:paraId="10216F04" w14:textId="20B74A97" w:rsidR="003F6870" w:rsidRPr="007032E9" w:rsidRDefault="007B506D" w:rsidP="007032E9">
            <w:pPr>
              <w:pStyle w:val="NoSpacing"/>
              <w:rPr>
                <w:rFonts w:cstheme="minorHAnsi"/>
              </w:rPr>
            </w:pPr>
            <w:r w:rsidRPr="007032E9">
              <w:rPr>
                <w:rFonts w:cstheme="minorHAnsi"/>
              </w:rPr>
              <w:t>IC system</w:t>
            </w:r>
          </w:p>
        </w:tc>
        <w:tc>
          <w:tcPr>
            <w:tcW w:w="1671" w:type="dxa"/>
          </w:tcPr>
          <w:p w14:paraId="6DACA758" w14:textId="3222D661" w:rsidR="003F6870" w:rsidRPr="007032E9" w:rsidRDefault="007B506D" w:rsidP="007032E9">
            <w:pPr>
              <w:pStyle w:val="NoSpacing"/>
              <w:rPr>
                <w:rFonts w:cstheme="minorHAnsi"/>
              </w:rPr>
            </w:pPr>
            <w:r w:rsidRPr="007032E9">
              <w:rPr>
                <w:rFonts w:cstheme="minorHAnsi"/>
              </w:rPr>
              <w:t>−0.105</w:t>
            </w:r>
          </w:p>
        </w:tc>
        <w:tc>
          <w:tcPr>
            <w:tcW w:w="718" w:type="dxa"/>
          </w:tcPr>
          <w:p w14:paraId="139CD255" w14:textId="5D8FC59F" w:rsidR="003F6870" w:rsidRPr="007032E9" w:rsidRDefault="007B506D" w:rsidP="007032E9">
            <w:pPr>
              <w:pStyle w:val="NoSpacing"/>
              <w:rPr>
                <w:rFonts w:cstheme="minorHAnsi"/>
              </w:rPr>
            </w:pPr>
            <w:r w:rsidRPr="007032E9">
              <w:rPr>
                <w:rFonts w:cstheme="minorHAnsi"/>
              </w:rPr>
              <w:t>0.239</w:t>
            </w:r>
          </w:p>
        </w:tc>
        <w:tc>
          <w:tcPr>
            <w:tcW w:w="828" w:type="dxa"/>
          </w:tcPr>
          <w:p w14:paraId="023DC7FF" w14:textId="5B3A9586" w:rsidR="003F6870" w:rsidRPr="007032E9" w:rsidRDefault="007B506D" w:rsidP="007032E9">
            <w:pPr>
              <w:pStyle w:val="NoSpacing"/>
              <w:rPr>
                <w:rFonts w:cstheme="minorHAnsi"/>
              </w:rPr>
            </w:pPr>
            <w:r w:rsidRPr="007032E9">
              <w:rPr>
                <w:rFonts w:cstheme="minorHAnsi"/>
              </w:rPr>
              <w:t>−0.438</w:t>
            </w:r>
          </w:p>
        </w:tc>
        <w:tc>
          <w:tcPr>
            <w:tcW w:w="828" w:type="dxa"/>
          </w:tcPr>
          <w:p w14:paraId="172E2F32" w14:textId="04616A7B" w:rsidR="003F6870" w:rsidRPr="007032E9" w:rsidRDefault="007B506D" w:rsidP="007032E9">
            <w:pPr>
              <w:pStyle w:val="NoSpacing"/>
              <w:rPr>
                <w:rFonts w:cstheme="minorHAnsi"/>
              </w:rPr>
            </w:pPr>
            <w:r w:rsidRPr="007032E9">
              <w:rPr>
                <w:rFonts w:cstheme="minorHAnsi"/>
              </w:rPr>
              <w:t>.331</w:t>
            </w:r>
          </w:p>
        </w:tc>
      </w:tr>
      <w:tr w:rsidR="003F6870" w:rsidRPr="007032E9" w14:paraId="3A7E07EE" w14:textId="77777777" w:rsidTr="007032E9">
        <w:tc>
          <w:tcPr>
            <w:tcW w:w="6025" w:type="dxa"/>
          </w:tcPr>
          <w:p w14:paraId="2BBF5ACE" w14:textId="5129EF57" w:rsidR="003F6870" w:rsidRPr="007032E9" w:rsidRDefault="007B506D" w:rsidP="007032E9">
            <w:pPr>
              <w:pStyle w:val="NoSpacing"/>
              <w:rPr>
                <w:rFonts w:cstheme="minorHAnsi"/>
              </w:rPr>
            </w:pPr>
            <w:r w:rsidRPr="007032E9">
              <w:rPr>
                <w:rFonts w:cstheme="minorHAnsi"/>
              </w:rPr>
              <w:t>Total indirect effects</w:t>
            </w:r>
          </w:p>
        </w:tc>
        <w:tc>
          <w:tcPr>
            <w:tcW w:w="1671" w:type="dxa"/>
          </w:tcPr>
          <w:p w14:paraId="670B54F2" w14:textId="77777777" w:rsidR="003F6870" w:rsidRPr="007032E9" w:rsidRDefault="003F6870" w:rsidP="007032E9">
            <w:pPr>
              <w:pStyle w:val="NoSpacing"/>
              <w:rPr>
                <w:rFonts w:cstheme="minorHAnsi"/>
              </w:rPr>
            </w:pPr>
          </w:p>
        </w:tc>
        <w:tc>
          <w:tcPr>
            <w:tcW w:w="718" w:type="dxa"/>
          </w:tcPr>
          <w:p w14:paraId="38C6A606" w14:textId="77777777" w:rsidR="003F6870" w:rsidRPr="007032E9" w:rsidRDefault="003F6870" w:rsidP="007032E9">
            <w:pPr>
              <w:pStyle w:val="NoSpacing"/>
              <w:rPr>
                <w:rFonts w:cstheme="minorHAnsi"/>
              </w:rPr>
            </w:pPr>
          </w:p>
        </w:tc>
        <w:tc>
          <w:tcPr>
            <w:tcW w:w="828" w:type="dxa"/>
          </w:tcPr>
          <w:p w14:paraId="37DC136A" w14:textId="77777777" w:rsidR="003F6870" w:rsidRPr="007032E9" w:rsidRDefault="003F6870" w:rsidP="007032E9">
            <w:pPr>
              <w:pStyle w:val="NoSpacing"/>
              <w:rPr>
                <w:rFonts w:cstheme="minorHAnsi"/>
              </w:rPr>
            </w:pPr>
          </w:p>
        </w:tc>
        <w:tc>
          <w:tcPr>
            <w:tcW w:w="828" w:type="dxa"/>
          </w:tcPr>
          <w:p w14:paraId="10E19E2E" w14:textId="77777777" w:rsidR="003F6870" w:rsidRPr="007032E9" w:rsidRDefault="003F6870" w:rsidP="007032E9">
            <w:pPr>
              <w:pStyle w:val="NoSpacing"/>
              <w:rPr>
                <w:rFonts w:cstheme="minorHAnsi"/>
              </w:rPr>
            </w:pPr>
          </w:p>
        </w:tc>
      </w:tr>
      <w:tr w:rsidR="003F6870" w:rsidRPr="007032E9" w14:paraId="32CDEAF4" w14:textId="77777777" w:rsidTr="007032E9">
        <w:tc>
          <w:tcPr>
            <w:tcW w:w="6025" w:type="dxa"/>
          </w:tcPr>
          <w:p w14:paraId="034201BF" w14:textId="77777777" w:rsidR="003F6870" w:rsidRPr="007032E9" w:rsidRDefault="003F6870" w:rsidP="007032E9">
            <w:pPr>
              <w:pStyle w:val="NoSpacing"/>
              <w:rPr>
                <w:rFonts w:cstheme="minorHAnsi"/>
              </w:rPr>
            </w:pPr>
          </w:p>
        </w:tc>
        <w:tc>
          <w:tcPr>
            <w:tcW w:w="1671" w:type="dxa"/>
          </w:tcPr>
          <w:p w14:paraId="1649C0CD" w14:textId="42274FA8" w:rsidR="003F6870" w:rsidRPr="007032E9" w:rsidRDefault="006109AF" w:rsidP="007032E9">
            <w:pPr>
              <w:pStyle w:val="NoSpacing"/>
              <w:rPr>
                <w:rFonts w:cstheme="minorHAnsi"/>
              </w:rPr>
            </w:pPr>
            <w:r w:rsidRPr="007032E9">
              <w:rPr>
                <w:rFonts w:cstheme="minorHAnsi"/>
              </w:rPr>
              <w:t>Effect</w:t>
            </w:r>
          </w:p>
        </w:tc>
        <w:tc>
          <w:tcPr>
            <w:tcW w:w="718" w:type="dxa"/>
          </w:tcPr>
          <w:p w14:paraId="267625BC" w14:textId="07BBE810" w:rsidR="003F6870" w:rsidRPr="007032E9" w:rsidRDefault="006109AF" w:rsidP="007032E9">
            <w:pPr>
              <w:pStyle w:val="NoSpacing"/>
              <w:rPr>
                <w:rFonts w:cstheme="minorHAnsi"/>
              </w:rPr>
            </w:pPr>
            <w:r w:rsidRPr="007032E9">
              <w:rPr>
                <w:rFonts w:cstheme="minorHAnsi"/>
              </w:rPr>
              <w:t xml:space="preserve">Boot </w:t>
            </w:r>
            <w:r w:rsidRPr="007032E9">
              <w:rPr>
                <w:rFonts w:cstheme="minorHAnsi"/>
                <w:i/>
                <w:iCs/>
              </w:rPr>
              <w:t>SE</w:t>
            </w:r>
          </w:p>
        </w:tc>
        <w:tc>
          <w:tcPr>
            <w:tcW w:w="828" w:type="dxa"/>
          </w:tcPr>
          <w:p w14:paraId="1D925CB0" w14:textId="492595CF" w:rsidR="003F6870" w:rsidRPr="007032E9" w:rsidRDefault="006109AF" w:rsidP="007032E9">
            <w:pPr>
              <w:pStyle w:val="NoSpacing"/>
              <w:rPr>
                <w:rFonts w:cstheme="minorHAnsi"/>
              </w:rPr>
            </w:pPr>
            <w:r w:rsidRPr="007032E9">
              <w:rPr>
                <w:rFonts w:cstheme="minorHAnsi"/>
              </w:rPr>
              <w:t>Boot LLCI</w:t>
            </w:r>
          </w:p>
        </w:tc>
        <w:tc>
          <w:tcPr>
            <w:tcW w:w="828" w:type="dxa"/>
          </w:tcPr>
          <w:p w14:paraId="12FA990B" w14:textId="0AD192C6" w:rsidR="003F6870" w:rsidRPr="007032E9" w:rsidRDefault="006109AF" w:rsidP="007032E9">
            <w:pPr>
              <w:pStyle w:val="NoSpacing"/>
              <w:rPr>
                <w:rFonts w:cstheme="minorHAnsi"/>
              </w:rPr>
            </w:pPr>
            <w:r w:rsidRPr="007032E9">
              <w:rPr>
                <w:rFonts w:cstheme="minorHAnsi"/>
              </w:rPr>
              <w:t>Boot ULCI</w:t>
            </w:r>
          </w:p>
        </w:tc>
      </w:tr>
      <w:tr w:rsidR="003F6870" w:rsidRPr="007032E9" w14:paraId="070B697D" w14:textId="77777777" w:rsidTr="007032E9">
        <w:tc>
          <w:tcPr>
            <w:tcW w:w="6025" w:type="dxa"/>
          </w:tcPr>
          <w:p w14:paraId="7D05F82C" w14:textId="02CDD2A6" w:rsidR="003F6870" w:rsidRPr="007032E9" w:rsidRDefault="006109AF" w:rsidP="007032E9">
            <w:pPr>
              <w:pStyle w:val="NoSpacing"/>
              <w:rPr>
                <w:rFonts w:cstheme="minorHAnsi"/>
              </w:rPr>
            </w:pPr>
            <w:r w:rsidRPr="007032E9">
              <w:rPr>
                <w:rFonts w:cstheme="minorHAnsi"/>
              </w:rPr>
              <w:t>IC system</w:t>
            </w:r>
          </w:p>
        </w:tc>
        <w:tc>
          <w:tcPr>
            <w:tcW w:w="1671" w:type="dxa"/>
          </w:tcPr>
          <w:p w14:paraId="690E9DAD" w14:textId="299AE01F" w:rsidR="003F6870" w:rsidRPr="007032E9" w:rsidRDefault="006109AF" w:rsidP="007032E9">
            <w:pPr>
              <w:pStyle w:val="NoSpacing"/>
              <w:rPr>
                <w:rFonts w:cstheme="minorHAnsi"/>
              </w:rPr>
            </w:pPr>
            <w:r w:rsidRPr="007032E9">
              <w:rPr>
                <w:rFonts w:cstheme="minorHAnsi"/>
              </w:rPr>
              <w:t>−0.097</w:t>
            </w:r>
          </w:p>
        </w:tc>
        <w:tc>
          <w:tcPr>
            <w:tcW w:w="718" w:type="dxa"/>
          </w:tcPr>
          <w:p w14:paraId="70C3F30D" w14:textId="630C8676" w:rsidR="003F6870" w:rsidRPr="007032E9" w:rsidRDefault="007032E9" w:rsidP="007032E9">
            <w:pPr>
              <w:pStyle w:val="NoSpacing"/>
              <w:rPr>
                <w:rFonts w:cstheme="minorHAnsi"/>
              </w:rPr>
            </w:pPr>
            <w:r w:rsidRPr="007032E9">
              <w:rPr>
                <w:rFonts w:cstheme="minorHAnsi"/>
              </w:rPr>
              <w:t>0.060</w:t>
            </w:r>
          </w:p>
        </w:tc>
        <w:tc>
          <w:tcPr>
            <w:tcW w:w="828" w:type="dxa"/>
          </w:tcPr>
          <w:p w14:paraId="28502792" w14:textId="04B37FAA" w:rsidR="003F6870" w:rsidRPr="007032E9" w:rsidRDefault="007032E9" w:rsidP="007032E9">
            <w:pPr>
              <w:pStyle w:val="NoSpacing"/>
              <w:rPr>
                <w:rFonts w:cstheme="minorHAnsi"/>
              </w:rPr>
            </w:pPr>
            <w:r w:rsidRPr="007032E9">
              <w:rPr>
                <w:rFonts w:cstheme="minorHAnsi"/>
              </w:rPr>
              <w:t>−0.238</w:t>
            </w:r>
          </w:p>
        </w:tc>
        <w:tc>
          <w:tcPr>
            <w:tcW w:w="828" w:type="dxa"/>
          </w:tcPr>
          <w:p w14:paraId="260ACA9B" w14:textId="579BB6AB" w:rsidR="003F6870" w:rsidRPr="007032E9" w:rsidRDefault="007032E9" w:rsidP="007032E9">
            <w:pPr>
              <w:pStyle w:val="NoSpacing"/>
              <w:rPr>
                <w:rFonts w:cstheme="minorHAnsi"/>
              </w:rPr>
            </w:pPr>
            <w:r w:rsidRPr="007032E9">
              <w:rPr>
                <w:rFonts w:cstheme="minorHAnsi"/>
              </w:rPr>
              <w:t>−0.008</w:t>
            </w:r>
          </w:p>
        </w:tc>
      </w:tr>
    </w:tbl>
    <w:p w14:paraId="6F7C74FB" w14:textId="77777777" w:rsidR="00142112" w:rsidRPr="00142112" w:rsidRDefault="00142112" w:rsidP="00142112">
      <w:pPr>
        <w:pStyle w:val="NoSpacing"/>
      </w:pPr>
      <w:r w:rsidRPr="00142112">
        <w:t>Note. SE = standard error; IC = internal controls; LLCI = lower level of confidence interval; ULCI =</w:t>
      </w:r>
    </w:p>
    <w:p w14:paraId="5FE301CD" w14:textId="14A0BC72" w:rsidR="389D8235" w:rsidRPr="00142112" w:rsidRDefault="00142112" w:rsidP="00142112">
      <w:pPr>
        <w:pStyle w:val="NoSpacing"/>
      </w:pPr>
      <w:r w:rsidRPr="00142112">
        <w:t>upper level of confidence interval.</w:t>
      </w:r>
    </w:p>
    <w:p w14:paraId="0C83729C" w14:textId="538AC345" w:rsidR="00019CDB" w:rsidRDefault="00B341C4" w:rsidP="00019CDB">
      <w:r w:rsidRPr="00B341C4">
        <w:rPr>
          <w:noProof/>
        </w:rPr>
        <w:drawing>
          <wp:inline distT="0" distB="0" distL="0" distR="0" wp14:anchorId="13A21841" wp14:editId="60AA789A">
            <wp:extent cx="3657600" cy="1426464"/>
            <wp:effectExtent l="0" t="0" r="0" b="254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57600" cy="1426464"/>
                    </a:xfrm>
                    <a:prstGeom prst="rect">
                      <a:avLst/>
                    </a:prstGeom>
                    <a:noFill/>
                    <a:ln>
                      <a:noFill/>
                    </a:ln>
                  </pic:spPr>
                </pic:pic>
              </a:graphicData>
            </a:graphic>
          </wp:inline>
        </w:drawing>
      </w:r>
    </w:p>
    <w:p w14:paraId="6FF9E42B" w14:textId="782F188A" w:rsidR="008C24CF" w:rsidRPr="008C24CF" w:rsidRDefault="008C24CF" w:rsidP="008C24CF">
      <w:r>
        <w:t>H2 predicts that control environment will mediate the relation between organization type and whistleblowing intention. Results are displayed in Panel B of </w:t>
      </w:r>
      <w:r w:rsidRPr="00D84464">
        <w:t>Table 3</w:t>
      </w:r>
      <w:r>
        <w:t>. Results indicate that organization type does not significantly predict the perception of the internal control environment (</w:t>
      </w:r>
      <w:r w:rsidRPr="00019CDB">
        <w:rPr>
          <w:i/>
          <w:iCs/>
        </w:rPr>
        <w:t>B</w:t>
      </w:r>
      <w:r>
        <w:t> = −0.175, </w:t>
      </w:r>
      <w:r w:rsidRPr="00019CDB">
        <w:rPr>
          <w:i/>
          <w:iCs/>
        </w:rPr>
        <w:t>SE</w:t>
      </w:r>
      <w:r>
        <w:t> = 0.149, ns) but that control environment does significantly predict whistleblowing intention (</w:t>
      </w:r>
      <w:r w:rsidRPr="00019CDB">
        <w:rPr>
          <w:i/>
          <w:iCs/>
        </w:rPr>
        <w:t>B</w:t>
      </w:r>
      <w:r>
        <w:t> = 0.181, </w:t>
      </w:r>
      <w:r w:rsidRPr="00019CDB">
        <w:rPr>
          <w:i/>
          <w:iCs/>
        </w:rPr>
        <w:t>SE</w:t>
      </w:r>
      <w:r>
        <w:t> = 0.097, </w:t>
      </w:r>
      <w:r w:rsidRPr="00019CDB">
        <w:rPr>
          <w:i/>
          <w:iCs/>
        </w:rPr>
        <w:t>p</w:t>
      </w:r>
      <w:r>
        <w:t> &lt; .05). However, these results do not support mediation, and thus mediation analysis is discontinued.</w:t>
      </w:r>
    </w:p>
    <w:p w14:paraId="62BBE268" w14:textId="77777777" w:rsidR="008C24CF" w:rsidRPr="008C24CF" w:rsidRDefault="008C24CF" w:rsidP="00671E09">
      <w:pPr>
        <w:spacing w:after="0"/>
      </w:pPr>
      <w:r w:rsidRPr="008C24CF">
        <w:rPr>
          <w:b/>
          <w:bCs/>
        </w:rPr>
        <w:t>Table 3.</w:t>
      </w:r>
      <w:r w:rsidRPr="008C24CF">
        <w:t> Internal Control Environment Results.</w:t>
      </w:r>
    </w:p>
    <w:tbl>
      <w:tblPr>
        <w:tblStyle w:val="TableGrid"/>
        <w:tblW w:w="0" w:type="auto"/>
        <w:tblLook w:val="06A0" w:firstRow="1" w:lastRow="0" w:firstColumn="1" w:lastColumn="0" w:noHBand="1" w:noVBand="1"/>
      </w:tblPr>
      <w:tblGrid>
        <w:gridCol w:w="5367"/>
        <w:gridCol w:w="2422"/>
        <w:gridCol w:w="718"/>
        <w:gridCol w:w="758"/>
        <w:gridCol w:w="805"/>
      </w:tblGrid>
      <w:tr w:rsidR="0045551E" w14:paraId="65560CBB" w14:textId="77777777" w:rsidTr="00433387">
        <w:tc>
          <w:tcPr>
            <w:tcW w:w="0" w:type="auto"/>
          </w:tcPr>
          <w:p w14:paraId="50575194" w14:textId="77777777" w:rsidR="0045551E" w:rsidRDefault="0045551E" w:rsidP="00019CDB">
            <w:r>
              <w:t>Panel A: Descriptive Statistics of Perceived Control Environment by Organization Type.</w:t>
            </w:r>
          </w:p>
        </w:tc>
        <w:tc>
          <w:tcPr>
            <w:tcW w:w="0" w:type="auto"/>
          </w:tcPr>
          <w:p w14:paraId="09F3D7F1" w14:textId="0F8DDCAB" w:rsidR="0045551E" w:rsidRDefault="0045551E" w:rsidP="00019CDB"/>
        </w:tc>
        <w:tc>
          <w:tcPr>
            <w:tcW w:w="0" w:type="auto"/>
          </w:tcPr>
          <w:p w14:paraId="3B4FE025" w14:textId="6F481FA9" w:rsidR="0045551E" w:rsidRDefault="0045551E" w:rsidP="00019CDB">
            <w:pPr>
              <w:jc w:val="center"/>
            </w:pPr>
          </w:p>
        </w:tc>
        <w:tc>
          <w:tcPr>
            <w:tcW w:w="0" w:type="auto"/>
          </w:tcPr>
          <w:p w14:paraId="10EFB39D" w14:textId="4BED7256" w:rsidR="0045551E" w:rsidRDefault="0045551E" w:rsidP="00019CDB">
            <w:pPr>
              <w:jc w:val="center"/>
            </w:pPr>
          </w:p>
        </w:tc>
        <w:tc>
          <w:tcPr>
            <w:tcW w:w="0" w:type="auto"/>
          </w:tcPr>
          <w:p w14:paraId="0512E3C6" w14:textId="3ED9FDE1" w:rsidR="0045551E" w:rsidRDefault="0045551E" w:rsidP="00019CDB">
            <w:pPr>
              <w:jc w:val="center"/>
            </w:pPr>
          </w:p>
        </w:tc>
      </w:tr>
      <w:tr w:rsidR="0045551E" w14:paraId="02A9B9F1" w14:textId="77777777" w:rsidTr="003B5127">
        <w:tc>
          <w:tcPr>
            <w:tcW w:w="0" w:type="auto"/>
          </w:tcPr>
          <w:p w14:paraId="06830411" w14:textId="77777777" w:rsidR="0045551E" w:rsidRDefault="0045551E" w:rsidP="00A61D3D">
            <w:r>
              <w:t>Type of organization</w:t>
            </w:r>
          </w:p>
        </w:tc>
        <w:tc>
          <w:tcPr>
            <w:tcW w:w="0" w:type="auto"/>
          </w:tcPr>
          <w:p w14:paraId="57FED3AC" w14:textId="7B4E50E9" w:rsidR="0045551E" w:rsidRDefault="0045551E" w:rsidP="00A61D3D"/>
        </w:tc>
        <w:tc>
          <w:tcPr>
            <w:tcW w:w="0" w:type="auto"/>
          </w:tcPr>
          <w:p w14:paraId="660B6584" w14:textId="67C140A5" w:rsidR="0045551E" w:rsidRDefault="0045551E" w:rsidP="00A61D3D">
            <w:pPr>
              <w:jc w:val="center"/>
            </w:pPr>
            <w:r>
              <w:t>M</w:t>
            </w:r>
          </w:p>
        </w:tc>
        <w:tc>
          <w:tcPr>
            <w:tcW w:w="0" w:type="auto"/>
          </w:tcPr>
          <w:p w14:paraId="5E4278B4" w14:textId="7BD9F2CC" w:rsidR="0045551E" w:rsidRDefault="0045551E" w:rsidP="00A61D3D">
            <w:pPr>
              <w:jc w:val="center"/>
            </w:pPr>
            <w:r>
              <w:t>SD</w:t>
            </w:r>
          </w:p>
        </w:tc>
        <w:tc>
          <w:tcPr>
            <w:tcW w:w="0" w:type="auto"/>
          </w:tcPr>
          <w:p w14:paraId="371D85FB" w14:textId="73447BC9" w:rsidR="0045551E" w:rsidRDefault="0045551E" w:rsidP="00A61D3D">
            <w:pPr>
              <w:jc w:val="center"/>
            </w:pPr>
            <w:r>
              <w:t>N</w:t>
            </w:r>
          </w:p>
        </w:tc>
      </w:tr>
      <w:tr w:rsidR="0045551E" w14:paraId="6074B58A" w14:textId="77777777" w:rsidTr="008E0160">
        <w:tc>
          <w:tcPr>
            <w:tcW w:w="0" w:type="auto"/>
          </w:tcPr>
          <w:p w14:paraId="4E906883" w14:textId="77777777" w:rsidR="0045551E" w:rsidRDefault="0045551E" w:rsidP="00A61D3D">
            <w:r>
              <w:t>For-profit</w:t>
            </w:r>
          </w:p>
        </w:tc>
        <w:tc>
          <w:tcPr>
            <w:tcW w:w="0" w:type="auto"/>
          </w:tcPr>
          <w:p w14:paraId="62E7CCEE" w14:textId="75CCD83C" w:rsidR="0045551E" w:rsidRDefault="0045551E" w:rsidP="00A61D3D"/>
        </w:tc>
        <w:tc>
          <w:tcPr>
            <w:tcW w:w="0" w:type="auto"/>
          </w:tcPr>
          <w:p w14:paraId="66382C03" w14:textId="2BA0A45C" w:rsidR="0045551E" w:rsidRDefault="0045551E" w:rsidP="00A61D3D">
            <w:pPr>
              <w:jc w:val="center"/>
            </w:pPr>
            <w:r>
              <w:t>5.68</w:t>
            </w:r>
          </w:p>
        </w:tc>
        <w:tc>
          <w:tcPr>
            <w:tcW w:w="0" w:type="auto"/>
          </w:tcPr>
          <w:p w14:paraId="327EA76D" w14:textId="09BBD6D6" w:rsidR="0045551E" w:rsidRDefault="0045551E" w:rsidP="00A61D3D">
            <w:pPr>
              <w:jc w:val="center"/>
            </w:pPr>
            <w:r>
              <w:t>1.15</w:t>
            </w:r>
          </w:p>
        </w:tc>
        <w:tc>
          <w:tcPr>
            <w:tcW w:w="0" w:type="auto"/>
          </w:tcPr>
          <w:p w14:paraId="3EA0F0D6" w14:textId="6F5BD3F2" w:rsidR="0045551E" w:rsidRDefault="0045551E" w:rsidP="00A61D3D">
            <w:pPr>
              <w:jc w:val="center"/>
            </w:pPr>
            <w:r>
              <w:t>153</w:t>
            </w:r>
          </w:p>
        </w:tc>
      </w:tr>
      <w:tr w:rsidR="0045551E" w14:paraId="6E5D16D7" w14:textId="77777777" w:rsidTr="008B5C17">
        <w:tc>
          <w:tcPr>
            <w:tcW w:w="0" w:type="auto"/>
          </w:tcPr>
          <w:p w14:paraId="61B97DFD" w14:textId="77777777" w:rsidR="0045551E" w:rsidRDefault="0045551E" w:rsidP="00A61D3D">
            <w:r>
              <w:t>Nonprofit</w:t>
            </w:r>
          </w:p>
        </w:tc>
        <w:tc>
          <w:tcPr>
            <w:tcW w:w="0" w:type="auto"/>
          </w:tcPr>
          <w:p w14:paraId="5D7E0DA3" w14:textId="360B11E0" w:rsidR="0045551E" w:rsidRDefault="0045551E" w:rsidP="00A61D3D"/>
        </w:tc>
        <w:tc>
          <w:tcPr>
            <w:tcW w:w="0" w:type="auto"/>
          </w:tcPr>
          <w:p w14:paraId="5FC14378" w14:textId="76BFE85E" w:rsidR="0045551E" w:rsidRDefault="0045551E" w:rsidP="00A61D3D">
            <w:pPr>
              <w:jc w:val="center"/>
            </w:pPr>
            <w:r>
              <w:t>5.51</w:t>
            </w:r>
          </w:p>
        </w:tc>
        <w:tc>
          <w:tcPr>
            <w:tcW w:w="0" w:type="auto"/>
          </w:tcPr>
          <w:p w14:paraId="5F4D30BC" w14:textId="0C7D9EED" w:rsidR="0045551E" w:rsidRDefault="0045551E" w:rsidP="00A61D3D">
            <w:pPr>
              <w:jc w:val="center"/>
            </w:pPr>
            <w:r>
              <w:t>1.30</w:t>
            </w:r>
          </w:p>
        </w:tc>
        <w:tc>
          <w:tcPr>
            <w:tcW w:w="0" w:type="auto"/>
          </w:tcPr>
          <w:p w14:paraId="6B2501D7" w14:textId="4ED47D89" w:rsidR="0045551E" w:rsidRDefault="0045551E" w:rsidP="00A61D3D">
            <w:pPr>
              <w:jc w:val="center"/>
            </w:pPr>
            <w:r>
              <w:t>119</w:t>
            </w:r>
          </w:p>
        </w:tc>
      </w:tr>
      <w:tr w:rsidR="0045551E" w14:paraId="58A2EDF1" w14:textId="77777777" w:rsidTr="00391901">
        <w:tc>
          <w:tcPr>
            <w:tcW w:w="0" w:type="auto"/>
          </w:tcPr>
          <w:p w14:paraId="6D7F0B6D" w14:textId="77777777" w:rsidR="0045551E" w:rsidRDefault="0045551E" w:rsidP="00A61D3D">
            <w:r>
              <w:t>Total</w:t>
            </w:r>
          </w:p>
        </w:tc>
        <w:tc>
          <w:tcPr>
            <w:tcW w:w="0" w:type="auto"/>
          </w:tcPr>
          <w:p w14:paraId="73A0B68F" w14:textId="7A280CC6" w:rsidR="0045551E" w:rsidRDefault="0045551E" w:rsidP="00A61D3D"/>
        </w:tc>
        <w:tc>
          <w:tcPr>
            <w:tcW w:w="0" w:type="auto"/>
          </w:tcPr>
          <w:p w14:paraId="698583E2" w14:textId="14F0B088" w:rsidR="0045551E" w:rsidRDefault="0045551E" w:rsidP="00A61D3D">
            <w:pPr>
              <w:jc w:val="center"/>
            </w:pPr>
            <w:r>
              <w:t>5.60</w:t>
            </w:r>
          </w:p>
        </w:tc>
        <w:tc>
          <w:tcPr>
            <w:tcW w:w="0" w:type="auto"/>
          </w:tcPr>
          <w:p w14:paraId="2FB6D46B" w14:textId="432EEAA2" w:rsidR="0045551E" w:rsidRDefault="0045551E" w:rsidP="00A61D3D">
            <w:pPr>
              <w:jc w:val="center"/>
            </w:pPr>
            <w:r>
              <w:t>1.22</w:t>
            </w:r>
          </w:p>
        </w:tc>
        <w:tc>
          <w:tcPr>
            <w:tcW w:w="0" w:type="auto"/>
          </w:tcPr>
          <w:p w14:paraId="566DFC21" w14:textId="53AA7079" w:rsidR="0045551E" w:rsidRDefault="0045551E" w:rsidP="00A61D3D">
            <w:pPr>
              <w:jc w:val="center"/>
            </w:pPr>
            <w:r>
              <w:t>272</w:t>
            </w:r>
          </w:p>
        </w:tc>
      </w:tr>
      <w:tr w:rsidR="00485DAA" w14:paraId="62AD8133" w14:textId="77777777" w:rsidTr="002B25ED">
        <w:tc>
          <w:tcPr>
            <w:tcW w:w="0" w:type="auto"/>
          </w:tcPr>
          <w:p w14:paraId="3E8D4E1F" w14:textId="08C0FF71" w:rsidR="00485DAA" w:rsidRDefault="00485DAA" w:rsidP="008A4392">
            <w:r>
              <w:t>Panel B: Control Environment Mediation Analysis</w:t>
            </w:r>
            <w:r w:rsidRPr="00D84464">
              <w:rPr>
                <w:vertAlign w:val="superscript"/>
              </w:rPr>
              <w:t>4</w:t>
            </w:r>
            <w:r>
              <w:t>.</w:t>
            </w:r>
          </w:p>
        </w:tc>
        <w:tc>
          <w:tcPr>
            <w:tcW w:w="0" w:type="auto"/>
          </w:tcPr>
          <w:p w14:paraId="187098D7" w14:textId="77777777" w:rsidR="00485DAA" w:rsidRDefault="00485DAA" w:rsidP="008A4392"/>
        </w:tc>
        <w:tc>
          <w:tcPr>
            <w:tcW w:w="0" w:type="auto"/>
          </w:tcPr>
          <w:p w14:paraId="4DFAC1EB" w14:textId="3973542A" w:rsidR="00485DAA" w:rsidRDefault="00485DAA" w:rsidP="008A4392"/>
        </w:tc>
        <w:tc>
          <w:tcPr>
            <w:tcW w:w="0" w:type="auto"/>
          </w:tcPr>
          <w:p w14:paraId="27EE393A" w14:textId="77777777" w:rsidR="00485DAA" w:rsidRDefault="00485DAA" w:rsidP="008A4392"/>
        </w:tc>
        <w:tc>
          <w:tcPr>
            <w:tcW w:w="0" w:type="auto"/>
          </w:tcPr>
          <w:p w14:paraId="79162C46" w14:textId="77777777" w:rsidR="00485DAA" w:rsidRDefault="00485DAA" w:rsidP="008A4392"/>
        </w:tc>
      </w:tr>
      <w:tr w:rsidR="00485DAA" w14:paraId="7EF65648" w14:textId="77777777" w:rsidTr="002B25ED">
        <w:tc>
          <w:tcPr>
            <w:tcW w:w="0" w:type="auto"/>
          </w:tcPr>
          <w:p w14:paraId="4DA2BCC1" w14:textId="30274153" w:rsidR="00485DAA" w:rsidRDefault="00485DAA" w:rsidP="008A4392">
            <w:r>
              <w:t>Path A-Organization type predicts perception of control environment</w:t>
            </w:r>
          </w:p>
        </w:tc>
        <w:tc>
          <w:tcPr>
            <w:tcW w:w="0" w:type="auto"/>
          </w:tcPr>
          <w:p w14:paraId="51A0DC09" w14:textId="77777777" w:rsidR="00485DAA" w:rsidRDefault="00485DAA" w:rsidP="008A4392"/>
        </w:tc>
        <w:tc>
          <w:tcPr>
            <w:tcW w:w="0" w:type="auto"/>
          </w:tcPr>
          <w:p w14:paraId="7730068F" w14:textId="14671517" w:rsidR="00485DAA" w:rsidRDefault="00485DAA" w:rsidP="008A4392"/>
        </w:tc>
        <w:tc>
          <w:tcPr>
            <w:tcW w:w="0" w:type="auto"/>
          </w:tcPr>
          <w:p w14:paraId="0878A2F9" w14:textId="77777777" w:rsidR="00485DAA" w:rsidRDefault="00485DAA" w:rsidP="008A4392"/>
        </w:tc>
        <w:tc>
          <w:tcPr>
            <w:tcW w:w="0" w:type="auto"/>
          </w:tcPr>
          <w:p w14:paraId="1710EA39" w14:textId="77777777" w:rsidR="00485DAA" w:rsidRDefault="00485DAA" w:rsidP="008A4392"/>
        </w:tc>
      </w:tr>
      <w:tr w:rsidR="00485DAA" w14:paraId="25572F28" w14:textId="77777777" w:rsidTr="002B25ED">
        <w:tc>
          <w:tcPr>
            <w:tcW w:w="0" w:type="auto"/>
          </w:tcPr>
          <w:p w14:paraId="39843804" w14:textId="56C0551B" w:rsidR="00485DAA" w:rsidRDefault="00485DAA" w:rsidP="00485DAA"/>
        </w:tc>
        <w:tc>
          <w:tcPr>
            <w:tcW w:w="0" w:type="auto"/>
          </w:tcPr>
          <w:p w14:paraId="05846B06" w14:textId="08323A35" w:rsidR="00485DAA" w:rsidRDefault="00485DAA" w:rsidP="0055023E">
            <w:r>
              <w:t>Coefficient (unstandardized B)</w:t>
            </w:r>
          </w:p>
        </w:tc>
        <w:tc>
          <w:tcPr>
            <w:tcW w:w="0" w:type="auto"/>
          </w:tcPr>
          <w:p w14:paraId="519B6154" w14:textId="0C932F26" w:rsidR="00485DAA" w:rsidRDefault="00485DAA" w:rsidP="00485DAA">
            <w:pPr>
              <w:jc w:val="center"/>
            </w:pPr>
            <w:r>
              <w:t>SE</w:t>
            </w:r>
          </w:p>
        </w:tc>
        <w:tc>
          <w:tcPr>
            <w:tcW w:w="0" w:type="auto"/>
          </w:tcPr>
          <w:p w14:paraId="1198C7F3" w14:textId="26B4135B" w:rsidR="00485DAA" w:rsidRDefault="00485DAA" w:rsidP="00485DAA">
            <w:pPr>
              <w:jc w:val="center"/>
            </w:pPr>
            <w:r>
              <w:t>t</w:t>
            </w:r>
          </w:p>
        </w:tc>
        <w:tc>
          <w:tcPr>
            <w:tcW w:w="0" w:type="auto"/>
          </w:tcPr>
          <w:p w14:paraId="5F12763E" w14:textId="73164539" w:rsidR="00485DAA" w:rsidRDefault="00485DAA" w:rsidP="00485DAA">
            <w:pPr>
              <w:jc w:val="center"/>
            </w:pPr>
            <w:r>
              <w:t>P-value</w:t>
            </w:r>
          </w:p>
        </w:tc>
      </w:tr>
      <w:tr w:rsidR="00485DAA" w14:paraId="2914D35A" w14:textId="77777777" w:rsidTr="002B25ED">
        <w:tc>
          <w:tcPr>
            <w:tcW w:w="0" w:type="auto"/>
          </w:tcPr>
          <w:p w14:paraId="04D14595" w14:textId="2B8DC6F3" w:rsidR="00485DAA" w:rsidRDefault="00485DAA" w:rsidP="00485DAA"/>
        </w:tc>
        <w:tc>
          <w:tcPr>
            <w:tcW w:w="0" w:type="auto"/>
          </w:tcPr>
          <w:p w14:paraId="45AA912B" w14:textId="09EFB646" w:rsidR="00485DAA" w:rsidRDefault="00485DAA" w:rsidP="00485DAA">
            <w:pPr>
              <w:jc w:val="center"/>
            </w:pPr>
            <w:r>
              <w:t>-0.175</w:t>
            </w:r>
          </w:p>
        </w:tc>
        <w:tc>
          <w:tcPr>
            <w:tcW w:w="0" w:type="auto"/>
          </w:tcPr>
          <w:p w14:paraId="29B587E5" w14:textId="2B50611E" w:rsidR="00485DAA" w:rsidRDefault="00485DAA" w:rsidP="00485DAA">
            <w:pPr>
              <w:jc w:val="center"/>
            </w:pPr>
            <w:r>
              <w:t>0.149</w:t>
            </w:r>
          </w:p>
        </w:tc>
        <w:tc>
          <w:tcPr>
            <w:tcW w:w="0" w:type="auto"/>
          </w:tcPr>
          <w:p w14:paraId="6E5DBC86" w14:textId="6072B3B0" w:rsidR="00485DAA" w:rsidRDefault="00485DAA" w:rsidP="00485DAA">
            <w:pPr>
              <w:jc w:val="center"/>
            </w:pPr>
            <w:r>
              <w:t>-1.175</w:t>
            </w:r>
          </w:p>
        </w:tc>
        <w:tc>
          <w:tcPr>
            <w:tcW w:w="0" w:type="auto"/>
          </w:tcPr>
          <w:p w14:paraId="19E2BDBC" w14:textId="215D1F11" w:rsidR="00485DAA" w:rsidRDefault="00485DAA" w:rsidP="00485DAA">
            <w:pPr>
              <w:jc w:val="center"/>
            </w:pPr>
            <w:r>
              <w:t>.120</w:t>
            </w:r>
          </w:p>
        </w:tc>
      </w:tr>
      <w:tr w:rsidR="00485DAA" w14:paraId="6230FDDD" w14:textId="77777777" w:rsidTr="00E36AA4">
        <w:tc>
          <w:tcPr>
            <w:tcW w:w="0" w:type="auto"/>
          </w:tcPr>
          <w:p w14:paraId="3D24EA00" w14:textId="77777777" w:rsidR="00485DAA" w:rsidRDefault="00485DAA" w:rsidP="00485DAA">
            <w:r>
              <w:t>Path B-Perception of control environment predicts whistleblowing</w:t>
            </w:r>
          </w:p>
        </w:tc>
        <w:tc>
          <w:tcPr>
            <w:tcW w:w="0" w:type="auto"/>
          </w:tcPr>
          <w:p w14:paraId="5CA4477D" w14:textId="77777777" w:rsidR="00485DAA" w:rsidRDefault="00485DAA" w:rsidP="00485DAA"/>
        </w:tc>
        <w:tc>
          <w:tcPr>
            <w:tcW w:w="0" w:type="auto"/>
          </w:tcPr>
          <w:p w14:paraId="4C31CAC1" w14:textId="7515B3EB" w:rsidR="00485DAA" w:rsidRDefault="00485DAA" w:rsidP="00485DAA"/>
        </w:tc>
        <w:tc>
          <w:tcPr>
            <w:tcW w:w="0" w:type="auto"/>
          </w:tcPr>
          <w:p w14:paraId="2D3C3644" w14:textId="77777777" w:rsidR="00485DAA" w:rsidRDefault="00485DAA" w:rsidP="00485DAA"/>
        </w:tc>
        <w:tc>
          <w:tcPr>
            <w:tcW w:w="0" w:type="auto"/>
          </w:tcPr>
          <w:p w14:paraId="1268B8CC" w14:textId="0D84DD27" w:rsidR="00485DAA" w:rsidRDefault="00485DAA" w:rsidP="00485DAA"/>
        </w:tc>
      </w:tr>
      <w:tr w:rsidR="00485DAA" w14:paraId="7C7BDB6E" w14:textId="77777777" w:rsidTr="002B25ED">
        <w:tc>
          <w:tcPr>
            <w:tcW w:w="0" w:type="auto"/>
          </w:tcPr>
          <w:p w14:paraId="4B447B3F" w14:textId="5AD716C6" w:rsidR="00485DAA" w:rsidRDefault="00485DAA" w:rsidP="00485DAA"/>
        </w:tc>
        <w:tc>
          <w:tcPr>
            <w:tcW w:w="0" w:type="auto"/>
          </w:tcPr>
          <w:p w14:paraId="56D54706" w14:textId="08918EC9" w:rsidR="00485DAA" w:rsidRDefault="00485DAA" w:rsidP="0055023E">
            <w:r>
              <w:t>Coefficient (unstandardized B)</w:t>
            </w:r>
          </w:p>
        </w:tc>
        <w:tc>
          <w:tcPr>
            <w:tcW w:w="0" w:type="auto"/>
          </w:tcPr>
          <w:p w14:paraId="2C32CBE6" w14:textId="52746862" w:rsidR="00485DAA" w:rsidRDefault="00485DAA" w:rsidP="00485DAA">
            <w:pPr>
              <w:jc w:val="center"/>
            </w:pPr>
            <w:r>
              <w:t>SE</w:t>
            </w:r>
          </w:p>
        </w:tc>
        <w:tc>
          <w:tcPr>
            <w:tcW w:w="0" w:type="auto"/>
          </w:tcPr>
          <w:p w14:paraId="06E7AEC4" w14:textId="397522A4" w:rsidR="00485DAA" w:rsidRDefault="00485DAA" w:rsidP="00485DAA">
            <w:pPr>
              <w:jc w:val="center"/>
            </w:pPr>
            <w:r>
              <w:t>t</w:t>
            </w:r>
          </w:p>
        </w:tc>
        <w:tc>
          <w:tcPr>
            <w:tcW w:w="0" w:type="auto"/>
          </w:tcPr>
          <w:p w14:paraId="18BFC465" w14:textId="11780ECD" w:rsidR="00485DAA" w:rsidRDefault="00485DAA" w:rsidP="00485DAA">
            <w:pPr>
              <w:jc w:val="center"/>
            </w:pPr>
            <w:r>
              <w:t>P-value</w:t>
            </w:r>
          </w:p>
        </w:tc>
      </w:tr>
      <w:tr w:rsidR="00485DAA" w14:paraId="02BBA73A" w14:textId="77777777" w:rsidTr="002B25ED">
        <w:tc>
          <w:tcPr>
            <w:tcW w:w="0" w:type="auto"/>
          </w:tcPr>
          <w:p w14:paraId="631907FA" w14:textId="27670C8B" w:rsidR="00485DAA" w:rsidRDefault="00485DAA" w:rsidP="00485DAA"/>
        </w:tc>
        <w:tc>
          <w:tcPr>
            <w:tcW w:w="0" w:type="auto"/>
          </w:tcPr>
          <w:p w14:paraId="3D8B52A9" w14:textId="3758E6BF" w:rsidR="00485DAA" w:rsidRDefault="00485DAA" w:rsidP="00485DAA">
            <w:pPr>
              <w:jc w:val="center"/>
            </w:pPr>
            <w:r>
              <w:t>0.181</w:t>
            </w:r>
          </w:p>
        </w:tc>
        <w:tc>
          <w:tcPr>
            <w:tcW w:w="0" w:type="auto"/>
          </w:tcPr>
          <w:p w14:paraId="3C30FD8F" w14:textId="51AB8E9F" w:rsidR="00485DAA" w:rsidRDefault="00485DAA" w:rsidP="00485DAA">
            <w:pPr>
              <w:jc w:val="center"/>
            </w:pPr>
            <w:r>
              <w:t>0.097</w:t>
            </w:r>
          </w:p>
        </w:tc>
        <w:tc>
          <w:tcPr>
            <w:tcW w:w="0" w:type="auto"/>
          </w:tcPr>
          <w:p w14:paraId="6F2B7060" w14:textId="60465569" w:rsidR="00485DAA" w:rsidRDefault="00485DAA" w:rsidP="00485DAA">
            <w:pPr>
              <w:jc w:val="center"/>
            </w:pPr>
            <w:r>
              <w:t>1.868</w:t>
            </w:r>
          </w:p>
        </w:tc>
        <w:tc>
          <w:tcPr>
            <w:tcW w:w="0" w:type="auto"/>
          </w:tcPr>
          <w:p w14:paraId="65F1726E" w14:textId="552A0B0D" w:rsidR="00485DAA" w:rsidRDefault="00485DAA" w:rsidP="00485DAA">
            <w:pPr>
              <w:jc w:val="center"/>
            </w:pPr>
            <w:r>
              <w:t>.031</w:t>
            </w:r>
          </w:p>
        </w:tc>
      </w:tr>
    </w:tbl>
    <w:p w14:paraId="20CB3D71" w14:textId="432BE7FC" w:rsidR="008C24CF" w:rsidRPr="008C24CF" w:rsidRDefault="008C24CF" w:rsidP="00019CDB">
      <w:pPr>
        <w:rPr>
          <w:b/>
          <w:bCs/>
        </w:rPr>
      </w:pPr>
    </w:p>
    <w:p w14:paraId="3000DE09" w14:textId="764628BA" w:rsidR="008C24CF" w:rsidRPr="008C24CF" w:rsidRDefault="008C24CF" w:rsidP="008C24CF">
      <w:r>
        <w:t>H2 also predicts that control activities will mediate the path between organization type and whistleblowing intention. Results are displayed in Panel B of </w:t>
      </w:r>
      <w:r w:rsidRPr="00D84464">
        <w:t>Table 4</w:t>
      </w:r>
      <w:r>
        <w:t>. Results indicate that organization type significantly predicts the perception of internal controls activities (</w:t>
      </w:r>
      <w:r w:rsidRPr="00019CDB">
        <w:rPr>
          <w:i/>
          <w:iCs/>
        </w:rPr>
        <w:t>B</w:t>
      </w:r>
      <w:r>
        <w:t> = −0.485, </w:t>
      </w:r>
      <w:r w:rsidRPr="00019CDB">
        <w:rPr>
          <w:i/>
          <w:iCs/>
        </w:rPr>
        <w:t>SE</w:t>
      </w:r>
      <w:r>
        <w:t> = 0.159, </w:t>
      </w:r>
      <w:r w:rsidRPr="00019CDB">
        <w:rPr>
          <w:i/>
          <w:iCs/>
        </w:rPr>
        <w:t>p</w:t>
      </w:r>
      <w:r>
        <w:t xml:space="preserve"> &lt; .01), where perception of </w:t>
      </w:r>
      <w:r>
        <w:lastRenderedPageBreak/>
        <w:t>internal control activities is lower among nonprofit employees, and that perception of control activities positively and significantly predicts whistleblowing (</w:t>
      </w:r>
      <w:r w:rsidRPr="00019CDB">
        <w:rPr>
          <w:i/>
          <w:iCs/>
        </w:rPr>
        <w:t>B</w:t>
      </w:r>
      <w:r>
        <w:t> = 0.280, </w:t>
      </w:r>
      <w:r w:rsidRPr="00019CDB">
        <w:rPr>
          <w:i/>
          <w:iCs/>
        </w:rPr>
        <w:t>SE</w:t>
      </w:r>
      <w:r>
        <w:t> = 0.090, </w:t>
      </w:r>
      <w:r w:rsidRPr="00019CDB">
        <w:rPr>
          <w:i/>
          <w:iCs/>
        </w:rPr>
        <w:t>p</w:t>
      </w:r>
      <w:r>
        <w:t> &lt; .01), where higher perceived control activities increase whistleblowing intention. These results support mediation. Organization type is not a significant predictor of whistleblowing after controlling for the mediator, perception of control activities (</w:t>
      </w:r>
      <w:r w:rsidRPr="00019CDB">
        <w:rPr>
          <w:i/>
          <w:iCs/>
        </w:rPr>
        <w:t>B</w:t>
      </w:r>
      <w:r>
        <w:t> = −0.066, </w:t>
      </w:r>
      <w:r w:rsidRPr="00019CDB">
        <w:rPr>
          <w:i/>
          <w:iCs/>
        </w:rPr>
        <w:t>SE</w:t>
      </w:r>
      <w:r>
        <w:t> = 0.239, ns), consistent with mediation. The results indicate that the indirect coefficient (the effect of organization type on whistleblowing through perception of control activities) is significant (</w:t>
      </w:r>
      <w:r w:rsidRPr="00019CDB">
        <w:rPr>
          <w:i/>
          <w:iCs/>
        </w:rPr>
        <w:t>B</w:t>
      </w:r>
      <w:r>
        <w:t> = −0.136, </w:t>
      </w:r>
      <w:r w:rsidRPr="00019CDB">
        <w:rPr>
          <w:i/>
          <w:iCs/>
        </w:rPr>
        <w:t>SE</w:t>
      </w:r>
      <w:r>
        <w:t xml:space="preserve"> = 0.065, 95% CI = −0.280, −0.027), further supporting mediation. Nonprofit organizations were associated with intentions to </w:t>
      </w:r>
      <w:proofErr w:type="spellStart"/>
      <w:r>
        <w:t>whistleblow</w:t>
      </w:r>
      <w:proofErr w:type="spellEnd"/>
      <w:r>
        <w:t>, which were 0.136 points lower as mediated by perception of control activities.</w:t>
      </w:r>
    </w:p>
    <w:p w14:paraId="6D763BC2" w14:textId="17669E11" w:rsidR="008C24CF" w:rsidRPr="008C24CF" w:rsidRDefault="008C24CF" w:rsidP="00C06070">
      <w:pPr>
        <w:spacing w:after="0"/>
      </w:pPr>
      <w:r w:rsidRPr="008C24CF">
        <w:rPr>
          <w:b/>
          <w:bCs/>
        </w:rPr>
        <w:t>Table 4.</w:t>
      </w:r>
      <w:r w:rsidRPr="008C24CF">
        <w:t> Internal Control Activities Results.</w:t>
      </w:r>
    </w:p>
    <w:tbl>
      <w:tblPr>
        <w:tblStyle w:val="TableGrid"/>
        <w:tblW w:w="0" w:type="auto"/>
        <w:tblLook w:val="06A0" w:firstRow="1" w:lastRow="0" w:firstColumn="1" w:lastColumn="0" w:noHBand="1" w:noVBand="1"/>
      </w:tblPr>
      <w:tblGrid>
        <w:gridCol w:w="5071"/>
        <w:gridCol w:w="2292"/>
        <w:gridCol w:w="808"/>
        <w:gridCol w:w="937"/>
        <w:gridCol w:w="962"/>
      </w:tblGrid>
      <w:tr w:rsidR="00B241F5" w:rsidRPr="00736711" w14:paraId="7F1BB6E8" w14:textId="77777777" w:rsidTr="00B241F5">
        <w:tc>
          <w:tcPr>
            <w:tcW w:w="0" w:type="auto"/>
          </w:tcPr>
          <w:p w14:paraId="6F6DA3FC" w14:textId="5EFF752F" w:rsidR="00B241F5" w:rsidRPr="00736711" w:rsidRDefault="00B241F5" w:rsidP="00736711">
            <w:pPr>
              <w:pStyle w:val="NoSpacing"/>
              <w:rPr>
                <w:rFonts w:cstheme="minorHAnsi"/>
              </w:rPr>
            </w:pPr>
            <w:r w:rsidRPr="00736711">
              <w:rPr>
                <w:rFonts w:cstheme="minorHAnsi"/>
              </w:rPr>
              <w:t>Panel A: Control Activities Cell Means and Standard Deviations.</w:t>
            </w:r>
          </w:p>
        </w:tc>
        <w:tc>
          <w:tcPr>
            <w:tcW w:w="0" w:type="auto"/>
          </w:tcPr>
          <w:p w14:paraId="68F1F21A" w14:textId="77777777" w:rsidR="00B241F5" w:rsidRPr="00736711" w:rsidRDefault="00B241F5" w:rsidP="00736711">
            <w:pPr>
              <w:pStyle w:val="NoSpacing"/>
              <w:rPr>
                <w:rFonts w:cstheme="minorHAnsi"/>
              </w:rPr>
            </w:pPr>
          </w:p>
        </w:tc>
        <w:tc>
          <w:tcPr>
            <w:tcW w:w="0" w:type="auto"/>
          </w:tcPr>
          <w:p w14:paraId="0674E587" w14:textId="34C44759" w:rsidR="00B241F5" w:rsidRPr="00736711" w:rsidRDefault="00B241F5" w:rsidP="00736711">
            <w:pPr>
              <w:pStyle w:val="NoSpacing"/>
              <w:rPr>
                <w:rFonts w:cstheme="minorHAnsi"/>
              </w:rPr>
            </w:pPr>
          </w:p>
        </w:tc>
        <w:tc>
          <w:tcPr>
            <w:tcW w:w="0" w:type="auto"/>
          </w:tcPr>
          <w:p w14:paraId="619EDC41" w14:textId="269852F7" w:rsidR="00B241F5" w:rsidRPr="00736711" w:rsidRDefault="00B241F5" w:rsidP="00736711">
            <w:pPr>
              <w:pStyle w:val="NoSpacing"/>
              <w:rPr>
                <w:rFonts w:cstheme="minorHAnsi"/>
              </w:rPr>
            </w:pPr>
          </w:p>
        </w:tc>
        <w:tc>
          <w:tcPr>
            <w:tcW w:w="0" w:type="auto"/>
          </w:tcPr>
          <w:p w14:paraId="54D80CE0" w14:textId="6404C8CD" w:rsidR="00B241F5" w:rsidRPr="00736711" w:rsidRDefault="00B241F5" w:rsidP="00736711">
            <w:pPr>
              <w:pStyle w:val="NoSpacing"/>
              <w:rPr>
                <w:rFonts w:cstheme="minorHAnsi"/>
              </w:rPr>
            </w:pPr>
          </w:p>
        </w:tc>
      </w:tr>
      <w:tr w:rsidR="00B241F5" w:rsidRPr="00736711" w14:paraId="6A8EE7A1" w14:textId="77777777" w:rsidTr="00B241F5">
        <w:tc>
          <w:tcPr>
            <w:tcW w:w="0" w:type="auto"/>
          </w:tcPr>
          <w:p w14:paraId="1701B956" w14:textId="6D90E1AB" w:rsidR="00B241F5" w:rsidRPr="00736711" w:rsidRDefault="00B241F5" w:rsidP="00736711">
            <w:pPr>
              <w:pStyle w:val="NoSpacing"/>
              <w:rPr>
                <w:rFonts w:cstheme="minorHAnsi"/>
              </w:rPr>
            </w:pPr>
            <w:r w:rsidRPr="00736711">
              <w:rPr>
                <w:rFonts w:cstheme="minorHAnsi"/>
              </w:rPr>
              <w:t>Type of organization</w:t>
            </w:r>
          </w:p>
        </w:tc>
        <w:tc>
          <w:tcPr>
            <w:tcW w:w="0" w:type="auto"/>
          </w:tcPr>
          <w:p w14:paraId="236B45F9" w14:textId="77777777" w:rsidR="00B241F5" w:rsidRPr="00736711" w:rsidRDefault="00B241F5" w:rsidP="00736711">
            <w:pPr>
              <w:pStyle w:val="NoSpacing"/>
              <w:rPr>
                <w:rFonts w:cstheme="minorHAnsi"/>
              </w:rPr>
            </w:pPr>
          </w:p>
        </w:tc>
        <w:tc>
          <w:tcPr>
            <w:tcW w:w="0" w:type="auto"/>
          </w:tcPr>
          <w:p w14:paraId="382FD22A" w14:textId="75539AEC" w:rsidR="00B241F5" w:rsidRPr="00736711" w:rsidRDefault="00B241F5" w:rsidP="00736711">
            <w:pPr>
              <w:pStyle w:val="NoSpacing"/>
              <w:rPr>
                <w:rFonts w:cstheme="minorHAnsi"/>
              </w:rPr>
            </w:pPr>
            <w:r w:rsidRPr="00736711">
              <w:rPr>
                <w:rFonts w:cstheme="minorHAnsi"/>
              </w:rPr>
              <w:t>M</w:t>
            </w:r>
          </w:p>
        </w:tc>
        <w:tc>
          <w:tcPr>
            <w:tcW w:w="0" w:type="auto"/>
          </w:tcPr>
          <w:p w14:paraId="1D9E5865" w14:textId="0BFC1627" w:rsidR="00B241F5" w:rsidRPr="00736711" w:rsidRDefault="00B241F5" w:rsidP="00736711">
            <w:pPr>
              <w:pStyle w:val="NoSpacing"/>
              <w:rPr>
                <w:rFonts w:cstheme="minorHAnsi"/>
              </w:rPr>
            </w:pPr>
            <w:r w:rsidRPr="00736711">
              <w:rPr>
                <w:rFonts w:cstheme="minorHAnsi"/>
              </w:rPr>
              <w:t>SD</w:t>
            </w:r>
          </w:p>
        </w:tc>
        <w:tc>
          <w:tcPr>
            <w:tcW w:w="0" w:type="auto"/>
          </w:tcPr>
          <w:p w14:paraId="5EB1EAF0" w14:textId="60EA88AB" w:rsidR="00B241F5" w:rsidRPr="00736711" w:rsidRDefault="00B241F5" w:rsidP="00736711">
            <w:pPr>
              <w:pStyle w:val="NoSpacing"/>
              <w:rPr>
                <w:rFonts w:cstheme="minorHAnsi"/>
              </w:rPr>
            </w:pPr>
            <w:r w:rsidRPr="00736711">
              <w:rPr>
                <w:rFonts w:cstheme="minorHAnsi"/>
              </w:rPr>
              <w:t>N</w:t>
            </w:r>
          </w:p>
        </w:tc>
      </w:tr>
      <w:tr w:rsidR="00B241F5" w:rsidRPr="00736711" w14:paraId="5A8E9CBA" w14:textId="77777777" w:rsidTr="00B241F5">
        <w:tc>
          <w:tcPr>
            <w:tcW w:w="0" w:type="auto"/>
          </w:tcPr>
          <w:p w14:paraId="736D538C" w14:textId="501D108D" w:rsidR="00B241F5" w:rsidRPr="00736711" w:rsidRDefault="00B241F5" w:rsidP="00736711">
            <w:pPr>
              <w:pStyle w:val="NoSpacing"/>
              <w:rPr>
                <w:rFonts w:cstheme="minorHAnsi"/>
              </w:rPr>
            </w:pPr>
            <w:r w:rsidRPr="00736711">
              <w:rPr>
                <w:rFonts w:cstheme="minorHAnsi"/>
              </w:rPr>
              <w:t>For-profit</w:t>
            </w:r>
          </w:p>
        </w:tc>
        <w:tc>
          <w:tcPr>
            <w:tcW w:w="0" w:type="auto"/>
          </w:tcPr>
          <w:p w14:paraId="4322DDF7" w14:textId="77777777" w:rsidR="00B241F5" w:rsidRPr="00736711" w:rsidRDefault="00B241F5" w:rsidP="00736711">
            <w:pPr>
              <w:pStyle w:val="NoSpacing"/>
              <w:rPr>
                <w:rFonts w:cstheme="minorHAnsi"/>
              </w:rPr>
            </w:pPr>
          </w:p>
        </w:tc>
        <w:tc>
          <w:tcPr>
            <w:tcW w:w="0" w:type="auto"/>
          </w:tcPr>
          <w:p w14:paraId="7077E7AF" w14:textId="2670741A" w:rsidR="00B241F5" w:rsidRPr="00736711" w:rsidRDefault="00B241F5" w:rsidP="00736711">
            <w:pPr>
              <w:pStyle w:val="NoSpacing"/>
              <w:rPr>
                <w:rFonts w:cstheme="minorHAnsi"/>
              </w:rPr>
            </w:pPr>
            <w:r w:rsidRPr="00736711">
              <w:rPr>
                <w:rFonts w:cstheme="minorHAnsi"/>
              </w:rPr>
              <w:t>5.51</w:t>
            </w:r>
          </w:p>
        </w:tc>
        <w:tc>
          <w:tcPr>
            <w:tcW w:w="0" w:type="auto"/>
          </w:tcPr>
          <w:p w14:paraId="3DA0B77D" w14:textId="68E54991" w:rsidR="00B241F5" w:rsidRPr="00736711" w:rsidRDefault="00B241F5" w:rsidP="00736711">
            <w:pPr>
              <w:pStyle w:val="NoSpacing"/>
              <w:rPr>
                <w:rFonts w:cstheme="minorHAnsi"/>
              </w:rPr>
            </w:pPr>
            <w:r w:rsidRPr="00736711">
              <w:rPr>
                <w:rFonts w:cstheme="minorHAnsi"/>
              </w:rPr>
              <w:t>1.19</w:t>
            </w:r>
          </w:p>
        </w:tc>
        <w:tc>
          <w:tcPr>
            <w:tcW w:w="0" w:type="auto"/>
          </w:tcPr>
          <w:p w14:paraId="1F80C4A5" w14:textId="75F7C5DE" w:rsidR="00B241F5" w:rsidRPr="00736711" w:rsidRDefault="00B241F5" w:rsidP="00736711">
            <w:pPr>
              <w:pStyle w:val="NoSpacing"/>
              <w:rPr>
                <w:rFonts w:cstheme="minorHAnsi"/>
              </w:rPr>
            </w:pPr>
            <w:r w:rsidRPr="00736711">
              <w:rPr>
                <w:rFonts w:cstheme="minorHAnsi"/>
              </w:rPr>
              <w:t>153</w:t>
            </w:r>
          </w:p>
        </w:tc>
      </w:tr>
      <w:tr w:rsidR="00B241F5" w:rsidRPr="00736711" w14:paraId="133CFD6E" w14:textId="77777777" w:rsidTr="00B241F5">
        <w:tc>
          <w:tcPr>
            <w:tcW w:w="0" w:type="auto"/>
          </w:tcPr>
          <w:p w14:paraId="609F7985" w14:textId="0200A43D" w:rsidR="00B241F5" w:rsidRPr="00736711" w:rsidRDefault="00B241F5" w:rsidP="00736711">
            <w:pPr>
              <w:pStyle w:val="NoSpacing"/>
              <w:rPr>
                <w:rFonts w:cstheme="minorHAnsi"/>
              </w:rPr>
            </w:pPr>
            <w:r w:rsidRPr="00736711">
              <w:rPr>
                <w:rFonts w:cstheme="minorHAnsi"/>
              </w:rPr>
              <w:t>Nonprofit</w:t>
            </w:r>
          </w:p>
        </w:tc>
        <w:tc>
          <w:tcPr>
            <w:tcW w:w="0" w:type="auto"/>
          </w:tcPr>
          <w:p w14:paraId="0846811A" w14:textId="77777777" w:rsidR="00B241F5" w:rsidRPr="00736711" w:rsidRDefault="00B241F5" w:rsidP="00736711">
            <w:pPr>
              <w:pStyle w:val="NoSpacing"/>
              <w:rPr>
                <w:rFonts w:cstheme="minorHAnsi"/>
              </w:rPr>
            </w:pPr>
          </w:p>
        </w:tc>
        <w:tc>
          <w:tcPr>
            <w:tcW w:w="0" w:type="auto"/>
          </w:tcPr>
          <w:p w14:paraId="1655C9D3" w14:textId="3E6D75A1" w:rsidR="00B241F5" w:rsidRPr="00736711" w:rsidRDefault="00B241F5" w:rsidP="00736711">
            <w:pPr>
              <w:pStyle w:val="NoSpacing"/>
              <w:rPr>
                <w:rFonts w:cstheme="minorHAnsi"/>
              </w:rPr>
            </w:pPr>
            <w:r w:rsidRPr="00736711">
              <w:rPr>
                <w:rFonts w:cstheme="minorHAnsi"/>
              </w:rPr>
              <w:t>5.03</w:t>
            </w:r>
          </w:p>
        </w:tc>
        <w:tc>
          <w:tcPr>
            <w:tcW w:w="0" w:type="auto"/>
          </w:tcPr>
          <w:p w14:paraId="00DC6FED" w14:textId="6C2082CC" w:rsidR="00B241F5" w:rsidRPr="00736711" w:rsidRDefault="00B241F5" w:rsidP="00736711">
            <w:pPr>
              <w:pStyle w:val="NoSpacing"/>
              <w:rPr>
                <w:rFonts w:cstheme="minorHAnsi"/>
              </w:rPr>
            </w:pPr>
            <w:r w:rsidRPr="00736711">
              <w:rPr>
                <w:rFonts w:cstheme="minorHAnsi"/>
              </w:rPr>
              <w:t>1.42</w:t>
            </w:r>
          </w:p>
        </w:tc>
        <w:tc>
          <w:tcPr>
            <w:tcW w:w="0" w:type="auto"/>
          </w:tcPr>
          <w:p w14:paraId="41A251AE" w14:textId="5B3F6FFA" w:rsidR="00B241F5" w:rsidRPr="00736711" w:rsidRDefault="00B241F5" w:rsidP="00736711">
            <w:pPr>
              <w:pStyle w:val="NoSpacing"/>
              <w:rPr>
                <w:rFonts w:cstheme="minorHAnsi"/>
              </w:rPr>
            </w:pPr>
            <w:r w:rsidRPr="00736711">
              <w:rPr>
                <w:rFonts w:cstheme="minorHAnsi"/>
              </w:rPr>
              <w:t>119</w:t>
            </w:r>
          </w:p>
        </w:tc>
      </w:tr>
      <w:tr w:rsidR="00B241F5" w:rsidRPr="00736711" w14:paraId="01ADD291" w14:textId="77777777" w:rsidTr="00B241F5">
        <w:tc>
          <w:tcPr>
            <w:tcW w:w="0" w:type="auto"/>
          </w:tcPr>
          <w:p w14:paraId="09239791" w14:textId="2F15262B" w:rsidR="00B241F5" w:rsidRPr="00736711" w:rsidRDefault="00B241F5" w:rsidP="00736711">
            <w:pPr>
              <w:pStyle w:val="NoSpacing"/>
              <w:rPr>
                <w:rFonts w:cstheme="minorHAnsi"/>
              </w:rPr>
            </w:pPr>
            <w:r w:rsidRPr="00736711">
              <w:rPr>
                <w:rFonts w:cstheme="minorHAnsi"/>
              </w:rPr>
              <w:t>Total</w:t>
            </w:r>
          </w:p>
        </w:tc>
        <w:tc>
          <w:tcPr>
            <w:tcW w:w="0" w:type="auto"/>
          </w:tcPr>
          <w:p w14:paraId="305E91B1" w14:textId="77777777" w:rsidR="00B241F5" w:rsidRPr="00736711" w:rsidRDefault="00B241F5" w:rsidP="00736711">
            <w:pPr>
              <w:pStyle w:val="NoSpacing"/>
              <w:rPr>
                <w:rFonts w:cstheme="minorHAnsi"/>
              </w:rPr>
            </w:pPr>
          </w:p>
        </w:tc>
        <w:tc>
          <w:tcPr>
            <w:tcW w:w="0" w:type="auto"/>
          </w:tcPr>
          <w:p w14:paraId="51D23A33" w14:textId="241763DB" w:rsidR="00B241F5" w:rsidRPr="00736711" w:rsidRDefault="00B241F5" w:rsidP="00736711">
            <w:pPr>
              <w:pStyle w:val="NoSpacing"/>
              <w:rPr>
                <w:rFonts w:cstheme="minorHAnsi"/>
              </w:rPr>
            </w:pPr>
            <w:r w:rsidRPr="00736711">
              <w:rPr>
                <w:rFonts w:cstheme="minorHAnsi"/>
              </w:rPr>
              <w:t>5.30</w:t>
            </w:r>
          </w:p>
        </w:tc>
        <w:tc>
          <w:tcPr>
            <w:tcW w:w="0" w:type="auto"/>
          </w:tcPr>
          <w:p w14:paraId="503CC411" w14:textId="7C87369D" w:rsidR="00B241F5" w:rsidRPr="00736711" w:rsidRDefault="00B241F5" w:rsidP="00736711">
            <w:pPr>
              <w:pStyle w:val="NoSpacing"/>
              <w:rPr>
                <w:rFonts w:cstheme="minorHAnsi"/>
              </w:rPr>
            </w:pPr>
            <w:r w:rsidRPr="00736711">
              <w:rPr>
                <w:rFonts w:cstheme="minorHAnsi"/>
              </w:rPr>
              <w:t>1.32</w:t>
            </w:r>
          </w:p>
        </w:tc>
        <w:tc>
          <w:tcPr>
            <w:tcW w:w="0" w:type="auto"/>
          </w:tcPr>
          <w:p w14:paraId="619CCBC1" w14:textId="6FF65834" w:rsidR="00B241F5" w:rsidRPr="00736711" w:rsidRDefault="00B241F5" w:rsidP="00736711">
            <w:pPr>
              <w:pStyle w:val="NoSpacing"/>
              <w:rPr>
                <w:rFonts w:cstheme="minorHAnsi"/>
              </w:rPr>
            </w:pPr>
            <w:r w:rsidRPr="00736711">
              <w:rPr>
                <w:rFonts w:cstheme="minorHAnsi"/>
              </w:rPr>
              <w:t>272</w:t>
            </w:r>
          </w:p>
        </w:tc>
      </w:tr>
      <w:tr w:rsidR="007A38ED" w:rsidRPr="00736711" w14:paraId="1FA58B2A" w14:textId="77777777" w:rsidTr="00B241F5">
        <w:tc>
          <w:tcPr>
            <w:tcW w:w="0" w:type="auto"/>
          </w:tcPr>
          <w:p w14:paraId="47F96E27" w14:textId="5DBBEA79" w:rsidR="007A38ED" w:rsidRPr="00736711" w:rsidRDefault="007A38ED" w:rsidP="00736711">
            <w:pPr>
              <w:pStyle w:val="NoSpacing"/>
              <w:rPr>
                <w:rFonts w:cstheme="minorHAnsi"/>
                <w:b/>
                <w:bCs/>
              </w:rPr>
            </w:pPr>
            <w:r w:rsidRPr="00736711">
              <w:rPr>
                <w:rFonts w:cstheme="minorHAnsi"/>
              </w:rPr>
              <w:t>Panel B: Control Activities Mediation Analysis.</w:t>
            </w:r>
          </w:p>
        </w:tc>
        <w:tc>
          <w:tcPr>
            <w:tcW w:w="0" w:type="auto"/>
          </w:tcPr>
          <w:p w14:paraId="47039C05" w14:textId="77777777" w:rsidR="007A38ED" w:rsidRPr="00736711" w:rsidRDefault="007A38ED" w:rsidP="00736711">
            <w:pPr>
              <w:pStyle w:val="NoSpacing"/>
              <w:rPr>
                <w:rFonts w:cstheme="minorHAnsi"/>
              </w:rPr>
            </w:pPr>
          </w:p>
        </w:tc>
        <w:tc>
          <w:tcPr>
            <w:tcW w:w="0" w:type="auto"/>
          </w:tcPr>
          <w:p w14:paraId="70853B17" w14:textId="77777777" w:rsidR="007A38ED" w:rsidRPr="00736711" w:rsidRDefault="007A38ED" w:rsidP="00736711">
            <w:pPr>
              <w:pStyle w:val="NoSpacing"/>
              <w:rPr>
                <w:rFonts w:cstheme="minorHAnsi"/>
              </w:rPr>
            </w:pPr>
          </w:p>
        </w:tc>
        <w:tc>
          <w:tcPr>
            <w:tcW w:w="0" w:type="auto"/>
          </w:tcPr>
          <w:p w14:paraId="4238C1F0" w14:textId="77777777" w:rsidR="007A38ED" w:rsidRPr="00736711" w:rsidRDefault="007A38ED" w:rsidP="00736711">
            <w:pPr>
              <w:pStyle w:val="NoSpacing"/>
              <w:rPr>
                <w:rFonts w:cstheme="minorHAnsi"/>
              </w:rPr>
            </w:pPr>
          </w:p>
        </w:tc>
        <w:tc>
          <w:tcPr>
            <w:tcW w:w="0" w:type="auto"/>
          </w:tcPr>
          <w:p w14:paraId="1674F346" w14:textId="77777777" w:rsidR="007A38ED" w:rsidRPr="00736711" w:rsidRDefault="007A38ED" w:rsidP="00736711">
            <w:pPr>
              <w:pStyle w:val="NoSpacing"/>
              <w:rPr>
                <w:rFonts w:cstheme="minorHAnsi"/>
              </w:rPr>
            </w:pPr>
          </w:p>
        </w:tc>
      </w:tr>
      <w:tr w:rsidR="007A38ED" w:rsidRPr="00736711" w14:paraId="7E1E7C83" w14:textId="77777777" w:rsidTr="00B241F5">
        <w:tc>
          <w:tcPr>
            <w:tcW w:w="0" w:type="auto"/>
          </w:tcPr>
          <w:p w14:paraId="6FC52598" w14:textId="6CADC303" w:rsidR="007A38ED" w:rsidRPr="00736711" w:rsidRDefault="007A38ED" w:rsidP="00736711">
            <w:pPr>
              <w:pStyle w:val="NoSpacing"/>
              <w:rPr>
                <w:rFonts w:cstheme="minorHAnsi"/>
              </w:rPr>
            </w:pPr>
            <w:r w:rsidRPr="00736711">
              <w:rPr>
                <w:rFonts w:cstheme="minorHAnsi"/>
              </w:rPr>
              <w:t>Path A—Organization type predicts perception of control activities</w:t>
            </w:r>
          </w:p>
        </w:tc>
        <w:tc>
          <w:tcPr>
            <w:tcW w:w="0" w:type="auto"/>
          </w:tcPr>
          <w:p w14:paraId="794034AC" w14:textId="77777777" w:rsidR="007A38ED" w:rsidRPr="00736711" w:rsidRDefault="007A38ED" w:rsidP="00736711">
            <w:pPr>
              <w:pStyle w:val="NoSpacing"/>
              <w:rPr>
                <w:rFonts w:cstheme="minorHAnsi"/>
              </w:rPr>
            </w:pPr>
          </w:p>
        </w:tc>
        <w:tc>
          <w:tcPr>
            <w:tcW w:w="0" w:type="auto"/>
          </w:tcPr>
          <w:p w14:paraId="2F319F73" w14:textId="77777777" w:rsidR="007A38ED" w:rsidRPr="00736711" w:rsidRDefault="007A38ED" w:rsidP="00736711">
            <w:pPr>
              <w:pStyle w:val="NoSpacing"/>
              <w:rPr>
                <w:rFonts w:cstheme="minorHAnsi"/>
              </w:rPr>
            </w:pPr>
          </w:p>
        </w:tc>
        <w:tc>
          <w:tcPr>
            <w:tcW w:w="0" w:type="auto"/>
          </w:tcPr>
          <w:p w14:paraId="1DBEC716" w14:textId="77777777" w:rsidR="007A38ED" w:rsidRPr="00736711" w:rsidRDefault="007A38ED" w:rsidP="00736711">
            <w:pPr>
              <w:pStyle w:val="NoSpacing"/>
              <w:rPr>
                <w:rFonts w:cstheme="minorHAnsi"/>
              </w:rPr>
            </w:pPr>
          </w:p>
        </w:tc>
        <w:tc>
          <w:tcPr>
            <w:tcW w:w="0" w:type="auto"/>
          </w:tcPr>
          <w:p w14:paraId="3AE85555" w14:textId="77777777" w:rsidR="007A38ED" w:rsidRPr="00736711" w:rsidRDefault="007A38ED" w:rsidP="00736711">
            <w:pPr>
              <w:pStyle w:val="NoSpacing"/>
              <w:rPr>
                <w:rFonts w:cstheme="minorHAnsi"/>
              </w:rPr>
            </w:pPr>
          </w:p>
        </w:tc>
      </w:tr>
      <w:tr w:rsidR="007A38ED" w:rsidRPr="00736711" w14:paraId="03185EE9" w14:textId="77777777" w:rsidTr="00B241F5">
        <w:tc>
          <w:tcPr>
            <w:tcW w:w="0" w:type="auto"/>
          </w:tcPr>
          <w:p w14:paraId="6668421D" w14:textId="77777777" w:rsidR="007A38ED" w:rsidRPr="00736711" w:rsidRDefault="007A38ED" w:rsidP="00736711">
            <w:pPr>
              <w:pStyle w:val="NoSpacing"/>
              <w:rPr>
                <w:rFonts w:cstheme="minorHAnsi"/>
              </w:rPr>
            </w:pPr>
          </w:p>
        </w:tc>
        <w:tc>
          <w:tcPr>
            <w:tcW w:w="0" w:type="auto"/>
          </w:tcPr>
          <w:p w14:paraId="48BD3FA1" w14:textId="2F12A4BB" w:rsidR="007A38ED" w:rsidRPr="00736711" w:rsidRDefault="00860CE0" w:rsidP="00736711">
            <w:pPr>
              <w:pStyle w:val="NoSpacing"/>
              <w:rPr>
                <w:rFonts w:cstheme="minorHAnsi"/>
              </w:rPr>
            </w:pPr>
            <w:r w:rsidRPr="00736711">
              <w:rPr>
                <w:rFonts w:cstheme="minorHAnsi"/>
              </w:rPr>
              <w:t xml:space="preserve">Coefficient (unstandardized </w:t>
            </w:r>
            <w:r w:rsidRPr="00736711">
              <w:rPr>
                <w:rFonts w:cstheme="minorHAnsi"/>
                <w:i/>
                <w:iCs/>
              </w:rPr>
              <w:t>B</w:t>
            </w:r>
            <w:r w:rsidRPr="00736711">
              <w:rPr>
                <w:rFonts w:cstheme="minorHAnsi"/>
              </w:rPr>
              <w:t>)</w:t>
            </w:r>
          </w:p>
        </w:tc>
        <w:tc>
          <w:tcPr>
            <w:tcW w:w="0" w:type="auto"/>
          </w:tcPr>
          <w:p w14:paraId="1F3EEF50" w14:textId="5C46342D" w:rsidR="007A38ED" w:rsidRPr="00736711" w:rsidRDefault="00860CE0" w:rsidP="00736711">
            <w:pPr>
              <w:pStyle w:val="NoSpacing"/>
              <w:rPr>
                <w:rFonts w:cstheme="minorHAnsi"/>
              </w:rPr>
            </w:pPr>
            <w:r w:rsidRPr="00736711">
              <w:rPr>
                <w:rFonts w:cstheme="minorHAnsi"/>
                <w:i/>
                <w:iCs/>
              </w:rPr>
              <w:t xml:space="preserve">SE </w:t>
            </w:r>
          </w:p>
        </w:tc>
        <w:tc>
          <w:tcPr>
            <w:tcW w:w="0" w:type="auto"/>
          </w:tcPr>
          <w:p w14:paraId="4C6F9226" w14:textId="0C4C875B" w:rsidR="007A38ED" w:rsidRPr="00736711" w:rsidRDefault="00860CE0" w:rsidP="00736711">
            <w:pPr>
              <w:pStyle w:val="NoSpacing"/>
              <w:rPr>
                <w:rFonts w:cstheme="minorHAnsi"/>
              </w:rPr>
            </w:pPr>
            <w:r w:rsidRPr="00736711">
              <w:rPr>
                <w:rFonts w:cstheme="minorHAnsi"/>
                <w:i/>
                <w:iCs/>
              </w:rPr>
              <w:t>t</w:t>
            </w:r>
          </w:p>
        </w:tc>
        <w:tc>
          <w:tcPr>
            <w:tcW w:w="0" w:type="auto"/>
          </w:tcPr>
          <w:p w14:paraId="6F469D95" w14:textId="7779CD08" w:rsidR="007A38ED" w:rsidRPr="00736711" w:rsidRDefault="00860CE0" w:rsidP="00736711">
            <w:pPr>
              <w:pStyle w:val="NoSpacing"/>
              <w:rPr>
                <w:rFonts w:cstheme="minorHAnsi"/>
              </w:rPr>
            </w:pPr>
            <w:r w:rsidRPr="00736711">
              <w:rPr>
                <w:rFonts w:cstheme="minorHAnsi"/>
                <w:i/>
                <w:iCs/>
              </w:rPr>
              <w:t>p</w:t>
            </w:r>
            <w:r w:rsidRPr="00736711">
              <w:rPr>
                <w:rFonts w:cstheme="minorHAnsi"/>
              </w:rPr>
              <w:t>-value</w:t>
            </w:r>
          </w:p>
        </w:tc>
      </w:tr>
      <w:tr w:rsidR="007A38ED" w:rsidRPr="00736711" w14:paraId="573C2766" w14:textId="77777777" w:rsidTr="00B241F5">
        <w:tc>
          <w:tcPr>
            <w:tcW w:w="0" w:type="auto"/>
          </w:tcPr>
          <w:p w14:paraId="0B6A270B" w14:textId="77777777" w:rsidR="007A38ED" w:rsidRPr="00736711" w:rsidRDefault="007A38ED" w:rsidP="00736711">
            <w:pPr>
              <w:pStyle w:val="NoSpacing"/>
              <w:rPr>
                <w:rFonts w:cstheme="minorHAnsi"/>
              </w:rPr>
            </w:pPr>
          </w:p>
        </w:tc>
        <w:tc>
          <w:tcPr>
            <w:tcW w:w="0" w:type="auto"/>
          </w:tcPr>
          <w:p w14:paraId="0268860D" w14:textId="040FF24A" w:rsidR="007A38ED" w:rsidRPr="00736711" w:rsidRDefault="00860CE0" w:rsidP="00736711">
            <w:pPr>
              <w:pStyle w:val="NoSpacing"/>
              <w:rPr>
                <w:rFonts w:cstheme="minorHAnsi"/>
              </w:rPr>
            </w:pPr>
            <w:r w:rsidRPr="00736711">
              <w:rPr>
                <w:rFonts w:cstheme="minorHAnsi"/>
              </w:rPr>
              <w:t>−0.485</w:t>
            </w:r>
          </w:p>
        </w:tc>
        <w:tc>
          <w:tcPr>
            <w:tcW w:w="0" w:type="auto"/>
          </w:tcPr>
          <w:p w14:paraId="7EEB44E9" w14:textId="63AF3C1F" w:rsidR="007A38ED" w:rsidRPr="00736711" w:rsidRDefault="00860CE0" w:rsidP="00736711">
            <w:pPr>
              <w:pStyle w:val="NoSpacing"/>
              <w:rPr>
                <w:rFonts w:cstheme="minorHAnsi"/>
              </w:rPr>
            </w:pPr>
            <w:r w:rsidRPr="00736711">
              <w:rPr>
                <w:rFonts w:cstheme="minorHAnsi"/>
              </w:rPr>
              <w:t>0.159</w:t>
            </w:r>
          </w:p>
        </w:tc>
        <w:tc>
          <w:tcPr>
            <w:tcW w:w="0" w:type="auto"/>
          </w:tcPr>
          <w:p w14:paraId="22BF9496" w14:textId="216372A7" w:rsidR="007A38ED" w:rsidRPr="00736711" w:rsidRDefault="00860CE0" w:rsidP="00736711">
            <w:pPr>
              <w:pStyle w:val="NoSpacing"/>
              <w:rPr>
                <w:rFonts w:cstheme="minorHAnsi"/>
              </w:rPr>
            </w:pPr>
            <w:r w:rsidRPr="00736711">
              <w:rPr>
                <w:rFonts w:cstheme="minorHAnsi"/>
              </w:rPr>
              <w:t>−3.058</w:t>
            </w:r>
          </w:p>
        </w:tc>
        <w:tc>
          <w:tcPr>
            <w:tcW w:w="0" w:type="auto"/>
          </w:tcPr>
          <w:p w14:paraId="2AB4054D" w14:textId="3D7EDAAF" w:rsidR="007A38ED" w:rsidRPr="00736711" w:rsidRDefault="00E93598" w:rsidP="00736711">
            <w:pPr>
              <w:pStyle w:val="NoSpacing"/>
              <w:rPr>
                <w:rFonts w:cstheme="minorHAnsi"/>
              </w:rPr>
            </w:pPr>
            <w:r w:rsidRPr="00736711">
              <w:rPr>
                <w:rFonts w:cstheme="minorHAnsi"/>
              </w:rPr>
              <w:t>.001</w:t>
            </w:r>
          </w:p>
        </w:tc>
      </w:tr>
      <w:tr w:rsidR="007A38ED" w:rsidRPr="00736711" w14:paraId="488763E6" w14:textId="77777777" w:rsidTr="00B241F5">
        <w:tc>
          <w:tcPr>
            <w:tcW w:w="0" w:type="auto"/>
          </w:tcPr>
          <w:p w14:paraId="3C2AD4FC" w14:textId="10EC1837" w:rsidR="007A38ED" w:rsidRPr="00736711" w:rsidRDefault="00E93598" w:rsidP="00736711">
            <w:pPr>
              <w:pStyle w:val="NoSpacing"/>
              <w:rPr>
                <w:rFonts w:cstheme="minorHAnsi"/>
              </w:rPr>
            </w:pPr>
            <w:r w:rsidRPr="00736711">
              <w:rPr>
                <w:rFonts w:cstheme="minorHAnsi"/>
              </w:rPr>
              <w:t>Path B—Perception of control activities predicts whistleblowing</w:t>
            </w:r>
          </w:p>
        </w:tc>
        <w:tc>
          <w:tcPr>
            <w:tcW w:w="0" w:type="auto"/>
          </w:tcPr>
          <w:p w14:paraId="5239A92D" w14:textId="77777777" w:rsidR="007A38ED" w:rsidRPr="00736711" w:rsidRDefault="007A38ED" w:rsidP="00736711">
            <w:pPr>
              <w:pStyle w:val="NoSpacing"/>
              <w:rPr>
                <w:rFonts w:cstheme="minorHAnsi"/>
              </w:rPr>
            </w:pPr>
          </w:p>
        </w:tc>
        <w:tc>
          <w:tcPr>
            <w:tcW w:w="0" w:type="auto"/>
          </w:tcPr>
          <w:p w14:paraId="091C1731" w14:textId="77777777" w:rsidR="007A38ED" w:rsidRPr="00736711" w:rsidRDefault="007A38ED" w:rsidP="00736711">
            <w:pPr>
              <w:pStyle w:val="NoSpacing"/>
              <w:rPr>
                <w:rFonts w:cstheme="minorHAnsi"/>
              </w:rPr>
            </w:pPr>
          </w:p>
        </w:tc>
        <w:tc>
          <w:tcPr>
            <w:tcW w:w="0" w:type="auto"/>
          </w:tcPr>
          <w:p w14:paraId="15B25F3C" w14:textId="77777777" w:rsidR="007A38ED" w:rsidRPr="00736711" w:rsidRDefault="007A38ED" w:rsidP="00736711">
            <w:pPr>
              <w:pStyle w:val="NoSpacing"/>
              <w:rPr>
                <w:rFonts w:cstheme="minorHAnsi"/>
              </w:rPr>
            </w:pPr>
          </w:p>
        </w:tc>
        <w:tc>
          <w:tcPr>
            <w:tcW w:w="0" w:type="auto"/>
          </w:tcPr>
          <w:p w14:paraId="76FC4F9E" w14:textId="77777777" w:rsidR="007A38ED" w:rsidRPr="00736711" w:rsidRDefault="007A38ED" w:rsidP="00736711">
            <w:pPr>
              <w:pStyle w:val="NoSpacing"/>
              <w:rPr>
                <w:rFonts w:cstheme="minorHAnsi"/>
              </w:rPr>
            </w:pPr>
          </w:p>
        </w:tc>
      </w:tr>
      <w:tr w:rsidR="00E93598" w:rsidRPr="00736711" w14:paraId="358CCA72" w14:textId="77777777" w:rsidTr="00B241F5">
        <w:tc>
          <w:tcPr>
            <w:tcW w:w="0" w:type="auto"/>
          </w:tcPr>
          <w:p w14:paraId="1781E0FD" w14:textId="77777777" w:rsidR="00E93598" w:rsidRPr="00736711" w:rsidRDefault="00E93598" w:rsidP="00736711">
            <w:pPr>
              <w:pStyle w:val="NoSpacing"/>
              <w:rPr>
                <w:rFonts w:cstheme="minorHAnsi"/>
              </w:rPr>
            </w:pPr>
          </w:p>
        </w:tc>
        <w:tc>
          <w:tcPr>
            <w:tcW w:w="0" w:type="auto"/>
          </w:tcPr>
          <w:p w14:paraId="6CA118CF" w14:textId="7B6AED29" w:rsidR="00E93598" w:rsidRPr="00736711" w:rsidRDefault="00E93598" w:rsidP="00736711">
            <w:pPr>
              <w:pStyle w:val="NoSpacing"/>
              <w:rPr>
                <w:rFonts w:cstheme="minorHAnsi"/>
              </w:rPr>
            </w:pPr>
            <w:r w:rsidRPr="00736711">
              <w:rPr>
                <w:rFonts w:cstheme="minorHAnsi"/>
              </w:rPr>
              <w:t xml:space="preserve">Coefficient (unstandardized </w:t>
            </w:r>
            <w:r w:rsidRPr="00736711">
              <w:rPr>
                <w:rFonts w:cstheme="minorHAnsi"/>
                <w:i/>
                <w:iCs/>
              </w:rPr>
              <w:t>B</w:t>
            </w:r>
            <w:r w:rsidRPr="00736711">
              <w:rPr>
                <w:rFonts w:cstheme="minorHAnsi"/>
              </w:rPr>
              <w:t>)</w:t>
            </w:r>
          </w:p>
        </w:tc>
        <w:tc>
          <w:tcPr>
            <w:tcW w:w="0" w:type="auto"/>
          </w:tcPr>
          <w:p w14:paraId="7B41A14D" w14:textId="501927FE" w:rsidR="00E93598" w:rsidRPr="00736711" w:rsidRDefault="00E93598" w:rsidP="00736711">
            <w:pPr>
              <w:pStyle w:val="NoSpacing"/>
              <w:rPr>
                <w:rFonts w:cstheme="minorHAnsi"/>
              </w:rPr>
            </w:pPr>
            <w:r w:rsidRPr="00736711">
              <w:rPr>
                <w:rFonts w:cstheme="minorHAnsi"/>
                <w:i/>
                <w:iCs/>
              </w:rPr>
              <w:t xml:space="preserve">SE </w:t>
            </w:r>
          </w:p>
        </w:tc>
        <w:tc>
          <w:tcPr>
            <w:tcW w:w="0" w:type="auto"/>
          </w:tcPr>
          <w:p w14:paraId="1FD5FA97" w14:textId="70201CE7" w:rsidR="00E93598" w:rsidRPr="00736711" w:rsidRDefault="00E93598" w:rsidP="00736711">
            <w:pPr>
              <w:pStyle w:val="NoSpacing"/>
              <w:rPr>
                <w:rFonts w:cstheme="minorHAnsi"/>
              </w:rPr>
            </w:pPr>
            <w:r w:rsidRPr="00736711">
              <w:rPr>
                <w:rFonts w:cstheme="minorHAnsi"/>
                <w:i/>
                <w:iCs/>
              </w:rPr>
              <w:t>t</w:t>
            </w:r>
          </w:p>
        </w:tc>
        <w:tc>
          <w:tcPr>
            <w:tcW w:w="0" w:type="auto"/>
          </w:tcPr>
          <w:p w14:paraId="6EFB30D2" w14:textId="1B01BDC2" w:rsidR="00E93598" w:rsidRPr="00736711" w:rsidRDefault="00E93598" w:rsidP="00736711">
            <w:pPr>
              <w:pStyle w:val="NoSpacing"/>
              <w:rPr>
                <w:rFonts w:cstheme="minorHAnsi"/>
              </w:rPr>
            </w:pPr>
            <w:r w:rsidRPr="00736711">
              <w:rPr>
                <w:rFonts w:cstheme="minorHAnsi"/>
                <w:i/>
                <w:iCs/>
              </w:rPr>
              <w:t>p</w:t>
            </w:r>
            <w:r w:rsidRPr="00736711">
              <w:rPr>
                <w:rFonts w:cstheme="minorHAnsi"/>
              </w:rPr>
              <w:t>-value</w:t>
            </w:r>
          </w:p>
        </w:tc>
      </w:tr>
      <w:tr w:rsidR="00E93598" w:rsidRPr="00736711" w14:paraId="7D6BFEB1" w14:textId="77777777" w:rsidTr="00B241F5">
        <w:tc>
          <w:tcPr>
            <w:tcW w:w="0" w:type="auto"/>
          </w:tcPr>
          <w:p w14:paraId="1A249B8D" w14:textId="77777777" w:rsidR="00E93598" w:rsidRPr="00736711" w:rsidRDefault="00E93598" w:rsidP="00736711">
            <w:pPr>
              <w:pStyle w:val="NoSpacing"/>
              <w:rPr>
                <w:rFonts w:cstheme="minorHAnsi"/>
              </w:rPr>
            </w:pPr>
          </w:p>
        </w:tc>
        <w:tc>
          <w:tcPr>
            <w:tcW w:w="0" w:type="auto"/>
          </w:tcPr>
          <w:p w14:paraId="09701F35" w14:textId="1BAF0577" w:rsidR="00E93598" w:rsidRPr="00736711" w:rsidRDefault="007D1945" w:rsidP="00736711">
            <w:pPr>
              <w:pStyle w:val="NoSpacing"/>
              <w:rPr>
                <w:rFonts w:cstheme="minorHAnsi"/>
              </w:rPr>
            </w:pPr>
            <w:r w:rsidRPr="00736711">
              <w:rPr>
                <w:rFonts w:cstheme="minorHAnsi"/>
              </w:rPr>
              <w:t>0.280</w:t>
            </w:r>
          </w:p>
        </w:tc>
        <w:tc>
          <w:tcPr>
            <w:tcW w:w="0" w:type="auto"/>
          </w:tcPr>
          <w:p w14:paraId="2D69E376" w14:textId="39AC4E05" w:rsidR="00E93598" w:rsidRPr="00736711" w:rsidRDefault="007D1945" w:rsidP="00736711">
            <w:pPr>
              <w:pStyle w:val="NoSpacing"/>
              <w:rPr>
                <w:rFonts w:cstheme="minorHAnsi"/>
              </w:rPr>
            </w:pPr>
            <w:r w:rsidRPr="00736711">
              <w:rPr>
                <w:rFonts w:cstheme="minorHAnsi"/>
              </w:rPr>
              <w:t>0.090</w:t>
            </w:r>
          </w:p>
        </w:tc>
        <w:tc>
          <w:tcPr>
            <w:tcW w:w="0" w:type="auto"/>
          </w:tcPr>
          <w:p w14:paraId="5247E9FA" w14:textId="3553AA49" w:rsidR="00E93598" w:rsidRPr="00736711" w:rsidRDefault="007D1945" w:rsidP="00736711">
            <w:pPr>
              <w:pStyle w:val="NoSpacing"/>
              <w:rPr>
                <w:rFonts w:cstheme="minorHAnsi"/>
              </w:rPr>
            </w:pPr>
            <w:r w:rsidRPr="00736711">
              <w:rPr>
                <w:rFonts w:cstheme="minorHAnsi"/>
              </w:rPr>
              <w:t>3.103</w:t>
            </w:r>
          </w:p>
        </w:tc>
        <w:tc>
          <w:tcPr>
            <w:tcW w:w="0" w:type="auto"/>
          </w:tcPr>
          <w:p w14:paraId="2BE7F9EF" w14:textId="6E30A14B" w:rsidR="00E93598" w:rsidRPr="00736711" w:rsidRDefault="007D1945" w:rsidP="00736711">
            <w:pPr>
              <w:pStyle w:val="NoSpacing"/>
              <w:rPr>
                <w:rFonts w:cstheme="minorHAnsi"/>
              </w:rPr>
            </w:pPr>
            <w:r w:rsidRPr="00736711">
              <w:rPr>
                <w:rFonts w:cstheme="minorHAnsi"/>
              </w:rPr>
              <w:t>.001</w:t>
            </w:r>
          </w:p>
        </w:tc>
      </w:tr>
      <w:tr w:rsidR="00E93598" w:rsidRPr="00736711" w14:paraId="4F943A46" w14:textId="77777777" w:rsidTr="00B241F5">
        <w:tc>
          <w:tcPr>
            <w:tcW w:w="0" w:type="auto"/>
          </w:tcPr>
          <w:p w14:paraId="3205AAA0" w14:textId="2AD9AC62" w:rsidR="00E93598" w:rsidRPr="00736711" w:rsidRDefault="007D1945" w:rsidP="00736711">
            <w:pPr>
              <w:pStyle w:val="NoSpacing"/>
              <w:rPr>
                <w:rFonts w:cstheme="minorHAnsi"/>
              </w:rPr>
            </w:pPr>
            <w:r w:rsidRPr="00736711">
              <w:rPr>
                <w:rFonts w:cstheme="minorHAnsi"/>
              </w:rPr>
              <w:t>Path C</w:t>
            </w:r>
            <w:r w:rsidRPr="00736711">
              <w:rPr>
                <w:rFonts w:eastAsia="SegoeUI" w:cstheme="minorHAnsi"/>
              </w:rPr>
              <w:t>′</w:t>
            </w:r>
            <w:r w:rsidRPr="00736711">
              <w:rPr>
                <w:rFonts w:cstheme="minorHAnsi"/>
              </w:rPr>
              <w:t>—Mediated path—Organization type predicts whistleblowing through perception of CA</w:t>
            </w:r>
          </w:p>
        </w:tc>
        <w:tc>
          <w:tcPr>
            <w:tcW w:w="0" w:type="auto"/>
          </w:tcPr>
          <w:p w14:paraId="1E6F8C00" w14:textId="77777777" w:rsidR="00E93598" w:rsidRPr="00736711" w:rsidRDefault="00E93598" w:rsidP="00736711">
            <w:pPr>
              <w:pStyle w:val="NoSpacing"/>
              <w:rPr>
                <w:rFonts w:cstheme="minorHAnsi"/>
              </w:rPr>
            </w:pPr>
          </w:p>
        </w:tc>
        <w:tc>
          <w:tcPr>
            <w:tcW w:w="0" w:type="auto"/>
          </w:tcPr>
          <w:p w14:paraId="385AA79A" w14:textId="77777777" w:rsidR="00E93598" w:rsidRPr="00736711" w:rsidRDefault="00E93598" w:rsidP="00736711">
            <w:pPr>
              <w:pStyle w:val="NoSpacing"/>
              <w:rPr>
                <w:rFonts w:cstheme="minorHAnsi"/>
              </w:rPr>
            </w:pPr>
          </w:p>
        </w:tc>
        <w:tc>
          <w:tcPr>
            <w:tcW w:w="0" w:type="auto"/>
          </w:tcPr>
          <w:p w14:paraId="08DCA35A" w14:textId="77777777" w:rsidR="00E93598" w:rsidRPr="00736711" w:rsidRDefault="00E93598" w:rsidP="00736711">
            <w:pPr>
              <w:pStyle w:val="NoSpacing"/>
              <w:rPr>
                <w:rFonts w:cstheme="minorHAnsi"/>
              </w:rPr>
            </w:pPr>
          </w:p>
        </w:tc>
        <w:tc>
          <w:tcPr>
            <w:tcW w:w="0" w:type="auto"/>
          </w:tcPr>
          <w:p w14:paraId="13737676" w14:textId="77777777" w:rsidR="00E93598" w:rsidRPr="00736711" w:rsidRDefault="00E93598" w:rsidP="00736711">
            <w:pPr>
              <w:pStyle w:val="NoSpacing"/>
              <w:rPr>
                <w:rFonts w:cstheme="minorHAnsi"/>
              </w:rPr>
            </w:pPr>
          </w:p>
        </w:tc>
      </w:tr>
      <w:tr w:rsidR="007D1945" w:rsidRPr="00736711" w14:paraId="662F29CD" w14:textId="77777777" w:rsidTr="00B241F5">
        <w:tc>
          <w:tcPr>
            <w:tcW w:w="0" w:type="auto"/>
          </w:tcPr>
          <w:p w14:paraId="01BC0455" w14:textId="77777777" w:rsidR="007D1945" w:rsidRPr="00736711" w:rsidRDefault="007D1945" w:rsidP="00736711">
            <w:pPr>
              <w:pStyle w:val="NoSpacing"/>
              <w:rPr>
                <w:rFonts w:cstheme="minorHAnsi"/>
              </w:rPr>
            </w:pPr>
          </w:p>
        </w:tc>
        <w:tc>
          <w:tcPr>
            <w:tcW w:w="0" w:type="auto"/>
          </w:tcPr>
          <w:p w14:paraId="24FEE5DB" w14:textId="07675309" w:rsidR="007D1945" w:rsidRPr="00736711" w:rsidRDefault="007D1945" w:rsidP="00736711">
            <w:pPr>
              <w:pStyle w:val="NoSpacing"/>
              <w:rPr>
                <w:rFonts w:cstheme="minorHAnsi"/>
              </w:rPr>
            </w:pPr>
            <w:r w:rsidRPr="00736711">
              <w:rPr>
                <w:rFonts w:cstheme="minorHAnsi"/>
              </w:rPr>
              <w:t xml:space="preserve">Coefficient (unstandardized </w:t>
            </w:r>
            <w:r w:rsidRPr="00736711">
              <w:rPr>
                <w:rFonts w:cstheme="minorHAnsi"/>
                <w:i/>
                <w:iCs/>
              </w:rPr>
              <w:t>B</w:t>
            </w:r>
            <w:r w:rsidRPr="00736711">
              <w:rPr>
                <w:rFonts w:cstheme="minorHAnsi"/>
              </w:rPr>
              <w:t>)</w:t>
            </w:r>
          </w:p>
        </w:tc>
        <w:tc>
          <w:tcPr>
            <w:tcW w:w="0" w:type="auto"/>
          </w:tcPr>
          <w:p w14:paraId="61C4C625" w14:textId="21E9273C" w:rsidR="007D1945" w:rsidRPr="00736711" w:rsidRDefault="007D1945" w:rsidP="00736711">
            <w:pPr>
              <w:pStyle w:val="NoSpacing"/>
              <w:rPr>
                <w:rFonts w:cstheme="minorHAnsi"/>
              </w:rPr>
            </w:pPr>
            <w:r w:rsidRPr="00736711">
              <w:rPr>
                <w:rFonts w:cstheme="minorHAnsi"/>
                <w:i/>
                <w:iCs/>
              </w:rPr>
              <w:t xml:space="preserve">SE </w:t>
            </w:r>
          </w:p>
        </w:tc>
        <w:tc>
          <w:tcPr>
            <w:tcW w:w="0" w:type="auto"/>
          </w:tcPr>
          <w:p w14:paraId="54F26423" w14:textId="0892EDA9" w:rsidR="007D1945" w:rsidRPr="00736711" w:rsidRDefault="007D1945" w:rsidP="00736711">
            <w:pPr>
              <w:pStyle w:val="NoSpacing"/>
              <w:rPr>
                <w:rFonts w:cstheme="minorHAnsi"/>
              </w:rPr>
            </w:pPr>
            <w:r w:rsidRPr="00736711">
              <w:rPr>
                <w:rFonts w:cstheme="minorHAnsi"/>
                <w:i/>
                <w:iCs/>
              </w:rPr>
              <w:t>t</w:t>
            </w:r>
          </w:p>
        </w:tc>
        <w:tc>
          <w:tcPr>
            <w:tcW w:w="0" w:type="auto"/>
          </w:tcPr>
          <w:p w14:paraId="71F885BA" w14:textId="07B41D1A" w:rsidR="007D1945" w:rsidRPr="00736711" w:rsidRDefault="007D1945" w:rsidP="00736711">
            <w:pPr>
              <w:pStyle w:val="NoSpacing"/>
              <w:rPr>
                <w:rFonts w:cstheme="minorHAnsi"/>
              </w:rPr>
            </w:pPr>
            <w:r w:rsidRPr="00736711">
              <w:rPr>
                <w:rFonts w:cstheme="minorHAnsi"/>
                <w:i/>
                <w:iCs/>
              </w:rPr>
              <w:t>p</w:t>
            </w:r>
            <w:r w:rsidRPr="00736711">
              <w:rPr>
                <w:rFonts w:cstheme="minorHAnsi"/>
              </w:rPr>
              <w:t>-value</w:t>
            </w:r>
          </w:p>
        </w:tc>
      </w:tr>
      <w:tr w:rsidR="00E93598" w:rsidRPr="00736711" w14:paraId="34C069AE" w14:textId="77777777" w:rsidTr="00B241F5">
        <w:tc>
          <w:tcPr>
            <w:tcW w:w="0" w:type="auto"/>
          </w:tcPr>
          <w:p w14:paraId="77306307" w14:textId="77777777" w:rsidR="00E93598" w:rsidRPr="00736711" w:rsidRDefault="00E93598" w:rsidP="00736711">
            <w:pPr>
              <w:pStyle w:val="NoSpacing"/>
              <w:rPr>
                <w:rFonts w:cstheme="minorHAnsi"/>
              </w:rPr>
            </w:pPr>
          </w:p>
        </w:tc>
        <w:tc>
          <w:tcPr>
            <w:tcW w:w="0" w:type="auto"/>
          </w:tcPr>
          <w:p w14:paraId="1653F61C" w14:textId="002A59B9" w:rsidR="00E93598" w:rsidRPr="00736711" w:rsidRDefault="002A49E4" w:rsidP="00736711">
            <w:pPr>
              <w:pStyle w:val="NoSpacing"/>
              <w:rPr>
                <w:rFonts w:cstheme="minorHAnsi"/>
              </w:rPr>
            </w:pPr>
            <w:r w:rsidRPr="00736711">
              <w:rPr>
                <w:rFonts w:cstheme="minorHAnsi"/>
              </w:rPr>
              <w:t>−0.066</w:t>
            </w:r>
          </w:p>
        </w:tc>
        <w:tc>
          <w:tcPr>
            <w:tcW w:w="0" w:type="auto"/>
          </w:tcPr>
          <w:p w14:paraId="2E155FAC" w14:textId="4C6421A1" w:rsidR="00E93598" w:rsidRPr="00736711" w:rsidRDefault="002A49E4" w:rsidP="00736711">
            <w:pPr>
              <w:pStyle w:val="NoSpacing"/>
              <w:rPr>
                <w:rFonts w:cstheme="minorHAnsi"/>
              </w:rPr>
            </w:pPr>
            <w:r w:rsidRPr="00736711">
              <w:rPr>
                <w:rFonts w:cstheme="minorHAnsi"/>
              </w:rPr>
              <w:t>0.239</w:t>
            </w:r>
          </w:p>
        </w:tc>
        <w:tc>
          <w:tcPr>
            <w:tcW w:w="0" w:type="auto"/>
          </w:tcPr>
          <w:p w14:paraId="0504189D" w14:textId="0E49FF0B" w:rsidR="00E93598" w:rsidRPr="00736711" w:rsidRDefault="002A49E4" w:rsidP="00736711">
            <w:pPr>
              <w:pStyle w:val="NoSpacing"/>
              <w:rPr>
                <w:rFonts w:cstheme="minorHAnsi"/>
              </w:rPr>
            </w:pPr>
            <w:r w:rsidRPr="00736711">
              <w:rPr>
                <w:rFonts w:cstheme="minorHAnsi"/>
              </w:rPr>
              <w:t>−0.277</w:t>
            </w:r>
          </w:p>
        </w:tc>
        <w:tc>
          <w:tcPr>
            <w:tcW w:w="0" w:type="auto"/>
          </w:tcPr>
          <w:p w14:paraId="0930EB52" w14:textId="5CB5489C" w:rsidR="00E93598" w:rsidRPr="00736711" w:rsidRDefault="002A49E4" w:rsidP="00736711">
            <w:pPr>
              <w:pStyle w:val="NoSpacing"/>
              <w:rPr>
                <w:rFonts w:cstheme="minorHAnsi"/>
              </w:rPr>
            </w:pPr>
            <w:r w:rsidRPr="00736711">
              <w:rPr>
                <w:rFonts w:cstheme="minorHAnsi"/>
              </w:rPr>
              <w:t>.391</w:t>
            </w:r>
          </w:p>
        </w:tc>
      </w:tr>
      <w:tr w:rsidR="007D1945" w:rsidRPr="00736711" w14:paraId="77545BEE" w14:textId="77777777" w:rsidTr="00B241F5">
        <w:tc>
          <w:tcPr>
            <w:tcW w:w="0" w:type="auto"/>
          </w:tcPr>
          <w:p w14:paraId="390318E2" w14:textId="61DFADB7" w:rsidR="007D1945" w:rsidRPr="00736711" w:rsidRDefault="002A49E4" w:rsidP="00736711">
            <w:pPr>
              <w:pStyle w:val="NoSpacing"/>
              <w:rPr>
                <w:rFonts w:cstheme="minorHAnsi"/>
              </w:rPr>
            </w:pPr>
            <w:r w:rsidRPr="00736711">
              <w:rPr>
                <w:rFonts w:cstheme="minorHAnsi"/>
              </w:rPr>
              <w:t>Total direct effects</w:t>
            </w:r>
          </w:p>
        </w:tc>
        <w:tc>
          <w:tcPr>
            <w:tcW w:w="0" w:type="auto"/>
          </w:tcPr>
          <w:p w14:paraId="46DE69F2" w14:textId="77777777" w:rsidR="007D1945" w:rsidRPr="00736711" w:rsidRDefault="007D1945" w:rsidP="00736711">
            <w:pPr>
              <w:pStyle w:val="NoSpacing"/>
              <w:rPr>
                <w:rFonts w:cstheme="minorHAnsi"/>
              </w:rPr>
            </w:pPr>
          </w:p>
        </w:tc>
        <w:tc>
          <w:tcPr>
            <w:tcW w:w="0" w:type="auto"/>
          </w:tcPr>
          <w:p w14:paraId="5D934C91" w14:textId="77777777" w:rsidR="007D1945" w:rsidRPr="00736711" w:rsidRDefault="007D1945" w:rsidP="00736711">
            <w:pPr>
              <w:pStyle w:val="NoSpacing"/>
              <w:rPr>
                <w:rFonts w:cstheme="minorHAnsi"/>
              </w:rPr>
            </w:pPr>
          </w:p>
        </w:tc>
        <w:tc>
          <w:tcPr>
            <w:tcW w:w="0" w:type="auto"/>
          </w:tcPr>
          <w:p w14:paraId="76ED46D7" w14:textId="77777777" w:rsidR="007D1945" w:rsidRPr="00736711" w:rsidRDefault="007D1945" w:rsidP="00736711">
            <w:pPr>
              <w:pStyle w:val="NoSpacing"/>
              <w:rPr>
                <w:rFonts w:cstheme="minorHAnsi"/>
              </w:rPr>
            </w:pPr>
          </w:p>
        </w:tc>
        <w:tc>
          <w:tcPr>
            <w:tcW w:w="0" w:type="auto"/>
          </w:tcPr>
          <w:p w14:paraId="07C3A317" w14:textId="77777777" w:rsidR="007D1945" w:rsidRPr="00736711" w:rsidRDefault="007D1945" w:rsidP="00736711">
            <w:pPr>
              <w:pStyle w:val="NoSpacing"/>
              <w:rPr>
                <w:rFonts w:cstheme="minorHAnsi"/>
              </w:rPr>
            </w:pPr>
          </w:p>
        </w:tc>
      </w:tr>
      <w:tr w:rsidR="002A49E4" w:rsidRPr="00736711" w14:paraId="21B7EC63" w14:textId="77777777" w:rsidTr="00B241F5">
        <w:tc>
          <w:tcPr>
            <w:tcW w:w="0" w:type="auto"/>
          </w:tcPr>
          <w:p w14:paraId="20C0E5E1" w14:textId="77777777" w:rsidR="002A49E4" w:rsidRPr="00736711" w:rsidRDefault="002A49E4" w:rsidP="00736711">
            <w:pPr>
              <w:pStyle w:val="NoSpacing"/>
              <w:rPr>
                <w:rFonts w:cstheme="minorHAnsi"/>
              </w:rPr>
            </w:pPr>
          </w:p>
        </w:tc>
        <w:tc>
          <w:tcPr>
            <w:tcW w:w="0" w:type="auto"/>
          </w:tcPr>
          <w:p w14:paraId="233F9BC4" w14:textId="0FE22CE8" w:rsidR="002A49E4" w:rsidRPr="00736711" w:rsidRDefault="002A49E4" w:rsidP="00736711">
            <w:pPr>
              <w:pStyle w:val="NoSpacing"/>
              <w:rPr>
                <w:rFonts w:cstheme="minorHAnsi"/>
              </w:rPr>
            </w:pPr>
            <w:r w:rsidRPr="00736711">
              <w:rPr>
                <w:rFonts w:cstheme="minorHAnsi"/>
              </w:rPr>
              <w:t xml:space="preserve">Coefficient (unstandardized </w:t>
            </w:r>
            <w:r w:rsidRPr="00736711">
              <w:rPr>
                <w:rFonts w:cstheme="minorHAnsi"/>
                <w:i/>
                <w:iCs/>
              </w:rPr>
              <w:t>B</w:t>
            </w:r>
            <w:r w:rsidRPr="00736711">
              <w:rPr>
                <w:rFonts w:cstheme="minorHAnsi"/>
              </w:rPr>
              <w:t>)</w:t>
            </w:r>
          </w:p>
        </w:tc>
        <w:tc>
          <w:tcPr>
            <w:tcW w:w="0" w:type="auto"/>
          </w:tcPr>
          <w:p w14:paraId="5A477C6D" w14:textId="72E179C0" w:rsidR="002A49E4" w:rsidRPr="00736711" w:rsidRDefault="002A49E4" w:rsidP="00736711">
            <w:pPr>
              <w:pStyle w:val="NoSpacing"/>
              <w:rPr>
                <w:rFonts w:cstheme="minorHAnsi"/>
              </w:rPr>
            </w:pPr>
            <w:r w:rsidRPr="00736711">
              <w:rPr>
                <w:rFonts w:cstheme="minorHAnsi"/>
                <w:i/>
                <w:iCs/>
              </w:rPr>
              <w:t xml:space="preserve">SE </w:t>
            </w:r>
          </w:p>
        </w:tc>
        <w:tc>
          <w:tcPr>
            <w:tcW w:w="0" w:type="auto"/>
          </w:tcPr>
          <w:p w14:paraId="037D53B8" w14:textId="4F08A0CD" w:rsidR="002A49E4" w:rsidRPr="00736711" w:rsidRDefault="002A49E4" w:rsidP="00736711">
            <w:pPr>
              <w:pStyle w:val="NoSpacing"/>
              <w:rPr>
                <w:rFonts w:cstheme="minorHAnsi"/>
              </w:rPr>
            </w:pPr>
            <w:r w:rsidRPr="00736711">
              <w:rPr>
                <w:rFonts w:cstheme="minorHAnsi"/>
                <w:i/>
                <w:iCs/>
              </w:rPr>
              <w:t>t</w:t>
            </w:r>
          </w:p>
        </w:tc>
        <w:tc>
          <w:tcPr>
            <w:tcW w:w="0" w:type="auto"/>
          </w:tcPr>
          <w:p w14:paraId="7A015F74" w14:textId="190DC19A" w:rsidR="002A49E4" w:rsidRPr="00736711" w:rsidRDefault="002A49E4" w:rsidP="00736711">
            <w:pPr>
              <w:pStyle w:val="NoSpacing"/>
              <w:rPr>
                <w:rFonts w:cstheme="minorHAnsi"/>
              </w:rPr>
            </w:pPr>
            <w:r w:rsidRPr="00736711">
              <w:rPr>
                <w:rFonts w:cstheme="minorHAnsi"/>
                <w:i/>
                <w:iCs/>
              </w:rPr>
              <w:t>p</w:t>
            </w:r>
            <w:r w:rsidRPr="00736711">
              <w:rPr>
                <w:rFonts w:cstheme="minorHAnsi"/>
              </w:rPr>
              <w:t>-value</w:t>
            </w:r>
          </w:p>
        </w:tc>
      </w:tr>
      <w:tr w:rsidR="007D1945" w:rsidRPr="00736711" w14:paraId="51EBC4E4" w14:textId="77777777" w:rsidTr="00B241F5">
        <w:tc>
          <w:tcPr>
            <w:tcW w:w="0" w:type="auto"/>
          </w:tcPr>
          <w:p w14:paraId="21E27F02" w14:textId="5372B388" w:rsidR="007D1945" w:rsidRPr="00736711" w:rsidRDefault="00001293" w:rsidP="00736711">
            <w:pPr>
              <w:pStyle w:val="NoSpacing"/>
              <w:rPr>
                <w:rFonts w:cstheme="minorHAnsi"/>
              </w:rPr>
            </w:pPr>
            <w:r w:rsidRPr="00736711">
              <w:rPr>
                <w:rFonts w:cstheme="minorHAnsi"/>
              </w:rPr>
              <w:t>CA</w:t>
            </w:r>
          </w:p>
        </w:tc>
        <w:tc>
          <w:tcPr>
            <w:tcW w:w="0" w:type="auto"/>
          </w:tcPr>
          <w:p w14:paraId="092F387C" w14:textId="69CE8CB9" w:rsidR="007D1945" w:rsidRPr="00736711" w:rsidRDefault="00001293" w:rsidP="00736711">
            <w:pPr>
              <w:pStyle w:val="NoSpacing"/>
              <w:rPr>
                <w:rFonts w:cstheme="minorHAnsi"/>
              </w:rPr>
            </w:pPr>
            <w:r w:rsidRPr="00736711">
              <w:rPr>
                <w:rFonts w:cstheme="minorHAnsi"/>
              </w:rPr>
              <w:t>−0.066</w:t>
            </w:r>
          </w:p>
        </w:tc>
        <w:tc>
          <w:tcPr>
            <w:tcW w:w="0" w:type="auto"/>
          </w:tcPr>
          <w:p w14:paraId="7396AED5" w14:textId="6764EC25" w:rsidR="007D1945" w:rsidRPr="00736711" w:rsidRDefault="00001293" w:rsidP="00736711">
            <w:pPr>
              <w:pStyle w:val="NoSpacing"/>
              <w:rPr>
                <w:rFonts w:cstheme="minorHAnsi"/>
              </w:rPr>
            </w:pPr>
            <w:r w:rsidRPr="00736711">
              <w:rPr>
                <w:rFonts w:cstheme="minorHAnsi"/>
              </w:rPr>
              <w:t>0.239</w:t>
            </w:r>
          </w:p>
        </w:tc>
        <w:tc>
          <w:tcPr>
            <w:tcW w:w="0" w:type="auto"/>
          </w:tcPr>
          <w:p w14:paraId="76BE0DA6" w14:textId="12241B00" w:rsidR="007D1945" w:rsidRPr="00736711" w:rsidRDefault="00001293" w:rsidP="00736711">
            <w:pPr>
              <w:pStyle w:val="NoSpacing"/>
              <w:rPr>
                <w:rFonts w:cstheme="minorHAnsi"/>
              </w:rPr>
            </w:pPr>
            <w:r w:rsidRPr="00736711">
              <w:rPr>
                <w:rFonts w:cstheme="minorHAnsi"/>
              </w:rPr>
              <w:t>−0.277</w:t>
            </w:r>
          </w:p>
        </w:tc>
        <w:tc>
          <w:tcPr>
            <w:tcW w:w="0" w:type="auto"/>
          </w:tcPr>
          <w:p w14:paraId="741E8546" w14:textId="39AEA172" w:rsidR="007D1945" w:rsidRPr="00736711" w:rsidRDefault="00001293" w:rsidP="00736711">
            <w:pPr>
              <w:pStyle w:val="NoSpacing"/>
              <w:rPr>
                <w:rFonts w:cstheme="minorHAnsi"/>
              </w:rPr>
            </w:pPr>
            <w:r w:rsidRPr="00736711">
              <w:rPr>
                <w:rFonts w:cstheme="minorHAnsi"/>
              </w:rPr>
              <w:t>.391</w:t>
            </w:r>
          </w:p>
        </w:tc>
      </w:tr>
      <w:tr w:rsidR="00001293" w:rsidRPr="00736711" w14:paraId="3992607C" w14:textId="77777777" w:rsidTr="00B241F5">
        <w:tc>
          <w:tcPr>
            <w:tcW w:w="0" w:type="auto"/>
          </w:tcPr>
          <w:p w14:paraId="28620A68" w14:textId="620FAEFB" w:rsidR="00001293" w:rsidRPr="00736711" w:rsidRDefault="00CA7E66" w:rsidP="00736711">
            <w:pPr>
              <w:pStyle w:val="NoSpacing"/>
              <w:rPr>
                <w:rFonts w:cstheme="minorHAnsi"/>
              </w:rPr>
            </w:pPr>
            <w:r w:rsidRPr="00736711">
              <w:rPr>
                <w:rFonts w:cstheme="minorHAnsi"/>
              </w:rPr>
              <w:t>Total indirect effects</w:t>
            </w:r>
          </w:p>
        </w:tc>
        <w:tc>
          <w:tcPr>
            <w:tcW w:w="0" w:type="auto"/>
          </w:tcPr>
          <w:p w14:paraId="543600C3" w14:textId="77777777" w:rsidR="00001293" w:rsidRPr="00736711" w:rsidRDefault="00001293" w:rsidP="00736711">
            <w:pPr>
              <w:pStyle w:val="NoSpacing"/>
              <w:rPr>
                <w:rFonts w:cstheme="minorHAnsi"/>
              </w:rPr>
            </w:pPr>
          </w:p>
        </w:tc>
        <w:tc>
          <w:tcPr>
            <w:tcW w:w="0" w:type="auto"/>
          </w:tcPr>
          <w:p w14:paraId="36C80F88" w14:textId="77777777" w:rsidR="00001293" w:rsidRPr="00736711" w:rsidRDefault="00001293" w:rsidP="00736711">
            <w:pPr>
              <w:pStyle w:val="NoSpacing"/>
              <w:rPr>
                <w:rFonts w:cstheme="minorHAnsi"/>
              </w:rPr>
            </w:pPr>
          </w:p>
        </w:tc>
        <w:tc>
          <w:tcPr>
            <w:tcW w:w="0" w:type="auto"/>
          </w:tcPr>
          <w:p w14:paraId="3408B451" w14:textId="77777777" w:rsidR="00001293" w:rsidRPr="00736711" w:rsidRDefault="00001293" w:rsidP="00736711">
            <w:pPr>
              <w:pStyle w:val="NoSpacing"/>
              <w:rPr>
                <w:rFonts w:cstheme="minorHAnsi"/>
              </w:rPr>
            </w:pPr>
          </w:p>
        </w:tc>
        <w:tc>
          <w:tcPr>
            <w:tcW w:w="0" w:type="auto"/>
          </w:tcPr>
          <w:p w14:paraId="4CFA4E15" w14:textId="77777777" w:rsidR="00001293" w:rsidRPr="00736711" w:rsidRDefault="00001293" w:rsidP="00736711">
            <w:pPr>
              <w:pStyle w:val="NoSpacing"/>
              <w:rPr>
                <w:rFonts w:cstheme="minorHAnsi"/>
              </w:rPr>
            </w:pPr>
          </w:p>
        </w:tc>
      </w:tr>
      <w:tr w:rsidR="00001293" w:rsidRPr="00736711" w14:paraId="332E76C1" w14:textId="77777777" w:rsidTr="00B241F5">
        <w:tc>
          <w:tcPr>
            <w:tcW w:w="0" w:type="auto"/>
          </w:tcPr>
          <w:p w14:paraId="6843AFF7" w14:textId="77777777" w:rsidR="00001293" w:rsidRPr="00736711" w:rsidRDefault="00001293" w:rsidP="00736711">
            <w:pPr>
              <w:pStyle w:val="NoSpacing"/>
              <w:rPr>
                <w:rFonts w:cstheme="minorHAnsi"/>
              </w:rPr>
            </w:pPr>
          </w:p>
        </w:tc>
        <w:tc>
          <w:tcPr>
            <w:tcW w:w="0" w:type="auto"/>
          </w:tcPr>
          <w:p w14:paraId="07C28062" w14:textId="0E986189" w:rsidR="00001293" w:rsidRPr="00736711" w:rsidRDefault="00CA7E66" w:rsidP="00736711">
            <w:pPr>
              <w:pStyle w:val="NoSpacing"/>
              <w:rPr>
                <w:rFonts w:cstheme="minorHAnsi"/>
              </w:rPr>
            </w:pPr>
            <w:r w:rsidRPr="00736711">
              <w:rPr>
                <w:rFonts w:cstheme="minorHAnsi"/>
              </w:rPr>
              <w:t>Effect</w:t>
            </w:r>
          </w:p>
        </w:tc>
        <w:tc>
          <w:tcPr>
            <w:tcW w:w="0" w:type="auto"/>
          </w:tcPr>
          <w:p w14:paraId="4BC3E76C" w14:textId="3E232426" w:rsidR="00001293" w:rsidRPr="00736711" w:rsidRDefault="00CA7E66" w:rsidP="00736711">
            <w:pPr>
              <w:pStyle w:val="NoSpacing"/>
              <w:rPr>
                <w:rFonts w:cstheme="minorHAnsi"/>
              </w:rPr>
            </w:pPr>
            <w:r w:rsidRPr="00736711">
              <w:rPr>
                <w:rFonts w:cstheme="minorHAnsi"/>
              </w:rPr>
              <w:t xml:space="preserve">Boot </w:t>
            </w:r>
            <w:r w:rsidRPr="00736711">
              <w:rPr>
                <w:rFonts w:cstheme="minorHAnsi"/>
                <w:i/>
                <w:iCs/>
              </w:rPr>
              <w:t>SE</w:t>
            </w:r>
          </w:p>
        </w:tc>
        <w:tc>
          <w:tcPr>
            <w:tcW w:w="0" w:type="auto"/>
          </w:tcPr>
          <w:p w14:paraId="35920070" w14:textId="483E88AF" w:rsidR="00001293" w:rsidRPr="00736711" w:rsidRDefault="00CA7E66" w:rsidP="00736711">
            <w:pPr>
              <w:pStyle w:val="NoSpacing"/>
              <w:rPr>
                <w:rFonts w:cstheme="minorHAnsi"/>
              </w:rPr>
            </w:pPr>
            <w:r w:rsidRPr="00736711">
              <w:rPr>
                <w:rFonts w:cstheme="minorHAnsi"/>
              </w:rPr>
              <w:t>Boot LLCI</w:t>
            </w:r>
          </w:p>
        </w:tc>
        <w:tc>
          <w:tcPr>
            <w:tcW w:w="0" w:type="auto"/>
          </w:tcPr>
          <w:p w14:paraId="3D27993C" w14:textId="72D610B5" w:rsidR="00001293" w:rsidRPr="00736711" w:rsidRDefault="00CA7E66" w:rsidP="00736711">
            <w:pPr>
              <w:pStyle w:val="NoSpacing"/>
              <w:rPr>
                <w:rFonts w:cstheme="minorHAnsi"/>
              </w:rPr>
            </w:pPr>
            <w:r w:rsidRPr="00736711">
              <w:rPr>
                <w:rFonts w:cstheme="minorHAnsi"/>
              </w:rPr>
              <w:t>Boot ULCI</w:t>
            </w:r>
          </w:p>
        </w:tc>
      </w:tr>
      <w:tr w:rsidR="00001293" w:rsidRPr="00736711" w14:paraId="64A411BD" w14:textId="77777777" w:rsidTr="00B241F5">
        <w:tc>
          <w:tcPr>
            <w:tcW w:w="0" w:type="auto"/>
          </w:tcPr>
          <w:p w14:paraId="20406904" w14:textId="67EE7E72" w:rsidR="00001293" w:rsidRPr="00736711" w:rsidRDefault="00CA7E66" w:rsidP="00736711">
            <w:pPr>
              <w:pStyle w:val="NoSpacing"/>
              <w:rPr>
                <w:rFonts w:cstheme="minorHAnsi"/>
              </w:rPr>
            </w:pPr>
            <w:r w:rsidRPr="00736711">
              <w:rPr>
                <w:rFonts w:cstheme="minorHAnsi"/>
              </w:rPr>
              <w:t>CA</w:t>
            </w:r>
          </w:p>
        </w:tc>
        <w:tc>
          <w:tcPr>
            <w:tcW w:w="0" w:type="auto"/>
          </w:tcPr>
          <w:p w14:paraId="62099465" w14:textId="4E94B5CD" w:rsidR="00001293" w:rsidRPr="00736711" w:rsidRDefault="00736711" w:rsidP="00736711">
            <w:pPr>
              <w:pStyle w:val="NoSpacing"/>
              <w:rPr>
                <w:rFonts w:cstheme="minorHAnsi"/>
              </w:rPr>
            </w:pPr>
            <w:r w:rsidRPr="00736711">
              <w:rPr>
                <w:rFonts w:cstheme="minorHAnsi"/>
              </w:rPr>
              <w:t>−0.136</w:t>
            </w:r>
          </w:p>
        </w:tc>
        <w:tc>
          <w:tcPr>
            <w:tcW w:w="0" w:type="auto"/>
          </w:tcPr>
          <w:p w14:paraId="248ECDA5" w14:textId="7E49537D" w:rsidR="00001293" w:rsidRPr="00736711" w:rsidRDefault="00736711" w:rsidP="00736711">
            <w:pPr>
              <w:pStyle w:val="NoSpacing"/>
              <w:rPr>
                <w:rFonts w:cstheme="minorHAnsi"/>
              </w:rPr>
            </w:pPr>
            <w:r w:rsidRPr="00736711">
              <w:rPr>
                <w:rFonts w:cstheme="minorHAnsi"/>
              </w:rPr>
              <w:t>0.065</w:t>
            </w:r>
          </w:p>
        </w:tc>
        <w:tc>
          <w:tcPr>
            <w:tcW w:w="0" w:type="auto"/>
          </w:tcPr>
          <w:p w14:paraId="1573FC73" w14:textId="1A590569" w:rsidR="00001293" w:rsidRPr="00736711" w:rsidRDefault="00736711" w:rsidP="00736711">
            <w:pPr>
              <w:pStyle w:val="NoSpacing"/>
              <w:rPr>
                <w:rFonts w:cstheme="minorHAnsi"/>
              </w:rPr>
            </w:pPr>
            <w:r w:rsidRPr="00736711">
              <w:rPr>
                <w:rFonts w:cstheme="minorHAnsi"/>
              </w:rPr>
              <w:t>−0.280</w:t>
            </w:r>
          </w:p>
        </w:tc>
        <w:tc>
          <w:tcPr>
            <w:tcW w:w="0" w:type="auto"/>
          </w:tcPr>
          <w:p w14:paraId="1DA88286" w14:textId="00E00FA4" w:rsidR="00001293" w:rsidRPr="00736711" w:rsidRDefault="00736711" w:rsidP="00736711">
            <w:pPr>
              <w:pStyle w:val="NoSpacing"/>
              <w:rPr>
                <w:rFonts w:cstheme="minorHAnsi"/>
              </w:rPr>
            </w:pPr>
            <w:r w:rsidRPr="00736711">
              <w:rPr>
                <w:rFonts w:cstheme="minorHAnsi"/>
              </w:rPr>
              <w:t>−0.027</w:t>
            </w:r>
          </w:p>
        </w:tc>
      </w:tr>
    </w:tbl>
    <w:p w14:paraId="1B11B096" w14:textId="77777777" w:rsidR="00736711" w:rsidRPr="00736711" w:rsidRDefault="00736711" w:rsidP="00736711">
      <w:pPr>
        <w:pStyle w:val="NoSpacing"/>
      </w:pPr>
      <w:r w:rsidRPr="00736711">
        <w:t>Note. SE = standard error; CA = control activities; LLCI = lower level of confidence interval; ULCI =</w:t>
      </w:r>
    </w:p>
    <w:p w14:paraId="10206587" w14:textId="10B02E01" w:rsidR="00019CDB" w:rsidRDefault="00736711" w:rsidP="00736711">
      <w:pPr>
        <w:pStyle w:val="NoSpacing"/>
      </w:pPr>
      <w:r w:rsidRPr="00736711">
        <w:t>upper level of confidence interval.</w:t>
      </w:r>
    </w:p>
    <w:p w14:paraId="1D6DD8DD" w14:textId="39A25337" w:rsidR="008C24CF" w:rsidRPr="008C24CF" w:rsidRDefault="00C06070" w:rsidP="00019CDB">
      <w:r w:rsidRPr="00C06070">
        <w:rPr>
          <w:noProof/>
        </w:rPr>
        <w:lastRenderedPageBreak/>
        <w:drawing>
          <wp:inline distT="0" distB="0" distL="0" distR="0" wp14:anchorId="1F971F60" wp14:editId="06E18FC1">
            <wp:extent cx="3657600" cy="1490472"/>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57600" cy="1490472"/>
                    </a:xfrm>
                    <a:prstGeom prst="rect">
                      <a:avLst/>
                    </a:prstGeom>
                    <a:noFill/>
                    <a:ln>
                      <a:noFill/>
                    </a:ln>
                  </pic:spPr>
                </pic:pic>
              </a:graphicData>
            </a:graphic>
          </wp:inline>
        </w:drawing>
      </w:r>
    </w:p>
    <w:p w14:paraId="1A254CC3" w14:textId="5A12E7FE" w:rsidR="008C24CF" w:rsidRPr="008C24CF" w:rsidRDefault="008C24CF" w:rsidP="00019CDB">
      <w:pPr>
        <w:rPr>
          <w:b/>
          <w:bCs/>
        </w:rPr>
      </w:pPr>
    </w:p>
    <w:p w14:paraId="23FE8A57" w14:textId="2273F3D0" w:rsidR="008C24CF" w:rsidRPr="008C24CF" w:rsidRDefault="008C24CF" w:rsidP="008C24CF">
      <w:r>
        <w:t>Finally, H2 predicts monitoring activities will mediate the path between organization type and whistleblowing intention. Results are displayed in Panel B of </w:t>
      </w:r>
      <w:r w:rsidRPr="00D84464">
        <w:t>Table 5</w:t>
      </w:r>
      <w:r>
        <w:t>. Results indicate that organization type significantly predicts the perception of internal control monitoring activities (</w:t>
      </w:r>
      <w:r w:rsidRPr="00019CDB">
        <w:rPr>
          <w:i/>
          <w:iCs/>
        </w:rPr>
        <w:t>B</w:t>
      </w:r>
      <w:r>
        <w:t> = −0.553, </w:t>
      </w:r>
      <w:r w:rsidRPr="00019CDB">
        <w:rPr>
          <w:i/>
          <w:iCs/>
        </w:rPr>
        <w:t>SE</w:t>
      </w:r>
      <w:r>
        <w:t> = 0.172, </w:t>
      </w:r>
      <w:r w:rsidRPr="00019CDB">
        <w:rPr>
          <w:i/>
          <w:iCs/>
        </w:rPr>
        <w:t>p</w:t>
      </w:r>
      <w:r>
        <w:t> &lt; .01), where the perception of monitoring activities is lower among nonprofit employees, and that perception of monitoring activities predicts whistleblowing intention (</w:t>
      </w:r>
      <w:r w:rsidRPr="00019CDB">
        <w:rPr>
          <w:i/>
          <w:iCs/>
        </w:rPr>
        <w:t>B</w:t>
      </w:r>
      <w:r>
        <w:t> = 0.197, </w:t>
      </w:r>
      <w:r w:rsidRPr="00019CDB">
        <w:rPr>
          <w:i/>
          <w:iCs/>
        </w:rPr>
        <w:t>SE</w:t>
      </w:r>
      <w:r>
        <w:t> = 0.084, </w:t>
      </w:r>
      <w:r w:rsidRPr="00019CDB">
        <w:rPr>
          <w:i/>
          <w:iCs/>
        </w:rPr>
        <w:t>p</w:t>
      </w:r>
      <w:r>
        <w:t> &lt; .01), where higher perceived monitoring activities increase whistleblowing. These results support mediation. Organization type is not a significant predictor of whistleblowing after controlling for the mediator, perception of monitoring activities (</w:t>
      </w:r>
      <w:r w:rsidRPr="00019CDB">
        <w:rPr>
          <w:i/>
          <w:iCs/>
        </w:rPr>
        <w:t>B</w:t>
      </w:r>
      <w:r>
        <w:t> = −0.093, </w:t>
      </w:r>
      <w:r w:rsidRPr="00019CDB">
        <w:rPr>
          <w:i/>
          <w:iCs/>
        </w:rPr>
        <w:t>SE</w:t>
      </w:r>
      <w:r>
        <w:t> = 0.241, ns), consistent with mediation. The results indicate that the indirect coefficient (the effect of organization type on whistleblowing through perception of monitoring activities) was significant (</w:t>
      </w:r>
      <w:r w:rsidRPr="00019CDB">
        <w:rPr>
          <w:i/>
          <w:iCs/>
        </w:rPr>
        <w:t>B</w:t>
      </w:r>
      <w:r>
        <w:t> = −0.109, </w:t>
      </w:r>
      <w:r w:rsidRPr="00019CDB">
        <w:rPr>
          <w:i/>
          <w:iCs/>
        </w:rPr>
        <w:t>SE</w:t>
      </w:r>
      <w:r>
        <w:t xml:space="preserve"> = 0.064, 95% CI = −0.258, −0.006), further supporting mediation. Nonprofit organizations were associated with intentions to </w:t>
      </w:r>
      <w:proofErr w:type="spellStart"/>
      <w:r>
        <w:t>whistleblow</w:t>
      </w:r>
      <w:proofErr w:type="spellEnd"/>
      <w:r>
        <w:t>, which were 0.109 points lower as mediated by perception of monitoring activities.</w:t>
      </w:r>
    </w:p>
    <w:p w14:paraId="1FBBCB26" w14:textId="71584355" w:rsidR="008C24CF" w:rsidRPr="008C24CF" w:rsidRDefault="008C24CF" w:rsidP="00C06070">
      <w:pPr>
        <w:spacing w:after="0"/>
      </w:pPr>
      <w:r w:rsidRPr="008C24CF">
        <w:rPr>
          <w:b/>
          <w:bCs/>
        </w:rPr>
        <w:t>Table 5.</w:t>
      </w:r>
      <w:r w:rsidRPr="008C24CF">
        <w:t> Internal Control Monitoring Activities Results.</w:t>
      </w:r>
    </w:p>
    <w:tbl>
      <w:tblPr>
        <w:tblStyle w:val="TableGrid"/>
        <w:tblW w:w="0" w:type="auto"/>
        <w:tblLook w:val="06A0" w:firstRow="1" w:lastRow="0" w:firstColumn="1" w:lastColumn="0" w:noHBand="1" w:noVBand="1"/>
      </w:tblPr>
      <w:tblGrid>
        <w:gridCol w:w="5079"/>
        <w:gridCol w:w="2287"/>
        <w:gridCol w:w="807"/>
        <w:gridCol w:w="936"/>
        <w:gridCol w:w="961"/>
      </w:tblGrid>
      <w:tr w:rsidR="00C06070" w:rsidRPr="00FC5159" w14:paraId="6DBB5D39" w14:textId="77777777" w:rsidTr="00C06070">
        <w:tc>
          <w:tcPr>
            <w:tcW w:w="0" w:type="auto"/>
          </w:tcPr>
          <w:p w14:paraId="1B831927" w14:textId="59BAFAF6" w:rsidR="00C06070" w:rsidRPr="00FC5159" w:rsidRDefault="00C06070" w:rsidP="00FC5159">
            <w:pPr>
              <w:pStyle w:val="NoSpacing"/>
              <w:rPr>
                <w:rFonts w:cstheme="minorHAnsi"/>
              </w:rPr>
            </w:pPr>
            <w:r w:rsidRPr="00FC5159">
              <w:rPr>
                <w:rFonts w:cstheme="minorHAnsi"/>
              </w:rPr>
              <w:t>Panel A: Monitoring Activities Cell Means and Standard Deviations.</w:t>
            </w:r>
          </w:p>
        </w:tc>
        <w:tc>
          <w:tcPr>
            <w:tcW w:w="0" w:type="auto"/>
          </w:tcPr>
          <w:p w14:paraId="4D445253" w14:textId="77777777" w:rsidR="00C06070" w:rsidRPr="00FC5159" w:rsidRDefault="00C06070" w:rsidP="00FC5159">
            <w:pPr>
              <w:pStyle w:val="NoSpacing"/>
              <w:rPr>
                <w:rFonts w:cstheme="minorHAnsi"/>
              </w:rPr>
            </w:pPr>
          </w:p>
        </w:tc>
        <w:tc>
          <w:tcPr>
            <w:tcW w:w="0" w:type="auto"/>
          </w:tcPr>
          <w:p w14:paraId="2666F582" w14:textId="22951B48" w:rsidR="00C06070" w:rsidRPr="00FC5159" w:rsidRDefault="00C06070" w:rsidP="00FC5159">
            <w:pPr>
              <w:pStyle w:val="NoSpacing"/>
              <w:rPr>
                <w:rFonts w:cstheme="minorHAnsi"/>
              </w:rPr>
            </w:pPr>
          </w:p>
        </w:tc>
        <w:tc>
          <w:tcPr>
            <w:tcW w:w="0" w:type="auto"/>
          </w:tcPr>
          <w:p w14:paraId="28CC237B" w14:textId="3B125A09" w:rsidR="00C06070" w:rsidRPr="00FC5159" w:rsidRDefault="00C06070" w:rsidP="00FC5159">
            <w:pPr>
              <w:pStyle w:val="NoSpacing"/>
              <w:rPr>
                <w:rFonts w:cstheme="minorHAnsi"/>
              </w:rPr>
            </w:pPr>
          </w:p>
        </w:tc>
        <w:tc>
          <w:tcPr>
            <w:tcW w:w="0" w:type="auto"/>
          </w:tcPr>
          <w:p w14:paraId="2CABD2DC" w14:textId="62CF057C" w:rsidR="00C06070" w:rsidRPr="00FC5159" w:rsidRDefault="00C06070" w:rsidP="00FC5159">
            <w:pPr>
              <w:pStyle w:val="NoSpacing"/>
              <w:rPr>
                <w:rFonts w:cstheme="minorHAnsi"/>
              </w:rPr>
            </w:pPr>
          </w:p>
        </w:tc>
      </w:tr>
      <w:tr w:rsidR="00C06070" w:rsidRPr="00FC5159" w14:paraId="7258BA9E" w14:textId="77777777" w:rsidTr="00C06070">
        <w:tc>
          <w:tcPr>
            <w:tcW w:w="0" w:type="auto"/>
          </w:tcPr>
          <w:p w14:paraId="30022527" w14:textId="7508160F" w:rsidR="00C06070" w:rsidRPr="00FC5159" w:rsidRDefault="00C06070" w:rsidP="00FC5159">
            <w:pPr>
              <w:pStyle w:val="NoSpacing"/>
              <w:rPr>
                <w:rFonts w:cstheme="minorHAnsi"/>
              </w:rPr>
            </w:pPr>
            <w:r w:rsidRPr="00FC5159">
              <w:rPr>
                <w:rFonts w:cstheme="minorHAnsi"/>
              </w:rPr>
              <w:t>Type of organization</w:t>
            </w:r>
          </w:p>
        </w:tc>
        <w:tc>
          <w:tcPr>
            <w:tcW w:w="0" w:type="auto"/>
          </w:tcPr>
          <w:p w14:paraId="3CEBFD00" w14:textId="77777777" w:rsidR="00C06070" w:rsidRPr="00FC5159" w:rsidRDefault="00C06070" w:rsidP="00FC5159">
            <w:pPr>
              <w:pStyle w:val="NoSpacing"/>
              <w:rPr>
                <w:rFonts w:cstheme="minorHAnsi"/>
              </w:rPr>
            </w:pPr>
          </w:p>
        </w:tc>
        <w:tc>
          <w:tcPr>
            <w:tcW w:w="0" w:type="auto"/>
          </w:tcPr>
          <w:p w14:paraId="5D581D16" w14:textId="708F1A2C" w:rsidR="00C06070" w:rsidRPr="00FC5159" w:rsidRDefault="00C06070" w:rsidP="00FC5159">
            <w:pPr>
              <w:pStyle w:val="NoSpacing"/>
              <w:rPr>
                <w:rFonts w:cstheme="minorHAnsi"/>
              </w:rPr>
            </w:pPr>
            <w:r w:rsidRPr="00FC5159">
              <w:rPr>
                <w:rFonts w:cstheme="minorHAnsi"/>
              </w:rPr>
              <w:t>M</w:t>
            </w:r>
          </w:p>
        </w:tc>
        <w:tc>
          <w:tcPr>
            <w:tcW w:w="0" w:type="auto"/>
          </w:tcPr>
          <w:p w14:paraId="1860BF9E" w14:textId="75E960B5" w:rsidR="00C06070" w:rsidRPr="00FC5159" w:rsidRDefault="00C06070" w:rsidP="00FC5159">
            <w:pPr>
              <w:pStyle w:val="NoSpacing"/>
              <w:rPr>
                <w:rFonts w:cstheme="minorHAnsi"/>
              </w:rPr>
            </w:pPr>
            <w:r w:rsidRPr="00FC5159">
              <w:rPr>
                <w:rFonts w:cstheme="minorHAnsi"/>
              </w:rPr>
              <w:t>SD</w:t>
            </w:r>
          </w:p>
        </w:tc>
        <w:tc>
          <w:tcPr>
            <w:tcW w:w="0" w:type="auto"/>
          </w:tcPr>
          <w:p w14:paraId="52A3D615" w14:textId="15300654" w:rsidR="00C06070" w:rsidRPr="00FC5159" w:rsidRDefault="00C06070" w:rsidP="00FC5159">
            <w:pPr>
              <w:pStyle w:val="NoSpacing"/>
              <w:rPr>
                <w:rFonts w:cstheme="minorHAnsi"/>
              </w:rPr>
            </w:pPr>
            <w:r w:rsidRPr="00FC5159">
              <w:rPr>
                <w:rFonts w:cstheme="minorHAnsi"/>
              </w:rPr>
              <w:t>N</w:t>
            </w:r>
          </w:p>
        </w:tc>
      </w:tr>
      <w:tr w:rsidR="00C06070" w:rsidRPr="00FC5159" w14:paraId="54B6F3EF" w14:textId="77777777" w:rsidTr="00C06070">
        <w:tc>
          <w:tcPr>
            <w:tcW w:w="0" w:type="auto"/>
          </w:tcPr>
          <w:p w14:paraId="6E28C7D4" w14:textId="33181BCB" w:rsidR="00C06070" w:rsidRPr="00FC5159" w:rsidRDefault="00C06070" w:rsidP="00FC5159">
            <w:pPr>
              <w:pStyle w:val="NoSpacing"/>
              <w:rPr>
                <w:rFonts w:cstheme="minorHAnsi"/>
              </w:rPr>
            </w:pPr>
            <w:r w:rsidRPr="00FC5159">
              <w:rPr>
                <w:rFonts w:cstheme="minorHAnsi"/>
              </w:rPr>
              <w:t>For-profit</w:t>
            </w:r>
          </w:p>
        </w:tc>
        <w:tc>
          <w:tcPr>
            <w:tcW w:w="0" w:type="auto"/>
          </w:tcPr>
          <w:p w14:paraId="23C26E5F" w14:textId="77777777" w:rsidR="00C06070" w:rsidRPr="00FC5159" w:rsidRDefault="00C06070" w:rsidP="00FC5159">
            <w:pPr>
              <w:pStyle w:val="NoSpacing"/>
              <w:rPr>
                <w:rFonts w:cstheme="minorHAnsi"/>
              </w:rPr>
            </w:pPr>
          </w:p>
        </w:tc>
        <w:tc>
          <w:tcPr>
            <w:tcW w:w="0" w:type="auto"/>
          </w:tcPr>
          <w:p w14:paraId="2EE495D9" w14:textId="1479E7E8" w:rsidR="00C06070" w:rsidRPr="00FC5159" w:rsidRDefault="00C06070" w:rsidP="00FC5159">
            <w:pPr>
              <w:pStyle w:val="NoSpacing"/>
              <w:rPr>
                <w:rFonts w:cstheme="minorHAnsi"/>
              </w:rPr>
            </w:pPr>
            <w:r w:rsidRPr="00FC5159">
              <w:rPr>
                <w:rFonts w:cstheme="minorHAnsi"/>
              </w:rPr>
              <w:t>5.21</w:t>
            </w:r>
          </w:p>
        </w:tc>
        <w:tc>
          <w:tcPr>
            <w:tcW w:w="0" w:type="auto"/>
          </w:tcPr>
          <w:p w14:paraId="77A2CD6E" w14:textId="26FE7E7B" w:rsidR="00C06070" w:rsidRPr="00FC5159" w:rsidRDefault="00C06070" w:rsidP="00FC5159">
            <w:pPr>
              <w:pStyle w:val="NoSpacing"/>
              <w:rPr>
                <w:rFonts w:cstheme="minorHAnsi"/>
              </w:rPr>
            </w:pPr>
            <w:r w:rsidRPr="00FC5159">
              <w:rPr>
                <w:rFonts w:cstheme="minorHAnsi"/>
              </w:rPr>
              <w:t>1.34</w:t>
            </w:r>
          </w:p>
        </w:tc>
        <w:tc>
          <w:tcPr>
            <w:tcW w:w="0" w:type="auto"/>
          </w:tcPr>
          <w:p w14:paraId="52915118" w14:textId="51E6A1BD" w:rsidR="00C06070" w:rsidRPr="00FC5159" w:rsidRDefault="00C06070" w:rsidP="00FC5159">
            <w:pPr>
              <w:pStyle w:val="NoSpacing"/>
              <w:rPr>
                <w:rFonts w:cstheme="minorHAnsi"/>
              </w:rPr>
            </w:pPr>
            <w:r w:rsidRPr="00FC5159">
              <w:rPr>
                <w:rFonts w:cstheme="minorHAnsi"/>
              </w:rPr>
              <w:t>153</w:t>
            </w:r>
          </w:p>
        </w:tc>
      </w:tr>
      <w:tr w:rsidR="00C06070" w:rsidRPr="00FC5159" w14:paraId="662D55BE" w14:textId="77777777" w:rsidTr="00C06070">
        <w:tc>
          <w:tcPr>
            <w:tcW w:w="0" w:type="auto"/>
          </w:tcPr>
          <w:p w14:paraId="447363C2" w14:textId="1CC7D14C" w:rsidR="00C06070" w:rsidRPr="00FC5159" w:rsidRDefault="00C06070" w:rsidP="00FC5159">
            <w:pPr>
              <w:pStyle w:val="NoSpacing"/>
              <w:rPr>
                <w:rFonts w:cstheme="minorHAnsi"/>
              </w:rPr>
            </w:pPr>
            <w:r w:rsidRPr="00FC5159">
              <w:rPr>
                <w:rFonts w:cstheme="minorHAnsi"/>
              </w:rPr>
              <w:t>Nonprofit</w:t>
            </w:r>
          </w:p>
        </w:tc>
        <w:tc>
          <w:tcPr>
            <w:tcW w:w="0" w:type="auto"/>
          </w:tcPr>
          <w:p w14:paraId="74656346" w14:textId="77777777" w:rsidR="00C06070" w:rsidRPr="00FC5159" w:rsidRDefault="00C06070" w:rsidP="00FC5159">
            <w:pPr>
              <w:pStyle w:val="NoSpacing"/>
              <w:rPr>
                <w:rFonts w:cstheme="minorHAnsi"/>
              </w:rPr>
            </w:pPr>
          </w:p>
        </w:tc>
        <w:tc>
          <w:tcPr>
            <w:tcW w:w="0" w:type="auto"/>
          </w:tcPr>
          <w:p w14:paraId="415030AF" w14:textId="633B48D1" w:rsidR="00C06070" w:rsidRPr="00FC5159" w:rsidRDefault="00C06070" w:rsidP="00FC5159">
            <w:pPr>
              <w:pStyle w:val="NoSpacing"/>
              <w:rPr>
                <w:rFonts w:cstheme="minorHAnsi"/>
              </w:rPr>
            </w:pPr>
            <w:r w:rsidRPr="00FC5159">
              <w:rPr>
                <w:rFonts w:cstheme="minorHAnsi"/>
              </w:rPr>
              <w:t>4.66</w:t>
            </w:r>
          </w:p>
        </w:tc>
        <w:tc>
          <w:tcPr>
            <w:tcW w:w="0" w:type="auto"/>
          </w:tcPr>
          <w:p w14:paraId="6C92E8D3" w14:textId="46FAA3D1" w:rsidR="00C06070" w:rsidRPr="00FC5159" w:rsidRDefault="00C06070" w:rsidP="00FC5159">
            <w:pPr>
              <w:pStyle w:val="NoSpacing"/>
              <w:rPr>
                <w:rFonts w:cstheme="minorHAnsi"/>
              </w:rPr>
            </w:pPr>
            <w:r w:rsidRPr="00FC5159">
              <w:rPr>
                <w:rFonts w:cstheme="minorHAnsi"/>
              </w:rPr>
              <w:t>1.49</w:t>
            </w:r>
          </w:p>
        </w:tc>
        <w:tc>
          <w:tcPr>
            <w:tcW w:w="0" w:type="auto"/>
          </w:tcPr>
          <w:p w14:paraId="39DD6228" w14:textId="47EB59A9" w:rsidR="00C06070" w:rsidRPr="00FC5159" w:rsidRDefault="00C06070" w:rsidP="00FC5159">
            <w:pPr>
              <w:pStyle w:val="NoSpacing"/>
              <w:rPr>
                <w:rFonts w:cstheme="minorHAnsi"/>
              </w:rPr>
            </w:pPr>
            <w:r w:rsidRPr="00FC5159">
              <w:rPr>
                <w:rFonts w:cstheme="minorHAnsi"/>
              </w:rPr>
              <w:t>119</w:t>
            </w:r>
          </w:p>
        </w:tc>
      </w:tr>
      <w:tr w:rsidR="00C06070" w:rsidRPr="00FC5159" w14:paraId="6E8F18B8" w14:textId="77777777" w:rsidTr="00C06070">
        <w:tc>
          <w:tcPr>
            <w:tcW w:w="0" w:type="auto"/>
          </w:tcPr>
          <w:p w14:paraId="495A6D38" w14:textId="0B799D5E" w:rsidR="00C06070" w:rsidRPr="00FC5159" w:rsidRDefault="00C06070" w:rsidP="00FC5159">
            <w:pPr>
              <w:pStyle w:val="NoSpacing"/>
              <w:rPr>
                <w:rFonts w:cstheme="minorHAnsi"/>
              </w:rPr>
            </w:pPr>
            <w:r w:rsidRPr="00FC5159">
              <w:rPr>
                <w:rFonts w:cstheme="minorHAnsi"/>
              </w:rPr>
              <w:t>Total</w:t>
            </w:r>
          </w:p>
        </w:tc>
        <w:tc>
          <w:tcPr>
            <w:tcW w:w="0" w:type="auto"/>
          </w:tcPr>
          <w:p w14:paraId="7098FCDB" w14:textId="77777777" w:rsidR="00C06070" w:rsidRPr="00FC5159" w:rsidRDefault="00C06070" w:rsidP="00FC5159">
            <w:pPr>
              <w:pStyle w:val="NoSpacing"/>
              <w:rPr>
                <w:rFonts w:cstheme="minorHAnsi"/>
              </w:rPr>
            </w:pPr>
          </w:p>
        </w:tc>
        <w:tc>
          <w:tcPr>
            <w:tcW w:w="0" w:type="auto"/>
          </w:tcPr>
          <w:p w14:paraId="5A83EB54" w14:textId="2ADCB859" w:rsidR="00C06070" w:rsidRPr="00FC5159" w:rsidRDefault="00C06070" w:rsidP="00FC5159">
            <w:pPr>
              <w:pStyle w:val="NoSpacing"/>
              <w:rPr>
                <w:rFonts w:cstheme="minorHAnsi"/>
              </w:rPr>
            </w:pPr>
            <w:r w:rsidRPr="00FC5159">
              <w:rPr>
                <w:rFonts w:cstheme="minorHAnsi"/>
              </w:rPr>
              <w:t>4.97</w:t>
            </w:r>
          </w:p>
        </w:tc>
        <w:tc>
          <w:tcPr>
            <w:tcW w:w="0" w:type="auto"/>
          </w:tcPr>
          <w:p w14:paraId="1A99A613" w14:textId="257CAFF4" w:rsidR="00C06070" w:rsidRPr="00FC5159" w:rsidRDefault="00C06070" w:rsidP="00FC5159">
            <w:pPr>
              <w:pStyle w:val="NoSpacing"/>
              <w:rPr>
                <w:rFonts w:cstheme="minorHAnsi"/>
              </w:rPr>
            </w:pPr>
            <w:r w:rsidRPr="00FC5159">
              <w:rPr>
                <w:rFonts w:cstheme="minorHAnsi"/>
              </w:rPr>
              <w:t>1.43</w:t>
            </w:r>
          </w:p>
        </w:tc>
        <w:tc>
          <w:tcPr>
            <w:tcW w:w="0" w:type="auto"/>
          </w:tcPr>
          <w:p w14:paraId="6C10FF58" w14:textId="33C17117" w:rsidR="00C06070" w:rsidRPr="00FC5159" w:rsidRDefault="00C06070" w:rsidP="00FC5159">
            <w:pPr>
              <w:pStyle w:val="NoSpacing"/>
              <w:rPr>
                <w:rFonts w:cstheme="minorHAnsi"/>
              </w:rPr>
            </w:pPr>
            <w:r w:rsidRPr="00FC5159">
              <w:rPr>
                <w:rFonts w:cstheme="minorHAnsi"/>
              </w:rPr>
              <w:t>272</w:t>
            </w:r>
          </w:p>
        </w:tc>
      </w:tr>
      <w:tr w:rsidR="00C06070" w:rsidRPr="00FC5159" w14:paraId="6375503B" w14:textId="77777777" w:rsidTr="00C06070">
        <w:tc>
          <w:tcPr>
            <w:tcW w:w="0" w:type="auto"/>
          </w:tcPr>
          <w:p w14:paraId="280F8CFC" w14:textId="05DCBAA2" w:rsidR="00C06070" w:rsidRPr="00FC5159" w:rsidRDefault="00C06070" w:rsidP="00FC5159">
            <w:pPr>
              <w:pStyle w:val="NoSpacing"/>
              <w:rPr>
                <w:rFonts w:cstheme="minorHAnsi"/>
                <w:b/>
                <w:bCs/>
              </w:rPr>
            </w:pPr>
            <w:r w:rsidRPr="00FC5159">
              <w:rPr>
                <w:rFonts w:cstheme="minorHAnsi"/>
              </w:rPr>
              <w:t>Panel B: Monitoring Activities Mediation Analysis.</w:t>
            </w:r>
          </w:p>
        </w:tc>
        <w:tc>
          <w:tcPr>
            <w:tcW w:w="0" w:type="auto"/>
          </w:tcPr>
          <w:p w14:paraId="77A05AAA" w14:textId="77777777" w:rsidR="00C06070" w:rsidRPr="00FC5159" w:rsidRDefault="00C06070" w:rsidP="00FC5159">
            <w:pPr>
              <w:pStyle w:val="NoSpacing"/>
              <w:rPr>
                <w:rFonts w:cstheme="minorHAnsi"/>
              </w:rPr>
            </w:pPr>
          </w:p>
        </w:tc>
        <w:tc>
          <w:tcPr>
            <w:tcW w:w="0" w:type="auto"/>
          </w:tcPr>
          <w:p w14:paraId="5DC311A9" w14:textId="77777777" w:rsidR="00C06070" w:rsidRPr="00FC5159" w:rsidRDefault="00C06070" w:rsidP="00FC5159">
            <w:pPr>
              <w:pStyle w:val="NoSpacing"/>
              <w:rPr>
                <w:rFonts w:cstheme="minorHAnsi"/>
              </w:rPr>
            </w:pPr>
          </w:p>
        </w:tc>
        <w:tc>
          <w:tcPr>
            <w:tcW w:w="0" w:type="auto"/>
          </w:tcPr>
          <w:p w14:paraId="1F895B6F" w14:textId="77777777" w:rsidR="00C06070" w:rsidRPr="00FC5159" w:rsidRDefault="00C06070" w:rsidP="00FC5159">
            <w:pPr>
              <w:pStyle w:val="NoSpacing"/>
              <w:rPr>
                <w:rFonts w:cstheme="minorHAnsi"/>
              </w:rPr>
            </w:pPr>
          </w:p>
        </w:tc>
        <w:tc>
          <w:tcPr>
            <w:tcW w:w="0" w:type="auto"/>
          </w:tcPr>
          <w:p w14:paraId="73857F66" w14:textId="77777777" w:rsidR="00C06070" w:rsidRPr="00FC5159" w:rsidRDefault="00C06070" w:rsidP="00FC5159">
            <w:pPr>
              <w:pStyle w:val="NoSpacing"/>
              <w:rPr>
                <w:rFonts w:cstheme="minorHAnsi"/>
              </w:rPr>
            </w:pPr>
          </w:p>
        </w:tc>
      </w:tr>
      <w:tr w:rsidR="00C06070" w:rsidRPr="00FC5159" w14:paraId="4346CB8C" w14:textId="77777777" w:rsidTr="00C06070">
        <w:tc>
          <w:tcPr>
            <w:tcW w:w="0" w:type="auto"/>
          </w:tcPr>
          <w:p w14:paraId="18A58393" w14:textId="342A5898" w:rsidR="00C06070" w:rsidRPr="00FC5159" w:rsidRDefault="00B50E2B" w:rsidP="00FC5159">
            <w:pPr>
              <w:pStyle w:val="NoSpacing"/>
              <w:rPr>
                <w:rFonts w:cstheme="minorHAnsi"/>
              </w:rPr>
            </w:pPr>
            <w:r w:rsidRPr="00FC5159">
              <w:rPr>
                <w:rFonts w:cstheme="minorHAnsi"/>
              </w:rPr>
              <w:t>Path A—Organization type predicts perception of monitoring activities</w:t>
            </w:r>
          </w:p>
        </w:tc>
        <w:tc>
          <w:tcPr>
            <w:tcW w:w="0" w:type="auto"/>
          </w:tcPr>
          <w:p w14:paraId="20B55F84" w14:textId="77777777" w:rsidR="00C06070" w:rsidRPr="00FC5159" w:rsidRDefault="00C06070" w:rsidP="00FC5159">
            <w:pPr>
              <w:pStyle w:val="NoSpacing"/>
              <w:rPr>
                <w:rFonts w:cstheme="minorHAnsi"/>
              </w:rPr>
            </w:pPr>
          </w:p>
        </w:tc>
        <w:tc>
          <w:tcPr>
            <w:tcW w:w="0" w:type="auto"/>
          </w:tcPr>
          <w:p w14:paraId="691E1EDF" w14:textId="77777777" w:rsidR="00C06070" w:rsidRPr="00FC5159" w:rsidRDefault="00C06070" w:rsidP="00FC5159">
            <w:pPr>
              <w:pStyle w:val="NoSpacing"/>
              <w:rPr>
                <w:rFonts w:cstheme="minorHAnsi"/>
              </w:rPr>
            </w:pPr>
          </w:p>
        </w:tc>
        <w:tc>
          <w:tcPr>
            <w:tcW w:w="0" w:type="auto"/>
          </w:tcPr>
          <w:p w14:paraId="43933BA3" w14:textId="77777777" w:rsidR="00C06070" w:rsidRPr="00FC5159" w:rsidRDefault="00C06070" w:rsidP="00FC5159">
            <w:pPr>
              <w:pStyle w:val="NoSpacing"/>
              <w:rPr>
                <w:rFonts w:cstheme="minorHAnsi"/>
              </w:rPr>
            </w:pPr>
          </w:p>
        </w:tc>
        <w:tc>
          <w:tcPr>
            <w:tcW w:w="0" w:type="auto"/>
          </w:tcPr>
          <w:p w14:paraId="0263A1E7" w14:textId="77777777" w:rsidR="00C06070" w:rsidRPr="00FC5159" w:rsidRDefault="00C06070" w:rsidP="00FC5159">
            <w:pPr>
              <w:pStyle w:val="NoSpacing"/>
              <w:rPr>
                <w:rFonts w:cstheme="minorHAnsi"/>
              </w:rPr>
            </w:pPr>
          </w:p>
        </w:tc>
      </w:tr>
      <w:tr w:rsidR="00C06070" w:rsidRPr="00FC5159" w14:paraId="05115AB8" w14:textId="77777777" w:rsidTr="00C06070">
        <w:tc>
          <w:tcPr>
            <w:tcW w:w="0" w:type="auto"/>
          </w:tcPr>
          <w:p w14:paraId="29B60086" w14:textId="77777777" w:rsidR="00C06070" w:rsidRPr="00FC5159" w:rsidRDefault="00C06070" w:rsidP="00FC5159">
            <w:pPr>
              <w:pStyle w:val="NoSpacing"/>
              <w:rPr>
                <w:rFonts w:cstheme="minorHAnsi"/>
              </w:rPr>
            </w:pPr>
          </w:p>
        </w:tc>
        <w:tc>
          <w:tcPr>
            <w:tcW w:w="0" w:type="auto"/>
          </w:tcPr>
          <w:p w14:paraId="463ED7E4" w14:textId="7DCAB566" w:rsidR="00C06070" w:rsidRPr="00FC5159" w:rsidRDefault="00B50E2B" w:rsidP="00FC5159">
            <w:pPr>
              <w:pStyle w:val="NoSpacing"/>
              <w:rPr>
                <w:rFonts w:cstheme="minorHAnsi"/>
              </w:rPr>
            </w:pPr>
            <w:r w:rsidRPr="00FC5159">
              <w:rPr>
                <w:rFonts w:cstheme="minorHAnsi"/>
              </w:rPr>
              <w:t xml:space="preserve">Coefficient (unstandardized </w:t>
            </w:r>
            <w:r w:rsidRPr="00FC5159">
              <w:rPr>
                <w:rFonts w:cstheme="minorHAnsi"/>
                <w:i/>
                <w:iCs/>
              </w:rPr>
              <w:t>B</w:t>
            </w:r>
            <w:r w:rsidRPr="00FC5159">
              <w:rPr>
                <w:rFonts w:cstheme="minorHAnsi"/>
              </w:rPr>
              <w:t>)</w:t>
            </w:r>
          </w:p>
        </w:tc>
        <w:tc>
          <w:tcPr>
            <w:tcW w:w="0" w:type="auto"/>
          </w:tcPr>
          <w:p w14:paraId="73ED1D0B" w14:textId="455DAC34" w:rsidR="00C06070" w:rsidRPr="00FC5159" w:rsidRDefault="00B50E2B" w:rsidP="00FC5159">
            <w:pPr>
              <w:pStyle w:val="NoSpacing"/>
              <w:rPr>
                <w:rFonts w:cstheme="minorHAnsi"/>
              </w:rPr>
            </w:pPr>
            <w:r w:rsidRPr="00FC5159">
              <w:rPr>
                <w:rFonts w:cstheme="minorHAnsi"/>
                <w:i/>
                <w:iCs/>
              </w:rPr>
              <w:t>SE</w:t>
            </w:r>
          </w:p>
        </w:tc>
        <w:tc>
          <w:tcPr>
            <w:tcW w:w="0" w:type="auto"/>
          </w:tcPr>
          <w:p w14:paraId="6A801951" w14:textId="517C2F7E" w:rsidR="00C06070" w:rsidRPr="00FC5159" w:rsidRDefault="003E13E4" w:rsidP="00FC5159">
            <w:pPr>
              <w:pStyle w:val="NoSpacing"/>
              <w:rPr>
                <w:rFonts w:cstheme="minorHAnsi"/>
              </w:rPr>
            </w:pPr>
            <w:r w:rsidRPr="00FC5159">
              <w:rPr>
                <w:rFonts w:cstheme="minorHAnsi"/>
                <w:i/>
                <w:iCs/>
              </w:rPr>
              <w:t>t</w:t>
            </w:r>
          </w:p>
        </w:tc>
        <w:tc>
          <w:tcPr>
            <w:tcW w:w="0" w:type="auto"/>
          </w:tcPr>
          <w:p w14:paraId="4F582F09" w14:textId="45FC69AC" w:rsidR="00C06070" w:rsidRPr="00FC5159" w:rsidRDefault="003E13E4" w:rsidP="00FC5159">
            <w:pPr>
              <w:pStyle w:val="NoSpacing"/>
              <w:rPr>
                <w:rFonts w:cstheme="minorHAnsi"/>
              </w:rPr>
            </w:pPr>
            <w:r w:rsidRPr="00FC5159">
              <w:rPr>
                <w:rFonts w:cstheme="minorHAnsi"/>
                <w:i/>
                <w:iCs/>
              </w:rPr>
              <w:t>p</w:t>
            </w:r>
            <w:r w:rsidRPr="00FC5159">
              <w:rPr>
                <w:rFonts w:cstheme="minorHAnsi"/>
              </w:rPr>
              <w:t>-value</w:t>
            </w:r>
          </w:p>
        </w:tc>
      </w:tr>
      <w:tr w:rsidR="00C06070" w:rsidRPr="00FC5159" w14:paraId="184763A6" w14:textId="77777777" w:rsidTr="00C06070">
        <w:tc>
          <w:tcPr>
            <w:tcW w:w="0" w:type="auto"/>
          </w:tcPr>
          <w:p w14:paraId="27500B75" w14:textId="77777777" w:rsidR="00C06070" w:rsidRPr="00FC5159" w:rsidRDefault="00C06070" w:rsidP="00FC5159">
            <w:pPr>
              <w:pStyle w:val="NoSpacing"/>
              <w:rPr>
                <w:rFonts w:cstheme="minorHAnsi"/>
              </w:rPr>
            </w:pPr>
          </w:p>
        </w:tc>
        <w:tc>
          <w:tcPr>
            <w:tcW w:w="0" w:type="auto"/>
          </w:tcPr>
          <w:p w14:paraId="44D4538E" w14:textId="45DC0DF0" w:rsidR="00C06070" w:rsidRPr="00FC5159" w:rsidRDefault="003E13E4" w:rsidP="00FC5159">
            <w:pPr>
              <w:pStyle w:val="NoSpacing"/>
              <w:rPr>
                <w:rFonts w:cstheme="minorHAnsi"/>
              </w:rPr>
            </w:pPr>
            <w:r w:rsidRPr="00FC5159">
              <w:rPr>
                <w:rFonts w:cstheme="minorHAnsi"/>
              </w:rPr>
              <w:t xml:space="preserve">−0.553 </w:t>
            </w:r>
          </w:p>
        </w:tc>
        <w:tc>
          <w:tcPr>
            <w:tcW w:w="0" w:type="auto"/>
          </w:tcPr>
          <w:p w14:paraId="20965670" w14:textId="260F7F63" w:rsidR="00C06070" w:rsidRPr="00FC5159" w:rsidRDefault="003E13E4" w:rsidP="00FC5159">
            <w:pPr>
              <w:pStyle w:val="NoSpacing"/>
              <w:rPr>
                <w:rFonts w:cstheme="minorHAnsi"/>
              </w:rPr>
            </w:pPr>
            <w:r w:rsidRPr="00FC5159">
              <w:rPr>
                <w:rFonts w:cstheme="minorHAnsi"/>
              </w:rPr>
              <w:t>0.172</w:t>
            </w:r>
          </w:p>
        </w:tc>
        <w:tc>
          <w:tcPr>
            <w:tcW w:w="0" w:type="auto"/>
          </w:tcPr>
          <w:p w14:paraId="427ED716" w14:textId="086F9C76" w:rsidR="00C06070" w:rsidRPr="00FC5159" w:rsidRDefault="003E13E4" w:rsidP="00FC5159">
            <w:pPr>
              <w:pStyle w:val="NoSpacing"/>
              <w:rPr>
                <w:rFonts w:cstheme="minorHAnsi"/>
              </w:rPr>
            </w:pPr>
            <w:r w:rsidRPr="00FC5159">
              <w:rPr>
                <w:rFonts w:cstheme="minorHAnsi"/>
              </w:rPr>
              <w:t>−3.213</w:t>
            </w:r>
          </w:p>
        </w:tc>
        <w:tc>
          <w:tcPr>
            <w:tcW w:w="0" w:type="auto"/>
          </w:tcPr>
          <w:p w14:paraId="170E3D03" w14:textId="09C1D3F7" w:rsidR="00C06070" w:rsidRPr="00FC5159" w:rsidRDefault="003E13E4" w:rsidP="00FC5159">
            <w:pPr>
              <w:pStyle w:val="NoSpacing"/>
              <w:rPr>
                <w:rFonts w:cstheme="minorHAnsi"/>
              </w:rPr>
            </w:pPr>
            <w:r w:rsidRPr="00FC5159">
              <w:rPr>
                <w:rFonts w:cstheme="minorHAnsi"/>
              </w:rPr>
              <w:t>.008</w:t>
            </w:r>
          </w:p>
        </w:tc>
      </w:tr>
      <w:tr w:rsidR="00C06070" w:rsidRPr="00FC5159" w14:paraId="142EAD31" w14:textId="77777777" w:rsidTr="00C06070">
        <w:tc>
          <w:tcPr>
            <w:tcW w:w="0" w:type="auto"/>
          </w:tcPr>
          <w:p w14:paraId="55A124DA" w14:textId="2A9556ED" w:rsidR="00C06070" w:rsidRPr="00FC5159" w:rsidRDefault="00260901" w:rsidP="00FC5159">
            <w:pPr>
              <w:pStyle w:val="NoSpacing"/>
              <w:rPr>
                <w:rFonts w:cstheme="minorHAnsi"/>
              </w:rPr>
            </w:pPr>
            <w:r w:rsidRPr="00FC5159">
              <w:rPr>
                <w:rFonts w:cstheme="minorHAnsi"/>
              </w:rPr>
              <w:t>Path B—Perception of monitoring activities predicts whistleblowing</w:t>
            </w:r>
          </w:p>
        </w:tc>
        <w:tc>
          <w:tcPr>
            <w:tcW w:w="0" w:type="auto"/>
          </w:tcPr>
          <w:p w14:paraId="220F973D" w14:textId="77777777" w:rsidR="00C06070" w:rsidRPr="00FC5159" w:rsidRDefault="00C06070" w:rsidP="00FC5159">
            <w:pPr>
              <w:pStyle w:val="NoSpacing"/>
              <w:rPr>
                <w:rFonts w:cstheme="minorHAnsi"/>
              </w:rPr>
            </w:pPr>
          </w:p>
        </w:tc>
        <w:tc>
          <w:tcPr>
            <w:tcW w:w="0" w:type="auto"/>
          </w:tcPr>
          <w:p w14:paraId="4B29C30B" w14:textId="77777777" w:rsidR="00C06070" w:rsidRPr="00FC5159" w:rsidRDefault="00C06070" w:rsidP="00FC5159">
            <w:pPr>
              <w:pStyle w:val="NoSpacing"/>
              <w:rPr>
                <w:rFonts w:cstheme="minorHAnsi"/>
              </w:rPr>
            </w:pPr>
          </w:p>
        </w:tc>
        <w:tc>
          <w:tcPr>
            <w:tcW w:w="0" w:type="auto"/>
          </w:tcPr>
          <w:p w14:paraId="1C2C6C91" w14:textId="77777777" w:rsidR="00C06070" w:rsidRPr="00FC5159" w:rsidRDefault="00C06070" w:rsidP="00FC5159">
            <w:pPr>
              <w:pStyle w:val="NoSpacing"/>
              <w:rPr>
                <w:rFonts w:cstheme="minorHAnsi"/>
              </w:rPr>
            </w:pPr>
          </w:p>
        </w:tc>
        <w:tc>
          <w:tcPr>
            <w:tcW w:w="0" w:type="auto"/>
          </w:tcPr>
          <w:p w14:paraId="6F4DBBE8" w14:textId="77777777" w:rsidR="00C06070" w:rsidRPr="00FC5159" w:rsidRDefault="00C06070" w:rsidP="00FC5159">
            <w:pPr>
              <w:pStyle w:val="NoSpacing"/>
              <w:rPr>
                <w:rFonts w:cstheme="minorHAnsi"/>
              </w:rPr>
            </w:pPr>
          </w:p>
        </w:tc>
      </w:tr>
      <w:tr w:rsidR="003E13E4" w:rsidRPr="00FC5159" w14:paraId="4DD1863A" w14:textId="77777777" w:rsidTr="00C06070">
        <w:tc>
          <w:tcPr>
            <w:tcW w:w="0" w:type="auto"/>
          </w:tcPr>
          <w:p w14:paraId="3141079B" w14:textId="77777777" w:rsidR="003E13E4" w:rsidRPr="00FC5159" w:rsidRDefault="003E13E4" w:rsidP="00FC5159">
            <w:pPr>
              <w:pStyle w:val="NoSpacing"/>
              <w:rPr>
                <w:rFonts w:cstheme="minorHAnsi"/>
              </w:rPr>
            </w:pPr>
          </w:p>
        </w:tc>
        <w:tc>
          <w:tcPr>
            <w:tcW w:w="0" w:type="auto"/>
          </w:tcPr>
          <w:p w14:paraId="26CD95B5" w14:textId="3C72AE19" w:rsidR="003E13E4" w:rsidRPr="00FC5159" w:rsidRDefault="003E13E4" w:rsidP="00FC5159">
            <w:pPr>
              <w:pStyle w:val="NoSpacing"/>
              <w:rPr>
                <w:rFonts w:cstheme="minorHAnsi"/>
              </w:rPr>
            </w:pPr>
            <w:r w:rsidRPr="00FC5159">
              <w:rPr>
                <w:rFonts w:cstheme="minorHAnsi"/>
              </w:rPr>
              <w:t xml:space="preserve">Coefficient (unstandardized </w:t>
            </w:r>
            <w:r w:rsidRPr="00FC5159">
              <w:rPr>
                <w:rFonts w:cstheme="minorHAnsi"/>
                <w:i/>
                <w:iCs/>
              </w:rPr>
              <w:t>B</w:t>
            </w:r>
            <w:r w:rsidRPr="00FC5159">
              <w:rPr>
                <w:rFonts w:cstheme="minorHAnsi"/>
              </w:rPr>
              <w:t>)</w:t>
            </w:r>
          </w:p>
        </w:tc>
        <w:tc>
          <w:tcPr>
            <w:tcW w:w="0" w:type="auto"/>
          </w:tcPr>
          <w:p w14:paraId="37F516C6" w14:textId="168DB8E5" w:rsidR="003E13E4" w:rsidRPr="00FC5159" w:rsidRDefault="003E13E4" w:rsidP="00FC5159">
            <w:pPr>
              <w:pStyle w:val="NoSpacing"/>
              <w:rPr>
                <w:rFonts w:cstheme="minorHAnsi"/>
              </w:rPr>
            </w:pPr>
            <w:r w:rsidRPr="00FC5159">
              <w:rPr>
                <w:rFonts w:cstheme="minorHAnsi"/>
                <w:i/>
                <w:iCs/>
              </w:rPr>
              <w:t>SE</w:t>
            </w:r>
          </w:p>
        </w:tc>
        <w:tc>
          <w:tcPr>
            <w:tcW w:w="0" w:type="auto"/>
          </w:tcPr>
          <w:p w14:paraId="5077717C" w14:textId="55FAEB6D" w:rsidR="003E13E4" w:rsidRPr="00FC5159" w:rsidRDefault="003E13E4" w:rsidP="00FC5159">
            <w:pPr>
              <w:pStyle w:val="NoSpacing"/>
              <w:rPr>
                <w:rFonts w:cstheme="minorHAnsi"/>
              </w:rPr>
            </w:pPr>
            <w:r w:rsidRPr="00FC5159">
              <w:rPr>
                <w:rFonts w:cstheme="minorHAnsi"/>
                <w:i/>
                <w:iCs/>
              </w:rPr>
              <w:t>t</w:t>
            </w:r>
          </w:p>
        </w:tc>
        <w:tc>
          <w:tcPr>
            <w:tcW w:w="0" w:type="auto"/>
          </w:tcPr>
          <w:p w14:paraId="11498DCC" w14:textId="1626A452" w:rsidR="003E13E4" w:rsidRPr="00FC5159" w:rsidRDefault="003E13E4" w:rsidP="00FC5159">
            <w:pPr>
              <w:pStyle w:val="NoSpacing"/>
              <w:rPr>
                <w:rFonts w:cstheme="minorHAnsi"/>
              </w:rPr>
            </w:pPr>
            <w:r w:rsidRPr="00FC5159">
              <w:rPr>
                <w:rFonts w:cstheme="minorHAnsi"/>
                <w:i/>
                <w:iCs/>
              </w:rPr>
              <w:t>p</w:t>
            </w:r>
            <w:r w:rsidRPr="00FC5159">
              <w:rPr>
                <w:rFonts w:cstheme="minorHAnsi"/>
              </w:rPr>
              <w:t>-value</w:t>
            </w:r>
          </w:p>
        </w:tc>
      </w:tr>
      <w:tr w:rsidR="00C06070" w:rsidRPr="00FC5159" w14:paraId="36B3E55C" w14:textId="77777777" w:rsidTr="00C06070">
        <w:tc>
          <w:tcPr>
            <w:tcW w:w="0" w:type="auto"/>
          </w:tcPr>
          <w:p w14:paraId="3809AB69" w14:textId="77777777" w:rsidR="00C06070" w:rsidRPr="00FC5159" w:rsidRDefault="00C06070" w:rsidP="00FC5159">
            <w:pPr>
              <w:pStyle w:val="NoSpacing"/>
              <w:rPr>
                <w:rFonts w:cstheme="minorHAnsi"/>
              </w:rPr>
            </w:pPr>
          </w:p>
        </w:tc>
        <w:tc>
          <w:tcPr>
            <w:tcW w:w="0" w:type="auto"/>
          </w:tcPr>
          <w:p w14:paraId="6601A4B9" w14:textId="310DCE67" w:rsidR="00C06070" w:rsidRPr="00FC5159" w:rsidRDefault="00260901" w:rsidP="00FC5159">
            <w:pPr>
              <w:pStyle w:val="NoSpacing"/>
              <w:rPr>
                <w:rFonts w:cstheme="minorHAnsi"/>
              </w:rPr>
            </w:pPr>
            <w:r w:rsidRPr="00FC5159">
              <w:rPr>
                <w:rFonts w:cstheme="minorHAnsi"/>
              </w:rPr>
              <w:t xml:space="preserve">0.197 </w:t>
            </w:r>
          </w:p>
        </w:tc>
        <w:tc>
          <w:tcPr>
            <w:tcW w:w="0" w:type="auto"/>
          </w:tcPr>
          <w:p w14:paraId="68193548" w14:textId="79B40794" w:rsidR="00C06070" w:rsidRPr="00FC5159" w:rsidRDefault="00260901" w:rsidP="00FC5159">
            <w:pPr>
              <w:pStyle w:val="NoSpacing"/>
              <w:rPr>
                <w:rFonts w:cstheme="minorHAnsi"/>
              </w:rPr>
            </w:pPr>
            <w:r w:rsidRPr="00FC5159">
              <w:rPr>
                <w:rFonts w:cstheme="minorHAnsi"/>
              </w:rPr>
              <w:t>0.084</w:t>
            </w:r>
          </w:p>
        </w:tc>
        <w:tc>
          <w:tcPr>
            <w:tcW w:w="0" w:type="auto"/>
          </w:tcPr>
          <w:p w14:paraId="2A1DF076" w14:textId="696D869A" w:rsidR="00C06070" w:rsidRPr="00FC5159" w:rsidRDefault="00260901" w:rsidP="00FC5159">
            <w:pPr>
              <w:pStyle w:val="NoSpacing"/>
              <w:rPr>
                <w:rFonts w:cstheme="minorHAnsi"/>
              </w:rPr>
            </w:pPr>
            <w:r w:rsidRPr="00FC5159">
              <w:rPr>
                <w:rFonts w:cstheme="minorHAnsi"/>
              </w:rPr>
              <w:t>2.357</w:t>
            </w:r>
          </w:p>
        </w:tc>
        <w:tc>
          <w:tcPr>
            <w:tcW w:w="0" w:type="auto"/>
          </w:tcPr>
          <w:p w14:paraId="599EA885" w14:textId="47DE1E0E" w:rsidR="00C06070" w:rsidRPr="00FC5159" w:rsidRDefault="00260901" w:rsidP="00FC5159">
            <w:pPr>
              <w:pStyle w:val="NoSpacing"/>
              <w:rPr>
                <w:rFonts w:cstheme="minorHAnsi"/>
              </w:rPr>
            </w:pPr>
            <w:r w:rsidRPr="00FC5159">
              <w:rPr>
                <w:rFonts w:cstheme="minorHAnsi"/>
              </w:rPr>
              <w:t>.010</w:t>
            </w:r>
          </w:p>
        </w:tc>
      </w:tr>
      <w:tr w:rsidR="00C06070" w:rsidRPr="00FC5159" w14:paraId="725CD519" w14:textId="77777777" w:rsidTr="00C06070">
        <w:tc>
          <w:tcPr>
            <w:tcW w:w="0" w:type="auto"/>
          </w:tcPr>
          <w:p w14:paraId="7C1BF0F7" w14:textId="4A0C2569" w:rsidR="00C06070" w:rsidRPr="00FC5159" w:rsidRDefault="00CF3224" w:rsidP="00FC5159">
            <w:pPr>
              <w:pStyle w:val="NoSpacing"/>
              <w:rPr>
                <w:rFonts w:cstheme="minorHAnsi"/>
              </w:rPr>
            </w:pPr>
            <w:r w:rsidRPr="00FC5159">
              <w:rPr>
                <w:rFonts w:cstheme="minorHAnsi"/>
              </w:rPr>
              <w:t>Path C</w:t>
            </w:r>
            <w:r w:rsidRPr="00FC5159">
              <w:rPr>
                <w:rFonts w:eastAsia="SegoeUI" w:cstheme="minorHAnsi"/>
              </w:rPr>
              <w:t>′</w:t>
            </w:r>
            <w:r w:rsidRPr="00FC5159">
              <w:rPr>
                <w:rFonts w:cstheme="minorHAnsi"/>
              </w:rPr>
              <w:t>—Mediated path—Organization type predicts whistleblowing through perception of MA</w:t>
            </w:r>
          </w:p>
        </w:tc>
        <w:tc>
          <w:tcPr>
            <w:tcW w:w="0" w:type="auto"/>
          </w:tcPr>
          <w:p w14:paraId="56F8289E" w14:textId="77777777" w:rsidR="00C06070" w:rsidRPr="00FC5159" w:rsidRDefault="00C06070" w:rsidP="00FC5159">
            <w:pPr>
              <w:pStyle w:val="NoSpacing"/>
              <w:rPr>
                <w:rFonts w:cstheme="minorHAnsi"/>
              </w:rPr>
            </w:pPr>
          </w:p>
        </w:tc>
        <w:tc>
          <w:tcPr>
            <w:tcW w:w="0" w:type="auto"/>
          </w:tcPr>
          <w:p w14:paraId="093B1D07" w14:textId="77777777" w:rsidR="00C06070" w:rsidRPr="00FC5159" w:rsidRDefault="00C06070" w:rsidP="00FC5159">
            <w:pPr>
              <w:pStyle w:val="NoSpacing"/>
              <w:rPr>
                <w:rFonts w:cstheme="minorHAnsi"/>
              </w:rPr>
            </w:pPr>
          </w:p>
        </w:tc>
        <w:tc>
          <w:tcPr>
            <w:tcW w:w="0" w:type="auto"/>
          </w:tcPr>
          <w:p w14:paraId="3BD55109" w14:textId="77777777" w:rsidR="00C06070" w:rsidRPr="00FC5159" w:rsidRDefault="00C06070" w:rsidP="00FC5159">
            <w:pPr>
              <w:pStyle w:val="NoSpacing"/>
              <w:rPr>
                <w:rFonts w:cstheme="minorHAnsi"/>
              </w:rPr>
            </w:pPr>
          </w:p>
        </w:tc>
        <w:tc>
          <w:tcPr>
            <w:tcW w:w="0" w:type="auto"/>
          </w:tcPr>
          <w:p w14:paraId="0192A8A8" w14:textId="77777777" w:rsidR="00C06070" w:rsidRPr="00FC5159" w:rsidRDefault="00C06070" w:rsidP="00FC5159">
            <w:pPr>
              <w:pStyle w:val="NoSpacing"/>
              <w:rPr>
                <w:rFonts w:cstheme="minorHAnsi"/>
              </w:rPr>
            </w:pPr>
          </w:p>
        </w:tc>
      </w:tr>
      <w:tr w:rsidR="00CF3224" w:rsidRPr="00FC5159" w14:paraId="16C4913B" w14:textId="77777777" w:rsidTr="00C06070">
        <w:tc>
          <w:tcPr>
            <w:tcW w:w="0" w:type="auto"/>
          </w:tcPr>
          <w:p w14:paraId="377DC6CD" w14:textId="77777777" w:rsidR="00CF3224" w:rsidRPr="00FC5159" w:rsidRDefault="00CF3224" w:rsidP="00FC5159">
            <w:pPr>
              <w:pStyle w:val="NoSpacing"/>
              <w:rPr>
                <w:rFonts w:cstheme="minorHAnsi"/>
              </w:rPr>
            </w:pPr>
          </w:p>
        </w:tc>
        <w:tc>
          <w:tcPr>
            <w:tcW w:w="0" w:type="auto"/>
          </w:tcPr>
          <w:p w14:paraId="6F407AB1" w14:textId="625948B8" w:rsidR="00CF3224" w:rsidRPr="00FC5159" w:rsidRDefault="00CF3224" w:rsidP="00FC5159">
            <w:pPr>
              <w:pStyle w:val="NoSpacing"/>
              <w:rPr>
                <w:rFonts w:cstheme="minorHAnsi"/>
              </w:rPr>
            </w:pPr>
            <w:r w:rsidRPr="00FC5159">
              <w:rPr>
                <w:rFonts w:cstheme="minorHAnsi"/>
              </w:rPr>
              <w:t xml:space="preserve">Coefficient (unstandardized </w:t>
            </w:r>
            <w:r w:rsidRPr="00FC5159">
              <w:rPr>
                <w:rFonts w:cstheme="minorHAnsi"/>
                <w:i/>
                <w:iCs/>
              </w:rPr>
              <w:t>B</w:t>
            </w:r>
            <w:r w:rsidRPr="00FC5159">
              <w:rPr>
                <w:rFonts w:cstheme="minorHAnsi"/>
              </w:rPr>
              <w:t>)</w:t>
            </w:r>
          </w:p>
        </w:tc>
        <w:tc>
          <w:tcPr>
            <w:tcW w:w="0" w:type="auto"/>
          </w:tcPr>
          <w:p w14:paraId="17AFB870" w14:textId="16479D4D" w:rsidR="00CF3224" w:rsidRPr="00FC5159" w:rsidRDefault="00CF3224" w:rsidP="00FC5159">
            <w:pPr>
              <w:pStyle w:val="NoSpacing"/>
              <w:rPr>
                <w:rFonts w:cstheme="minorHAnsi"/>
              </w:rPr>
            </w:pPr>
            <w:r w:rsidRPr="00FC5159">
              <w:rPr>
                <w:rFonts w:cstheme="minorHAnsi"/>
                <w:i/>
                <w:iCs/>
              </w:rPr>
              <w:t>SE</w:t>
            </w:r>
          </w:p>
        </w:tc>
        <w:tc>
          <w:tcPr>
            <w:tcW w:w="0" w:type="auto"/>
          </w:tcPr>
          <w:p w14:paraId="4B4355F6" w14:textId="546A605F" w:rsidR="00CF3224" w:rsidRPr="00FC5159" w:rsidRDefault="00CF3224" w:rsidP="00FC5159">
            <w:pPr>
              <w:pStyle w:val="NoSpacing"/>
              <w:rPr>
                <w:rFonts w:cstheme="minorHAnsi"/>
              </w:rPr>
            </w:pPr>
            <w:r w:rsidRPr="00FC5159">
              <w:rPr>
                <w:rFonts w:cstheme="minorHAnsi"/>
                <w:i/>
                <w:iCs/>
              </w:rPr>
              <w:t>t</w:t>
            </w:r>
          </w:p>
        </w:tc>
        <w:tc>
          <w:tcPr>
            <w:tcW w:w="0" w:type="auto"/>
          </w:tcPr>
          <w:p w14:paraId="71459DD3" w14:textId="10000EB5" w:rsidR="00CF3224" w:rsidRPr="00FC5159" w:rsidRDefault="00CF3224" w:rsidP="00FC5159">
            <w:pPr>
              <w:pStyle w:val="NoSpacing"/>
              <w:rPr>
                <w:rFonts w:cstheme="minorHAnsi"/>
              </w:rPr>
            </w:pPr>
            <w:r w:rsidRPr="00FC5159">
              <w:rPr>
                <w:rFonts w:cstheme="minorHAnsi"/>
                <w:i/>
                <w:iCs/>
              </w:rPr>
              <w:t>p</w:t>
            </w:r>
            <w:r w:rsidRPr="00FC5159">
              <w:rPr>
                <w:rFonts w:cstheme="minorHAnsi"/>
              </w:rPr>
              <w:t>-value</w:t>
            </w:r>
          </w:p>
        </w:tc>
      </w:tr>
      <w:tr w:rsidR="00CF3224" w:rsidRPr="00FC5159" w14:paraId="1AA4F85A" w14:textId="77777777" w:rsidTr="00C06070">
        <w:tc>
          <w:tcPr>
            <w:tcW w:w="0" w:type="auto"/>
          </w:tcPr>
          <w:p w14:paraId="27741E54" w14:textId="77777777" w:rsidR="00CF3224" w:rsidRPr="00FC5159" w:rsidRDefault="00CF3224" w:rsidP="00FC5159">
            <w:pPr>
              <w:pStyle w:val="NoSpacing"/>
              <w:rPr>
                <w:rFonts w:cstheme="minorHAnsi"/>
              </w:rPr>
            </w:pPr>
          </w:p>
        </w:tc>
        <w:tc>
          <w:tcPr>
            <w:tcW w:w="0" w:type="auto"/>
          </w:tcPr>
          <w:p w14:paraId="2CBC32B1" w14:textId="44718A87" w:rsidR="00CF3224" w:rsidRPr="00FC5159" w:rsidRDefault="00016770" w:rsidP="00FC5159">
            <w:pPr>
              <w:pStyle w:val="NoSpacing"/>
              <w:rPr>
                <w:rFonts w:cstheme="minorHAnsi"/>
              </w:rPr>
            </w:pPr>
            <w:r w:rsidRPr="00FC5159">
              <w:rPr>
                <w:rFonts w:cstheme="minorHAnsi"/>
              </w:rPr>
              <w:t xml:space="preserve">−0.093 </w:t>
            </w:r>
          </w:p>
        </w:tc>
        <w:tc>
          <w:tcPr>
            <w:tcW w:w="0" w:type="auto"/>
          </w:tcPr>
          <w:p w14:paraId="4AF1704A" w14:textId="52DC372E" w:rsidR="00CF3224" w:rsidRPr="00FC5159" w:rsidRDefault="00016770" w:rsidP="00FC5159">
            <w:pPr>
              <w:pStyle w:val="NoSpacing"/>
              <w:rPr>
                <w:rFonts w:cstheme="minorHAnsi"/>
                <w:i/>
                <w:iCs/>
              </w:rPr>
            </w:pPr>
            <w:r w:rsidRPr="00FC5159">
              <w:rPr>
                <w:rFonts w:cstheme="minorHAnsi"/>
              </w:rPr>
              <w:t>0.241</w:t>
            </w:r>
          </w:p>
        </w:tc>
        <w:tc>
          <w:tcPr>
            <w:tcW w:w="0" w:type="auto"/>
          </w:tcPr>
          <w:p w14:paraId="2B6DA55E" w14:textId="34AF0FF7" w:rsidR="00CF3224" w:rsidRPr="00FC5159" w:rsidRDefault="00016770" w:rsidP="00FC5159">
            <w:pPr>
              <w:pStyle w:val="NoSpacing"/>
              <w:rPr>
                <w:rFonts w:cstheme="minorHAnsi"/>
                <w:i/>
                <w:iCs/>
              </w:rPr>
            </w:pPr>
            <w:r w:rsidRPr="00FC5159">
              <w:rPr>
                <w:rFonts w:cstheme="minorHAnsi"/>
              </w:rPr>
              <w:t>−0.385</w:t>
            </w:r>
          </w:p>
        </w:tc>
        <w:tc>
          <w:tcPr>
            <w:tcW w:w="0" w:type="auto"/>
          </w:tcPr>
          <w:p w14:paraId="286DE2DD" w14:textId="40FF4C74" w:rsidR="00CF3224" w:rsidRPr="00FC5159" w:rsidRDefault="00016770" w:rsidP="00FC5159">
            <w:pPr>
              <w:pStyle w:val="NoSpacing"/>
              <w:rPr>
                <w:rFonts w:cstheme="minorHAnsi"/>
                <w:i/>
                <w:iCs/>
              </w:rPr>
            </w:pPr>
            <w:r w:rsidRPr="00FC5159">
              <w:rPr>
                <w:rFonts w:cstheme="minorHAnsi"/>
              </w:rPr>
              <w:t>.350</w:t>
            </w:r>
          </w:p>
        </w:tc>
      </w:tr>
      <w:tr w:rsidR="00CF3224" w:rsidRPr="00FC5159" w14:paraId="057059F4" w14:textId="77777777" w:rsidTr="00C06070">
        <w:tc>
          <w:tcPr>
            <w:tcW w:w="0" w:type="auto"/>
          </w:tcPr>
          <w:p w14:paraId="0B4F6BD3" w14:textId="1CBDC7DC" w:rsidR="00CF3224" w:rsidRPr="00FC5159" w:rsidRDefault="00016770" w:rsidP="00FC5159">
            <w:pPr>
              <w:pStyle w:val="NoSpacing"/>
              <w:rPr>
                <w:rFonts w:cstheme="minorHAnsi"/>
              </w:rPr>
            </w:pPr>
            <w:r w:rsidRPr="00FC5159">
              <w:rPr>
                <w:rFonts w:cstheme="minorHAnsi"/>
              </w:rPr>
              <w:t>Total direct effects</w:t>
            </w:r>
          </w:p>
        </w:tc>
        <w:tc>
          <w:tcPr>
            <w:tcW w:w="0" w:type="auto"/>
          </w:tcPr>
          <w:p w14:paraId="00E83DF2" w14:textId="77777777" w:rsidR="00CF3224" w:rsidRPr="00FC5159" w:rsidRDefault="00CF3224" w:rsidP="00FC5159">
            <w:pPr>
              <w:pStyle w:val="NoSpacing"/>
              <w:rPr>
                <w:rFonts w:cstheme="minorHAnsi"/>
              </w:rPr>
            </w:pPr>
          </w:p>
        </w:tc>
        <w:tc>
          <w:tcPr>
            <w:tcW w:w="0" w:type="auto"/>
          </w:tcPr>
          <w:p w14:paraId="689D1A8B" w14:textId="77777777" w:rsidR="00CF3224" w:rsidRPr="00FC5159" w:rsidRDefault="00CF3224" w:rsidP="00FC5159">
            <w:pPr>
              <w:pStyle w:val="NoSpacing"/>
              <w:rPr>
                <w:rFonts w:cstheme="minorHAnsi"/>
                <w:i/>
                <w:iCs/>
              </w:rPr>
            </w:pPr>
          </w:p>
        </w:tc>
        <w:tc>
          <w:tcPr>
            <w:tcW w:w="0" w:type="auto"/>
          </w:tcPr>
          <w:p w14:paraId="6E103816" w14:textId="77777777" w:rsidR="00CF3224" w:rsidRPr="00FC5159" w:rsidRDefault="00CF3224" w:rsidP="00FC5159">
            <w:pPr>
              <w:pStyle w:val="NoSpacing"/>
              <w:rPr>
                <w:rFonts w:cstheme="minorHAnsi"/>
                <w:i/>
                <w:iCs/>
              </w:rPr>
            </w:pPr>
          </w:p>
        </w:tc>
        <w:tc>
          <w:tcPr>
            <w:tcW w:w="0" w:type="auto"/>
          </w:tcPr>
          <w:p w14:paraId="7F449761" w14:textId="77777777" w:rsidR="00CF3224" w:rsidRPr="00FC5159" w:rsidRDefault="00CF3224" w:rsidP="00FC5159">
            <w:pPr>
              <w:pStyle w:val="NoSpacing"/>
              <w:rPr>
                <w:rFonts w:cstheme="minorHAnsi"/>
                <w:i/>
                <w:iCs/>
              </w:rPr>
            </w:pPr>
          </w:p>
        </w:tc>
      </w:tr>
      <w:tr w:rsidR="00016770" w:rsidRPr="00FC5159" w14:paraId="3862DCCA" w14:textId="77777777" w:rsidTr="00C06070">
        <w:tc>
          <w:tcPr>
            <w:tcW w:w="0" w:type="auto"/>
          </w:tcPr>
          <w:p w14:paraId="3A0ED849" w14:textId="77777777" w:rsidR="00016770" w:rsidRPr="00FC5159" w:rsidRDefault="00016770" w:rsidP="00FC5159">
            <w:pPr>
              <w:pStyle w:val="NoSpacing"/>
              <w:rPr>
                <w:rFonts w:cstheme="minorHAnsi"/>
              </w:rPr>
            </w:pPr>
          </w:p>
        </w:tc>
        <w:tc>
          <w:tcPr>
            <w:tcW w:w="0" w:type="auto"/>
          </w:tcPr>
          <w:p w14:paraId="668C3937" w14:textId="2F4D664C" w:rsidR="00016770" w:rsidRPr="00FC5159" w:rsidRDefault="00016770" w:rsidP="00FC5159">
            <w:pPr>
              <w:pStyle w:val="NoSpacing"/>
              <w:rPr>
                <w:rFonts w:cstheme="minorHAnsi"/>
              </w:rPr>
            </w:pPr>
            <w:r w:rsidRPr="00FC5159">
              <w:rPr>
                <w:rFonts w:cstheme="minorHAnsi"/>
              </w:rPr>
              <w:t xml:space="preserve">Coefficient (unstandardized </w:t>
            </w:r>
            <w:r w:rsidRPr="00FC5159">
              <w:rPr>
                <w:rFonts w:cstheme="minorHAnsi"/>
                <w:i/>
                <w:iCs/>
              </w:rPr>
              <w:t>B</w:t>
            </w:r>
            <w:r w:rsidRPr="00FC5159">
              <w:rPr>
                <w:rFonts w:cstheme="minorHAnsi"/>
              </w:rPr>
              <w:t>)</w:t>
            </w:r>
          </w:p>
        </w:tc>
        <w:tc>
          <w:tcPr>
            <w:tcW w:w="0" w:type="auto"/>
          </w:tcPr>
          <w:p w14:paraId="2C7BE4DF" w14:textId="475A3319" w:rsidR="00016770" w:rsidRPr="00FC5159" w:rsidRDefault="00016770" w:rsidP="00FC5159">
            <w:pPr>
              <w:pStyle w:val="NoSpacing"/>
              <w:rPr>
                <w:rFonts w:cstheme="minorHAnsi"/>
                <w:i/>
                <w:iCs/>
              </w:rPr>
            </w:pPr>
            <w:r w:rsidRPr="00FC5159">
              <w:rPr>
                <w:rFonts w:cstheme="minorHAnsi"/>
                <w:i/>
                <w:iCs/>
              </w:rPr>
              <w:t>SE</w:t>
            </w:r>
          </w:p>
        </w:tc>
        <w:tc>
          <w:tcPr>
            <w:tcW w:w="0" w:type="auto"/>
          </w:tcPr>
          <w:p w14:paraId="28081C73" w14:textId="6A67167A" w:rsidR="00016770" w:rsidRPr="00FC5159" w:rsidRDefault="00016770" w:rsidP="00FC5159">
            <w:pPr>
              <w:pStyle w:val="NoSpacing"/>
              <w:rPr>
                <w:rFonts w:cstheme="minorHAnsi"/>
                <w:i/>
                <w:iCs/>
              </w:rPr>
            </w:pPr>
            <w:r w:rsidRPr="00FC5159">
              <w:rPr>
                <w:rFonts w:cstheme="minorHAnsi"/>
                <w:i/>
                <w:iCs/>
              </w:rPr>
              <w:t>t</w:t>
            </w:r>
          </w:p>
        </w:tc>
        <w:tc>
          <w:tcPr>
            <w:tcW w:w="0" w:type="auto"/>
          </w:tcPr>
          <w:p w14:paraId="5A382EA9" w14:textId="0FD642B4" w:rsidR="00016770" w:rsidRPr="00FC5159" w:rsidRDefault="00016770" w:rsidP="00FC5159">
            <w:pPr>
              <w:pStyle w:val="NoSpacing"/>
              <w:rPr>
                <w:rFonts w:cstheme="minorHAnsi"/>
                <w:i/>
                <w:iCs/>
              </w:rPr>
            </w:pPr>
            <w:r w:rsidRPr="00FC5159">
              <w:rPr>
                <w:rFonts w:cstheme="minorHAnsi"/>
                <w:i/>
                <w:iCs/>
              </w:rPr>
              <w:t>p</w:t>
            </w:r>
            <w:r w:rsidRPr="00FC5159">
              <w:rPr>
                <w:rFonts w:cstheme="minorHAnsi"/>
              </w:rPr>
              <w:t>-value</w:t>
            </w:r>
          </w:p>
        </w:tc>
      </w:tr>
      <w:tr w:rsidR="00CF3224" w:rsidRPr="00FC5159" w14:paraId="648145A3" w14:textId="77777777" w:rsidTr="00C06070">
        <w:tc>
          <w:tcPr>
            <w:tcW w:w="0" w:type="auto"/>
          </w:tcPr>
          <w:p w14:paraId="39311FE1" w14:textId="45861847" w:rsidR="00CF3224" w:rsidRPr="00FC5159" w:rsidRDefault="002220DF" w:rsidP="00FC5159">
            <w:pPr>
              <w:pStyle w:val="NoSpacing"/>
              <w:rPr>
                <w:rFonts w:cstheme="minorHAnsi"/>
              </w:rPr>
            </w:pPr>
            <w:r w:rsidRPr="00FC5159">
              <w:rPr>
                <w:rFonts w:cstheme="minorHAnsi"/>
              </w:rPr>
              <w:t xml:space="preserve">MA </w:t>
            </w:r>
          </w:p>
        </w:tc>
        <w:tc>
          <w:tcPr>
            <w:tcW w:w="0" w:type="auto"/>
          </w:tcPr>
          <w:p w14:paraId="2CA0BA34" w14:textId="445E291E" w:rsidR="00CF3224" w:rsidRPr="00FC5159" w:rsidRDefault="002220DF" w:rsidP="00FC5159">
            <w:pPr>
              <w:pStyle w:val="NoSpacing"/>
              <w:rPr>
                <w:rFonts w:cstheme="minorHAnsi"/>
              </w:rPr>
            </w:pPr>
            <w:r w:rsidRPr="00FC5159">
              <w:rPr>
                <w:rFonts w:cstheme="minorHAnsi"/>
              </w:rPr>
              <w:t>−0.093</w:t>
            </w:r>
          </w:p>
        </w:tc>
        <w:tc>
          <w:tcPr>
            <w:tcW w:w="0" w:type="auto"/>
          </w:tcPr>
          <w:p w14:paraId="2D1430F6" w14:textId="5F540C8F" w:rsidR="00CF3224" w:rsidRPr="00FC5159" w:rsidRDefault="002220DF" w:rsidP="00FC5159">
            <w:pPr>
              <w:pStyle w:val="NoSpacing"/>
              <w:rPr>
                <w:rFonts w:cstheme="minorHAnsi"/>
                <w:i/>
                <w:iCs/>
              </w:rPr>
            </w:pPr>
            <w:r w:rsidRPr="00FC5159">
              <w:rPr>
                <w:rFonts w:cstheme="minorHAnsi"/>
              </w:rPr>
              <w:t>0.241</w:t>
            </w:r>
          </w:p>
        </w:tc>
        <w:tc>
          <w:tcPr>
            <w:tcW w:w="0" w:type="auto"/>
          </w:tcPr>
          <w:p w14:paraId="7AA71F8F" w14:textId="3AA53E48" w:rsidR="00CF3224" w:rsidRPr="00FC5159" w:rsidRDefault="002220DF" w:rsidP="00FC5159">
            <w:pPr>
              <w:pStyle w:val="NoSpacing"/>
              <w:rPr>
                <w:rFonts w:cstheme="minorHAnsi"/>
                <w:i/>
                <w:iCs/>
              </w:rPr>
            </w:pPr>
            <w:r w:rsidRPr="00FC5159">
              <w:rPr>
                <w:rFonts w:cstheme="minorHAnsi"/>
              </w:rPr>
              <w:t>−0.385</w:t>
            </w:r>
          </w:p>
        </w:tc>
        <w:tc>
          <w:tcPr>
            <w:tcW w:w="0" w:type="auto"/>
          </w:tcPr>
          <w:p w14:paraId="7872BB1D" w14:textId="34F64B6F" w:rsidR="00CF3224" w:rsidRPr="00FC5159" w:rsidRDefault="002220DF" w:rsidP="00FC5159">
            <w:pPr>
              <w:pStyle w:val="NoSpacing"/>
              <w:rPr>
                <w:rFonts w:cstheme="minorHAnsi"/>
                <w:i/>
                <w:iCs/>
              </w:rPr>
            </w:pPr>
            <w:r w:rsidRPr="00FC5159">
              <w:rPr>
                <w:rFonts w:cstheme="minorHAnsi"/>
              </w:rPr>
              <w:t>.350</w:t>
            </w:r>
          </w:p>
        </w:tc>
      </w:tr>
      <w:tr w:rsidR="002220DF" w:rsidRPr="00FC5159" w14:paraId="74F6408B" w14:textId="77777777" w:rsidTr="00C06070">
        <w:tc>
          <w:tcPr>
            <w:tcW w:w="0" w:type="auto"/>
          </w:tcPr>
          <w:p w14:paraId="10BE23AB" w14:textId="26E44133" w:rsidR="002220DF" w:rsidRPr="00FC5159" w:rsidRDefault="00CB60A7" w:rsidP="00FC5159">
            <w:pPr>
              <w:pStyle w:val="NoSpacing"/>
              <w:rPr>
                <w:rFonts w:cstheme="minorHAnsi"/>
              </w:rPr>
            </w:pPr>
            <w:r w:rsidRPr="00FC5159">
              <w:rPr>
                <w:rFonts w:cstheme="minorHAnsi"/>
              </w:rPr>
              <w:t>Total indirect effects</w:t>
            </w:r>
          </w:p>
        </w:tc>
        <w:tc>
          <w:tcPr>
            <w:tcW w:w="0" w:type="auto"/>
          </w:tcPr>
          <w:p w14:paraId="696B1E13" w14:textId="77777777" w:rsidR="002220DF" w:rsidRPr="00FC5159" w:rsidRDefault="002220DF" w:rsidP="00FC5159">
            <w:pPr>
              <w:pStyle w:val="NoSpacing"/>
              <w:rPr>
                <w:rFonts w:cstheme="minorHAnsi"/>
              </w:rPr>
            </w:pPr>
          </w:p>
        </w:tc>
        <w:tc>
          <w:tcPr>
            <w:tcW w:w="0" w:type="auto"/>
          </w:tcPr>
          <w:p w14:paraId="4D6DBFA1" w14:textId="77777777" w:rsidR="002220DF" w:rsidRPr="00FC5159" w:rsidRDefault="002220DF" w:rsidP="00FC5159">
            <w:pPr>
              <w:pStyle w:val="NoSpacing"/>
              <w:rPr>
                <w:rFonts w:cstheme="minorHAnsi"/>
                <w:i/>
                <w:iCs/>
              </w:rPr>
            </w:pPr>
          </w:p>
        </w:tc>
        <w:tc>
          <w:tcPr>
            <w:tcW w:w="0" w:type="auto"/>
          </w:tcPr>
          <w:p w14:paraId="065D5F94" w14:textId="77777777" w:rsidR="002220DF" w:rsidRPr="00FC5159" w:rsidRDefault="002220DF" w:rsidP="00FC5159">
            <w:pPr>
              <w:pStyle w:val="NoSpacing"/>
              <w:rPr>
                <w:rFonts w:cstheme="minorHAnsi"/>
                <w:i/>
                <w:iCs/>
              </w:rPr>
            </w:pPr>
          </w:p>
        </w:tc>
        <w:tc>
          <w:tcPr>
            <w:tcW w:w="0" w:type="auto"/>
          </w:tcPr>
          <w:p w14:paraId="47286D4F" w14:textId="77777777" w:rsidR="002220DF" w:rsidRPr="00FC5159" w:rsidRDefault="002220DF" w:rsidP="00FC5159">
            <w:pPr>
              <w:pStyle w:val="NoSpacing"/>
              <w:rPr>
                <w:rFonts w:cstheme="minorHAnsi"/>
                <w:i/>
                <w:iCs/>
              </w:rPr>
            </w:pPr>
          </w:p>
        </w:tc>
      </w:tr>
      <w:tr w:rsidR="002220DF" w:rsidRPr="00FC5159" w14:paraId="27BF8D2D" w14:textId="77777777" w:rsidTr="00C06070">
        <w:tc>
          <w:tcPr>
            <w:tcW w:w="0" w:type="auto"/>
          </w:tcPr>
          <w:p w14:paraId="3BD9F2ED" w14:textId="3652F094" w:rsidR="002220DF" w:rsidRPr="00FC5159" w:rsidRDefault="002220DF" w:rsidP="00FC5159">
            <w:pPr>
              <w:pStyle w:val="NoSpacing"/>
              <w:rPr>
                <w:rFonts w:cstheme="minorHAnsi"/>
              </w:rPr>
            </w:pPr>
          </w:p>
        </w:tc>
        <w:tc>
          <w:tcPr>
            <w:tcW w:w="0" w:type="auto"/>
          </w:tcPr>
          <w:p w14:paraId="334942C5" w14:textId="50F4CE87" w:rsidR="002220DF" w:rsidRPr="00FC5159" w:rsidRDefault="00CB60A7" w:rsidP="00FC5159">
            <w:pPr>
              <w:pStyle w:val="NoSpacing"/>
              <w:rPr>
                <w:rFonts w:cstheme="minorHAnsi"/>
              </w:rPr>
            </w:pPr>
            <w:r w:rsidRPr="00FC5159">
              <w:rPr>
                <w:rFonts w:cstheme="minorHAnsi"/>
              </w:rPr>
              <w:t>Effect</w:t>
            </w:r>
          </w:p>
        </w:tc>
        <w:tc>
          <w:tcPr>
            <w:tcW w:w="0" w:type="auto"/>
          </w:tcPr>
          <w:p w14:paraId="1C933CC9" w14:textId="2E5CF77A" w:rsidR="002220DF" w:rsidRPr="00FC5159" w:rsidRDefault="00CB60A7" w:rsidP="00FC5159">
            <w:pPr>
              <w:pStyle w:val="NoSpacing"/>
              <w:rPr>
                <w:rFonts w:cstheme="minorHAnsi"/>
                <w:i/>
                <w:iCs/>
              </w:rPr>
            </w:pPr>
            <w:r w:rsidRPr="00FC5159">
              <w:rPr>
                <w:rFonts w:cstheme="minorHAnsi"/>
              </w:rPr>
              <w:t xml:space="preserve">Boot </w:t>
            </w:r>
            <w:r w:rsidRPr="00FC5159">
              <w:rPr>
                <w:rFonts w:cstheme="minorHAnsi"/>
                <w:i/>
                <w:iCs/>
              </w:rPr>
              <w:t>SE</w:t>
            </w:r>
          </w:p>
        </w:tc>
        <w:tc>
          <w:tcPr>
            <w:tcW w:w="0" w:type="auto"/>
          </w:tcPr>
          <w:p w14:paraId="578FADDB" w14:textId="7C8BE10A" w:rsidR="002220DF" w:rsidRPr="00FC5159" w:rsidRDefault="00CB60A7" w:rsidP="00FC5159">
            <w:pPr>
              <w:pStyle w:val="NoSpacing"/>
              <w:rPr>
                <w:rFonts w:cstheme="minorHAnsi"/>
                <w:i/>
                <w:iCs/>
              </w:rPr>
            </w:pPr>
            <w:r w:rsidRPr="00FC5159">
              <w:rPr>
                <w:rFonts w:cstheme="minorHAnsi"/>
              </w:rPr>
              <w:t>Boot LLCI</w:t>
            </w:r>
          </w:p>
        </w:tc>
        <w:tc>
          <w:tcPr>
            <w:tcW w:w="0" w:type="auto"/>
          </w:tcPr>
          <w:p w14:paraId="3E0D854C" w14:textId="78BD5427" w:rsidR="002220DF" w:rsidRPr="00FC5159" w:rsidRDefault="00FC5159" w:rsidP="00FC5159">
            <w:pPr>
              <w:pStyle w:val="NoSpacing"/>
              <w:rPr>
                <w:rFonts w:cstheme="minorHAnsi"/>
                <w:i/>
                <w:iCs/>
              </w:rPr>
            </w:pPr>
            <w:r w:rsidRPr="00FC5159">
              <w:rPr>
                <w:rFonts w:cstheme="minorHAnsi"/>
              </w:rPr>
              <w:t>Boot ULCI</w:t>
            </w:r>
          </w:p>
        </w:tc>
      </w:tr>
      <w:tr w:rsidR="00CB60A7" w:rsidRPr="00FC5159" w14:paraId="0D055A45" w14:textId="77777777" w:rsidTr="00C06070">
        <w:tc>
          <w:tcPr>
            <w:tcW w:w="0" w:type="auto"/>
          </w:tcPr>
          <w:p w14:paraId="0A43B82A" w14:textId="57096A51" w:rsidR="00CB60A7" w:rsidRPr="00FC5159" w:rsidRDefault="00FC5159" w:rsidP="00FC5159">
            <w:pPr>
              <w:pStyle w:val="NoSpacing"/>
              <w:rPr>
                <w:rFonts w:cstheme="minorHAnsi"/>
              </w:rPr>
            </w:pPr>
            <w:r w:rsidRPr="00FC5159">
              <w:rPr>
                <w:rFonts w:cstheme="minorHAnsi"/>
              </w:rPr>
              <w:t xml:space="preserve">MA </w:t>
            </w:r>
          </w:p>
        </w:tc>
        <w:tc>
          <w:tcPr>
            <w:tcW w:w="0" w:type="auto"/>
          </w:tcPr>
          <w:p w14:paraId="62FCCE31" w14:textId="1F408124" w:rsidR="00CB60A7" w:rsidRPr="00FC5159" w:rsidRDefault="00FC5159" w:rsidP="00FC5159">
            <w:pPr>
              <w:pStyle w:val="NoSpacing"/>
              <w:rPr>
                <w:rFonts w:cstheme="minorHAnsi"/>
              </w:rPr>
            </w:pPr>
            <w:r w:rsidRPr="00FC5159">
              <w:rPr>
                <w:rFonts w:cstheme="minorHAnsi"/>
              </w:rPr>
              <w:t>−0.109</w:t>
            </w:r>
          </w:p>
        </w:tc>
        <w:tc>
          <w:tcPr>
            <w:tcW w:w="0" w:type="auto"/>
          </w:tcPr>
          <w:p w14:paraId="177F0AB7" w14:textId="2873F480" w:rsidR="00CB60A7" w:rsidRPr="00FC5159" w:rsidRDefault="00FC5159" w:rsidP="00FC5159">
            <w:pPr>
              <w:pStyle w:val="NoSpacing"/>
              <w:rPr>
                <w:rFonts w:cstheme="minorHAnsi"/>
                <w:i/>
                <w:iCs/>
              </w:rPr>
            </w:pPr>
            <w:r w:rsidRPr="00FC5159">
              <w:rPr>
                <w:rFonts w:cstheme="minorHAnsi"/>
              </w:rPr>
              <w:t>0.064</w:t>
            </w:r>
          </w:p>
        </w:tc>
        <w:tc>
          <w:tcPr>
            <w:tcW w:w="0" w:type="auto"/>
          </w:tcPr>
          <w:p w14:paraId="7FCACAF2" w14:textId="3380DD23" w:rsidR="00CB60A7" w:rsidRPr="00FC5159" w:rsidRDefault="00FC5159" w:rsidP="00FC5159">
            <w:pPr>
              <w:pStyle w:val="NoSpacing"/>
              <w:rPr>
                <w:rFonts w:cstheme="minorHAnsi"/>
                <w:i/>
                <w:iCs/>
              </w:rPr>
            </w:pPr>
            <w:r w:rsidRPr="00FC5159">
              <w:rPr>
                <w:rFonts w:cstheme="minorHAnsi"/>
              </w:rPr>
              <w:t>−0.258</w:t>
            </w:r>
          </w:p>
        </w:tc>
        <w:tc>
          <w:tcPr>
            <w:tcW w:w="0" w:type="auto"/>
          </w:tcPr>
          <w:p w14:paraId="21D89629" w14:textId="493F1F5B" w:rsidR="00CB60A7" w:rsidRPr="00FC5159" w:rsidRDefault="00FC5159" w:rsidP="00FC5159">
            <w:pPr>
              <w:pStyle w:val="NoSpacing"/>
              <w:rPr>
                <w:rFonts w:cstheme="minorHAnsi"/>
                <w:i/>
                <w:iCs/>
              </w:rPr>
            </w:pPr>
            <w:r w:rsidRPr="00FC5159">
              <w:rPr>
                <w:rFonts w:cstheme="minorHAnsi"/>
              </w:rPr>
              <w:t>−0.006</w:t>
            </w:r>
          </w:p>
        </w:tc>
      </w:tr>
    </w:tbl>
    <w:p w14:paraId="3304931A" w14:textId="77777777" w:rsidR="00C30E0D" w:rsidRDefault="00C30E0D" w:rsidP="00C30E0D">
      <w:pPr>
        <w:pStyle w:val="NoSpacing"/>
      </w:pPr>
      <w:r>
        <w:rPr>
          <w:rFonts w:ascii="GillSansMTPro-MediumItalic" w:hAnsi="GillSansMTPro-MediumItalic" w:cs="GillSansMTPro-MediumItalic"/>
          <w:i/>
          <w:iCs/>
        </w:rPr>
        <w:t xml:space="preserve">Note. SE </w:t>
      </w:r>
      <w:r>
        <w:rPr>
          <w:rFonts w:ascii="MathematicalPiLTStd" w:hAnsi="MathematicalPiLTStd" w:cs="MathematicalPiLTStd"/>
        </w:rPr>
        <w:t xml:space="preserve">= </w:t>
      </w:r>
      <w:r>
        <w:t xml:space="preserve">standard error; MA </w:t>
      </w:r>
      <w:r>
        <w:rPr>
          <w:rFonts w:ascii="MathematicalPiLTStd" w:hAnsi="MathematicalPiLTStd" w:cs="MathematicalPiLTStd"/>
        </w:rPr>
        <w:t xml:space="preserve">= </w:t>
      </w:r>
      <w:r>
        <w:t xml:space="preserve">monitoring activities; LLCI </w:t>
      </w:r>
      <w:r>
        <w:rPr>
          <w:rFonts w:ascii="MathematicalPiLTStd" w:hAnsi="MathematicalPiLTStd" w:cs="MathematicalPiLTStd"/>
        </w:rPr>
        <w:t xml:space="preserve">= </w:t>
      </w:r>
      <w:r>
        <w:t>lower level of confidence interval; ULCI</w:t>
      </w:r>
    </w:p>
    <w:p w14:paraId="1B7817C3" w14:textId="518C1473" w:rsidR="008C24CF" w:rsidRPr="008C24CF" w:rsidRDefault="00C30E0D" w:rsidP="00C30E0D">
      <w:pPr>
        <w:pStyle w:val="NoSpacing"/>
      </w:pPr>
      <w:r>
        <w:rPr>
          <w:rFonts w:ascii="MathematicalPiLTStd" w:hAnsi="MathematicalPiLTStd" w:cs="MathematicalPiLTStd"/>
        </w:rPr>
        <w:t xml:space="preserve">= </w:t>
      </w:r>
      <w:r>
        <w:t>upper level of confidence interval.</w:t>
      </w:r>
    </w:p>
    <w:p w14:paraId="6934442B" w14:textId="17AFFD4B" w:rsidR="008C24CF" w:rsidRPr="008C24CF" w:rsidRDefault="004326A4" w:rsidP="00019CDB">
      <w:pPr>
        <w:rPr>
          <w:b/>
          <w:bCs/>
        </w:rPr>
      </w:pPr>
      <w:r w:rsidRPr="004326A4">
        <w:rPr>
          <w:b/>
          <w:bCs/>
          <w:noProof/>
        </w:rPr>
        <w:drawing>
          <wp:inline distT="0" distB="0" distL="0" distR="0" wp14:anchorId="6DC55B32" wp14:editId="1654907E">
            <wp:extent cx="3657600" cy="1536192"/>
            <wp:effectExtent l="0" t="0" r="0" b="6985"/>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57600" cy="1536192"/>
                    </a:xfrm>
                    <a:prstGeom prst="rect">
                      <a:avLst/>
                    </a:prstGeom>
                    <a:noFill/>
                    <a:ln>
                      <a:noFill/>
                    </a:ln>
                  </pic:spPr>
                </pic:pic>
              </a:graphicData>
            </a:graphic>
          </wp:inline>
        </w:drawing>
      </w:r>
    </w:p>
    <w:p w14:paraId="15280588" w14:textId="5FE3D275" w:rsidR="008C24CF" w:rsidRPr="008C24CF" w:rsidRDefault="008C24CF" w:rsidP="008C24CF">
      <w:r>
        <w:t>The research question explores which internal control components are relevant for nonprofits wanting to encourage whistleblowing. </w:t>
      </w:r>
      <w:r w:rsidRPr="00D84464">
        <w:t>Table 6</w:t>
      </w:r>
      <w:r>
        <w:t> suggests the overall internal control strength influences whistleblowing for those in nonprofits (</w:t>
      </w:r>
      <w:r w:rsidRPr="00019CDB">
        <w:rPr>
          <w:i/>
          <w:iCs/>
        </w:rPr>
        <w:t>p</w:t>
      </w:r>
      <w:r>
        <w:t> &lt; .05). Furthermore, control activities (</w:t>
      </w:r>
      <w:r w:rsidRPr="00019CDB">
        <w:rPr>
          <w:i/>
          <w:iCs/>
        </w:rPr>
        <w:t>p</w:t>
      </w:r>
      <w:r>
        <w:t> &lt; .05) and monitoring activities (</w:t>
      </w:r>
      <w:r w:rsidRPr="00019CDB">
        <w:rPr>
          <w:i/>
          <w:iCs/>
        </w:rPr>
        <w:t>p</w:t>
      </w:r>
      <w:r>
        <w:t> &lt; .05) influence whistleblowing decisions for those in nonprofits, while control environment does not influence such whistleblowing decisions (</w:t>
      </w:r>
      <w:r w:rsidRPr="00019CDB">
        <w:rPr>
          <w:i/>
          <w:iCs/>
        </w:rPr>
        <w:t>p</w:t>
      </w:r>
      <w:r>
        <w:t> &gt; .10). Combining these earlier results with the findings from </w:t>
      </w:r>
      <w:r w:rsidRPr="00D84464">
        <w:t>Table 6</w:t>
      </w:r>
      <w:r>
        <w:t> discussed above suggests that nonprofits should first focus resources on stressing the importance of and implementing control activities and monitoring activities.</w:t>
      </w:r>
    </w:p>
    <w:p w14:paraId="4F0342DB" w14:textId="77777777" w:rsidR="008C24CF" w:rsidRPr="008C24CF" w:rsidRDefault="008C24CF" w:rsidP="004326A4">
      <w:pPr>
        <w:spacing w:after="0"/>
      </w:pPr>
      <w:r w:rsidRPr="008C24CF">
        <w:rPr>
          <w:b/>
          <w:bCs/>
        </w:rPr>
        <w:t>Table 6.</w:t>
      </w:r>
      <w:r w:rsidRPr="008C24CF">
        <w:t> Research Question Analysis.</w:t>
      </w:r>
    </w:p>
    <w:tbl>
      <w:tblPr>
        <w:tblStyle w:val="TableGrid"/>
        <w:tblW w:w="0" w:type="auto"/>
        <w:tblLook w:val="06A0" w:firstRow="1" w:lastRow="0" w:firstColumn="1" w:lastColumn="0" w:noHBand="1" w:noVBand="1"/>
      </w:tblPr>
      <w:tblGrid>
        <w:gridCol w:w="3433"/>
        <w:gridCol w:w="1514"/>
        <w:gridCol w:w="1661"/>
        <w:gridCol w:w="718"/>
        <w:gridCol w:w="1419"/>
        <w:gridCol w:w="718"/>
        <w:gridCol w:w="607"/>
      </w:tblGrid>
      <w:tr w:rsidR="00019CDB" w14:paraId="462412A4" w14:textId="77777777" w:rsidTr="004326A4">
        <w:tc>
          <w:tcPr>
            <w:tcW w:w="0" w:type="auto"/>
          </w:tcPr>
          <w:p w14:paraId="4628B309" w14:textId="5E5484A8" w:rsidR="00019CDB" w:rsidRDefault="004326A4" w:rsidP="00019CDB">
            <w:r>
              <w:t>Panel A: Perceived Internal Control Components (Individually) Predicting Whistleblowing Intention Split by Organization Type.</w:t>
            </w:r>
          </w:p>
        </w:tc>
        <w:tc>
          <w:tcPr>
            <w:tcW w:w="0" w:type="auto"/>
          </w:tcPr>
          <w:p w14:paraId="1B6D8BE5" w14:textId="1DA243EF" w:rsidR="6D472246" w:rsidRDefault="6D472246" w:rsidP="00019CDB">
            <w:pPr>
              <w:jc w:val="center"/>
            </w:pPr>
          </w:p>
        </w:tc>
        <w:tc>
          <w:tcPr>
            <w:tcW w:w="0" w:type="auto"/>
          </w:tcPr>
          <w:p w14:paraId="3A534DB0" w14:textId="67CC2487" w:rsidR="6D472246" w:rsidRDefault="6D472246" w:rsidP="00019CDB">
            <w:pPr>
              <w:jc w:val="center"/>
            </w:pPr>
          </w:p>
        </w:tc>
        <w:tc>
          <w:tcPr>
            <w:tcW w:w="0" w:type="auto"/>
          </w:tcPr>
          <w:p w14:paraId="761264A6" w14:textId="5A3CC130" w:rsidR="6D472246" w:rsidRDefault="6D472246" w:rsidP="00019CDB">
            <w:pPr>
              <w:jc w:val="center"/>
            </w:pPr>
          </w:p>
        </w:tc>
        <w:tc>
          <w:tcPr>
            <w:tcW w:w="0" w:type="auto"/>
          </w:tcPr>
          <w:p w14:paraId="6D90E943" w14:textId="7B49D351" w:rsidR="6D472246" w:rsidRDefault="6D472246" w:rsidP="00019CDB">
            <w:pPr>
              <w:jc w:val="center"/>
            </w:pPr>
          </w:p>
        </w:tc>
        <w:tc>
          <w:tcPr>
            <w:tcW w:w="0" w:type="auto"/>
          </w:tcPr>
          <w:p w14:paraId="6AB584E2" w14:textId="6AE200E9" w:rsidR="6D472246" w:rsidRDefault="6D472246" w:rsidP="00019CDB">
            <w:pPr>
              <w:jc w:val="center"/>
            </w:pPr>
          </w:p>
        </w:tc>
        <w:tc>
          <w:tcPr>
            <w:tcW w:w="0" w:type="auto"/>
          </w:tcPr>
          <w:p w14:paraId="3253F66B" w14:textId="41D6DCD0" w:rsidR="6D472246" w:rsidRDefault="6D472246" w:rsidP="00019CDB">
            <w:pPr>
              <w:jc w:val="center"/>
            </w:pPr>
          </w:p>
        </w:tc>
      </w:tr>
      <w:tr w:rsidR="004326A4" w14:paraId="44C6F59E" w14:textId="77777777" w:rsidTr="004326A4">
        <w:tc>
          <w:tcPr>
            <w:tcW w:w="0" w:type="auto"/>
          </w:tcPr>
          <w:p w14:paraId="72578005" w14:textId="77777777" w:rsidR="004326A4" w:rsidRDefault="004326A4" w:rsidP="004326A4"/>
        </w:tc>
        <w:tc>
          <w:tcPr>
            <w:tcW w:w="0" w:type="auto"/>
          </w:tcPr>
          <w:p w14:paraId="21D72C2A" w14:textId="02DEF33E" w:rsidR="004326A4" w:rsidRDefault="004326A4" w:rsidP="004326A4">
            <w:pPr>
              <w:jc w:val="center"/>
            </w:pPr>
            <w:r>
              <w:t>Independent variable</w:t>
            </w:r>
          </w:p>
        </w:tc>
        <w:tc>
          <w:tcPr>
            <w:tcW w:w="0" w:type="auto"/>
          </w:tcPr>
          <w:p w14:paraId="56C613E9" w14:textId="3E263E7B" w:rsidR="004326A4" w:rsidRDefault="004326A4" w:rsidP="004326A4">
            <w:pPr>
              <w:jc w:val="center"/>
            </w:pPr>
            <w:r>
              <w:t>Unstandardized B</w:t>
            </w:r>
          </w:p>
        </w:tc>
        <w:tc>
          <w:tcPr>
            <w:tcW w:w="0" w:type="auto"/>
          </w:tcPr>
          <w:p w14:paraId="07F6A485" w14:textId="5C37CDED" w:rsidR="004326A4" w:rsidRDefault="004326A4" w:rsidP="004326A4">
            <w:pPr>
              <w:jc w:val="center"/>
            </w:pPr>
            <w:r>
              <w:t>SE</w:t>
            </w:r>
          </w:p>
        </w:tc>
        <w:tc>
          <w:tcPr>
            <w:tcW w:w="0" w:type="auto"/>
          </w:tcPr>
          <w:p w14:paraId="1C1231C0" w14:textId="63E3D463" w:rsidR="004326A4" w:rsidRDefault="004326A4" w:rsidP="004326A4">
            <w:pPr>
              <w:jc w:val="center"/>
            </w:pPr>
            <w:r>
              <w:t>Standardized B</w:t>
            </w:r>
          </w:p>
        </w:tc>
        <w:tc>
          <w:tcPr>
            <w:tcW w:w="0" w:type="auto"/>
          </w:tcPr>
          <w:p w14:paraId="010B4568" w14:textId="3657CB42" w:rsidR="004326A4" w:rsidRDefault="004326A4" w:rsidP="004326A4">
            <w:pPr>
              <w:jc w:val="center"/>
            </w:pPr>
            <w:r>
              <w:t>t</w:t>
            </w:r>
          </w:p>
        </w:tc>
        <w:tc>
          <w:tcPr>
            <w:tcW w:w="0" w:type="auto"/>
          </w:tcPr>
          <w:p w14:paraId="2872522B" w14:textId="611D6F07" w:rsidR="004326A4" w:rsidRDefault="004326A4" w:rsidP="004326A4">
            <w:pPr>
              <w:jc w:val="center"/>
            </w:pPr>
            <w:r>
              <w:t>P*</w:t>
            </w:r>
          </w:p>
        </w:tc>
      </w:tr>
      <w:tr w:rsidR="004326A4" w14:paraId="585887B6" w14:textId="77777777" w:rsidTr="004326A4">
        <w:tc>
          <w:tcPr>
            <w:tcW w:w="0" w:type="auto"/>
          </w:tcPr>
          <w:p w14:paraId="6DCDA16A" w14:textId="7E844188" w:rsidR="004326A4" w:rsidRDefault="004326A4" w:rsidP="004326A4">
            <w:r>
              <w:t>For-profit</w:t>
            </w:r>
          </w:p>
        </w:tc>
        <w:tc>
          <w:tcPr>
            <w:tcW w:w="0" w:type="auto"/>
          </w:tcPr>
          <w:p w14:paraId="52D2BE1A" w14:textId="27598D1B" w:rsidR="004326A4" w:rsidRDefault="004326A4" w:rsidP="004326A4">
            <w:pPr>
              <w:jc w:val="center"/>
            </w:pPr>
            <w:r>
              <w:t>Internal controls</w:t>
            </w:r>
          </w:p>
        </w:tc>
        <w:tc>
          <w:tcPr>
            <w:tcW w:w="0" w:type="auto"/>
          </w:tcPr>
          <w:p w14:paraId="7D9F5485" w14:textId="777C8E5B" w:rsidR="004326A4" w:rsidRDefault="004326A4" w:rsidP="004326A4">
            <w:pPr>
              <w:jc w:val="center"/>
            </w:pPr>
            <w:r>
              <w:t>0.272</w:t>
            </w:r>
          </w:p>
        </w:tc>
        <w:tc>
          <w:tcPr>
            <w:tcW w:w="0" w:type="auto"/>
          </w:tcPr>
          <w:p w14:paraId="645A8C96" w14:textId="66D89DD3" w:rsidR="004326A4" w:rsidRDefault="004326A4" w:rsidP="004326A4">
            <w:pPr>
              <w:jc w:val="center"/>
            </w:pPr>
            <w:r>
              <w:t>0.137</w:t>
            </w:r>
          </w:p>
        </w:tc>
        <w:tc>
          <w:tcPr>
            <w:tcW w:w="0" w:type="auto"/>
          </w:tcPr>
          <w:p w14:paraId="51F7BA90" w14:textId="158DC146" w:rsidR="004326A4" w:rsidRDefault="004326A4" w:rsidP="004326A4">
            <w:pPr>
              <w:jc w:val="center"/>
            </w:pPr>
            <w:r>
              <w:t>0.160</w:t>
            </w:r>
          </w:p>
        </w:tc>
        <w:tc>
          <w:tcPr>
            <w:tcW w:w="0" w:type="auto"/>
          </w:tcPr>
          <w:p w14:paraId="0E81B577" w14:textId="43D6469F" w:rsidR="004326A4" w:rsidRDefault="004326A4" w:rsidP="004326A4">
            <w:pPr>
              <w:jc w:val="center"/>
            </w:pPr>
            <w:r>
              <w:t>1.988</w:t>
            </w:r>
          </w:p>
        </w:tc>
        <w:tc>
          <w:tcPr>
            <w:tcW w:w="0" w:type="auto"/>
          </w:tcPr>
          <w:p w14:paraId="13C7B69A" w14:textId="75670B69" w:rsidR="004326A4" w:rsidRDefault="004326A4" w:rsidP="004326A4">
            <w:pPr>
              <w:jc w:val="center"/>
            </w:pPr>
            <w:r>
              <w:t>.024</w:t>
            </w:r>
          </w:p>
        </w:tc>
      </w:tr>
      <w:tr w:rsidR="004326A4" w14:paraId="2DE5B0A5" w14:textId="77777777" w:rsidTr="004326A4">
        <w:tc>
          <w:tcPr>
            <w:tcW w:w="0" w:type="auto"/>
          </w:tcPr>
          <w:p w14:paraId="4DA0F191" w14:textId="77777777" w:rsidR="004326A4" w:rsidRDefault="004326A4" w:rsidP="004326A4"/>
        </w:tc>
        <w:tc>
          <w:tcPr>
            <w:tcW w:w="0" w:type="auto"/>
          </w:tcPr>
          <w:p w14:paraId="16632DED" w14:textId="5858EF06" w:rsidR="004326A4" w:rsidRDefault="004326A4" w:rsidP="004326A4">
            <w:pPr>
              <w:jc w:val="center"/>
            </w:pPr>
            <w:r>
              <w:t>Control environment</w:t>
            </w:r>
          </w:p>
        </w:tc>
        <w:tc>
          <w:tcPr>
            <w:tcW w:w="0" w:type="auto"/>
          </w:tcPr>
          <w:p w14:paraId="1480A9E3" w14:textId="24BDD582" w:rsidR="004326A4" w:rsidRDefault="004326A4" w:rsidP="004326A4">
            <w:pPr>
              <w:jc w:val="center"/>
            </w:pPr>
            <w:r>
              <w:t>0.210</w:t>
            </w:r>
          </w:p>
        </w:tc>
        <w:tc>
          <w:tcPr>
            <w:tcW w:w="0" w:type="auto"/>
          </w:tcPr>
          <w:p w14:paraId="3433736E" w14:textId="7740E5C2" w:rsidR="004326A4" w:rsidRDefault="004326A4" w:rsidP="004326A4">
            <w:pPr>
              <w:jc w:val="center"/>
            </w:pPr>
            <w:r>
              <w:t>0.134</w:t>
            </w:r>
          </w:p>
        </w:tc>
        <w:tc>
          <w:tcPr>
            <w:tcW w:w="0" w:type="auto"/>
          </w:tcPr>
          <w:p w14:paraId="12245466" w14:textId="3BF3420B" w:rsidR="004326A4" w:rsidRDefault="004326A4" w:rsidP="004326A4">
            <w:pPr>
              <w:jc w:val="center"/>
            </w:pPr>
            <w:r>
              <w:t>0.127</w:t>
            </w:r>
          </w:p>
        </w:tc>
        <w:tc>
          <w:tcPr>
            <w:tcW w:w="0" w:type="auto"/>
          </w:tcPr>
          <w:p w14:paraId="449217C5" w14:textId="3BA7EDA5" w:rsidR="004326A4" w:rsidRDefault="004326A4" w:rsidP="004326A4">
            <w:pPr>
              <w:jc w:val="center"/>
            </w:pPr>
            <w:r>
              <w:t>1.571</w:t>
            </w:r>
          </w:p>
        </w:tc>
        <w:tc>
          <w:tcPr>
            <w:tcW w:w="0" w:type="auto"/>
          </w:tcPr>
          <w:p w14:paraId="2741EDE4" w14:textId="61712B5B" w:rsidR="004326A4" w:rsidRDefault="004326A4" w:rsidP="004326A4">
            <w:pPr>
              <w:jc w:val="center"/>
            </w:pPr>
            <w:r>
              <w:t>.059</w:t>
            </w:r>
          </w:p>
        </w:tc>
      </w:tr>
      <w:tr w:rsidR="004326A4" w14:paraId="0B412ECF" w14:textId="77777777" w:rsidTr="004326A4">
        <w:tc>
          <w:tcPr>
            <w:tcW w:w="0" w:type="auto"/>
          </w:tcPr>
          <w:p w14:paraId="79BD8101" w14:textId="77777777" w:rsidR="004326A4" w:rsidRDefault="004326A4" w:rsidP="004326A4"/>
        </w:tc>
        <w:tc>
          <w:tcPr>
            <w:tcW w:w="0" w:type="auto"/>
          </w:tcPr>
          <w:p w14:paraId="16275CA1" w14:textId="5D50BEB5" w:rsidR="004326A4" w:rsidRDefault="004326A4" w:rsidP="004326A4">
            <w:pPr>
              <w:jc w:val="center"/>
            </w:pPr>
            <w:r>
              <w:t>Control activities</w:t>
            </w:r>
          </w:p>
        </w:tc>
        <w:tc>
          <w:tcPr>
            <w:tcW w:w="0" w:type="auto"/>
          </w:tcPr>
          <w:p w14:paraId="06277FE3" w14:textId="4E7D02BB" w:rsidR="004326A4" w:rsidRDefault="004326A4" w:rsidP="004326A4">
            <w:pPr>
              <w:jc w:val="center"/>
            </w:pPr>
            <w:r>
              <w:t>0.317</w:t>
            </w:r>
          </w:p>
        </w:tc>
        <w:tc>
          <w:tcPr>
            <w:tcW w:w="0" w:type="auto"/>
          </w:tcPr>
          <w:p w14:paraId="72259EC4" w14:textId="4BA94409" w:rsidR="004326A4" w:rsidRDefault="004326A4" w:rsidP="004326A4">
            <w:pPr>
              <w:jc w:val="center"/>
            </w:pPr>
            <w:r>
              <w:t>0.128</w:t>
            </w:r>
          </w:p>
        </w:tc>
        <w:tc>
          <w:tcPr>
            <w:tcW w:w="0" w:type="auto"/>
          </w:tcPr>
          <w:p w14:paraId="5B40CA5E" w14:textId="00E322AE" w:rsidR="004326A4" w:rsidRDefault="004326A4" w:rsidP="004326A4">
            <w:pPr>
              <w:jc w:val="center"/>
            </w:pPr>
            <w:r>
              <w:t>0.197</w:t>
            </w:r>
          </w:p>
        </w:tc>
        <w:tc>
          <w:tcPr>
            <w:tcW w:w="0" w:type="auto"/>
          </w:tcPr>
          <w:p w14:paraId="351F9239" w14:textId="7F441ACE" w:rsidR="004326A4" w:rsidRDefault="004326A4" w:rsidP="004326A4">
            <w:pPr>
              <w:jc w:val="center"/>
            </w:pPr>
            <w:r>
              <w:t>2.468</w:t>
            </w:r>
          </w:p>
        </w:tc>
        <w:tc>
          <w:tcPr>
            <w:tcW w:w="0" w:type="auto"/>
          </w:tcPr>
          <w:p w14:paraId="4E210F41" w14:textId="40711B93" w:rsidR="004326A4" w:rsidRDefault="004326A4" w:rsidP="004326A4">
            <w:pPr>
              <w:jc w:val="center"/>
            </w:pPr>
            <w:r>
              <w:t>.007</w:t>
            </w:r>
          </w:p>
        </w:tc>
      </w:tr>
      <w:tr w:rsidR="004326A4" w14:paraId="4E34EDD1" w14:textId="77777777" w:rsidTr="004326A4">
        <w:tc>
          <w:tcPr>
            <w:tcW w:w="0" w:type="auto"/>
          </w:tcPr>
          <w:p w14:paraId="30E5AEB9" w14:textId="77777777" w:rsidR="004326A4" w:rsidRDefault="004326A4" w:rsidP="004326A4"/>
        </w:tc>
        <w:tc>
          <w:tcPr>
            <w:tcW w:w="0" w:type="auto"/>
          </w:tcPr>
          <w:p w14:paraId="3529DB2B" w14:textId="09E15FEE" w:rsidR="004326A4" w:rsidRDefault="004326A4" w:rsidP="004326A4">
            <w:pPr>
              <w:jc w:val="center"/>
            </w:pPr>
            <w:r>
              <w:t>Monitoring activities</w:t>
            </w:r>
          </w:p>
        </w:tc>
        <w:tc>
          <w:tcPr>
            <w:tcW w:w="0" w:type="auto"/>
          </w:tcPr>
          <w:p w14:paraId="4CA2EC30" w14:textId="5DE9266E" w:rsidR="004326A4" w:rsidRDefault="004326A4" w:rsidP="004326A4">
            <w:pPr>
              <w:jc w:val="center"/>
            </w:pPr>
            <w:r>
              <w:t>0.197</w:t>
            </w:r>
          </w:p>
        </w:tc>
        <w:tc>
          <w:tcPr>
            <w:tcW w:w="0" w:type="auto"/>
          </w:tcPr>
          <w:p w14:paraId="59315C41" w14:textId="2E475B4C" w:rsidR="004326A4" w:rsidRDefault="004326A4" w:rsidP="004326A4">
            <w:pPr>
              <w:jc w:val="center"/>
            </w:pPr>
            <w:r>
              <w:t>0.115</w:t>
            </w:r>
          </w:p>
        </w:tc>
        <w:tc>
          <w:tcPr>
            <w:tcW w:w="0" w:type="auto"/>
          </w:tcPr>
          <w:p w14:paraId="25055E61" w14:textId="04E16325" w:rsidR="004326A4" w:rsidRDefault="004326A4" w:rsidP="004326A4">
            <w:pPr>
              <w:jc w:val="center"/>
            </w:pPr>
            <w:r>
              <w:t>0.126</w:t>
            </w:r>
          </w:p>
        </w:tc>
        <w:tc>
          <w:tcPr>
            <w:tcW w:w="0" w:type="auto"/>
          </w:tcPr>
          <w:p w14:paraId="4209687C" w14:textId="6DBCAD0D" w:rsidR="004326A4" w:rsidRDefault="004326A4" w:rsidP="004326A4">
            <w:pPr>
              <w:jc w:val="center"/>
            </w:pPr>
            <w:r>
              <w:t>1.554</w:t>
            </w:r>
          </w:p>
        </w:tc>
        <w:tc>
          <w:tcPr>
            <w:tcW w:w="0" w:type="auto"/>
          </w:tcPr>
          <w:p w14:paraId="10677AEF" w14:textId="532B6989" w:rsidR="004326A4" w:rsidRDefault="004326A4" w:rsidP="004326A4">
            <w:pPr>
              <w:jc w:val="center"/>
            </w:pPr>
            <w:r>
              <w:t>.061</w:t>
            </w:r>
          </w:p>
        </w:tc>
      </w:tr>
      <w:tr w:rsidR="004326A4" w14:paraId="06D05A88" w14:textId="77777777" w:rsidTr="004326A4">
        <w:tc>
          <w:tcPr>
            <w:tcW w:w="0" w:type="auto"/>
          </w:tcPr>
          <w:p w14:paraId="0C62B7BD" w14:textId="4050F4E6" w:rsidR="004326A4" w:rsidRDefault="004326A4" w:rsidP="004326A4">
            <w:r>
              <w:t>Nonprofit</w:t>
            </w:r>
          </w:p>
        </w:tc>
        <w:tc>
          <w:tcPr>
            <w:tcW w:w="0" w:type="auto"/>
          </w:tcPr>
          <w:p w14:paraId="14DB5212" w14:textId="535DC7B2" w:rsidR="004326A4" w:rsidRDefault="004326A4" w:rsidP="004326A4">
            <w:pPr>
              <w:jc w:val="center"/>
            </w:pPr>
            <w:r>
              <w:t>Internal controls</w:t>
            </w:r>
          </w:p>
        </w:tc>
        <w:tc>
          <w:tcPr>
            <w:tcW w:w="0" w:type="auto"/>
          </w:tcPr>
          <w:p w14:paraId="60CEE3F1" w14:textId="611C67FB" w:rsidR="004326A4" w:rsidRDefault="004326A4" w:rsidP="004326A4">
            <w:pPr>
              <w:jc w:val="center"/>
            </w:pPr>
            <w:r>
              <w:t>0.238</w:t>
            </w:r>
          </w:p>
        </w:tc>
        <w:tc>
          <w:tcPr>
            <w:tcW w:w="0" w:type="auto"/>
          </w:tcPr>
          <w:p w14:paraId="6566D023" w14:textId="1412D785" w:rsidR="004326A4" w:rsidRDefault="004326A4" w:rsidP="004326A4">
            <w:pPr>
              <w:jc w:val="center"/>
            </w:pPr>
            <w:r>
              <w:t>0.142</w:t>
            </w:r>
          </w:p>
        </w:tc>
        <w:tc>
          <w:tcPr>
            <w:tcW w:w="0" w:type="auto"/>
          </w:tcPr>
          <w:p w14:paraId="0BF47D1D" w14:textId="14B911AE" w:rsidR="004326A4" w:rsidRDefault="004326A4" w:rsidP="004326A4">
            <w:pPr>
              <w:jc w:val="center"/>
            </w:pPr>
            <w:r>
              <w:t>0.154</w:t>
            </w:r>
          </w:p>
        </w:tc>
        <w:tc>
          <w:tcPr>
            <w:tcW w:w="0" w:type="auto"/>
          </w:tcPr>
          <w:p w14:paraId="51363F7F" w14:textId="15BDE738" w:rsidR="004326A4" w:rsidRDefault="004326A4" w:rsidP="004326A4">
            <w:pPr>
              <w:jc w:val="center"/>
            </w:pPr>
            <w:r>
              <w:t>1.680</w:t>
            </w:r>
          </w:p>
        </w:tc>
        <w:tc>
          <w:tcPr>
            <w:tcW w:w="0" w:type="auto"/>
          </w:tcPr>
          <w:p w14:paraId="73A2E452" w14:textId="731B098E" w:rsidR="004326A4" w:rsidRDefault="004326A4" w:rsidP="004326A4">
            <w:pPr>
              <w:jc w:val="center"/>
            </w:pPr>
            <w:r>
              <w:t>.048</w:t>
            </w:r>
          </w:p>
        </w:tc>
      </w:tr>
      <w:tr w:rsidR="004326A4" w14:paraId="2D42CACB" w14:textId="77777777" w:rsidTr="004326A4">
        <w:tc>
          <w:tcPr>
            <w:tcW w:w="0" w:type="auto"/>
          </w:tcPr>
          <w:p w14:paraId="7D757673" w14:textId="77777777" w:rsidR="004326A4" w:rsidRDefault="004326A4" w:rsidP="004326A4"/>
        </w:tc>
        <w:tc>
          <w:tcPr>
            <w:tcW w:w="0" w:type="auto"/>
          </w:tcPr>
          <w:p w14:paraId="158B0EF8" w14:textId="6D4902E7" w:rsidR="004326A4" w:rsidRDefault="004326A4" w:rsidP="004326A4">
            <w:pPr>
              <w:jc w:val="center"/>
            </w:pPr>
            <w:r>
              <w:t>Control environment</w:t>
            </w:r>
          </w:p>
        </w:tc>
        <w:tc>
          <w:tcPr>
            <w:tcW w:w="0" w:type="auto"/>
          </w:tcPr>
          <w:p w14:paraId="0A293605" w14:textId="5E0D4E9D" w:rsidR="004326A4" w:rsidRDefault="004326A4" w:rsidP="004326A4">
            <w:pPr>
              <w:jc w:val="center"/>
            </w:pPr>
            <w:r>
              <w:t>0.151</w:t>
            </w:r>
          </w:p>
        </w:tc>
        <w:tc>
          <w:tcPr>
            <w:tcW w:w="0" w:type="auto"/>
          </w:tcPr>
          <w:p w14:paraId="5F24D881" w14:textId="2A34E67E" w:rsidR="004326A4" w:rsidRDefault="004326A4" w:rsidP="004326A4">
            <w:pPr>
              <w:jc w:val="center"/>
            </w:pPr>
            <w:r>
              <w:t>0.141</w:t>
            </w:r>
          </w:p>
        </w:tc>
        <w:tc>
          <w:tcPr>
            <w:tcW w:w="0" w:type="auto"/>
          </w:tcPr>
          <w:p w14:paraId="4D560F31" w14:textId="1A55F6A4" w:rsidR="004326A4" w:rsidRDefault="004326A4" w:rsidP="004326A4">
            <w:pPr>
              <w:jc w:val="center"/>
            </w:pPr>
            <w:r>
              <w:t>0.098</w:t>
            </w:r>
          </w:p>
        </w:tc>
        <w:tc>
          <w:tcPr>
            <w:tcW w:w="0" w:type="auto"/>
          </w:tcPr>
          <w:p w14:paraId="1E719D18" w14:textId="5D8BBDD6" w:rsidR="004326A4" w:rsidRDefault="004326A4" w:rsidP="004326A4">
            <w:pPr>
              <w:jc w:val="center"/>
            </w:pPr>
            <w:r>
              <w:t>1.070</w:t>
            </w:r>
          </w:p>
        </w:tc>
        <w:tc>
          <w:tcPr>
            <w:tcW w:w="0" w:type="auto"/>
          </w:tcPr>
          <w:p w14:paraId="1114EF85" w14:textId="54BC94BA" w:rsidR="004326A4" w:rsidRDefault="004326A4" w:rsidP="004326A4">
            <w:pPr>
              <w:jc w:val="center"/>
            </w:pPr>
            <w:r>
              <w:t>.143</w:t>
            </w:r>
          </w:p>
        </w:tc>
      </w:tr>
      <w:tr w:rsidR="004326A4" w14:paraId="6D2F5D8D" w14:textId="77777777" w:rsidTr="004326A4">
        <w:tc>
          <w:tcPr>
            <w:tcW w:w="0" w:type="auto"/>
          </w:tcPr>
          <w:p w14:paraId="112C4D21" w14:textId="77777777" w:rsidR="004326A4" w:rsidRDefault="004326A4" w:rsidP="004326A4"/>
        </w:tc>
        <w:tc>
          <w:tcPr>
            <w:tcW w:w="0" w:type="auto"/>
          </w:tcPr>
          <w:p w14:paraId="158D38D1" w14:textId="5F82F3F5" w:rsidR="004326A4" w:rsidRDefault="004326A4" w:rsidP="004326A4">
            <w:pPr>
              <w:jc w:val="center"/>
            </w:pPr>
            <w:r>
              <w:t>Control activities</w:t>
            </w:r>
          </w:p>
        </w:tc>
        <w:tc>
          <w:tcPr>
            <w:tcW w:w="0" w:type="auto"/>
          </w:tcPr>
          <w:p w14:paraId="25903DB8" w14:textId="25305F0F" w:rsidR="004326A4" w:rsidRDefault="004326A4" w:rsidP="004326A4">
            <w:pPr>
              <w:jc w:val="center"/>
            </w:pPr>
            <w:r>
              <w:t>0.246</w:t>
            </w:r>
          </w:p>
        </w:tc>
        <w:tc>
          <w:tcPr>
            <w:tcW w:w="0" w:type="auto"/>
          </w:tcPr>
          <w:p w14:paraId="37F25110" w14:textId="4FC990AF" w:rsidR="004326A4" w:rsidRDefault="004326A4" w:rsidP="004326A4">
            <w:pPr>
              <w:jc w:val="center"/>
            </w:pPr>
            <w:r>
              <w:t>0.128</w:t>
            </w:r>
          </w:p>
        </w:tc>
        <w:tc>
          <w:tcPr>
            <w:tcW w:w="0" w:type="auto"/>
          </w:tcPr>
          <w:p w14:paraId="7C754E62" w14:textId="35A0D3B1" w:rsidR="004326A4" w:rsidRDefault="004326A4" w:rsidP="004326A4">
            <w:pPr>
              <w:jc w:val="center"/>
            </w:pPr>
            <w:r>
              <w:t>0.176</w:t>
            </w:r>
          </w:p>
        </w:tc>
        <w:tc>
          <w:tcPr>
            <w:tcW w:w="0" w:type="auto"/>
          </w:tcPr>
          <w:p w14:paraId="29AFD009" w14:textId="5359507C" w:rsidR="004326A4" w:rsidRDefault="004326A4" w:rsidP="004326A4">
            <w:pPr>
              <w:jc w:val="center"/>
            </w:pPr>
            <w:r>
              <w:t>1.928</w:t>
            </w:r>
          </w:p>
        </w:tc>
        <w:tc>
          <w:tcPr>
            <w:tcW w:w="0" w:type="auto"/>
          </w:tcPr>
          <w:p w14:paraId="43AE332D" w14:textId="73EADF11" w:rsidR="004326A4" w:rsidRDefault="004326A4" w:rsidP="004326A4">
            <w:pPr>
              <w:jc w:val="center"/>
            </w:pPr>
            <w:r>
              <w:t>.028</w:t>
            </w:r>
          </w:p>
        </w:tc>
      </w:tr>
      <w:tr w:rsidR="004326A4" w14:paraId="2F5FC7DF" w14:textId="77777777" w:rsidTr="004326A4">
        <w:tc>
          <w:tcPr>
            <w:tcW w:w="0" w:type="auto"/>
          </w:tcPr>
          <w:p w14:paraId="1C5FD9E4" w14:textId="77777777" w:rsidR="004326A4" w:rsidRDefault="004326A4" w:rsidP="004326A4"/>
        </w:tc>
        <w:tc>
          <w:tcPr>
            <w:tcW w:w="0" w:type="auto"/>
          </w:tcPr>
          <w:p w14:paraId="0E175E2B" w14:textId="2FA9024E" w:rsidR="004326A4" w:rsidRDefault="004326A4" w:rsidP="004326A4">
            <w:pPr>
              <w:jc w:val="center"/>
            </w:pPr>
            <w:r>
              <w:t>Monitoring activities</w:t>
            </w:r>
          </w:p>
        </w:tc>
        <w:tc>
          <w:tcPr>
            <w:tcW w:w="0" w:type="auto"/>
          </w:tcPr>
          <w:p w14:paraId="71D0004E" w14:textId="027A0795" w:rsidR="004326A4" w:rsidRDefault="004326A4" w:rsidP="004326A4">
            <w:pPr>
              <w:jc w:val="center"/>
            </w:pPr>
            <w:r>
              <w:t>0.216</w:t>
            </w:r>
          </w:p>
        </w:tc>
        <w:tc>
          <w:tcPr>
            <w:tcW w:w="0" w:type="auto"/>
          </w:tcPr>
          <w:p w14:paraId="0463B2F8" w14:textId="4B206531" w:rsidR="004326A4" w:rsidRDefault="004326A4" w:rsidP="004326A4">
            <w:pPr>
              <w:jc w:val="center"/>
            </w:pPr>
            <w:r>
              <w:t>0.123</w:t>
            </w:r>
          </w:p>
        </w:tc>
        <w:tc>
          <w:tcPr>
            <w:tcW w:w="0" w:type="auto"/>
          </w:tcPr>
          <w:p w14:paraId="5BE0065C" w14:textId="71BA5620" w:rsidR="004326A4" w:rsidRDefault="004326A4" w:rsidP="004326A4">
            <w:pPr>
              <w:jc w:val="center"/>
            </w:pPr>
            <w:r>
              <w:t>0.161</w:t>
            </w:r>
          </w:p>
        </w:tc>
        <w:tc>
          <w:tcPr>
            <w:tcW w:w="0" w:type="auto"/>
          </w:tcPr>
          <w:p w14:paraId="37DD59D1" w14:textId="5518C712" w:rsidR="004326A4" w:rsidRDefault="004326A4" w:rsidP="004326A4">
            <w:pPr>
              <w:jc w:val="center"/>
            </w:pPr>
            <w:r>
              <w:t>1.764</w:t>
            </w:r>
          </w:p>
        </w:tc>
        <w:tc>
          <w:tcPr>
            <w:tcW w:w="0" w:type="auto"/>
          </w:tcPr>
          <w:p w14:paraId="1D2849E2" w14:textId="59DCD0EE" w:rsidR="004326A4" w:rsidRDefault="004326A4" w:rsidP="004326A4">
            <w:pPr>
              <w:jc w:val="center"/>
            </w:pPr>
            <w:r>
              <w:t>.040</w:t>
            </w:r>
          </w:p>
        </w:tc>
      </w:tr>
    </w:tbl>
    <w:p w14:paraId="5F1DA79F" w14:textId="3340ABCD" w:rsidR="008C24CF" w:rsidRPr="008C24CF" w:rsidRDefault="3A6B6AEF" w:rsidP="004326A4">
      <w:pPr>
        <w:pStyle w:val="NoSpacing"/>
      </w:pPr>
      <w:r w:rsidRPr="00019CDB">
        <w:t>Note. Regressions were run individually</w:t>
      </w:r>
    </w:p>
    <w:p w14:paraId="2E5D7E58" w14:textId="0A1FC036" w:rsidR="3A6B6AEF" w:rsidRDefault="3A6B6AEF" w:rsidP="004326A4">
      <w:pPr>
        <w:pStyle w:val="NoSpacing"/>
      </w:pPr>
      <w:r w:rsidRPr="00019CDB">
        <w:t xml:space="preserve">*The p-values are one-tailed. </w:t>
      </w:r>
    </w:p>
    <w:p w14:paraId="567DAAD1" w14:textId="3230809E" w:rsidR="00019CDB" w:rsidRDefault="00019CDB" w:rsidP="00019CDB"/>
    <w:p w14:paraId="0FB46C63" w14:textId="77777777" w:rsidR="008C24CF" w:rsidRPr="008C24CF" w:rsidRDefault="008C24CF" w:rsidP="00019CDB">
      <w:pPr>
        <w:pStyle w:val="Heading2"/>
        <w:rPr>
          <w:rFonts w:ascii="Calibri" w:eastAsia="Meiryo" w:hAnsi="Calibri" w:cs="Arial"/>
        </w:rPr>
      </w:pPr>
      <w:r>
        <w:t>Post Hoc Analysis</w:t>
      </w:r>
    </w:p>
    <w:p w14:paraId="17AEBB7A" w14:textId="1504287B" w:rsidR="008C24CF" w:rsidRPr="008C24CF" w:rsidRDefault="008C24CF" w:rsidP="008C24CF">
      <w:r>
        <w:t>We gathered responses for several different whistleblowing channels in our survey. Our results are robust to reporting channel outlet choice. Nevertheless, extending our research question, we examined which outlet choices, if any, difference between those in for-profit and nonprofit organizations. The results are displayed in </w:t>
      </w:r>
      <w:r w:rsidRPr="00D84464">
        <w:t>Table 7</w:t>
      </w:r>
      <w:r>
        <w:t> (with two-tailed </w:t>
      </w:r>
      <w:r w:rsidRPr="00019CDB">
        <w:rPr>
          <w:i/>
          <w:iCs/>
        </w:rPr>
        <w:t>p</w:t>
      </w:r>
      <w:r>
        <w:t>-values). The dependent variables included in this analysis are intention to report to the whistleblowing hotline using a website and intention to report through the supervisor’s manager or executive manager. The dependent variable in the primary results is the intention to report to the whistleblowing hotline by phone, so the hotline analysis is not repeated here. Our data suggest that while for-profit employees are significantly likely (</w:t>
      </w:r>
      <w:r w:rsidRPr="00019CDB">
        <w:rPr>
          <w:i/>
          <w:iCs/>
        </w:rPr>
        <w:t>p</w:t>
      </w:r>
      <w:r>
        <w:t> &lt; .05) to report in all but one situation (control environment with reporting using the website), those in nonprofit organizations are not significantly likely (</w:t>
      </w:r>
      <w:r w:rsidRPr="00019CDB">
        <w:rPr>
          <w:i/>
          <w:iCs/>
        </w:rPr>
        <w:t>p</w:t>
      </w:r>
      <w:r>
        <w:t> &gt; .10) to report through any internal pathway using a website. Given recent findings (</w:t>
      </w:r>
      <w:r w:rsidRPr="00D84464">
        <w:t>ACFE, 2020</w:t>
      </w:r>
      <w:r>
        <w:t>) suggesting that website reporting is becoming the most prevalent option, the information from our study may be useful to management within nonprofit organizations as they analyze the reporting outlets they offer.</w:t>
      </w:r>
    </w:p>
    <w:p w14:paraId="7491E560" w14:textId="25568137" w:rsidR="008C24CF" w:rsidRPr="008C24CF" w:rsidRDefault="008C24CF" w:rsidP="004326A4">
      <w:pPr>
        <w:spacing w:after="0"/>
      </w:pPr>
      <w:r w:rsidRPr="008C24CF">
        <w:rPr>
          <w:b/>
          <w:bCs/>
        </w:rPr>
        <w:t>Table 7.</w:t>
      </w:r>
      <w:r w:rsidRPr="008C24CF">
        <w:t> Post Hoc Analysis: DV by Internal Controls Component and Organization Type.</w:t>
      </w:r>
    </w:p>
    <w:tbl>
      <w:tblPr>
        <w:tblStyle w:val="TableGrid"/>
        <w:tblW w:w="0" w:type="auto"/>
        <w:tblLook w:val="06A0" w:firstRow="1" w:lastRow="0" w:firstColumn="1" w:lastColumn="0" w:noHBand="1" w:noVBand="1"/>
      </w:tblPr>
      <w:tblGrid>
        <w:gridCol w:w="1979"/>
        <w:gridCol w:w="2130"/>
        <w:gridCol w:w="1799"/>
        <w:gridCol w:w="718"/>
        <w:gridCol w:w="1557"/>
        <w:gridCol w:w="718"/>
        <w:gridCol w:w="607"/>
      </w:tblGrid>
      <w:tr w:rsidR="00019CDB" w14:paraId="6D6ED47A" w14:textId="77777777" w:rsidTr="004326A4">
        <w:tc>
          <w:tcPr>
            <w:tcW w:w="0" w:type="auto"/>
          </w:tcPr>
          <w:p w14:paraId="1B344E87" w14:textId="72752C07" w:rsidR="4663D7C7" w:rsidRDefault="004326A4" w:rsidP="00019CDB">
            <w:r>
              <w:t>Panel A: Nonprofit.</w:t>
            </w:r>
          </w:p>
        </w:tc>
        <w:tc>
          <w:tcPr>
            <w:tcW w:w="0" w:type="auto"/>
          </w:tcPr>
          <w:p w14:paraId="562B0499" w14:textId="1403FD90" w:rsidR="4663D7C7" w:rsidRDefault="4663D7C7" w:rsidP="00019CDB"/>
        </w:tc>
        <w:tc>
          <w:tcPr>
            <w:tcW w:w="0" w:type="auto"/>
          </w:tcPr>
          <w:p w14:paraId="3601A338" w14:textId="15EBD982" w:rsidR="4663D7C7" w:rsidRDefault="4663D7C7" w:rsidP="00019CDB">
            <w:pPr>
              <w:jc w:val="center"/>
            </w:pPr>
          </w:p>
        </w:tc>
        <w:tc>
          <w:tcPr>
            <w:tcW w:w="0" w:type="auto"/>
          </w:tcPr>
          <w:p w14:paraId="04FB5689" w14:textId="21F6D8E7" w:rsidR="4663D7C7" w:rsidRDefault="4663D7C7" w:rsidP="00019CDB">
            <w:pPr>
              <w:jc w:val="center"/>
            </w:pPr>
          </w:p>
        </w:tc>
        <w:tc>
          <w:tcPr>
            <w:tcW w:w="0" w:type="auto"/>
          </w:tcPr>
          <w:p w14:paraId="2A18B032" w14:textId="2964FAD0" w:rsidR="4663D7C7" w:rsidRDefault="4663D7C7" w:rsidP="00019CDB">
            <w:pPr>
              <w:jc w:val="center"/>
            </w:pPr>
          </w:p>
        </w:tc>
        <w:tc>
          <w:tcPr>
            <w:tcW w:w="0" w:type="auto"/>
          </w:tcPr>
          <w:p w14:paraId="7ED1ABA0" w14:textId="767609DB" w:rsidR="4663D7C7" w:rsidRDefault="4663D7C7" w:rsidP="00019CDB">
            <w:pPr>
              <w:jc w:val="center"/>
            </w:pPr>
          </w:p>
        </w:tc>
        <w:tc>
          <w:tcPr>
            <w:tcW w:w="0" w:type="auto"/>
          </w:tcPr>
          <w:p w14:paraId="020AF8AE" w14:textId="5A43CF56" w:rsidR="4663D7C7" w:rsidRDefault="4663D7C7" w:rsidP="00019CDB">
            <w:pPr>
              <w:jc w:val="center"/>
            </w:pPr>
          </w:p>
        </w:tc>
      </w:tr>
      <w:tr w:rsidR="004326A4" w14:paraId="41BF288C" w14:textId="77777777" w:rsidTr="004326A4">
        <w:tc>
          <w:tcPr>
            <w:tcW w:w="0" w:type="auto"/>
          </w:tcPr>
          <w:p w14:paraId="16A7E4B7" w14:textId="44AAD240" w:rsidR="004326A4" w:rsidRDefault="004326A4" w:rsidP="004326A4">
            <w:r>
              <w:t>Dependent variable</w:t>
            </w:r>
          </w:p>
        </w:tc>
        <w:tc>
          <w:tcPr>
            <w:tcW w:w="0" w:type="auto"/>
          </w:tcPr>
          <w:p w14:paraId="41FDF2AF" w14:textId="6850CB0C" w:rsidR="004326A4" w:rsidRDefault="004326A4" w:rsidP="004326A4">
            <w:r>
              <w:t>Independent variable</w:t>
            </w:r>
          </w:p>
        </w:tc>
        <w:tc>
          <w:tcPr>
            <w:tcW w:w="0" w:type="auto"/>
          </w:tcPr>
          <w:p w14:paraId="4653F1E0" w14:textId="7E8A777A" w:rsidR="004326A4" w:rsidRDefault="004326A4" w:rsidP="004326A4">
            <w:pPr>
              <w:jc w:val="center"/>
            </w:pPr>
            <w:r>
              <w:t>Unstandardized B</w:t>
            </w:r>
          </w:p>
        </w:tc>
        <w:tc>
          <w:tcPr>
            <w:tcW w:w="0" w:type="auto"/>
          </w:tcPr>
          <w:p w14:paraId="1D72F119" w14:textId="211687A5" w:rsidR="004326A4" w:rsidRDefault="004326A4" w:rsidP="004326A4">
            <w:pPr>
              <w:jc w:val="center"/>
            </w:pPr>
            <w:r>
              <w:t>SE</w:t>
            </w:r>
          </w:p>
        </w:tc>
        <w:tc>
          <w:tcPr>
            <w:tcW w:w="0" w:type="auto"/>
          </w:tcPr>
          <w:p w14:paraId="5D9813F0" w14:textId="785E9663" w:rsidR="004326A4" w:rsidRDefault="004326A4" w:rsidP="004326A4">
            <w:pPr>
              <w:jc w:val="center"/>
            </w:pPr>
            <w:r>
              <w:t>Standardized B</w:t>
            </w:r>
          </w:p>
        </w:tc>
        <w:tc>
          <w:tcPr>
            <w:tcW w:w="0" w:type="auto"/>
          </w:tcPr>
          <w:p w14:paraId="2E41BF72" w14:textId="5FBC3ED0" w:rsidR="004326A4" w:rsidRDefault="004326A4" w:rsidP="004326A4">
            <w:pPr>
              <w:jc w:val="center"/>
            </w:pPr>
            <w:r>
              <w:t>t</w:t>
            </w:r>
          </w:p>
        </w:tc>
        <w:tc>
          <w:tcPr>
            <w:tcW w:w="0" w:type="auto"/>
          </w:tcPr>
          <w:p w14:paraId="2B5A496A" w14:textId="53C28C4D" w:rsidR="004326A4" w:rsidRDefault="004326A4" w:rsidP="004326A4">
            <w:pPr>
              <w:jc w:val="center"/>
            </w:pPr>
            <w:r>
              <w:t>p</w:t>
            </w:r>
          </w:p>
        </w:tc>
      </w:tr>
      <w:tr w:rsidR="004326A4" w14:paraId="4366C2A9" w14:textId="77777777" w:rsidTr="004326A4">
        <w:tc>
          <w:tcPr>
            <w:tcW w:w="0" w:type="auto"/>
          </w:tcPr>
          <w:p w14:paraId="4E1B1965" w14:textId="4ADADDA7" w:rsidR="004326A4" w:rsidRDefault="004326A4" w:rsidP="004326A4">
            <w:r>
              <w:t>Website</w:t>
            </w:r>
          </w:p>
        </w:tc>
        <w:tc>
          <w:tcPr>
            <w:tcW w:w="0" w:type="auto"/>
          </w:tcPr>
          <w:p w14:paraId="7E9C2D65" w14:textId="1B4148F5" w:rsidR="004326A4" w:rsidRDefault="004326A4" w:rsidP="004326A4">
            <w:r>
              <w:t>Internal controls</w:t>
            </w:r>
          </w:p>
        </w:tc>
        <w:tc>
          <w:tcPr>
            <w:tcW w:w="0" w:type="auto"/>
          </w:tcPr>
          <w:p w14:paraId="0457A06A" w14:textId="0354DFBA" w:rsidR="004326A4" w:rsidRDefault="004326A4" w:rsidP="004326A4">
            <w:pPr>
              <w:jc w:val="center"/>
            </w:pPr>
            <w:r>
              <w:t>0.118</w:t>
            </w:r>
          </w:p>
        </w:tc>
        <w:tc>
          <w:tcPr>
            <w:tcW w:w="0" w:type="auto"/>
          </w:tcPr>
          <w:p w14:paraId="073158FC" w14:textId="0290F078" w:rsidR="004326A4" w:rsidRDefault="004326A4" w:rsidP="004326A4">
            <w:pPr>
              <w:jc w:val="center"/>
            </w:pPr>
            <w:r>
              <w:t>0.144</w:t>
            </w:r>
          </w:p>
        </w:tc>
        <w:tc>
          <w:tcPr>
            <w:tcW w:w="0" w:type="auto"/>
          </w:tcPr>
          <w:p w14:paraId="536EBEA0" w14:textId="384A4DF0" w:rsidR="004326A4" w:rsidRDefault="004326A4" w:rsidP="004326A4">
            <w:pPr>
              <w:jc w:val="center"/>
            </w:pPr>
            <w:r>
              <w:t>0.076</w:t>
            </w:r>
          </w:p>
        </w:tc>
        <w:tc>
          <w:tcPr>
            <w:tcW w:w="0" w:type="auto"/>
          </w:tcPr>
          <w:p w14:paraId="1C91AC92" w14:textId="082548D0" w:rsidR="004326A4" w:rsidRDefault="004326A4" w:rsidP="004326A4">
            <w:pPr>
              <w:jc w:val="center"/>
            </w:pPr>
            <w:r>
              <w:t>0.821</w:t>
            </w:r>
          </w:p>
        </w:tc>
        <w:tc>
          <w:tcPr>
            <w:tcW w:w="0" w:type="auto"/>
          </w:tcPr>
          <w:p w14:paraId="7CFFF566" w14:textId="5C93ABAD" w:rsidR="004326A4" w:rsidRDefault="004326A4" w:rsidP="004326A4">
            <w:pPr>
              <w:jc w:val="center"/>
            </w:pPr>
            <w:r>
              <w:t>.413</w:t>
            </w:r>
          </w:p>
        </w:tc>
      </w:tr>
      <w:tr w:rsidR="004326A4" w14:paraId="4ACCC1C9" w14:textId="77777777" w:rsidTr="004326A4">
        <w:tc>
          <w:tcPr>
            <w:tcW w:w="0" w:type="auto"/>
          </w:tcPr>
          <w:p w14:paraId="0434A0C9" w14:textId="467DE286" w:rsidR="004326A4" w:rsidRDefault="004326A4" w:rsidP="004326A4">
            <w:r>
              <w:t>Website</w:t>
            </w:r>
          </w:p>
        </w:tc>
        <w:tc>
          <w:tcPr>
            <w:tcW w:w="0" w:type="auto"/>
          </w:tcPr>
          <w:p w14:paraId="0CF546E9" w14:textId="10ED1E14" w:rsidR="004326A4" w:rsidRDefault="004326A4" w:rsidP="004326A4">
            <w:r>
              <w:t>Control environment</w:t>
            </w:r>
          </w:p>
        </w:tc>
        <w:tc>
          <w:tcPr>
            <w:tcW w:w="0" w:type="auto"/>
          </w:tcPr>
          <w:p w14:paraId="3DDA5C6A" w14:textId="71AA7423" w:rsidR="004326A4" w:rsidRDefault="004326A4" w:rsidP="004326A4">
            <w:pPr>
              <w:jc w:val="center"/>
            </w:pPr>
            <w:r>
              <w:t>0.078</w:t>
            </w:r>
          </w:p>
        </w:tc>
        <w:tc>
          <w:tcPr>
            <w:tcW w:w="0" w:type="auto"/>
          </w:tcPr>
          <w:p w14:paraId="28E49E34" w14:textId="4FB68F0E" w:rsidR="004326A4" w:rsidRDefault="004326A4" w:rsidP="004326A4">
            <w:pPr>
              <w:jc w:val="center"/>
            </w:pPr>
            <w:r>
              <w:t>0.144</w:t>
            </w:r>
          </w:p>
        </w:tc>
        <w:tc>
          <w:tcPr>
            <w:tcW w:w="0" w:type="auto"/>
          </w:tcPr>
          <w:p w14:paraId="0FD52A36" w14:textId="2570F16E" w:rsidR="004326A4" w:rsidRDefault="004326A4" w:rsidP="004326A4">
            <w:pPr>
              <w:jc w:val="center"/>
            </w:pPr>
            <w:r>
              <w:t>0.050</w:t>
            </w:r>
          </w:p>
        </w:tc>
        <w:tc>
          <w:tcPr>
            <w:tcW w:w="0" w:type="auto"/>
          </w:tcPr>
          <w:p w14:paraId="0E107B53" w14:textId="3EFB7E18" w:rsidR="004326A4" w:rsidRDefault="004326A4" w:rsidP="004326A4">
            <w:pPr>
              <w:jc w:val="center"/>
            </w:pPr>
            <w:r>
              <w:t>0.547</w:t>
            </w:r>
          </w:p>
        </w:tc>
        <w:tc>
          <w:tcPr>
            <w:tcW w:w="0" w:type="auto"/>
          </w:tcPr>
          <w:p w14:paraId="3BAE8175" w14:textId="3B4F9B07" w:rsidR="004326A4" w:rsidRDefault="004326A4" w:rsidP="004326A4">
            <w:pPr>
              <w:jc w:val="center"/>
            </w:pPr>
            <w:r>
              <w:t>.586</w:t>
            </w:r>
          </w:p>
        </w:tc>
      </w:tr>
      <w:tr w:rsidR="004326A4" w14:paraId="665CDEE0" w14:textId="77777777" w:rsidTr="004326A4">
        <w:tc>
          <w:tcPr>
            <w:tcW w:w="0" w:type="auto"/>
          </w:tcPr>
          <w:p w14:paraId="26296127" w14:textId="21F2F709" w:rsidR="004326A4" w:rsidRDefault="004326A4" w:rsidP="004326A4">
            <w:r>
              <w:t>Website</w:t>
            </w:r>
          </w:p>
        </w:tc>
        <w:tc>
          <w:tcPr>
            <w:tcW w:w="0" w:type="auto"/>
          </w:tcPr>
          <w:p w14:paraId="62A6F5FE" w14:textId="1C52F68F" w:rsidR="004326A4" w:rsidRDefault="004326A4" w:rsidP="004326A4">
            <w:r>
              <w:t>Control activities</w:t>
            </w:r>
          </w:p>
        </w:tc>
        <w:tc>
          <w:tcPr>
            <w:tcW w:w="0" w:type="auto"/>
          </w:tcPr>
          <w:p w14:paraId="406EB30A" w14:textId="63BDAD3C" w:rsidR="004326A4" w:rsidRDefault="004326A4" w:rsidP="004326A4">
            <w:pPr>
              <w:jc w:val="center"/>
            </w:pPr>
            <w:r>
              <w:t>0.111</w:t>
            </w:r>
          </w:p>
        </w:tc>
        <w:tc>
          <w:tcPr>
            <w:tcW w:w="0" w:type="auto"/>
          </w:tcPr>
          <w:p w14:paraId="518B7FE6" w14:textId="41CCCC47" w:rsidR="004326A4" w:rsidRDefault="004326A4" w:rsidP="004326A4">
            <w:pPr>
              <w:jc w:val="center"/>
            </w:pPr>
            <w:r>
              <w:t>0.131</w:t>
            </w:r>
          </w:p>
        </w:tc>
        <w:tc>
          <w:tcPr>
            <w:tcW w:w="0" w:type="auto"/>
          </w:tcPr>
          <w:p w14:paraId="268A046F" w14:textId="5FA73FC3" w:rsidR="004326A4" w:rsidRDefault="004326A4" w:rsidP="004326A4">
            <w:pPr>
              <w:jc w:val="center"/>
            </w:pPr>
            <w:r>
              <w:t>0.078</w:t>
            </w:r>
          </w:p>
        </w:tc>
        <w:tc>
          <w:tcPr>
            <w:tcW w:w="0" w:type="auto"/>
          </w:tcPr>
          <w:p w14:paraId="1B3DA8D9" w14:textId="7F12A445" w:rsidR="004326A4" w:rsidRDefault="004326A4" w:rsidP="004326A4">
            <w:pPr>
              <w:jc w:val="center"/>
            </w:pPr>
            <w:r>
              <w:t>0.848</w:t>
            </w:r>
          </w:p>
        </w:tc>
        <w:tc>
          <w:tcPr>
            <w:tcW w:w="0" w:type="auto"/>
          </w:tcPr>
          <w:p w14:paraId="1F9477A7" w14:textId="1D22732B" w:rsidR="004326A4" w:rsidRDefault="004326A4" w:rsidP="004326A4">
            <w:pPr>
              <w:jc w:val="center"/>
            </w:pPr>
            <w:r>
              <w:t>.398</w:t>
            </w:r>
          </w:p>
        </w:tc>
      </w:tr>
      <w:tr w:rsidR="004326A4" w14:paraId="26D19A15" w14:textId="77777777" w:rsidTr="004326A4">
        <w:tc>
          <w:tcPr>
            <w:tcW w:w="0" w:type="auto"/>
          </w:tcPr>
          <w:p w14:paraId="148620FD" w14:textId="5FB6CBD4" w:rsidR="004326A4" w:rsidRDefault="004326A4" w:rsidP="004326A4">
            <w:r>
              <w:t>Website</w:t>
            </w:r>
          </w:p>
        </w:tc>
        <w:tc>
          <w:tcPr>
            <w:tcW w:w="0" w:type="auto"/>
          </w:tcPr>
          <w:p w14:paraId="1A699E23" w14:textId="7B3A11A9" w:rsidR="004326A4" w:rsidRDefault="004326A4" w:rsidP="004326A4">
            <w:r>
              <w:t>Monitoring activities</w:t>
            </w:r>
          </w:p>
        </w:tc>
        <w:tc>
          <w:tcPr>
            <w:tcW w:w="0" w:type="auto"/>
          </w:tcPr>
          <w:p w14:paraId="4A08BC8A" w14:textId="1965C2B7" w:rsidR="004326A4" w:rsidRDefault="004326A4" w:rsidP="004326A4">
            <w:pPr>
              <w:jc w:val="center"/>
            </w:pPr>
            <w:r>
              <w:t>0.115</w:t>
            </w:r>
          </w:p>
        </w:tc>
        <w:tc>
          <w:tcPr>
            <w:tcW w:w="0" w:type="auto"/>
          </w:tcPr>
          <w:p w14:paraId="129FD686" w14:textId="410899D0" w:rsidR="004326A4" w:rsidRDefault="004326A4" w:rsidP="004326A4">
            <w:pPr>
              <w:jc w:val="center"/>
            </w:pPr>
            <w:r>
              <w:t>0.125</w:t>
            </w:r>
          </w:p>
        </w:tc>
        <w:tc>
          <w:tcPr>
            <w:tcW w:w="0" w:type="auto"/>
          </w:tcPr>
          <w:p w14:paraId="6268F576" w14:textId="4D1D0C06" w:rsidR="004326A4" w:rsidRDefault="004326A4" w:rsidP="004326A4">
            <w:pPr>
              <w:jc w:val="center"/>
            </w:pPr>
            <w:r>
              <w:t>0.085</w:t>
            </w:r>
          </w:p>
        </w:tc>
        <w:tc>
          <w:tcPr>
            <w:tcW w:w="0" w:type="auto"/>
          </w:tcPr>
          <w:p w14:paraId="11828EC3" w14:textId="64AF3251" w:rsidR="004326A4" w:rsidRDefault="004326A4" w:rsidP="004326A4">
            <w:pPr>
              <w:jc w:val="center"/>
            </w:pPr>
            <w:r>
              <w:t>0.923</w:t>
            </w:r>
          </w:p>
        </w:tc>
        <w:tc>
          <w:tcPr>
            <w:tcW w:w="0" w:type="auto"/>
          </w:tcPr>
          <w:p w14:paraId="45CC846C" w14:textId="25C98475" w:rsidR="004326A4" w:rsidRDefault="004326A4" w:rsidP="004326A4">
            <w:pPr>
              <w:jc w:val="center"/>
            </w:pPr>
            <w:r>
              <w:t>.358</w:t>
            </w:r>
          </w:p>
        </w:tc>
      </w:tr>
      <w:tr w:rsidR="004326A4" w14:paraId="3B3D9CF7" w14:textId="77777777" w:rsidTr="004326A4">
        <w:tc>
          <w:tcPr>
            <w:tcW w:w="0" w:type="auto"/>
          </w:tcPr>
          <w:p w14:paraId="7BA2455F" w14:textId="2B6A7BE6" w:rsidR="004326A4" w:rsidRDefault="004326A4" w:rsidP="004326A4">
            <w:r>
              <w:t>Supervisor</w:t>
            </w:r>
          </w:p>
        </w:tc>
        <w:tc>
          <w:tcPr>
            <w:tcW w:w="0" w:type="auto"/>
          </w:tcPr>
          <w:p w14:paraId="5243F3D8" w14:textId="6F0280C6" w:rsidR="004326A4" w:rsidRDefault="004326A4" w:rsidP="004326A4">
            <w:r>
              <w:t>Internal controls</w:t>
            </w:r>
          </w:p>
        </w:tc>
        <w:tc>
          <w:tcPr>
            <w:tcW w:w="0" w:type="auto"/>
          </w:tcPr>
          <w:p w14:paraId="5F44CCED" w14:textId="27823B55" w:rsidR="004326A4" w:rsidRDefault="004326A4" w:rsidP="004326A4">
            <w:pPr>
              <w:jc w:val="center"/>
            </w:pPr>
            <w:r>
              <w:t>0.318</w:t>
            </w:r>
          </w:p>
        </w:tc>
        <w:tc>
          <w:tcPr>
            <w:tcW w:w="0" w:type="auto"/>
          </w:tcPr>
          <w:p w14:paraId="1EB10B28" w14:textId="3F69C074" w:rsidR="004326A4" w:rsidRDefault="004326A4" w:rsidP="004326A4">
            <w:pPr>
              <w:jc w:val="center"/>
            </w:pPr>
            <w:r>
              <w:t>0.119</w:t>
            </w:r>
          </w:p>
        </w:tc>
        <w:tc>
          <w:tcPr>
            <w:tcW w:w="0" w:type="auto"/>
          </w:tcPr>
          <w:p w14:paraId="034FF786" w14:textId="516D214D" w:rsidR="004326A4" w:rsidRDefault="004326A4" w:rsidP="004326A4">
            <w:pPr>
              <w:jc w:val="center"/>
            </w:pPr>
            <w:r>
              <w:t>0.239</w:t>
            </w:r>
          </w:p>
        </w:tc>
        <w:tc>
          <w:tcPr>
            <w:tcW w:w="0" w:type="auto"/>
          </w:tcPr>
          <w:p w14:paraId="673C39F5" w14:textId="6AA283D1" w:rsidR="004326A4" w:rsidRDefault="004326A4" w:rsidP="004326A4">
            <w:pPr>
              <w:jc w:val="center"/>
            </w:pPr>
            <w:r>
              <w:t>2.668</w:t>
            </w:r>
          </w:p>
        </w:tc>
        <w:tc>
          <w:tcPr>
            <w:tcW w:w="0" w:type="auto"/>
          </w:tcPr>
          <w:p w14:paraId="4644D444" w14:textId="0FD81D74" w:rsidR="004326A4" w:rsidRDefault="004326A4" w:rsidP="004326A4">
            <w:pPr>
              <w:jc w:val="center"/>
            </w:pPr>
            <w:r>
              <w:t>.009</w:t>
            </w:r>
          </w:p>
        </w:tc>
      </w:tr>
      <w:tr w:rsidR="004326A4" w14:paraId="2A07B670" w14:textId="77777777" w:rsidTr="004326A4">
        <w:tc>
          <w:tcPr>
            <w:tcW w:w="0" w:type="auto"/>
          </w:tcPr>
          <w:p w14:paraId="35FF4329" w14:textId="3A6F2969" w:rsidR="004326A4" w:rsidRDefault="004326A4" w:rsidP="004326A4">
            <w:r>
              <w:t>Supervisor</w:t>
            </w:r>
          </w:p>
        </w:tc>
        <w:tc>
          <w:tcPr>
            <w:tcW w:w="0" w:type="auto"/>
          </w:tcPr>
          <w:p w14:paraId="36293F8B" w14:textId="4581927E" w:rsidR="004326A4" w:rsidRDefault="004326A4" w:rsidP="004326A4">
            <w:r>
              <w:t>Control environment</w:t>
            </w:r>
          </w:p>
        </w:tc>
        <w:tc>
          <w:tcPr>
            <w:tcW w:w="0" w:type="auto"/>
          </w:tcPr>
          <w:p w14:paraId="4B0EC492" w14:textId="6AF19CC3" w:rsidR="004326A4" w:rsidRDefault="004326A4" w:rsidP="004326A4">
            <w:pPr>
              <w:jc w:val="center"/>
            </w:pPr>
            <w:r>
              <w:t>0.294</w:t>
            </w:r>
          </w:p>
        </w:tc>
        <w:tc>
          <w:tcPr>
            <w:tcW w:w="0" w:type="auto"/>
          </w:tcPr>
          <w:p w14:paraId="7EA25307" w14:textId="34887D7A" w:rsidR="004326A4" w:rsidRDefault="004326A4" w:rsidP="004326A4">
            <w:pPr>
              <w:jc w:val="center"/>
            </w:pPr>
            <w:r>
              <w:t>0.119</w:t>
            </w:r>
          </w:p>
        </w:tc>
        <w:tc>
          <w:tcPr>
            <w:tcW w:w="0" w:type="auto"/>
          </w:tcPr>
          <w:p w14:paraId="64325FA3" w14:textId="65282931" w:rsidR="004326A4" w:rsidRDefault="004326A4" w:rsidP="004326A4">
            <w:pPr>
              <w:jc w:val="center"/>
            </w:pPr>
            <w:r>
              <w:t>0.223</w:t>
            </w:r>
          </w:p>
        </w:tc>
        <w:tc>
          <w:tcPr>
            <w:tcW w:w="0" w:type="auto"/>
          </w:tcPr>
          <w:p w14:paraId="0D09F330" w14:textId="0BFC0052" w:rsidR="004326A4" w:rsidRDefault="004326A4" w:rsidP="004326A4">
            <w:pPr>
              <w:jc w:val="center"/>
            </w:pPr>
            <w:r>
              <w:t>2.469</w:t>
            </w:r>
          </w:p>
        </w:tc>
        <w:tc>
          <w:tcPr>
            <w:tcW w:w="0" w:type="auto"/>
          </w:tcPr>
          <w:p w14:paraId="11BE62F1" w14:textId="2A803489" w:rsidR="004326A4" w:rsidRDefault="004326A4" w:rsidP="004326A4">
            <w:pPr>
              <w:jc w:val="center"/>
            </w:pPr>
            <w:r>
              <w:t>.015</w:t>
            </w:r>
          </w:p>
        </w:tc>
      </w:tr>
      <w:tr w:rsidR="004326A4" w14:paraId="1763710D" w14:textId="77777777" w:rsidTr="004326A4">
        <w:tc>
          <w:tcPr>
            <w:tcW w:w="0" w:type="auto"/>
          </w:tcPr>
          <w:p w14:paraId="5CA37B80" w14:textId="32BE2B70" w:rsidR="004326A4" w:rsidRDefault="004326A4" w:rsidP="004326A4">
            <w:r>
              <w:t>Supervisor</w:t>
            </w:r>
          </w:p>
        </w:tc>
        <w:tc>
          <w:tcPr>
            <w:tcW w:w="0" w:type="auto"/>
          </w:tcPr>
          <w:p w14:paraId="62EAF460" w14:textId="022D9427" w:rsidR="004326A4" w:rsidRDefault="004326A4" w:rsidP="004326A4">
            <w:r>
              <w:t>Control activities</w:t>
            </w:r>
          </w:p>
        </w:tc>
        <w:tc>
          <w:tcPr>
            <w:tcW w:w="0" w:type="auto"/>
          </w:tcPr>
          <w:p w14:paraId="279AD934" w14:textId="69623967" w:rsidR="004326A4" w:rsidRDefault="004326A4" w:rsidP="004326A4">
            <w:pPr>
              <w:jc w:val="center"/>
            </w:pPr>
            <w:r>
              <w:t>0.269</w:t>
            </w:r>
          </w:p>
        </w:tc>
        <w:tc>
          <w:tcPr>
            <w:tcW w:w="0" w:type="auto"/>
          </w:tcPr>
          <w:p w14:paraId="3E2181F7" w14:textId="31EA6D61" w:rsidR="004326A4" w:rsidRDefault="004326A4" w:rsidP="004326A4">
            <w:pPr>
              <w:jc w:val="center"/>
            </w:pPr>
            <w:r>
              <w:t>0.108</w:t>
            </w:r>
          </w:p>
        </w:tc>
        <w:tc>
          <w:tcPr>
            <w:tcW w:w="0" w:type="auto"/>
          </w:tcPr>
          <w:p w14:paraId="1432A61B" w14:textId="25059DEA" w:rsidR="004326A4" w:rsidRDefault="004326A4" w:rsidP="004326A4">
            <w:pPr>
              <w:jc w:val="center"/>
            </w:pPr>
            <w:r>
              <w:t>0.223</w:t>
            </w:r>
          </w:p>
        </w:tc>
        <w:tc>
          <w:tcPr>
            <w:tcW w:w="0" w:type="auto"/>
          </w:tcPr>
          <w:p w14:paraId="0C0B024D" w14:textId="5BC286B0" w:rsidR="004326A4" w:rsidRDefault="004326A4" w:rsidP="004326A4">
            <w:pPr>
              <w:jc w:val="center"/>
            </w:pPr>
            <w:r>
              <w:t>2.476</w:t>
            </w:r>
          </w:p>
        </w:tc>
        <w:tc>
          <w:tcPr>
            <w:tcW w:w="0" w:type="auto"/>
          </w:tcPr>
          <w:p w14:paraId="56BC989D" w14:textId="22850BBA" w:rsidR="004326A4" w:rsidRDefault="004326A4" w:rsidP="004326A4">
            <w:pPr>
              <w:jc w:val="center"/>
            </w:pPr>
            <w:r>
              <w:t>.015</w:t>
            </w:r>
          </w:p>
        </w:tc>
      </w:tr>
      <w:tr w:rsidR="004326A4" w14:paraId="664F8FB6" w14:textId="77777777" w:rsidTr="004326A4">
        <w:tc>
          <w:tcPr>
            <w:tcW w:w="0" w:type="auto"/>
          </w:tcPr>
          <w:p w14:paraId="49686328" w14:textId="383EBC76" w:rsidR="004326A4" w:rsidRDefault="004326A4" w:rsidP="004326A4">
            <w:r>
              <w:t>Supervisor</w:t>
            </w:r>
          </w:p>
        </w:tc>
        <w:tc>
          <w:tcPr>
            <w:tcW w:w="0" w:type="auto"/>
          </w:tcPr>
          <w:p w14:paraId="68DCECEE" w14:textId="51DCEDA5" w:rsidR="004326A4" w:rsidRDefault="004326A4" w:rsidP="004326A4">
            <w:r>
              <w:t>Monitoring activities</w:t>
            </w:r>
          </w:p>
        </w:tc>
        <w:tc>
          <w:tcPr>
            <w:tcW w:w="0" w:type="auto"/>
          </w:tcPr>
          <w:p w14:paraId="5B60ACF5" w14:textId="5A81C81C" w:rsidR="004326A4" w:rsidRDefault="004326A4" w:rsidP="004326A4">
            <w:pPr>
              <w:jc w:val="center"/>
            </w:pPr>
            <w:r>
              <w:t>0.253</w:t>
            </w:r>
          </w:p>
        </w:tc>
        <w:tc>
          <w:tcPr>
            <w:tcW w:w="0" w:type="auto"/>
          </w:tcPr>
          <w:p w14:paraId="54AF53CE" w14:textId="4ED04009" w:rsidR="004326A4" w:rsidRDefault="004326A4" w:rsidP="004326A4">
            <w:pPr>
              <w:jc w:val="center"/>
            </w:pPr>
            <w:r>
              <w:t>0.104</w:t>
            </w:r>
          </w:p>
        </w:tc>
        <w:tc>
          <w:tcPr>
            <w:tcW w:w="0" w:type="auto"/>
          </w:tcPr>
          <w:p w14:paraId="0C33F908" w14:textId="6FF6A291" w:rsidR="004326A4" w:rsidRDefault="004326A4" w:rsidP="004326A4">
            <w:pPr>
              <w:jc w:val="center"/>
            </w:pPr>
            <w:r>
              <w:t>0.219</w:t>
            </w:r>
          </w:p>
        </w:tc>
        <w:tc>
          <w:tcPr>
            <w:tcW w:w="0" w:type="auto"/>
          </w:tcPr>
          <w:p w14:paraId="717B1353" w14:textId="40F12144" w:rsidR="004326A4" w:rsidRDefault="004326A4" w:rsidP="004326A4">
            <w:pPr>
              <w:jc w:val="center"/>
            </w:pPr>
            <w:r>
              <w:t>2.431</w:t>
            </w:r>
          </w:p>
        </w:tc>
        <w:tc>
          <w:tcPr>
            <w:tcW w:w="0" w:type="auto"/>
          </w:tcPr>
          <w:p w14:paraId="32F9199F" w14:textId="2FEF9F65" w:rsidR="004326A4" w:rsidRDefault="004326A4" w:rsidP="004326A4">
            <w:pPr>
              <w:jc w:val="center"/>
            </w:pPr>
            <w:r>
              <w:t>.017</w:t>
            </w:r>
          </w:p>
        </w:tc>
      </w:tr>
      <w:tr w:rsidR="004326A4" w14:paraId="02D47FE8" w14:textId="77777777" w:rsidTr="004326A4">
        <w:tc>
          <w:tcPr>
            <w:tcW w:w="0" w:type="auto"/>
          </w:tcPr>
          <w:p w14:paraId="280610D7" w14:textId="1F3DA903" w:rsidR="004326A4" w:rsidRDefault="004326A4" w:rsidP="004326A4">
            <w:r>
              <w:t>Executive manager</w:t>
            </w:r>
          </w:p>
        </w:tc>
        <w:tc>
          <w:tcPr>
            <w:tcW w:w="0" w:type="auto"/>
          </w:tcPr>
          <w:p w14:paraId="66C2DFF8" w14:textId="56025F1F" w:rsidR="004326A4" w:rsidRDefault="004326A4" w:rsidP="004326A4">
            <w:r>
              <w:t>Internal controls</w:t>
            </w:r>
          </w:p>
        </w:tc>
        <w:tc>
          <w:tcPr>
            <w:tcW w:w="0" w:type="auto"/>
          </w:tcPr>
          <w:p w14:paraId="043D2696" w14:textId="3DA20A0C" w:rsidR="004326A4" w:rsidRDefault="004326A4" w:rsidP="004326A4">
            <w:pPr>
              <w:jc w:val="center"/>
            </w:pPr>
            <w:r>
              <w:t>0.264</w:t>
            </w:r>
          </w:p>
        </w:tc>
        <w:tc>
          <w:tcPr>
            <w:tcW w:w="0" w:type="auto"/>
          </w:tcPr>
          <w:p w14:paraId="6C179D1D" w14:textId="647FDE4D" w:rsidR="004326A4" w:rsidRDefault="004326A4" w:rsidP="004326A4">
            <w:pPr>
              <w:jc w:val="center"/>
            </w:pPr>
            <w:r>
              <w:t>0.125</w:t>
            </w:r>
          </w:p>
        </w:tc>
        <w:tc>
          <w:tcPr>
            <w:tcW w:w="0" w:type="auto"/>
          </w:tcPr>
          <w:p w14:paraId="511EE672" w14:textId="7315E2F0" w:rsidR="004326A4" w:rsidRDefault="004326A4" w:rsidP="004326A4">
            <w:pPr>
              <w:jc w:val="center"/>
            </w:pPr>
            <w:r>
              <w:t>0.192</w:t>
            </w:r>
          </w:p>
        </w:tc>
        <w:tc>
          <w:tcPr>
            <w:tcW w:w="0" w:type="auto"/>
          </w:tcPr>
          <w:p w14:paraId="31739A19" w14:textId="6C96994A" w:rsidR="004326A4" w:rsidRDefault="004326A4" w:rsidP="004326A4">
            <w:pPr>
              <w:jc w:val="center"/>
            </w:pPr>
            <w:r>
              <w:t>2.119</w:t>
            </w:r>
          </w:p>
        </w:tc>
        <w:tc>
          <w:tcPr>
            <w:tcW w:w="0" w:type="auto"/>
          </w:tcPr>
          <w:p w14:paraId="6CF53D19" w14:textId="1A907C61" w:rsidR="004326A4" w:rsidRDefault="004326A4" w:rsidP="004326A4">
            <w:pPr>
              <w:jc w:val="center"/>
            </w:pPr>
            <w:r>
              <w:t>.036</w:t>
            </w:r>
          </w:p>
        </w:tc>
      </w:tr>
      <w:tr w:rsidR="004326A4" w14:paraId="52D5856C" w14:textId="77777777" w:rsidTr="004326A4">
        <w:tc>
          <w:tcPr>
            <w:tcW w:w="0" w:type="auto"/>
          </w:tcPr>
          <w:p w14:paraId="002BF6BC" w14:textId="6C360948" w:rsidR="004326A4" w:rsidRDefault="004326A4" w:rsidP="004326A4">
            <w:r>
              <w:t>Executive manager</w:t>
            </w:r>
          </w:p>
        </w:tc>
        <w:tc>
          <w:tcPr>
            <w:tcW w:w="0" w:type="auto"/>
          </w:tcPr>
          <w:p w14:paraId="57FC1E76" w14:textId="797FAEF8" w:rsidR="004326A4" w:rsidRDefault="004326A4" w:rsidP="004326A4">
            <w:r>
              <w:t>Control environment</w:t>
            </w:r>
          </w:p>
        </w:tc>
        <w:tc>
          <w:tcPr>
            <w:tcW w:w="0" w:type="auto"/>
          </w:tcPr>
          <w:p w14:paraId="25D970E4" w14:textId="0D4A8830" w:rsidR="004326A4" w:rsidRDefault="004326A4" w:rsidP="004326A4">
            <w:pPr>
              <w:jc w:val="center"/>
            </w:pPr>
            <w:r>
              <w:t>0.255</w:t>
            </w:r>
          </w:p>
        </w:tc>
        <w:tc>
          <w:tcPr>
            <w:tcW w:w="0" w:type="auto"/>
          </w:tcPr>
          <w:p w14:paraId="3E228B98" w14:textId="59E85FF8" w:rsidR="004326A4" w:rsidRDefault="004326A4" w:rsidP="004326A4">
            <w:pPr>
              <w:jc w:val="center"/>
            </w:pPr>
            <w:r>
              <w:t>0.124</w:t>
            </w:r>
          </w:p>
        </w:tc>
        <w:tc>
          <w:tcPr>
            <w:tcW w:w="0" w:type="auto"/>
          </w:tcPr>
          <w:p w14:paraId="4A27EBA4" w14:textId="3DB2D75C" w:rsidR="004326A4" w:rsidRDefault="004326A4" w:rsidP="004326A4">
            <w:pPr>
              <w:jc w:val="center"/>
            </w:pPr>
            <w:r>
              <w:t>0.187</w:t>
            </w:r>
          </w:p>
        </w:tc>
        <w:tc>
          <w:tcPr>
            <w:tcW w:w="0" w:type="auto"/>
          </w:tcPr>
          <w:p w14:paraId="37B30C87" w14:textId="759873D9" w:rsidR="004326A4" w:rsidRDefault="004326A4" w:rsidP="004326A4">
            <w:pPr>
              <w:jc w:val="center"/>
            </w:pPr>
            <w:r>
              <w:t>2.055</w:t>
            </w:r>
          </w:p>
        </w:tc>
        <w:tc>
          <w:tcPr>
            <w:tcW w:w="0" w:type="auto"/>
          </w:tcPr>
          <w:p w14:paraId="6E4F8B27" w14:textId="7FFDB8EA" w:rsidR="004326A4" w:rsidRDefault="004326A4" w:rsidP="004326A4">
            <w:pPr>
              <w:jc w:val="center"/>
            </w:pPr>
            <w:r>
              <w:t>.042</w:t>
            </w:r>
          </w:p>
        </w:tc>
      </w:tr>
      <w:tr w:rsidR="004326A4" w14:paraId="7E2FFB5C" w14:textId="77777777" w:rsidTr="004326A4">
        <w:tc>
          <w:tcPr>
            <w:tcW w:w="0" w:type="auto"/>
          </w:tcPr>
          <w:p w14:paraId="5E8E0F0F" w14:textId="7D764E41" w:rsidR="004326A4" w:rsidRDefault="004326A4" w:rsidP="004326A4">
            <w:r>
              <w:t>Executive manager</w:t>
            </w:r>
          </w:p>
        </w:tc>
        <w:tc>
          <w:tcPr>
            <w:tcW w:w="0" w:type="auto"/>
          </w:tcPr>
          <w:p w14:paraId="6F755CBF" w14:textId="1048B7BB" w:rsidR="004326A4" w:rsidRDefault="004326A4" w:rsidP="004326A4">
            <w:r>
              <w:t>Control activities</w:t>
            </w:r>
          </w:p>
        </w:tc>
        <w:tc>
          <w:tcPr>
            <w:tcW w:w="0" w:type="auto"/>
          </w:tcPr>
          <w:p w14:paraId="7A261197" w14:textId="2C77BF73" w:rsidR="004326A4" w:rsidRDefault="004326A4" w:rsidP="004326A4">
            <w:pPr>
              <w:jc w:val="center"/>
            </w:pPr>
            <w:r>
              <w:t>0.200</w:t>
            </w:r>
          </w:p>
        </w:tc>
        <w:tc>
          <w:tcPr>
            <w:tcW w:w="0" w:type="auto"/>
          </w:tcPr>
          <w:p w14:paraId="2C771872" w14:textId="41A33AE0" w:rsidR="004326A4" w:rsidRDefault="004326A4" w:rsidP="004326A4">
            <w:pPr>
              <w:jc w:val="center"/>
            </w:pPr>
            <w:r>
              <w:t>0.114</w:t>
            </w:r>
          </w:p>
        </w:tc>
        <w:tc>
          <w:tcPr>
            <w:tcW w:w="0" w:type="auto"/>
          </w:tcPr>
          <w:p w14:paraId="6B60B57A" w14:textId="65BBB7B0" w:rsidR="004326A4" w:rsidRDefault="004326A4" w:rsidP="004326A4">
            <w:pPr>
              <w:jc w:val="center"/>
            </w:pPr>
            <w:r>
              <w:t>0.161</w:t>
            </w:r>
          </w:p>
        </w:tc>
        <w:tc>
          <w:tcPr>
            <w:tcW w:w="0" w:type="auto"/>
          </w:tcPr>
          <w:p w14:paraId="5263D62B" w14:textId="468FCDBE" w:rsidR="004326A4" w:rsidRDefault="004326A4" w:rsidP="004326A4">
            <w:pPr>
              <w:jc w:val="center"/>
            </w:pPr>
            <w:r>
              <w:t>1.760</w:t>
            </w:r>
          </w:p>
        </w:tc>
        <w:tc>
          <w:tcPr>
            <w:tcW w:w="0" w:type="auto"/>
          </w:tcPr>
          <w:p w14:paraId="0B0A7B64" w14:textId="6989F2D3" w:rsidR="004326A4" w:rsidRDefault="004326A4" w:rsidP="004326A4">
            <w:pPr>
              <w:jc w:val="center"/>
            </w:pPr>
            <w:r>
              <w:t>.081</w:t>
            </w:r>
          </w:p>
        </w:tc>
      </w:tr>
      <w:tr w:rsidR="004326A4" w14:paraId="26600D15" w14:textId="77777777" w:rsidTr="004326A4">
        <w:tc>
          <w:tcPr>
            <w:tcW w:w="0" w:type="auto"/>
          </w:tcPr>
          <w:p w14:paraId="057EECB9" w14:textId="7A424C6A" w:rsidR="004326A4" w:rsidRDefault="004326A4" w:rsidP="004326A4">
            <w:r>
              <w:t>Executive manager</w:t>
            </w:r>
          </w:p>
        </w:tc>
        <w:tc>
          <w:tcPr>
            <w:tcW w:w="0" w:type="auto"/>
          </w:tcPr>
          <w:p w14:paraId="23B4DD5C" w14:textId="112785A0" w:rsidR="004326A4" w:rsidRDefault="004326A4" w:rsidP="004326A4">
            <w:r>
              <w:t>Monitoring activities</w:t>
            </w:r>
          </w:p>
        </w:tc>
        <w:tc>
          <w:tcPr>
            <w:tcW w:w="0" w:type="auto"/>
          </w:tcPr>
          <w:p w14:paraId="0023DA4E" w14:textId="61256B79" w:rsidR="004326A4" w:rsidRDefault="004326A4" w:rsidP="004326A4">
            <w:pPr>
              <w:jc w:val="center"/>
            </w:pPr>
            <w:r>
              <w:t>0.220</w:t>
            </w:r>
          </w:p>
        </w:tc>
        <w:tc>
          <w:tcPr>
            <w:tcW w:w="0" w:type="auto"/>
          </w:tcPr>
          <w:p w14:paraId="6C292F9F" w14:textId="304DF58F" w:rsidR="004326A4" w:rsidRDefault="004326A4" w:rsidP="004326A4">
            <w:pPr>
              <w:jc w:val="center"/>
            </w:pPr>
            <w:r>
              <w:t>0.108</w:t>
            </w:r>
          </w:p>
        </w:tc>
        <w:tc>
          <w:tcPr>
            <w:tcW w:w="0" w:type="auto"/>
          </w:tcPr>
          <w:p w14:paraId="2B8C748F" w14:textId="07B6E639" w:rsidR="004326A4" w:rsidRDefault="004326A4" w:rsidP="004326A4">
            <w:pPr>
              <w:jc w:val="center"/>
            </w:pPr>
            <w:r>
              <w:t>0.184</w:t>
            </w:r>
          </w:p>
        </w:tc>
        <w:tc>
          <w:tcPr>
            <w:tcW w:w="0" w:type="auto"/>
          </w:tcPr>
          <w:p w14:paraId="6E3CCA53" w14:textId="3F1B1258" w:rsidR="004326A4" w:rsidRDefault="004326A4" w:rsidP="004326A4">
            <w:pPr>
              <w:jc w:val="center"/>
            </w:pPr>
            <w:r>
              <w:t>2.030</w:t>
            </w:r>
          </w:p>
        </w:tc>
        <w:tc>
          <w:tcPr>
            <w:tcW w:w="0" w:type="auto"/>
          </w:tcPr>
          <w:p w14:paraId="7CF0C772" w14:textId="4841E00F" w:rsidR="004326A4" w:rsidRDefault="004326A4" w:rsidP="004326A4">
            <w:pPr>
              <w:jc w:val="center"/>
            </w:pPr>
            <w:r>
              <w:t>.045</w:t>
            </w:r>
          </w:p>
        </w:tc>
      </w:tr>
    </w:tbl>
    <w:p w14:paraId="78583B82" w14:textId="45E3EE31" w:rsidR="008C24CF" w:rsidRPr="008C24CF" w:rsidRDefault="008C24CF" w:rsidP="008C24CF"/>
    <w:tbl>
      <w:tblPr>
        <w:tblStyle w:val="TableGrid"/>
        <w:tblW w:w="0" w:type="auto"/>
        <w:tblLook w:val="06A0" w:firstRow="1" w:lastRow="0" w:firstColumn="1" w:lastColumn="0" w:noHBand="1" w:noVBand="1"/>
      </w:tblPr>
      <w:tblGrid>
        <w:gridCol w:w="1979"/>
        <w:gridCol w:w="2130"/>
        <w:gridCol w:w="1799"/>
        <w:gridCol w:w="718"/>
        <w:gridCol w:w="1557"/>
        <w:gridCol w:w="718"/>
        <w:gridCol w:w="607"/>
      </w:tblGrid>
      <w:tr w:rsidR="00019CDB" w14:paraId="4B53AAC1" w14:textId="77777777" w:rsidTr="00405C1E">
        <w:tc>
          <w:tcPr>
            <w:tcW w:w="0" w:type="auto"/>
          </w:tcPr>
          <w:p w14:paraId="6CB6200E" w14:textId="5435B3ED" w:rsidR="6B884CCB" w:rsidRDefault="004326A4" w:rsidP="00019CDB">
            <w:r>
              <w:t>Panel B: For-Profit.</w:t>
            </w:r>
          </w:p>
        </w:tc>
        <w:tc>
          <w:tcPr>
            <w:tcW w:w="0" w:type="auto"/>
          </w:tcPr>
          <w:p w14:paraId="78CC6E1B" w14:textId="67C858E6" w:rsidR="6B884CCB" w:rsidRDefault="6B884CCB" w:rsidP="00019CDB"/>
        </w:tc>
        <w:tc>
          <w:tcPr>
            <w:tcW w:w="0" w:type="auto"/>
          </w:tcPr>
          <w:p w14:paraId="59880B2D" w14:textId="630C3E8B" w:rsidR="6B884CCB" w:rsidRDefault="6B884CCB" w:rsidP="00019CDB">
            <w:pPr>
              <w:jc w:val="center"/>
            </w:pPr>
          </w:p>
        </w:tc>
        <w:tc>
          <w:tcPr>
            <w:tcW w:w="0" w:type="auto"/>
          </w:tcPr>
          <w:p w14:paraId="50F0FF3C" w14:textId="7A09BFB3" w:rsidR="6B884CCB" w:rsidRDefault="6B884CCB" w:rsidP="00019CDB">
            <w:pPr>
              <w:jc w:val="center"/>
            </w:pPr>
          </w:p>
        </w:tc>
        <w:tc>
          <w:tcPr>
            <w:tcW w:w="0" w:type="auto"/>
          </w:tcPr>
          <w:p w14:paraId="20BFD154" w14:textId="20BFD2E1" w:rsidR="6B884CCB" w:rsidRDefault="6B884CCB" w:rsidP="00019CDB">
            <w:pPr>
              <w:jc w:val="center"/>
            </w:pPr>
          </w:p>
        </w:tc>
        <w:tc>
          <w:tcPr>
            <w:tcW w:w="0" w:type="auto"/>
          </w:tcPr>
          <w:p w14:paraId="3D02819B" w14:textId="74F9730E" w:rsidR="6B884CCB" w:rsidRDefault="6B884CCB" w:rsidP="00019CDB">
            <w:pPr>
              <w:jc w:val="center"/>
            </w:pPr>
          </w:p>
        </w:tc>
        <w:tc>
          <w:tcPr>
            <w:tcW w:w="0" w:type="auto"/>
          </w:tcPr>
          <w:p w14:paraId="0F347E25" w14:textId="04741941" w:rsidR="6B884CCB" w:rsidRDefault="6B884CCB" w:rsidP="00019CDB">
            <w:pPr>
              <w:jc w:val="center"/>
            </w:pPr>
          </w:p>
        </w:tc>
      </w:tr>
      <w:tr w:rsidR="004326A4" w14:paraId="62222983" w14:textId="77777777" w:rsidTr="00405C1E">
        <w:tc>
          <w:tcPr>
            <w:tcW w:w="0" w:type="auto"/>
          </w:tcPr>
          <w:p w14:paraId="2974B0E2" w14:textId="51225005" w:rsidR="004326A4" w:rsidRDefault="004326A4" w:rsidP="004326A4">
            <w:r>
              <w:t>Dependent variable</w:t>
            </w:r>
          </w:p>
        </w:tc>
        <w:tc>
          <w:tcPr>
            <w:tcW w:w="0" w:type="auto"/>
          </w:tcPr>
          <w:p w14:paraId="7CB29248" w14:textId="2C64A4F0" w:rsidR="004326A4" w:rsidRDefault="004326A4" w:rsidP="004326A4">
            <w:r>
              <w:t>Independent variable</w:t>
            </w:r>
          </w:p>
        </w:tc>
        <w:tc>
          <w:tcPr>
            <w:tcW w:w="0" w:type="auto"/>
          </w:tcPr>
          <w:p w14:paraId="69A2DF98" w14:textId="2C184BDA" w:rsidR="004326A4" w:rsidRDefault="004326A4" w:rsidP="004326A4">
            <w:pPr>
              <w:jc w:val="center"/>
            </w:pPr>
            <w:r>
              <w:t>Unstandardized B</w:t>
            </w:r>
          </w:p>
        </w:tc>
        <w:tc>
          <w:tcPr>
            <w:tcW w:w="0" w:type="auto"/>
          </w:tcPr>
          <w:p w14:paraId="2868CBC6" w14:textId="3B22BAAB" w:rsidR="004326A4" w:rsidRDefault="004326A4" w:rsidP="004326A4">
            <w:pPr>
              <w:jc w:val="center"/>
            </w:pPr>
            <w:r>
              <w:t>SE</w:t>
            </w:r>
          </w:p>
        </w:tc>
        <w:tc>
          <w:tcPr>
            <w:tcW w:w="0" w:type="auto"/>
          </w:tcPr>
          <w:p w14:paraId="575E2094" w14:textId="3E600F1C" w:rsidR="004326A4" w:rsidRDefault="004326A4" w:rsidP="004326A4">
            <w:pPr>
              <w:jc w:val="center"/>
            </w:pPr>
            <w:r>
              <w:t>Standardized B</w:t>
            </w:r>
          </w:p>
        </w:tc>
        <w:tc>
          <w:tcPr>
            <w:tcW w:w="0" w:type="auto"/>
          </w:tcPr>
          <w:p w14:paraId="5114A9B4" w14:textId="0630689C" w:rsidR="004326A4" w:rsidRDefault="004326A4" w:rsidP="004326A4">
            <w:pPr>
              <w:jc w:val="center"/>
            </w:pPr>
            <w:r>
              <w:t>t</w:t>
            </w:r>
          </w:p>
        </w:tc>
        <w:tc>
          <w:tcPr>
            <w:tcW w:w="0" w:type="auto"/>
          </w:tcPr>
          <w:p w14:paraId="20BF335D" w14:textId="0A29EE6F" w:rsidR="004326A4" w:rsidRDefault="004326A4" w:rsidP="004326A4">
            <w:pPr>
              <w:jc w:val="center"/>
            </w:pPr>
            <w:r>
              <w:t>P*</w:t>
            </w:r>
          </w:p>
        </w:tc>
      </w:tr>
      <w:tr w:rsidR="004326A4" w14:paraId="2EFE1B0E" w14:textId="77777777" w:rsidTr="00405C1E">
        <w:tc>
          <w:tcPr>
            <w:tcW w:w="0" w:type="auto"/>
          </w:tcPr>
          <w:p w14:paraId="1691D74A" w14:textId="083776FD" w:rsidR="004326A4" w:rsidRDefault="004326A4" w:rsidP="004326A4">
            <w:r>
              <w:t>Website</w:t>
            </w:r>
          </w:p>
        </w:tc>
        <w:tc>
          <w:tcPr>
            <w:tcW w:w="0" w:type="auto"/>
          </w:tcPr>
          <w:p w14:paraId="3C3D804B" w14:textId="70AFF9B9" w:rsidR="004326A4" w:rsidRDefault="004326A4" w:rsidP="004326A4">
            <w:r>
              <w:t>Internal controls</w:t>
            </w:r>
          </w:p>
        </w:tc>
        <w:tc>
          <w:tcPr>
            <w:tcW w:w="0" w:type="auto"/>
          </w:tcPr>
          <w:p w14:paraId="668A1098" w14:textId="5FA87A26" w:rsidR="004326A4" w:rsidRDefault="004326A4" w:rsidP="004326A4">
            <w:pPr>
              <w:jc w:val="center"/>
            </w:pPr>
            <w:r>
              <w:t>0.657</w:t>
            </w:r>
          </w:p>
        </w:tc>
        <w:tc>
          <w:tcPr>
            <w:tcW w:w="0" w:type="auto"/>
          </w:tcPr>
          <w:p w14:paraId="22246CF1" w14:textId="2B5483B5" w:rsidR="004326A4" w:rsidRDefault="004326A4" w:rsidP="004326A4">
            <w:pPr>
              <w:jc w:val="center"/>
            </w:pPr>
            <w:r>
              <w:t>0.112</w:t>
            </w:r>
          </w:p>
        </w:tc>
        <w:tc>
          <w:tcPr>
            <w:tcW w:w="0" w:type="auto"/>
          </w:tcPr>
          <w:p w14:paraId="18E7BDB9" w14:textId="6B6A4D2D" w:rsidR="004326A4" w:rsidRDefault="004326A4" w:rsidP="004326A4">
            <w:pPr>
              <w:jc w:val="center"/>
            </w:pPr>
            <w:r>
              <w:t>0.430</w:t>
            </w:r>
          </w:p>
        </w:tc>
        <w:tc>
          <w:tcPr>
            <w:tcW w:w="0" w:type="auto"/>
          </w:tcPr>
          <w:p w14:paraId="4C3062EE" w14:textId="03186BAE" w:rsidR="004326A4" w:rsidRDefault="004326A4" w:rsidP="004326A4">
            <w:pPr>
              <w:jc w:val="center"/>
            </w:pPr>
            <w:r>
              <w:t>5.850</w:t>
            </w:r>
          </w:p>
        </w:tc>
        <w:tc>
          <w:tcPr>
            <w:tcW w:w="0" w:type="auto"/>
          </w:tcPr>
          <w:p w14:paraId="7A631F5D" w14:textId="298E14A0" w:rsidR="004326A4" w:rsidRDefault="004326A4" w:rsidP="004326A4">
            <w:pPr>
              <w:jc w:val="center"/>
            </w:pPr>
            <w:r>
              <w:t>.000</w:t>
            </w:r>
          </w:p>
        </w:tc>
      </w:tr>
      <w:tr w:rsidR="004326A4" w14:paraId="0E0C09D8" w14:textId="77777777" w:rsidTr="00405C1E">
        <w:tc>
          <w:tcPr>
            <w:tcW w:w="0" w:type="auto"/>
          </w:tcPr>
          <w:p w14:paraId="2D454036" w14:textId="54BDC92D" w:rsidR="004326A4" w:rsidRDefault="004326A4" w:rsidP="004326A4">
            <w:r>
              <w:t>Website</w:t>
            </w:r>
          </w:p>
        </w:tc>
        <w:tc>
          <w:tcPr>
            <w:tcW w:w="0" w:type="auto"/>
          </w:tcPr>
          <w:p w14:paraId="28B4ACFF" w14:textId="6FAE047D" w:rsidR="004326A4" w:rsidRDefault="004326A4" w:rsidP="004326A4">
            <w:r>
              <w:t>Control environment</w:t>
            </w:r>
          </w:p>
        </w:tc>
        <w:tc>
          <w:tcPr>
            <w:tcW w:w="0" w:type="auto"/>
          </w:tcPr>
          <w:p w14:paraId="73520BED" w14:textId="5429E982" w:rsidR="004326A4" w:rsidRDefault="004326A4" w:rsidP="004326A4">
            <w:pPr>
              <w:jc w:val="center"/>
            </w:pPr>
            <w:r>
              <w:t>0.199</w:t>
            </w:r>
          </w:p>
        </w:tc>
        <w:tc>
          <w:tcPr>
            <w:tcW w:w="0" w:type="auto"/>
          </w:tcPr>
          <w:p w14:paraId="48F44926" w14:textId="15E9A858" w:rsidR="004326A4" w:rsidRDefault="004326A4" w:rsidP="004326A4">
            <w:pPr>
              <w:jc w:val="center"/>
            </w:pPr>
            <w:r>
              <w:t>0.139</w:t>
            </w:r>
          </w:p>
        </w:tc>
        <w:tc>
          <w:tcPr>
            <w:tcW w:w="0" w:type="auto"/>
          </w:tcPr>
          <w:p w14:paraId="644612BF" w14:textId="20487021" w:rsidR="004326A4" w:rsidRDefault="004326A4" w:rsidP="004326A4">
            <w:pPr>
              <w:jc w:val="center"/>
            </w:pPr>
            <w:r>
              <w:t>0.116</w:t>
            </w:r>
          </w:p>
        </w:tc>
        <w:tc>
          <w:tcPr>
            <w:tcW w:w="0" w:type="auto"/>
          </w:tcPr>
          <w:p w14:paraId="66DAD795" w14:textId="2E991077" w:rsidR="004326A4" w:rsidRDefault="004326A4" w:rsidP="004326A4">
            <w:pPr>
              <w:jc w:val="center"/>
            </w:pPr>
            <w:r>
              <w:t>1.432</w:t>
            </w:r>
          </w:p>
        </w:tc>
        <w:tc>
          <w:tcPr>
            <w:tcW w:w="0" w:type="auto"/>
          </w:tcPr>
          <w:p w14:paraId="214E5648" w14:textId="754FD966" w:rsidR="004326A4" w:rsidRDefault="004326A4" w:rsidP="004326A4">
            <w:pPr>
              <w:jc w:val="center"/>
            </w:pPr>
            <w:r>
              <w:t>.154</w:t>
            </w:r>
          </w:p>
        </w:tc>
      </w:tr>
      <w:tr w:rsidR="004326A4" w14:paraId="3BF7FB36" w14:textId="77777777" w:rsidTr="00405C1E">
        <w:tc>
          <w:tcPr>
            <w:tcW w:w="0" w:type="auto"/>
          </w:tcPr>
          <w:p w14:paraId="3EB5A4F2" w14:textId="1C63198B" w:rsidR="004326A4" w:rsidRDefault="004326A4" w:rsidP="004326A4">
            <w:r>
              <w:t>Website</w:t>
            </w:r>
          </w:p>
        </w:tc>
        <w:tc>
          <w:tcPr>
            <w:tcW w:w="0" w:type="auto"/>
          </w:tcPr>
          <w:p w14:paraId="69B38CEC" w14:textId="31E6493F" w:rsidR="004326A4" w:rsidRDefault="004326A4" w:rsidP="004326A4">
            <w:r>
              <w:t>Control activities</w:t>
            </w:r>
          </w:p>
        </w:tc>
        <w:tc>
          <w:tcPr>
            <w:tcW w:w="0" w:type="auto"/>
          </w:tcPr>
          <w:p w14:paraId="09E164BE" w14:textId="14EE44BC" w:rsidR="004326A4" w:rsidRDefault="004326A4" w:rsidP="004326A4">
            <w:pPr>
              <w:jc w:val="center"/>
            </w:pPr>
            <w:r>
              <w:t>0.401</w:t>
            </w:r>
          </w:p>
        </w:tc>
        <w:tc>
          <w:tcPr>
            <w:tcW w:w="0" w:type="auto"/>
          </w:tcPr>
          <w:p w14:paraId="1748BCEF" w14:textId="7BF3DBA5" w:rsidR="004326A4" w:rsidRDefault="004326A4" w:rsidP="004326A4">
            <w:pPr>
              <w:jc w:val="center"/>
            </w:pPr>
            <w:r>
              <w:t>0.132</w:t>
            </w:r>
          </w:p>
        </w:tc>
        <w:tc>
          <w:tcPr>
            <w:tcW w:w="0" w:type="auto"/>
          </w:tcPr>
          <w:p w14:paraId="5E59A382" w14:textId="61B6C2A5" w:rsidR="004326A4" w:rsidRDefault="004326A4" w:rsidP="004326A4">
            <w:pPr>
              <w:jc w:val="center"/>
            </w:pPr>
            <w:r>
              <w:t>0.240</w:t>
            </w:r>
          </w:p>
        </w:tc>
        <w:tc>
          <w:tcPr>
            <w:tcW w:w="0" w:type="auto"/>
          </w:tcPr>
          <w:p w14:paraId="13CEFDEA" w14:textId="4D878AB6" w:rsidR="004326A4" w:rsidRDefault="004326A4" w:rsidP="004326A4">
            <w:pPr>
              <w:jc w:val="center"/>
            </w:pPr>
            <w:r>
              <w:t>3.038</w:t>
            </w:r>
          </w:p>
        </w:tc>
        <w:tc>
          <w:tcPr>
            <w:tcW w:w="0" w:type="auto"/>
          </w:tcPr>
          <w:p w14:paraId="5CB9B2A0" w14:textId="7EE01CB2" w:rsidR="004326A4" w:rsidRDefault="004326A4" w:rsidP="004326A4">
            <w:pPr>
              <w:jc w:val="center"/>
            </w:pPr>
            <w:r>
              <w:t>.003</w:t>
            </w:r>
          </w:p>
        </w:tc>
      </w:tr>
      <w:tr w:rsidR="004326A4" w14:paraId="6F3E80B5" w14:textId="77777777" w:rsidTr="00405C1E">
        <w:tc>
          <w:tcPr>
            <w:tcW w:w="0" w:type="auto"/>
          </w:tcPr>
          <w:p w14:paraId="369283F4" w14:textId="372CABC1" w:rsidR="004326A4" w:rsidRDefault="004326A4" w:rsidP="004326A4">
            <w:r>
              <w:t>Website</w:t>
            </w:r>
          </w:p>
        </w:tc>
        <w:tc>
          <w:tcPr>
            <w:tcW w:w="0" w:type="auto"/>
          </w:tcPr>
          <w:p w14:paraId="004934D5" w14:textId="67E175F3" w:rsidR="004326A4" w:rsidRDefault="004326A4" w:rsidP="004326A4">
            <w:r>
              <w:t>Monitoring activities</w:t>
            </w:r>
          </w:p>
        </w:tc>
        <w:tc>
          <w:tcPr>
            <w:tcW w:w="0" w:type="auto"/>
          </w:tcPr>
          <w:p w14:paraId="4357A3EB" w14:textId="6A223D66" w:rsidR="004326A4" w:rsidRDefault="004326A4" w:rsidP="004326A4">
            <w:pPr>
              <w:jc w:val="center"/>
            </w:pPr>
            <w:r>
              <w:t>0.251</w:t>
            </w:r>
          </w:p>
        </w:tc>
        <w:tc>
          <w:tcPr>
            <w:tcW w:w="0" w:type="auto"/>
          </w:tcPr>
          <w:p w14:paraId="388655F7" w14:textId="3E11042C" w:rsidR="004326A4" w:rsidRDefault="004326A4" w:rsidP="004326A4">
            <w:pPr>
              <w:jc w:val="center"/>
            </w:pPr>
            <w:r>
              <w:t>0.118</w:t>
            </w:r>
          </w:p>
        </w:tc>
        <w:tc>
          <w:tcPr>
            <w:tcW w:w="0" w:type="auto"/>
          </w:tcPr>
          <w:p w14:paraId="7F3A5309" w14:textId="2D7F0E2D" w:rsidR="004326A4" w:rsidRDefault="004326A4" w:rsidP="004326A4">
            <w:pPr>
              <w:jc w:val="center"/>
            </w:pPr>
            <w:r>
              <w:t>0.170</w:t>
            </w:r>
          </w:p>
        </w:tc>
        <w:tc>
          <w:tcPr>
            <w:tcW w:w="0" w:type="auto"/>
          </w:tcPr>
          <w:p w14:paraId="5DCF7B35" w14:textId="25775371" w:rsidR="004326A4" w:rsidRDefault="004326A4" w:rsidP="004326A4">
            <w:pPr>
              <w:jc w:val="center"/>
            </w:pPr>
            <w:r>
              <w:t>2.120</w:t>
            </w:r>
          </w:p>
        </w:tc>
        <w:tc>
          <w:tcPr>
            <w:tcW w:w="0" w:type="auto"/>
          </w:tcPr>
          <w:p w14:paraId="5E7824F9" w14:textId="36D817B6" w:rsidR="004326A4" w:rsidRDefault="004326A4" w:rsidP="004326A4">
            <w:pPr>
              <w:jc w:val="center"/>
            </w:pPr>
            <w:r>
              <w:t>.036</w:t>
            </w:r>
          </w:p>
        </w:tc>
      </w:tr>
      <w:tr w:rsidR="004326A4" w14:paraId="25CECFE2" w14:textId="77777777" w:rsidTr="00405C1E">
        <w:tc>
          <w:tcPr>
            <w:tcW w:w="0" w:type="auto"/>
          </w:tcPr>
          <w:p w14:paraId="247DB950" w14:textId="5FC84337" w:rsidR="004326A4" w:rsidRDefault="004326A4" w:rsidP="004326A4">
            <w:r>
              <w:t>Supervisor</w:t>
            </w:r>
          </w:p>
        </w:tc>
        <w:tc>
          <w:tcPr>
            <w:tcW w:w="0" w:type="auto"/>
          </w:tcPr>
          <w:p w14:paraId="6B8A6223" w14:textId="7EC2FDFD" w:rsidR="004326A4" w:rsidRDefault="004326A4" w:rsidP="004326A4">
            <w:r>
              <w:t>Internal controls</w:t>
            </w:r>
          </w:p>
        </w:tc>
        <w:tc>
          <w:tcPr>
            <w:tcW w:w="0" w:type="auto"/>
          </w:tcPr>
          <w:p w14:paraId="71DC767C" w14:textId="2F4173F8" w:rsidR="004326A4" w:rsidRDefault="004326A4" w:rsidP="004326A4">
            <w:pPr>
              <w:jc w:val="center"/>
            </w:pPr>
            <w:r>
              <w:t>0.657</w:t>
            </w:r>
          </w:p>
        </w:tc>
        <w:tc>
          <w:tcPr>
            <w:tcW w:w="0" w:type="auto"/>
          </w:tcPr>
          <w:p w14:paraId="7822A5C4" w14:textId="1877429A" w:rsidR="004326A4" w:rsidRDefault="004326A4" w:rsidP="004326A4">
            <w:pPr>
              <w:jc w:val="center"/>
            </w:pPr>
            <w:r>
              <w:t>0.112</w:t>
            </w:r>
          </w:p>
        </w:tc>
        <w:tc>
          <w:tcPr>
            <w:tcW w:w="0" w:type="auto"/>
          </w:tcPr>
          <w:p w14:paraId="6C7E23CB" w14:textId="0E62CB64" w:rsidR="004326A4" w:rsidRDefault="004326A4" w:rsidP="004326A4">
            <w:pPr>
              <w:jc w:val="center"/>
            </w:pPr>
            <w:r>
              <w:t>0.430</w:t>
            </w:r>
          </w:p>
        </w:tc>
        <w:tc>
          <w:tcPr>
            <w:tcW w:w="0" w:type="auto"/>
          </w:tcPr>
          <w:p w14:paraId="7C97CED1" w14:textId="267E48D9" w:rsidR="004326A4" w:rsidRDefault="004326A4" w:rsidP="004326A4">
            <w:pPr>
              <w:jc w:val="center"/>
            </w:pPr>
            <w:r>
              <w:t>5.850</w:t>
            </w:r>
          </w:p>
        </w:tc>
        <w:tc>
          <w:tcPr>
            <w:tcW w:w="0" w:type="auto"/>
          </w:tcPr>
          <w:p w14:paraId="51A9F682" w14:textId="74D7EC03" w:rsidR="004326A4" w:rsidRDefault="004326A4" w:rsidP="004326A4">
            <w:pPr>
              <w:jc w:val="center"/>
            </w:pPr>
            <w:r>
              <w:t>.000</w:t>
            </w:r>
          </w:p>
        </w:tc>
      </w:tr>
      <w:tr w:rsidR="004326A4" w14:paraId="2349CCD4" w14:textId="77777777" w:rsidTr="00405C1E">
        <w:tc>
          <w:tcPr>
            <w:tcW w:w="0" w:type="auto"/>
          </w:tcPr>
          <w:p w14:paraId="2826570A" w14:textId="7933C3D1" w:rsidR="004326A4" w:rsidRDefault="004326A4" w:rsidP="004326A4">
            <w:r>
              <w:t>Supervisor</w:t>
            </w:r>
          </w:p>
        </w:tc>
        <w:tc>
          <w:tcPr>
            <w:tcW w:w="0" w:type="auto"/>
          </w:tcPr>
          <w:p w14:paraId="15A6ACD9" w14:textId="3A8BBE47" w:rsidR="004326A4" w:rsidRDefault="004326A4" w:rsidP="004326A4">
            <w:r>
              <w:t>Control environment</w:t>
            </w:r>
          </w:p>
        </w:tc>
        <w:tc>
          <w:tcPr>
            <w:tcW w:w="0" w:type="auto"/>
          </w:tcPr>
          <w:p w14:paraId="33307D1D" w14:textId="5FBB9098" w:rsidR="004326A4" w:rsidRDefault="004326A4" w:rsidP="004326A4">
            <w:pPr>
              <w:jc w:val="center"/>
            </w:pPr>
            <w:r>
              <w:t>0.650</w:t>
            </w:r>
          </w:p>
        </w:tc>
        <w:tc>
          <w:tcPr>
            <w:tcW w:w="0" w:type="auto"/>
          </w:tcPr>
          <w:p w14:paraId="2E50E412" w14:textId="7BFAEDD6" w:rsidR="004326A4" w:rsidRDefault="004326A4" w:rsidP="004326A4">
            <w:pPr>
              <w:jc w:val="center"/>
            </w:pPr>
            <w:r>
              <w:t>0.109</w:t>
            </w:r>
          </w:p>
        </w:tc>
        <w:tc>
          <w:tcPr>
            <w:tcW w:w="0" w:type="auto"/>
          </w:tcPr>
          <w:p w14:paraId="2D379861" w14:textId="6B67225B" w:rsidR="004326A4" w:rsidRDefault="004326A4" w:rsidP="004326A4">
            <w:pPr>
              <w:jc w:val="center"/>
            </w:pPr>
            <w:r>
              <w:t>0.437</w:t>
            </w:r>
          </w:p>
        </w:tc>
        <w:tc>
          <w:tcPr>
            <w:tcW w:w="0" w:type="auto"/>
          </w:tcPr>
          <w:p w14:paraId="79E855F5" w14:textId="03465F7E" w:rsidR="004326A4" w:rsidRDefault="004326A4" w:rsidP="004326A4">
            <w:pPr>
              <w:jc w:val="center"/>
            </w:pPr>
            <w:r>
              <w:t>5.966</w:t>
            </w:r>
          </w:p>
        </w:tc>
        <w:tc>
          <w:tcPr>
            <w:tcW w:w="0" w:type="auto"/>
          </w:tcPr>
          <w:p w14:paraId="0B0E13C0" w14:textId="287BE16E" w:rsidR="004326A4" w:rsidRDefault="004326A4" w:rsidP="004326A4">
            <w:pPr>
              <w:jc w:val="center"/>
            </w:pPr>
            <w:r>
              <w:t>.000</w:t>
            </w:r>
          </w:p>
        </w:tc>
      </w:tr>
      <w:tr w:rsidR="004326A4" w14:paraId="46CC7F81" w14:textId="77777777" w:rsidTr="00405C1E">
        <w:tc>
          <w:tcPr>
            <w:tcW w:w="0" w:type="auto"/>
          </w:tcPr>
          <w:p w14:paraId="0F220FFC" w14:textId="05BA4BB6" w:rsidR="004326A4" w:rsidRDefault="004326A4" w:rsidP="004326A4">
            <w:r>
              <w:t>Supervisor</w:t>
            </w:r>
          </w:p>
        </w:tc>
        <w:tc>
          <w:tcPr>
            <w:tcW w:w="0" w:type="auto"/>
          </w:tcPr>
          <w:p w14:paraId="235F0F4F" w14:textId="06CF667A" w:rsidR="004326A4" w:rsidRDefault="004326A4" w:rsidP="004326A4">
            <w:r>
              <w:t>Control activities</w:t>
            </w:r>
          </w:p>
        </w:tc>
        <w:tc>
          <w:tcPr>
            <w:tcW w:w="0" w:type="auto"/>
          </w:tcPr>
          <w:p w14:paraId="10A3967A" w14:textId="73BEDB5D" w:rsidR="004326A4" w:rsidRDefault="004326A4" w:rsidP="004326A4">
            <w:pPr>
              <w:jc w:val="center"/>
            </w:pPr>
            <w:r>
              <w:t>0.492</w:t>
            </w:r>
          </w:p>
        </w:tc>
        <w:tc>
          <w:tcPr>
            <w:tcW w:w="0" w:type="auto"/>
          </w:tcPr>
          <w:p w14:paraId="664870AB" w14:textId="527A80CB" w:rsidR="004326A4" w:rsidRDefault="004326A4" w:rsidP="004326A4">
            <w:pPr>
              <w:jc w:val="center"/>
            </w:pPr>
            <w:r>
              <w:t>0.111</w:t>
            </w:r>
          </w:p>
        </w:tc>
        <w:tc>
          <w:tcPr>
            <w:tcW w:w="0" w:type="auto"/>
          </w:tcPr>
          <w:p w14:paraId="38678C9D" w14:textId="3EC6E869" w:rsidR="004326A4" w:rsidRDefault="004326A4" w:rsidP="004326A4">
            <w:pPr>
              <w:jc w:val="center"/>
            </w:pPr>
            <w:r>
              <w:t>0.341</w:t>
            </w:r>
          </w:p>
        </w:tc>
        <w:tc>
          <w:tcPr>
            <w:tcW w:w="0" w:type="auto"/>
          </w:tcPr>
          <w:p w14:paraId="52ED6819" w14:textId="3E755C84" w:rsidR="004326A4" w:rsidRDefault="004326A4" w:rsidP="004326A4">
            <w:pPr>
              <w:jc w:val="center"/>
            </w:pPr>
            <w:r>
              <w:t>4.450</w:t>
            </w:r>
          </w:p>
        </w:tc>
        <w:tc>
          <w:tcPr>
            <w:tcW w:w="0" w:type="auto"/>
          </w:tcPr>
          <w:p w14:paraId="22A34391" w14:textId="7BD28C86" w:rsidR="004326A4" w:rsidRDefault="004326A4" w:rsidP="004326A4">
            <w:pPr>
              <w:jc w:val="center"/>
            </w:pPr>
            <w:r>
              <w:t>.000</w:t>
            </w:r>
          </w:p>
        </w:tc>
      </w:tr>
      <w:tr w:rsidR="004326A4" w14:paraId="488E175A" w14:textId="77777777" w:rsidTr="00405C1E">
        <w:tc>
          <w:tcPr>
            <w:tcW w:w="0" w:type="auto"/>
          </w:tcPr>
          <w:p w14:paraId="6D163B3A" w14:textId="608481E7" w:rsidR="004326A4" w:rsidRDefault="004326A4" w:rsidP="004326A4">
            <w:r>
              <w:t>Supervisor</w:t>
            </w:r>
          </w:p>
        </w:tc>
        <w:tc>
          <w:tcPr>
            <w:tcW w:w="0" w:type="auto"/>
          </w:tcPr>
          <w:p w14:paraId="445E1818" w14:textId="617DCB48" w:rsidR="004326A4" w:rsidRDefault="004326A4" w:rsidP="004326A4">
            <w:r>
              <w:t>Monitoring activities</w:t>
            </w:r>
          </w:p>
        </w:tc>
        <w:tc>
          <w:tcPr>
            <w:tcW w:w="0" w:type="auto"/>
          </w:tcPr>
          <w:p w14:paraId="195EDD60" w14:textId="5A6FD47D" w:rsidR="004326A4" w:rsidRDefault="004326A4" w:rsidP="004326A4">
            <w:pPr>
              <w:jc w:val="center"/>
            </w:pPr>
            <w:r>
              <w:t>0.506</w:t>
            </w:r>
          </w:p>
        </w:tc>
        <w:tc>
          <w:tcPr>
            <w:tcW w:w="0" w:type="auto"/>
          </w:tcPr>
          <w:p w14:paraId="0A8061AF" w14:textId="6818B6DC" w:rsidR="004326A4" w:rsidRDefault="004326A4" w:rsidP="004326A4">
            <w:pPr>
              <w:jc w:val="center"/>
            </w:pPr>
            <w:r>
              <w:t>0.095</w:t>
            </w:r>
          </w:p>
        </w:tc>
        <w:tc>
          <w:tcPr>
            <w:tcW w:w="0" w:type="auto"/>
          </w:tcPr>
          <w:p w14:paraId="11C33105" w14:textId="32A42FB7" w:rsidR="004326A4" w:rsidRDefault="004326A4" w:rsidP="004326A4">
            <w:pPr>
              <w:jc w:val="center"/>
            </w:pPr>
            <w:r>
              <w:t>0.396</w:t>
            </w:r>
          </w:p>
        </w:tc>
        <w:tc>
          <w:tcPr>
            <w:tcW w:w="0" w:type="auto"/>
          </w:tcPr>
          <w:p w14:paraId="6CE296EF" w14:textId="21F069D3" w:rsidR="004326A4" w:rsidRDefault="004326A4" w:rsidP="004326A4">
            <w:pPr>
              <w:jc w:val="center"/>
            </w:pPr>
            <w:r>
              <w:t>5.304</w:t>
            </w:r>
          </w:p>
        </w:tc>
        <w:tc>
          <w:tcPr>
            <w:tcW w:w="0" w:type="auto"/>
          </w:tcPr>
          <w:p w14:paraId="51A7FC59" w14:textId="202D5920" w:rsidR="004326A4" w:rsidRDefault="004326A4" w:rsidP="004326A4">
            <w:pPr>
              <w:jc w:val="center"/>
            </w:pPr>
            <w:r>
              <w:t>.000</w:t>
            </w:r>
          </w:p>
        </w:tc>
      </w:tr>
      <w:tr w:rsidR="004326A4" w14:paraId="2D817E48" w14:textId="77777777" w:rsidTr="00405C1E">
        <w:tc>
          <w:tcPr>
            <w:tcW w:w="0" w:type="auto"/>
          </w:tcPr>
          <w:p w14:paraId="071C6575" w14:textId="682E1918" w:rsidR="004326A4" w:rsidRDefault="004326A4" w:rsidP="004326A4">
            <w:r>
              <w:t>Executive manager</w:t>
            </w:r>
          </w:p>
        </w:tc>
        <w:tc>
          <w:tcPr>
            <w:tcW w:w="0" w:type="auto"/>
          </w:tcPr>
          <w:p w14:paraId="2BEEB6FB" w14:textId="38837A66" w:rsidR="004326A4" w:rsidRDefault="004326A4" w:rsidP="004326A4">
            <w:r>
              <w:t>Internal controls</w:t>
            </w:r>
          </w:p>
        </w:tc>
        <w:tc>
          <w:tcPr>
            <w:tcW w:w="0" w:type="auto"/>
          </w:tcPr>
          <w:p w14:paraId="7225F9BD" w14:textId="0D529537" w:rsidR="004326A4" w:rsidRDefault="004326A4" w:rsidP="004326A4">
            <w:pPr>
              <w:jc w:val="center"/>
            </w:pPr>
            <w:r>
              <w:t>0.546</w:t>
            </w:r>
          </w:p>
        </w:tc>
        <w:tc>
          <w:tcPr>
            <w:tcW w:w="0" w:type="auto"/>
          </w:tcPr>
          <w:p w14:paraId="3F070BCE" w14:textId="64645501" w:rsidR="004326A4" w:rsidRDefault="004326A4" w:rsidP="004326A4">
            <w:pPr>
              <w:jc w:val="center"/>
            </w:pPr>
            <w:r>
              <w:t>0.131</w:t>
            </w:r>
          </w:p>
        </w:tc>
        <w:tc>
          <w:tcPr>
            <w:tcW w:w="0" w:type="auto"/>
          </w:tcPr>
          <w:p w14:paraId="4CD3FA04" w14:textId="704F3CFA" w:rsidR="004326A4" w:rsidRDefault="004326A4" w:rsidP="004326A4">
            <w:pPr>
              <w:jc w:val="center"/>
            </w:pPr>
            <w:r>
              <w:t>0.321</w:t>
            </w:r>
          </w:p>
        </w:tc>
        <w:tc>
          <w:tcPr>
            <w:tcW w:w="0" w:type="auto"/>
          </w:tcPr>
          <w:p w14:paraId="625F7C23" w14:textId="7E8E8B11" w:rsidR="004326A4" w:rsidRDefault="004326A4" w:rsidP="004326A4">
            <w:pPr>
              <w:jc w:val="center"/>
            </w:pPr>
            <w:r>
              <w:t>4.159</w:t>
            </w:r>
          </w:p>
        </w:tc>
        <w:tc>
          <w:tcPr>
            <w:tcW w:w="0" w:type="auto"/>
          </w:tcPr>
          <w:p w14:paraId="6A435B89" w14:textId="47C8943A" w:rsidR="004326A4" w:rsidRDefault="004326A4" w:rsidP="004326A4">
            <w:pPr>
              <w:jc w:val="center"/>
            </w:pPr>
            <w:r>
              <w:t>.000</w:t>
            </w:r>
          </w:p>
        </w:tc>
      </w:tr>
      <w:tr w:rsidR="004326A4" w14:paraId="5803377A" w14:textId="77777777" w:rsidTr="00405C1E">
        <w:tc>
          <w:tcPr>
            <w:tcW w:w="0" w:type="auto"/>
          </w:tcPr>
          <w:p w14:paraId="5F7BD9AF" w14:textId="6690B486" w:rsidR="004326A4" w:rsidRDefault="004326A4" w:rsidP="004326A4">
            <w:r>
              <w:t>Executive manager</w:t>
            </w:r>
          </w:p>
        </w:tc>
        <w:tc>
          <w:tcPr>
            <w:tcW w:w="0" w:type="auto"/>
          </w:tcPr>
          <w:p w14:paraId="1254D84F" w14:textId="140D5251" w:rsidR="004326A4" w:rsidRDefault="004326A4" w:rsidP="004326A4">
            <w:r>
              <w:t>Control environment</w:t>
            </w:r>
          </w:p>
        </w:tc>
        <w:tc>
          <w:tcPr>
            <w:tcW w:w="0" w:type="auto"/>
          </w:tcPr>
          <w:p w14:paraId="6B1B3A4C" w14:textId="1FFC5843" w:rsidR="004326A4" w:rsidRDefault="004326A4" w:rsidP="004326A4">
            <w:pPr>
              <w:jc w:val="center"/>
            </w:pPr>
            <w:r>
              <w:t>0.500</w:t>
            </w:r>
          </w:p>
        </w:tc>
        <w:tc>
          <w:tcPr>
            <w:tcW w:w="0" w:type="auto"/>
          </w:tcPr>
          <w:p w14:paraId="1FD14BCD" w14:textId="2053FC67" w:rsidR="004326A4" w:rsidRDefault="004326A4" w:rsidP="004326A4">
            <w:pPr>
              <w:jc w:val="center"/>
            </w:pPr>
            <w:r>
              <w:t>0.129</w:t>
            </w:r>
          </w:p>
        </w:tc>
        <w:tc>
          <w:tcPr>
            <w:tcW w:w="0" w:type="auto"/>
          </w:tcPr>
          <w:p w14:paraId="6FA35236" w14:textId="4EA9349F" w:rsidR="004326A4" w:rsidRDefault="004326A4" w:rsidP="004326A4">
            <w:pPr>
              <w:jc w:val="center"/>
            </w:pPr>
            <w:r>
              <w:t>0.302</w:t>
            </w:r>
          </w:p>
        </w:tc>
        <w:tc>
          <w:tcPr>
            <w:tcW w:w="0" w:type="auto"/>
          </w:tcPr>
          <w:p w14:paraId="4E89F17E" w14:textId="0305BFB9" w:rsidR="004326A4" w:rsidRDefault="004326A4" w:rsidP="004326A4">
            <w:pPr>
              <w:jc w:val="center"/>
            </w:pPr>
            <w:r>
              <w:t>3.890</w:t>
            </w:r>
          </w:p>
        </w:tc>
        <w:tc>
          <w:tcPr>
            <w:tcW w:w="0" w:type="auto"/>
          </w:tcPr>
          <w:p w14:paraId="5300D7E4" w14:textId="6329EC3A" w:rsidR="004326A4" w:rsidRDefault="004326A4" w:rsidP="004326A4">
            <w:pPr>
              <w:jc w:val="center"/>
            </w:pPr>
            <w:r>
              <w:t>.000</w:t>
            </w:r>
          </w:p>
        </w:tc>
      </w:tr>
      <w:tr w:rsidR="004326A4" w14:paraId="0123B2EA" w14:textId="77777777" w:rsidTr="00405C1E">
        <w:tc>
          <w:tcPr>
            <w:tcW w:w="0" w:type="auto"/>
          </w:tcPr>
          <w:p w14:paraId="3F6DF446" w14:textId="58D1E867" w:rsidR="004326A4" w:rsidRDefault="004326A4" w:rsidP="004326A4">
            <w:r>
              <w:lastRenderedPageBreak/>
              <w:t>Executive manager</w:t>
            </w:r>
          </w:p>
        </w:tc>
        <w:tc>
          <w:tcPr>
            <w:tcW w:w="0" w:type="auto"/>
          </w:tcPr>
          <w:p w14:paraId="6F15D507" w14:textId="630A60ED" w:rsidR="004326A4" w:rsidRDefault="004326A4" w:rsidP="004326A4">
            <w:r>
              <w:t>Control activities</w:t>
            </w:r>
          </w:p>
        </w:tc>
        <w:tc>
          <w:tcPr>
            <w:tcW w:w="0" w:type="auto"/>
          </w:tcPr>
          <w:p w14:paraId="6455F668" w14:textId="0F023AFE" w:rsidR="004326A4" w:rsidRDefault="004326A4" w:rsidP="004326A4">
            <w:pPr>
              <w:jc w:val="center"/>
            </w:pPr>
            <w:r>
              <w:t>0.419</w:t>
            </w:r>
          </w:p>
        </w:tc>
        <w:tc>
          <w:tcPr>
            <w:tcW w:w="0" w:type="auto"/>
          </w:tcPr>
          <w:p w14:paraId="3AD13263" w14:textId="632FADF6" w:rsidR="004326A4" w:rsidRDefault="004326A4" w:rsidP="004326A4">
            <w:pPr>
              <w:jc w:val="center"/>
            </w:pPr>
            <w:r>
              <w:t>0.126</w:t>
            </w:r>
          </w:p>
        </w:tc>
        <w:tc>
          <w:tcPr>
            <w:tcW w:w="0" w:type="auto"/>
          </w:tcPr>
          <w:p w14:paraId="707BF75E" w14:textId="39DCF963" w:rsidR="004326A4" w:rsidRDefault="004326A4" w:rsidP="004326A4">
            <w:pPr>
              <w:jc w:val="center"/>
            </w:pPr>
            <w:r>
              <w:t>0.260</w:t>
            </w:r>
          </w:p>
        </w:tc>
        <w:tc>
          <w:tcPr>
            <w:tcW w:w="0" w:type="auto"/>
          </w:tcPr>
          <w:p w14:paraId="2592ABDF" w14:textId="53847408" w:rsidR="004326A4" w:rsidRDefault="004326A4" w:rsidP="004326A4">
            <w:pPr>
              <w:jc w:val="center"/>
            </w:pPr>
            <w:r>
              <w:t>3.314</w:t>
            </w:r>
          </w:p>
        </w:tc>
        <w:tc>
          <w:tcPr>
            <w:tcW w:w="0" w:type="auto"/>
          </w:tcPr>
          <w:p w14:paraId="44C38B22" w14:textId="01D2FA6A" w:rsidR="004326A4" w:rsidRDefault="004326A4" w:rsidP="004326A4">
            <w:pPr>
              <w:jc w:val="center"/>
            </w:pPr>
            <w:r>
              <w:t>.001</w:t>
            </w:r>
          </w:p>
        </w:tc>
      </w:tr>
      <w:tr w:rsidR="004326A4" w14:paraId="6AA1D267" w14:textId="77777777" w:rsidTr="00405C1E">
        <w:tc>
          <w:tcPr>
            <w:tcW w:w="0" w:type="auto"/>
          </w:tcPr>
          <w:p w14:paraId="38EC66B4" w14:textId="17A577E6" w:rsidR="004326A4" w:rsidRDefault="004326A4" w:rsidP="004326A4">
            <w:r>
              <w:t>Executive manager</w:t>
            </w:r>
          </w:p>
        </w:tc>
        <w:tc>
          <w:tcPr>
            <w:tcW w:w="0" w:type="auto"/>
          </w:tcPr>
          <w:p w14:paraId="19AE16CB" w14:textId="57922CD1" w:rsidR="004326A4" w:rsidRDefault="004326A4" w:rsidP="004326A4">
            <w:r>
              <w:t>Monitoring activities</w:t>
            </w:r>
          </w:p>
        </w:tc>
        <w:tc>
          <w:tcPr>
            <w:tcW w:w="0" w:type="auto"/>
          </w:tcPr>
          <w:p w14:paraId="1CBE267C" w14:textId="66CD9B86" w:rsidR="004326A4" w:rsidRDefault="004326A4" w:rsidP="004326A4">
            <w:pPr>
              <w:jc w:val="center"/>
            </w:pPr>
            <w:r>
              <w:t>0.452</w:t>
            </w:r>
          </w:p>
        </w:tc>
        <w:tc>
          <w:tcPr>
            <w:tcW w:w="0" w:type="auto"/>
          </w:tcPr>
          <w:p w14:paraId="77697AE5" w14:textId="16172536" w:rsidR="004326A4" w:rsidRDefault="004326A4" w:rsidP="004326A4">
            <w:pPr>
              <w:jc w:val="center"/>
            </w:pPr>
            <w:r>
              <w:t>0.110</w:t>
            </w:r>
          </w:p>
        </w:tc>
        <w:tc>
          <w:tcPr>
            <w:tcW w:w="0" w:type="auto"/>
          </w:tcPr>
          <w:p w14:paraId="62467213" w14:textId="0787B0A0" w:rsidR="004326A4" w:rsidRDefault="004326A4" w:rsidP="004326A4">
            <w:pPr>
              <w:jc w:val="center"/>
            </w:pPr>
            <w:r>
              <w:t>0.317</w:t>
            </w:r>
          </w:p>
        </w:tc>
        <w:tc>
          <w:tcPr>
            <w:tcW w:w="0" w:type="auto"/>
          </w:tcPr>
          <w:p w14:paraId="40C121AC" w14:textId="1FF1E7D6" w:rsidR="004326A4" w:rsidRDefault="004326A4" w:rsidP="004326A4">
            <w:pPr>
              <w:jc w:val="center"/>
            </w:pPr>
            <w:r>
              <w:t>4.112</w:t>
            </w:r>
          </w:p>
        </w:tc>
        <w:tc>
          <w:tcPr>
            <w:tcW w:w="0" w:type="auto"/>
          </w:tcPr>
          <w:p w14:paraId="4DF99B94" w14:textId="62068D6C" w:rsidR="004326A4" w:rsidRDefault="004326A4" w:rsidP="004326A4">
            <w:pPr>
              <w:jc w:val="center"/>
            </w:pPr>
            <w:r>
              <w:t>.000</w:t>
            </w:r>
          </w:p>
        </w:tc>
      </w:tr>
    </w:tbl>
    <w:p w14:paraId="41E2C59D" w14:textId="77777777" w:rsidR="00475D23" w:rsidRPr="00475D23" w:rsidRDefault="00475D23" w:rsidP="00475D23">
      <w:pPr>
        <w:pStyle w:val="NoSpacing"/>
      </w:pPr>
      <w:r w:rsidRPr="00475D23">
        <w:t>Note. Regressions were run individually.</w:t>
      </w:r>
    </w:p>
    <w:p w14:paraId="6C4C635D" w14:textId="33C3E07E" w:rsidR="008C24CF" w:rsidRPr="008C24CF" w:rsidRDefault="00475D23" w:rsidP="00475D23">
      <w:pPr>
        <w:pStyle w:val="NoSpacing"/>
        <w:rPr>
          <w:b/>
          <w:bCs/>
        </w:rPr>
      </w:pPr>
      <w:r w:rsidRPr="00475D23">
        <w:t>*The p-values are two-tailed.</w:t>
      </w:r>
    </w:p>
    <w:p w14:paraId="498CD3CE" w14:textId="77777777" w:rsidR="008C24CF" w:rsidRPr="008C24CF" w:rsidRDefault="008C24CF" w:rsidP="00019CDB">
      <w:pPr>
        <w:pStyle w:val="Heading1"/>
        <w:rPr>
          <w:rFonts w:ascii="Calibri" w:eastAsia="Meiryo" w:hAnsi="Calibri" w:cs="Arial"/>
        </w:rPr>
      </w:pPr>
      <w:bookmarkStart w:id="6" w:name="_i31"/>
      <w:bookmarkEnd w:id="6"/>
      <w:r>
        <w:t>Discussion and Conclusion</w:t>
      </w:r>
    </w:p>
    <w:p w14:paraId="3AA66AC4" w14:textId="77777777" w:rsidR="008C24CF" w:rsidRPr="008C24CF" w:rsidRDefault="008C24CF" w:rsidP="008C24CF">
      <w:r w:rsidRPr="008C24CF">
        <w:t xml:space="preserve">Overall, the data suggest four key takeaways from this analysis. First, the overall perception of internal controls differs between </w:t>
      </w:r>
      <w:proofErr w:type="spellStart"/>
      <w:r w:rsidRPr="008C24CF">
        <w:t>nonproft</w:t>
      </w:r>
      <w:proofErr w:type="spellEnd"/>
      <w:r w:rsidRPr="008C24CF">
        <w:t xml:space="preserve"> and for-profit organizations. Second, each primary component of an internal controls system helps explain whistleblowing intentions. Third, nonprofit organizations should consider prioritizing the development of control activities and monitoring activities. Finally, nonprofit management may need to spend additional resources in stressing the independence and efficacy of website reporting options for whistleblowing.</w:t>
      </w:r>
    </w:p>
    <w:p w14:paraId="1D5AAE62" w14:textId="77777777" w:rsidR="008C24CF" w:rsidRPr="008C24CF" w:rsidRDefault="008C24CF" w:rsidP="008C24CF">
      <w:r w:rsidRPr="008C24CF">
        <w:t>First, the findings suggest that the overall perception of internal controls systems matters to whistleblowing to a different degree for those in for-profit organizations and those in nonprofit organizations. For example, future research focused on the prominence of internal controls–related topics in the workplace or on the effects of proposed changes in the internal controls language targeting nonprofits might be useful in helping to connect literature and practice. In turn, meaningful changes could then bridge the gap between nonprofit and for-profit organizations. Furthermore, the results of this study suggest that COSO may want to consider focusing its efforts on nonprofits in the next edition of the Fraud Risk Management Guide.</w:t>
      </w:r>
    </w:p>
    <w:p w14:paraId="3AE09C86" w14:textId="499A9B44" w:rsidR="008C24CF" w:rsidRPr="008C24CF" w:rsidRDefault="008C24CF" w:rsidP="008C24CF">
      <w:r w:rsidRPr="008C24CF">
        <w:t>Second, the results suggest that each primary component of an internal controls system is relevant to whistleblowing. The data also appear to indicate those in nonprofit organizations report a lower perceived strength of each internal control component measured when compared with those in for-profit organizations. Future research exploring mediation pathways examining nuances in the design of a particular internal control component and how it might need to differentiate between those in nonprofit and for-profit organizations would enhance knowledge regarding controls design and theory. Those who design policies may consider designing education systems for nonprofit organizations that would teach employees the importance and function of these systems within their own organizations. Commitment has been found in recent research to increase prosocial behavior (</w:t>
      </w:r>
      <w:r w:rsidRPr="00D84464">
        <w:t>Shang et al., 2019</w:t>
      </w:r>
      <w:r w:rsidRPr="008C24CF">
        <w:t>). Educating employees as to why internal controls are important to the overall organization may increase commitment to implement and comply with internal controls.</w:t>
      </w:r>
    </w:p>
    <w:p w14:paraId="55E19FFD" w14:textId="77777777" w:rsidR="008C24CF" w:rsidRPr="008C24CF" w:rsidRDefault="008C24CF" w:rsidP="008C24CF">
      <w:r w:rsidRPr="008C24CF">
        <w:t>Third, the data suggest an increased focus on control activities and monitoring activities may pay dividends for nonprofits. Those designing nonprofit controls may be helped by educating employees as to the purpose and importance of such controls. Even more, these designers are charged with an underlying tenant of all nonprofits, ethical responsibility, when reflecting on promoting whistleblowing. Future research looking at personal ethics, service motivation, and scope of the organization would be useful to expand knowledge and aid those in policy design. Furthermore, this study finds that the indirect effect of organization type on reporting intentions through control activities and monitoring activities represents mediation. Future research testing this finding with geographic and/or sub-types would be useful to verify the generalizability of these results. We limited this study to for-profit and nonprofit organizations, but this research could also be beneficial for governmental organizations. Future research should explore the effect of perception of internal controls on the employees of municipalities, as this area is ripe with fraud and our results may not be generalizable to the government sector.</w:t>
      </w:r>
    </w:p>
    <w:p w14:paraId="4BC3888C" w14:textId="2CC11BE3" w:rsidR="008C24CF" w:rsidRPr="008C24CF" w:rsidRDefault="008C24CF" w:rsidP="008C24CF">
      <w:r w:rsidRPr="008C24CF">
        <w:t xml:space="preserve">Finally, while websites are becoming more prevalent as outlets for whistleblowing, data from our participants suggests those in nonprofits may not be quite as accepting of this outlet as their for-profit peers. As a result, managers of nonprofit organizations seeking to maximize the effectiveness of a website reporting outlet should stress the ease, independence, and usefulness of the website outlet option. Without such attention, nonprofit employees may be reluctant to use this form of reporting. Future research should continue to inform the </w:t>
      </w:r>
      <w:r w:rsidRPr="008C24CF">
        <w:lastRenderedPageBreak/>
        <w:t>nonprofit community of changes relating to the perception of the nonprofit whistleblowing website option. In addition, research has shown that prosocial behavior is reduced for those with lower recognition need (</w:t>
      </w:r>
      <w:r w:rsidRPr="00D84464">
        <w:t>Dennis et al., 2020</w:t>
      </w:r>
      <w:r w:rsidRPr="008C24CF">
        <w:t>). Given the whistleblower protection laws focus on for-profit public companies, future regulation to protect nonprofit whistleblowers may increase such behavior.</w:t>
      </w:r>
    </w:p>
    <w:p w14:paraId="275A4252" w14:textId="77777777" w:rsidR="008C24CF" w:rsidRPr="008C24CF" w:rsidRDefault="008C24CF" w:rsidP="008C24CF">
      <w:r w:rsidRPr="008C24CF">
        <w:t>This study is subject to limitations. Nonprofit organizations vary greatly in terms of scale, scope, size, and mission. There may be large differences in how those at a nonprofit hospital, religious organization, or international humanitarian aid group make decisions due to applicable laws, geolocation tendencies, stakeholder composition, and business types. Furthermore, this study captures data at a high level (nonprofit versus for-profit), but future research is needed to see if differences in behavior exist between nonprofit and for-profit organizations, as well as to see whether nuanced differences exist within nonprofits that might change these results meaningfully. Our data suggest much of the variance in whistleblowing lies outside our area of study. Although this is somewhat expected due to the lack of consensus regarding proper internal control design, we believe future researchers will see the effect of internal controls on whistleblowing will increase over time, especially in nonprofits. At the present, however, our data suggest internal controls are only one small piece of the puzzle and many other factors contribute to whistleblowing. Furthermore, this study captures data at a specific point in time. However, longitudinal data are lacking in literature. Thus, while this study helps start an important discussion regarding nonprofit and for-profit whistleblowing differences, continual study is required to establish the longevity of these findings as well as to note any changes.</w:t>
      </w:r>
    </w:p>
    <w:p w14:paraId="4CAF0700" w14:textId="77777777" w:rsidR="008C24CF" w:rsidRPr="008C24CF" w:rsidRDefault="008C24CF" w:rsidP="00019CDB">
      <w:pPr>
        <w:pStyle w:val="Heading1"/>
        <w:rPr>
          <w:rFonts w:ascii="Calibri" w:eastAsia="Meiryo" w:hAnsi="Calibri" w:cs="Arial"/>
        </w:rPr>
      </w:pPr>
      <w:bookmarkStart w:id="7" w:name="_backmatter_ack"/>
      <w:bookmarkEnd w:id="7"/>
      <w:r>
        <w:t>Acknowledgements</w:t>
      </w:r>
    </w:p>
    <w:p w14:paraId="71AC6237" w14:textId="77777777" w:rsidR="008C24CF" w:rsidRPr="008C24CF" w:rsidRDefault="008C24CF" w:rsidP="008C24CF">
      <w:r w:rsidRPr="008C24CF">
        <w:t>The authors wish to thank all the respondents who participated in the research. We are also deeply thankful for feedback from participants at the 2018 AAA Forensic Accounting Research Conference, the 2018 AAA Ohio Region Conference, and the 2017 Spring Institute for Fraud Prevention meeting, especially from Dr. Charles Bailey. We are additionally thankful for the individual feedback received from Dr. Melissa Carlisle and Dr. Dana Hermanson as well as the reviewers and editor who provided insightful guidance.</w:t>
      </w:r>
    </w:p>
    <w:p w14:paraId="7D40C24D" w14:textId="77777777" w:rsidR="008C24CF" w:rsidRPr="008C24CF" w:rsidRDefault="008C24CF" w:rsidP="008C24CF">
      <w:r w:rsidRPr="00019CDB">
        <w:rPr>
          <w:rStyle w:val="Heading2Char"/>
        </w:rPr>
        <w:t>Declaration of Conflicting Interests</w:t>
      </w:r>
      <w:r>
        <w:br/>
        <w:t>The author(s) declared no potential conflicts of interest with respect to the research, authorship, and/or publication of this article.</w:t>
      </w:r>
    </w:p>
    <w:p w14:paraId="386AFA96" w14:textId="77777777" w:rsidR="008C24CF" w:rsidRPr="008C24CF" w:rsidRDefault="008C24CF" w:rsidP="008C24CF">
      <w:r w:rsidRPr="00019CDB">
        <w:rPr>
          <w:rStyle w:val="Heading2Char"/>
        </w:rPr>
        <w:t>Funding</w:t>
      </w:r>
      <w:r>
        <w:br/>
        <w:t>The author(s) received no financial support for the research, authorship, and/or publication of this article.</w:t>
      </w:r>
    </w:p>
    <w:p w14:paraId="45673339" w14:textId="77777777" w:rsidR="008C24CF" w:rsidRPr="008C24CF" w:rsidRDefault="008C24CF" w:rsidP="00019CDB">
      <w:pPr>
        <w:pStyle w:val="Heading1"/>
        <w:rPr>
          <w:rFonts w:ascii="Calibri" w:eastAsia="Meiryo" w:hAnsi="Calibri" w:cs="Arial"/>
        </w:rPr>
      </w:pPr>
      <w:bookmarkStart w:id="8" w:name="_backmatter_notes"/>
      <w:bookmarkEnd w:id="8"/>
      <w:r>
        <w:t>Notes</w:t>
      </w:r>
    </w:p>
    <w:p w14:paraId="2324F5AA" w14:textId="1873E816" w:rsidR="008C24CF" w:rsidRPr="008C24CF" w:rsidRDefault="008C24CF" w:rsidP="00019CDB">
      <w:pPr>
        <w:pStyle w:val="ListParagraph"/>
        <w:numPr>
          <w:ilvl w:val="0"/>
          <w:numId w:val="1"/>
        </w:numPr>
      </w:pPr>
      <w:r>
        <w:t>Nonprofits that receive federal grant money may be required to have their internal controls audited (</w:t>
      </w:r>
      <w:r w:rsidRPr="00D84464">
        <w:t>Office of Management and Budget, 2019</w:t>
      </w:r>
      <w:r>
        <w:t>), but most nonprofits are not subject to such requirements.</w:t>
      </w:r>
    </w:p>
    <w:p w14:paraId="5BF13A12" w14:textId="6802996A" w:rsidR="008C24CF" w:rsidRPr="008C24CF" w:rsidRDefault="008C24CF" w:rsidP="00019CDB">
      <w:pPr>
        <w:pStyle w:val="ListParagraph"/>
        <w:numPr>
          <w:ilvl w:val="0"/>
          <w:numId w:val="1"/>
        </w:numPr>
      </w:pPr>
      <w:r>
        <w:t xml:space="preserve">At our request, the survey company recruited individuals who worked 30 </w:t>
      </w:r>
      <w:proofErr w:type="spellStart"/>
      <w:r>
        <w:t>hr</w:t>
      </w:r>
      <w:proofErr w:type="spellEnd"/>
      <w:r>
        <w:t xml:space="preserve"> or more (which was considered full-time) as a paid employee of a for-profit or nonprofit organization. To ensure our participants qualified they were asked several questions at the beginning of the online survey instrument (after they had received and clicked on a link sent by the survey company). The participants who sent the link for the for-profit survey were asked, “Do you currently work for a for-profit (public or private) organization?” If they said “No,” they were removed from the survey. The participants who sent the link for the nonprofit survey were asked, “Do you currently work for a not-for-profit (or nonprofit) organization?” Those that answered “No” were removed. Next, the participants indicated which sector they worked for: For-profit Public Organization, For-profit private organization, Non-profit organization, Governmental Organization, and Other. Participants who selected a response out of alignment with the </w:t>
      </w:r>
      <w:r>
        <w:lastRenderedPageBreak/>
        <w:t>first question were removed (with all Government and Other responses being removed as well). Finally, participants answered whether they worked full-time, part-time, or were a volunteer. Any participants who did not indicate that they were a full-time paid employee were removed from the survey.</w:t>
      </w:r>
    </w:p>
    <w:p w14:paraId="504DB109" w14:textId="6BA4D774" w:rsidR="008C24CF" w:rsidRPr="008C24CF" w:rsidRDefault="008C24CF" w:rsidP="00019CDB">
      <w:pPr>
        <w:pStyle w:val="ListParagraph"/>
        <w:numPr>
          <w:ilvl w:val="0"/>
          <w:numId w:val="1"/>
        </w:numPr>
      </w:pPr>
      <w:r>
        <w:t xml:space="preserve">While this study focuses on financial statement fraud, participants were also asked about their response within an asset misappropriation scenario. </w:t>
      </w:r>
      <w:proofErr w:type="spellStart"/>
      <w:r>
        <w:t>Untabulated</w:t>
      </w:r>
      <w:proofErr w:type="spellEnd"/>
      <w:r>
        <w:t xml:space="preserve"> results indicate similar results to those of the financial statement fraud scenario.</w:t>
      </w:r>
    </w:p>
    <w:p w14:paraId="4F8D80B5" w14:textId="5604690E" w:rsidR="008C24CF" w:rsidRPr="008C24CF" w:rsidRDefault="008C24CF" w:rsidP="00019CDB">
      <w:pPr>
        <w:pStyle w:val="ListParagraph"/>
        <w:numPr>
          <w:ilvl w:val="0"/>
          <w:numId w:val="1"/>
        </w:numPr>
      </w:pPr>
      <w:r>
        <w:t>As noted on page 16, the failure of the means difference test to achieve significance results in further mediation testing being inappropriate.</w:t>
      </w:r>
    </w:p>
    <w:p w14:paraId="028F82D0" w14:textId="77777777" w:rsidR="008C24CF" w:rsidRPr="008C24CF" w:rsidRDefault="008C24CF" w:rsidP="00019CDB">
      <w:pPr>
        <w:pStyle w:val="Heading1"/>
        <w:rPr>
          <w:rFonts w:ascii="Calibri" w:eastAsia="Meiryo" w:hAnsi="Calibri" w:cs="Arial"/>
        </w:rPr>
      </w:pPr>
      <w:bookmarkStart w:id="9" w:name="_i33"/>
      <w:bookmarkEnd w:id="9"/>
      <w:r>
        <w:t>References</w:t>
      </w:r>
    </w:p>
    <w:tbl>
      <w:tblPr>
        <w:tblStyle w:val="TableGrid"/>
        <w:tblW w:w="0" w:type="auto"/>
        <w:tblLook w:val="04A0" w:firstRow="1" w:lastRow="0" w:firstColumn="1" w:lastColumn="0" w:noHBand="0" w:noVBand="1"/>
      </w:tblPr>
      <w:tblGrid>
        <w:gridCol w:w="10070"/>
      </w:tblGrid>
      <w:tr w:rsidR="00F353DC" w:rsidRPr="008C24CF" w14:paraId="631CAE9F" w14:textId="77777777" w:rsidTr="00475D23">
        <w:tc>
          <w:tcPr>
            <w:tcW w:w="0" w:type="auto"/>
            <w:hideMark/>
          </w:tcPr>
          <w:p w14:paraId="67EBFB83" w14:textId="5F62CD6F" w:rsidR="00F353DC" w:rsidRPr="008C24CF" w:rsidRDefault="00F353DC" w:rsidP="00F353DC">
            <w:pPr>
              <w:ind w:left="694" w:hanging="694"/>
            </w:pPr>
            <w:proofErr w:type="spellStart"/>
            <w:r w:rsidRPr="008C24CF">
              <w:t>Agbejule</w:t>
            </w:r>
            <w:proofErr w:type="spellEnd"/>
            <w:r w:rsidRPr="008C24CF">
              <w:t xml:space="preserve">, A., </w:t>
            </w:r>
            <w:proofErr w:type="spellStart"/>
            <w:r w:rsidRPr="008C24CF">
              <w:t>Jokipii</w:t>
            </w:r>
            <w:proofErr w:type="spellEnd"/>
            <w:r w:rsidRPr="008C24CF">
              <w:t xml:space="preserve">, A. (2009). Strategy, control activities, </w:t>
            </w:r>
            <w:proofErr w:type="gramStart"/>
            <w:r w:rsidRPr="008C24CF">
              <w:t>monitoring</w:t>
            </w:r>
            <w:proofErr w:type="gramEnd"/>
            <w:r w:rsidRPr="008C24CF">
              <w:t xml:space="preserve"> and effectiveness. Managerial Auditing Journal, 24(6), 500–522.</w:t>
            </w:r>
          </w:p>
        </w:tc>
      </w:tr>
      <w:tr w:rsidR="00F353DC" w:rsidRPr="008C24CF" w14:paraId="5B3CD12A" w14:textId="77777777" w:rsidTr="00475D23">
        <w:tc>
          <w:tcPr>
            <w:tcW w:w="0" w:type="auto"/>
            <w:hideMark/>
          </w:tcPr>
          <w:p w14:paraId="043E0B1C" w14:textId="2D41976A" w:rsidR="00F353DC" w:rsidRPr="008C24CF" w:rsidRDefault="00F353DC" w:rsidP="00F353DC">
            <w:pPr>
              <w:ind w:left="694" w:hanging="694"/>
            </w:pPr>
            <w:r w:rsidRPr="008C24CF">
              <w:t xml:space="preserve">American Institute of Certified Public </w:t>
            </w:r>
            <w:proofErr w:type="gramStart"/>
            <w:r w:rsidRPr="008C24CF">
              <w:t>Accountants .</w:t>
            </w:r>
            <w:proofErr w:type="gramEnd"/>
            <w:r w:rsidRPr="008C24CF">
              <w:t xml:space="preserve"> (2002). Consideration of fraud in a financial statement audit. Statement on auditing standards No. 99.</w:t>
            </w:r>
          </w:p>
        </w:tc>
      </w:tr>
      <w:tr w:rsidR="00F353DC" w:rsidRPr="008C24CF" w14:paraId="596F0848" w14:textId="77777777" w:rsidTr="00475D23">
        <w:tc>
          <w:tcPr>
            <w:tcW w:w="0" w:type="auto"/>
            <w:hideMark/>
          </w:tcPr>
          <w:p w14:paraId="144FEE20" w14:textId="22FA149E" w:rsidR="00F353DC" w:rsidRPr="008C24CF" w:rsidRDefault="00F353DC" w:rsidP="00F353DC">
            <w:pPr>
              <w:ind w:left="694" w:hanging="694"/>
            </w:pPr>
            <w:proofErr w:type="spellStart"/>
            <w:r w:rsidRPr="008C24CF">
              <w:t>Anheier</w:t>
            </w:r>
            <w:proofErr w:type="spellEnd"/>
            <w:r w:rsidRPr="008C24CF">
              <w:t>, H. K., Toepler, S. (Eds.). (2020). The Routledge companion to nonprofit management. Routledge.</w:t>
            </w:r>
          </w:p>
        </w:tc>
      </w:tr>
      <w:tr w:rsidR="00F353DC" w:rsidRPr="008C24CF" w14:paraId="099F3D64" w14:textId="77777777" w:rsidTr="00475D23">
        <w:tc>
          <w:tcPr>
            <w:tcW w:w="0" w:type="auto"/>
            <w:hideMark/>
          </w:tcPr>
          <w:p w14:paraId="4D928904" w14:textId="3D1F7264" w:rsidR="00F353DC" w:rsidRPr="008C24CF" w:rsidRDefault="00F353DC" w:rsidP="00F353DC">
            <w:pPr>
              <w:ind w:left="694" w:hanging="694"/>
            </w:pPr>
            <w:proofErr w:type="spellStart"/>
            <w:r w:rsidRPr="008C24CF">
              <w:t>Archambeault</w:t>
            </w:r>
            <w:proofErr w:type="spellEnd"/>
            <w:r w:rsidRPr="008C24CF">
              <w:t>, D. S., Webber, S., Greenlee, J. (2015). Fraud and corruption in U.S. nonprofit entities: A summary of press reports 2008-2011. Nonprofit and Voluntary Sector Quarterly, 44(6), 1194–1224.</w:t>
            </w:r>
          </w:p>
        </w:tc>
      </w:tr>
      <w:tr w:rsidR="00F353DC" w:rsidRPr="008C24CF" w14:paraId="0490A606" w14:textId="77777777" w:rsidTr="00475D23">
        <w:tc>
          <w:tcPr>
            <w:tcW w:w="0" w:type="auto"/>
            <w:hideMark/>
          </w:tcPr>
          <w:p w14:paraId="345A3ADB" w14:textId="0D272640" w:rsidR="00F353DC" w:rsidRPr="008C24CF" w:rsidRDefault="00F353DC" w:rsidP="00F353DC">
            <w:pPr>
              <w:ind w:left="694" w:hanging="694"/>
            </w:pPr>
            <w:r w:rsidRPr="008C24CF">
              <w:t xml:space="preserve">Association of Certified Fraud </w:t>
            </w:r>
            <w:proofErr w:type="gramStart"/>
            <w:r w:rsidRPr="008C24CF">
              <w:t>Examiners .</w:t>
            </w:r>
            <w:proofErr w:type="gramEnd"/>
            <w:r w:rsidRPr="008C24CF">
              <w:t xml:space="preserve"> (2020). Report to the nations: Global study on occupational fraud and abuse.</w:t>
            </w:r>
          </w:p>
        </w:tc>
      </w:tr>
      <w:tr w:rsidR="00F353DC" w:rsidRPr="008C24CF" w14:paraId="726C7DD8" w14:textId="77777777" w:rsidTr="00475D23">
        <w:tc>
          <w:tcPr>
            <w:tcW w:w="0" w:type="auto"/>
            <w:hideMark/>
          </w:tcPr>
          <w:p w14:paraId="5F08DF54" w14:textId="377D6D51" w:rsidR="00F353DC" w:rsidRPr="008C24CF" w:rsidRDefault="00F353DC" w:rsidP="00F353DC">
            <w:pPr>
              <w:ind w:left="694" w:hanging="694"/>
            </w:pPr>
            <w:r w:rsidRPr="008C24CF">
              <w:t>Baron, R. M., Kenny, D. A. (1986). Moderator-Mediator variables distinction in social psychological research: Conceptual, strategic, and statistical considerations. Journal of Personality and Social Psychology, 37(3), 391–394.</w:t>
            </w:r>
          </w:p>
        </w:tc>
      </w:tr>
      <w:tr w:rsidR="00F353DC" w:rsidRPr="008C24CF" w14:paraId="4AAAB46E" w14:textId="77777777" w:rsidTr="00475D23">
        <w:tc>
          <w:tcPr>
            <w:tcW w:w="0" w:type="auto"/>
            <w:hideMark/>
          </w:tcPr>
          <w:p w14:paraId="722D3081" w14:textId="6A58DE5B" w:rsidR="00F353DC" w:rsidRPr="008C24CF" w:rsidRDefault="00F353DC" w:rsidP="00F353DC">
            <w:pPr>
              <w:ind w:left="694" w:hanging="694"/>
            </w:pPr>
            <w:r w:rsidRPr="008C24CF">
              <w:t>Burks, J. J. (2015). Accounting errors in nonprofit organizations. Accounting Horizons, 29(2), 341–361.</w:t>
            </w:r>
          </w:p>
        </w:tc>
      </w:tr>
      <w:tr w:rsidR="00F353DC" w:rsidRPr="008C24CF" w14:paraId="517A94DD" w14:textId="77777777" w:rsidTr="00475D23">
        <w:tc>
          <w:tcPr>
            <w:tcW w:w="0" w:type="auto"/>
            <w:hideMark/>
          </w:tcPr>
          <w:p w14:paraId="009439D0" w14:textId="40329BC0" w:rsidR="00F353DC" w:rsidRPr="008C24CF" w:rsidRDefault="00F353DC" w:rsidP="00F353DC">
            <w:pPr>
              <w:ind w:left="694" w:hanging="694"/>
            </w:pPr>
            <w:r w:rsidRPr="008C24CF">
              <w:t>Christ, M. H. (2013). An experimental investigation of the interactions among intentions, reciprocity, and control. Journal of Management Accounting Research, 25, 169–197.</w:t>
            </w:r>
          </w:p>
        </w:tc>
      </w:tr>
      <w:tr w:rsidR="00F353DC" w:rsidRPr="008C24CF" w14:paraId="1E35BB32" w14:textId="77777777" w:rsidTr="00475D23">
        <w:tc>
          <w:tcPr>
            <w:tcW w:w="0" w:type="auto"/>
            <w:hideMark/>
          </w:tcPr>
          <w:p w14:paraId="53772E3D" w14:textId="40052582" w:rsidR="00F353DC" w:rsidRPr="008C24CF" w:rsidRDefault="00F353DC" w:rsidP="00F353DC">
            <w:pPr>
              <w:ind w:left="694" w:hanging="694"/>
            </w:pPr>
            <w:r w:rsidRPr="008C24CF">
              <w:t xml:space="preserve">Christ, M. H., </w:t>
            </w:r>
            <w:proofErr w:type="spellStart"/>
            <w:r w:rsidRPr="008C24CF">
              <w:t>Sedatole</w:t>
            </w:r>
            <w:proofErr w:type="spellEnd"/>
            <w:r w:rsidRPr="008C24CF">
              <w:t xml:space="preserve">, K. L., </w:t>
            </w:r>
            <w:proofErr w:type="spellStart"/>
            <w:r w:rsidRPr="008C24CF">
              <w:t>Towry</w:t>
            </w:r>
            <w:proofErr w:type="spellEnd"/>
            <w:r w:rsidRPr="008C24CF">
              <w:t>, K. L. (2012). Framing sticks as carrots: An experimental investigation of contract frame and effort in agency relationships. The Accounting Review, 87(6), 1913–1938.</w:t>
            </w:r>
          </w:p>
        </w:tc>
      </w:tr>
      <w:tr w:rsidR="00F353DC" w:rsidRPr="008C24CF" w14:paraId="61E9061F" w14:textId="77777777" w:rsidTr="00475D23">
        <w:tc>
          <w:tcPr>
            <w:tcW w:w="0" w:type="auto"/>
            <w:hideMark/>
          </w:tcPr>
          <w:p w14:paraId="7A77D310" w14:textId="1DAC6BBE" w:rsidR="00F353DC" w:rsidRPr="008C24CF" w:rsidRDefault="00F353DC" w:rsidP="00F353DC">
            <w:pPr>
              <w:ind w:left="694" w:hanging="694"/>
            </w:pPr>
            <w:r w:rsidRPr="008C24CF">
              <w:t xml:space="preserve">Christ, M. H., </w:t>
            </w:r>
            <w:proofErr w:type="spellStart"/>
            <w:r w:rsidRPr="008C24CF">
              <w:t>Sedatole</w:t>
            </w:r>
            <w:proofErr w:type="spellEnd"/>
            <w:r w:rsidRPr="008C24CF">
              <w:t xml:space="preserve">, K. L., </w:t>
            </w:r>
            <w:proofErr w:type="spellStart"/>
            <w:r w:rsidRPr="008C24CF">
              <w:t>Towry</w:t>
            </w:r>
            <w:proofErr w:type="spellEnd"/>
            <w:r w:rsidRPr="008C24CF">
              <w:t>, K. L., Thomas, M. A. (2008). When formal controls undermine trust and cooperation. Strategic Finance, January, 39–44.</w:t>
            </w:r>
          </w:p>
        </w:tc>
      </w:tr>
      <w:tr w:rsidR="00F353DC" w:rsidRPr="008C24CF" w14:paraId="77D3754A" w14:textId="77777777" w:rsidTr="00475D23">
        <w:tc>
          <w:tcPr>
            <w:tcW w:w="0" w:type="auto"/>
            <w:hideMark/>
          </w:tcPr>
          <w:p w14:paraId="7B0B33E9" w14:textId="605FCF59" w:rsidR="00F353DC" w:rsidRPr="008C24CF" w:rsidRDefault="00F353DC" w:rsidP="00F353DC">
            <w:pPr>
              <w:ind w:left="694" w:hanging="694"/>
            </w:pPr>
            <w:r w:rsidRPr="008C24CF">
              <w:t xml:space="preserve">Committee of Sponsoring </w:t>
            </w:r>
            <w:proofErr w:type="gramStart"/>
            <w:r w:rsidRPr="008C24CF">
              <w:t>Organizations .</w:t>
            </w:r>
            <w:proofErr w:type="gramEnd"/>
            <w:r w:rsidRPr="008C24CF">
              <w:t xml:space="preserve"> (1999). Fraudulent financial reporting: 1987-1991—An analysis of US public companies. AICPA.</w:t>
            </w:r>
          </w:p>
        </w:tc>
      </w:tr>
      <w:tr w:rsidR="00F353DC" w:rsidRPr="008C24CF" w14:paraId="28DBFCED" w14:textId="77777777" w:rsidTr="00475D23">
        <w:tc>
          <w:tcPr>
            <w:tcW w:w="0" w:type="auto"/>
            <w:hideMark/>
          </w:tcPr>
          <w:p w14:paraId="661AAFED" w14:textId="6FF60EBD" w:rsidR="00F353DC" w:rsidRPr="008C24CF" w:rsidRDefault="00F353DC" w:rsidP="00F353DC">
            <w:pPr>
              <w:ind w:left="694" w:hanging="694"/>
            </w:pPr>
            <w:r w:rsidRPr="008C24CF">
              <w:t xml:space="preserve">Committee of Sponsoring </w:t>
            </w:r>
            <w:proofErr w:type="gramStart"/>
            <w:r w:rsidRPr="008C24CF">
              <w:t>Organizations .</w:t>
            </w:r>
            <w:proofErr w:type="gramEnd"/>
            <w:r w:rsidRPr="008C24CF">
              <w:t xml:space="preserve"> (2013). Internal control—Integrated framework. AICPA.</w:t>
            </w:r>
          </w:p>
        </w:tc>
      </w:tr>
      <w:tr w:rsidR="00F353DC" w:rsidRPr="008C24CF" w14:paraId="345B2DAD" w14:textId="77777777" w:rsidTr="00475D23">
        <w:tc>
          <w:tcPr>
            <w:tcW w:w="0" w:type="auto"/>
            <w:hideMark/>
          </w:tcPr>
          <w:p w14:paraId="5C3690BB" w14:textId="26CAD687" w:rsidR="00F353DC" w:rsidRPr="008C24CF" w:rsidRDefault="00F353DC" w:rsidP="00F353DC">
            <w:pPr>
              <w:ind w:left="694" w:hanging="694"/>
            </w:pPr>
            <w:r w:rsidRPr="008C24CF">
              <w:t xml:space="preserve">Das, T. K., Teng, B. (2001). Trust, </w:t>
            </w:r>
            <w:proofErr w:type="gramStart"/>
            <w:r w:rsidRPr="008C24CF">
              <w:t>control</w:t>
            </w:r>
            <w:proofErr w:type="gramEnd"/>
            <w:r w:rsidRPr="008C24CF">
              <w:t xml:space="preserve"> and risk in strategic alliances: An integrated framework. Organization Studies, 22(2), 251–283.</w:t>
            </w:r>
          </w:p>
        </w:tc>
      </w:tr>
      <w:tr w:rsidR="00F353DC" w:rsidRPr="008C24CF" w14:paraId="41276B04" w14:textId="77777777" w:rsidTr="00475D23">
        <w:tc>
          <w:tcPr>
            <w:tcW w:w="0" w:type="auto"/>
            <w:hideMark/>
          </w:tcPr>
          <w:p w14:paraId="652114CA" w14:textId="02623213" w:rsidR="00F353DC" w:rsidRPr="008C24CF" w:rsidRDefault="00F353DC" w:rsidP="00F353DC">
            <w:pPr>
              <w:ind w:left="694" w:hanging="694"/>
            </w:pPr>
            <w:r w:rsidRPr="008C24CF">
              <w:t xml:space="preserve">Dennis, E., </w:t>
            </w:r>
            <w:proofErr w:type="spellStart"/>
            <w:r w:rsidRPr="008C24CF">
              <w:t>Pecheux</w:t>
            </w:r>
            <w:proofErr w:type="spellEnd"/>
            <w:r w:rsidRPr="008C24CF">
              <w:t xml:space="preserve">, C., </w:t>
            </w:r>
            <w:proofErr w:type="spellStart"/>
            <w:r w:rsidRPr="008C24CF">
              <w:t>Warlop</w:t>
            </w:r>
            <w:proofErr w:type="spellEnd"/>
            <w:r w:rsidRPr="008C24CF">
              <w:t>, L. (2020). When public recognition inhibits prosocial behavior: The case of charitable giving. Nonprofit and Voluntary Sector Quarterly, 49(5), 951–968.</w:t>
            </w:r>
          </w:p>
        </w:tc>
      </w:tr>
      <w:tr w:rsidR="00F353DC" w:rsidRPr="008C24CF" w14:paraId="375FBD9D" w14:textId="77777777" w:rsidTr="00475D23">
        <w:tc>
          <w:tcPr>
            <w:tcW w:w="0" w:type="auto"/>
            <w:hideMark/>
          </w:tcPr>
          <w:p w14:paraId="2C7248CD" w14:textId="1C9B4262" w:rsidR="00F353DC" w:rsidRPr="008C24CF" w:rsidRDefault="00F353DC" w:rsidP="00F353DC">
            <w:pPr>
              <w:ind w:left="694" w:hanging="694"/>
            </w:pPr>
            <w:r w:rsidRPr="008C24CF">
              <w:t xml:space="preserve">Donelson, D. C., </w:t>
            </w:r>
            <w:proofErr w:type="spellStart"/>
            <w:r w:rsidRPr="008C24CF">
              <w:t>Ege</w:t>
            </w:r>
            <w:proofErr w:type="spellEnd"/>
            <w:r w:rsidRPr="008C24CF">
              <w:t>, M. S., McInnis, J. M. (2017). Internal control weaknesses and financial reporting fraud. Auditing: A Journal of Practice &amp; Theory, 36(3), 45–69.</w:t>
            </w:r>
          </w:p>
        </w:tc>
      </w:tr>
      <w:tr w:rsidR="00F353DC" w:rsidRPr="008C24CF" w14:paraId="639ACC7E" w14:textId="77777777" w:rsidTr="00475D23">
        <w:tc>
          <w:tcPr>
            <w:tcW w:w="0" w:type="auto"/>
            <w:hideMark/>
          </w:tcPr>
          <w:p w14:paraId="54192484" w14:textId="573243AA" w:rsidR="00F353DC" w:rsidRPr="008C24CF" w:rsidRDefault="00F353DC" w:rsidP="00F353DC">
            <w:pPr>
              <w:ind w:left="694" w:hanging="694"/>
            </w:pPr>
            <w:proofErr w:type="spellStart"/>
            <w:r w:rsidRPr="008C24CF">
              <w:t>Dorminey</w:t>
            </w:r>
            <w:proofErr w:type="spellEnd"/>
            <w:r w:rsidRPr="008C24CF">
              <w:t xml:space="preserve">, J., Fleming, A. S., </w:t>
            </w:r>
            <w:proofErr w:type="spellStart"/>
            <w:r w:rsidRPr="008C24CF">
              <w:t>Kranacher</w:t>
            </w:r>
            <w:proofErr w:type="spellEnd"/>
            <w:r w:rsidRPr="008C24CF">
              <w:t>, M., Riley, R. A. (2012). The evolution of fraud theory. Issues in Accounting Education, 27(2), 555–579.</w:t>
            </w:r>
          </w:p>
        </w:tc>
      </w:tr>
      <w:tr w:rsidR="00F353DC" w:rsidRPr="008C24CF" w14:paraId="30064F3C" w14:textId="77777777" w:rsidTr="00475D23">
        <w:tc>
          <w:tcPr>
            <w:tcW w:w="0" w:type="auto"/>
            <w:hideMark/>
          </w:tcPr>
          <w:p w14:paraId="67DD4E00" w14:textId="3745E996" w:rsidR="00F353DC" w:rsidRPr="008C24CF" w:rsidRDefault="00F353DC" w:rsidP="00F353DC">
            <w:pPr>
              <w:ind w:left="694" w:hanging="694"/>
            </w:pPr>
            <w:r w:rsidRPr="008C24CF">
              <w:t xml:space="preserve">Falk, A., </w:t>
            </w:r>
            <w:proofErr w:type="spellStart"/>
            <w:r w:rsidRPr="008C24CF">
              <w:t>Kosfeld</w:t>
            </w:r>
            <w:proofErr w:type="spellEnd"/>
            <w:r w:rsidRPr="008C24CF">
              <w:t>, M. (2006). Distrust–The hidden cost of control. American Economic Review, 96, 1611–1630.</w:t>
            </w:r>
          </w:p>
        </w:tc>
      </w:tr>
      <w:tr w:rsidR="00F353DC" w:rsidRPr="008C24CF" w14:paraId="3A415DE9" w14:textId="77777777" w:rsidTr="00475D23">
        <w:tc>
          <w:tcPr>
            <w:tcW w:w="0" w:type="auto"/>
            <w:hideMark/>
          </w:tcPr>
          <w:p w14:paraId="03C867C3" w14:textId="0CFD66A7" w:rsidR="00F353DC" w:rsidRPr="008C24CF" w:rsidRDefault="00F353DC" w:rsidP="00F353DC">
            <w:pPr>
              <w:ind w:left="694" w:hanging="694"/>
            </w:pPr>
            <w:r w:rsidRPr="008C24CF">
              <w:t>Feng, N. (2014). Economic consequences of going concern audit opinions in nonprofit charitable organizations. Journal of Governmental &amp; Nonprofit Accounting, 3, 20–34.</w:t>
            </w:r>
          </w:p>
        </w:tc>
      </w:tr>
      <w:tr w:rsidR="00F353DC" w:rsidRPr="008C24CF" w14:paraId="6BBB173E" w14:textId="77777777" w:rsidTr="00475D23">
        <w:tc>
          <w:tcPr>
            <w:tcW w:w="0" w:type="auto"/>
            <w:hideMark/>
          </w:tcPr>
          <w:p w14:paraId="6BA9CA19" w14:textId="4EEB450F" w:rsidR="00F353DC" w:rsidRPr="008C24CF" w:rsidRDefault="00F353DC" w:rsidP="00F353DC">
            <w:pPr>
              <w:ind w:left="694" w:hanging="694"/>
            </w:pPr>
            <w:r w:rsidRPr="008C24CF">
              <w:t>Gallagher, M., Radcliffe, V. S. (2002). Internal controls in nonprofit organizations: The case of the American Cancer Society, Ohio Division. Nonprofit Management &amp; Leadership, 12, 313–325.</w:t>
            </w:r>
          </w:p>
        </w:tc>
      </w:tr>
      <w:tr w:rsidR="00F353DC" w:rsidRPr="008C24CF" w14:paraId="7D80D8F1" w14:textId="77777777" w:rsidTr="00475D23">
        <w:tc>
          <w:tcPr>
            <w:tcW w:w="0" w:type="auto"/>
            <w:hideMark/>
          </w:tcPr>
          <w:p w14:paraId="3258389E" w14:textId="4C26CFBA" w:rsidR="00F353DC" w:rsidRPr="008C24CF" w:rsidRDefault="00F353DC" w:rsidP="00F353DC">
            <w:pPr>
              <w:ind w:left="694" w:hanging="694"/>
            </w:pPr>
            <w:r w:rsidRPr="008C24CF">
              <w:t>Gao, L., Brink, A. G. (2017). Whistleblowing studies in accounting research: A review of experimental studies on determinants of whistleblowing. Journal of Accounting Literature, 38, 1–13.</w:t>
            </w:r>
          </w:p>
        </w:tc>
      </w:tr>
      <w:tr w:rsidR="00F353DC" w:rsidRPr="008C24CF" w14:paraId="5E424348" w14:textId="77777777" w:rsidTr="00475D23">
        <w:tc>
          <w:tcPr>
            <w:tcW w:w="0" w:type="auto"/>
            <w:hideMark/>
          </w:tcPr>
          <w:p w14:paraId="3E5BAE80" w14:textId="63B1F5F2" w:rsidR="00F353DC" w:rsidRPr="008C24CF" w:rsidRDefault="00F353DC" w:rsidP="00F353DC">
            <w:pPr>
              <w:ind w:left="694" w:hanging="694"/>
            </w:pPr>
            <w:proofErr w:type="spellStart"/>
            <w:r w:rsidRPr="008C24CF">
              <w:t>Garven</w:t>
            </w:r>
            <w:proofErr w:type="spellEnd"/>
            <w:r w:rsidRPr="008C24CF">
              <w:t>, S. A., Beck, A. W., Parsons, L. M. (2017). Are audit-related factors associated with financial reporting quality in nonprofit organizations? Auditing: A Journal of Practice &amp; Theory, 37(1), 49–68.</w:t>
            </w:r>
          </w:p>
        </w:tc>
      </w:tr>
      <w:tr w:rsidR="00F353DC" w:rsidRPr="008C24CF" w14:paraId="0F55BB15" w14:textId="77777777" w:rsidTr="00475D23">
        <w:tc>
          <w:tcPr>
            <w:tcW w:w="0" w:type="auto"/>
            <w:hideMark/>
          </w:tcPr>
          <w:p w14:paraId="3D8E18AF" w14:textId="4104E241" w:rsidR="00F353DC" w:rsidRPr="008C24CF" w:rsidRDefault="00F353DC" w:rsidP="00F353DC">
            <w:pPr>
              <w:ind w:left="694" w:hanging="694"/>
            </w:pPr>
            <w:r w:rsidRPr="008C24CF">
              <w:lastRenderedPageBreak/>
              <w:t>Graham, L. (2015). Internal control audit and compliance: Documentation and testing under the new COSO framework. Wiley.</w:t>
            </w:r>
          </w:p>
        </w:tc>
      </w:tr>
      <w:tr w:rsidR="00F353DC" w:rsidRPr="008C24CF" w14:paraId="177F9FCC" w14:textId="77777777" w:rsidTr="00475D23">
        <w:tc>
          <w:tcPr>
            <w:tcW w:w="0" w:type="auto"/>
            <w:hideMark/>
          </w:tcPr>
          <w:p w14:paraId="7B26B877" w14:textId="409AB530" w:rsidR="00F353DC" w:rsidRPr="008C24CF" w:rsidRDefault="00F353DC" w:rsidP="00F353DC">
            <w:pPr>
              <w:ind w:left="694" w:hanging="694"/>
            </w:pPr>
            <w:r w:rsidRPr="008C24CF">
              <w:t>Greenlee, J., Fischer, M., Gordon, T., Keating, E. (2007). An investigation of fraud in nonprofit organizations: Occurrences and deterrents. Nonprofit and Voluntary Sector Quarterly, 36, 676–694.</w:t>
            </w:r>
          </w:p>
        </w:tc>
      </w:tr>
      <w:tr w:rsidR="00F353DC" w:rsidRPr="008C24CF" w14:paraId="48ABC25D" w14:textId="77777777" w:rsidTr="00475D23">
        <w:tc>
          <w:tcPr>
            <w:tcW w:w="0" w:type="auto"/>
            <w:hideMark/>
          </w:tcPr>
          <w:p w14:paraId="47ACBBC1" w14:textId="654242D4" w:rsidR="00F353DC" w:rsidRPr="008C24CF" w:rsidRDefault="00F353DC" w:rsidP="00F353DC">
            <w:pPr>
              <w:ind w:left="694" w:hanging="694"/>
            </w:pPr>
            <w:r w:rsidRPr="008C24CF">
              <w:t xml:space="preserve">Hannan, R., Rankin, F. W., </w:t>
            </w:r>
            <w:proofErr w:type="spellStart"/>
            <w:r w:rsidRPr="008C24CF">
              <w:t>Towry</w:t>
            </w:r>
            <w:proofErr w:type="spellEnd"/>
            <w:r w:rsidRPr="008C24CF">
              <w:t>, K. L. (2006). The effect of information systems on honesty in managerial reporting: A behavioral perspective. Contemporary Accounting Research, 23(4), 885–919.</w:t>
            </w:r>
          </w:p>
        </w:tc>
      </w:tr>
      <w:tr w:rsidR="00F353DC" w:rsidRPr="008C24CF" w14:paraId="2547DB54" w14:textId="77777777" w:rsidTr="00475D23">
        <w:tc>
          <w:tcPr>
            <w:tcW w:w="0" w:type="auto"/>
            <w:hideMark/>
          </w:tcPr>
          <w:p w14:paraId="4A5E78A9" w14:textId="28F74977" w:rsidR="00F353DC" w:rsidRPr="008C24CF" w:rsidRDefault="00F353DC" w:rsidP="00F353DC">
            <w:pPr>
              <w:ind w:left="694" w:hanging="694"/>
            </w:pPr>
            <w:r w:rsidRPr="008C24CF">
              <w:t>Hayes, A. F. (2009). Beyond Baron and Kenny: Statistical mediation analysis in the new millennium. Communication Monographs, 76(4), 408–420.</w:t>
            </w:r>
          </w:p>
        </w:tc>
      </w:tr>
      <w:tr w:rsidR="00F353DC" w:rsidRPr="008C24CF" w14:paraId="270EED9E" w14:textId="77777777" w:rsidTr="00475D23">
        <w:tc>
          <w:tcPr>
            <w:tcW w:w="0" w:type="auto"/>
            <w:hideMark/>
          </w:tcPr>
          <w:p w14:paraId="564B6FDA" w14:textId="27DE2289" w:rsidR="00F353DC" w:rsidRPr="008C24CF" w:rsidRDefault="00F353DC" w:rsidP="00F353DC">
            <w:pPr>
              <w:ind w:left="694" w:hanging="694"/>
            </w:pPr>
            <w:r w:rsidRPr="008C24CF">
              <w:t>Hayes, A. F. (2018). Introduction to mediation, moderation, and conditional process analysis, second edition: A regression-based approach. The Guilford Press.</w:t>
            </w:r>
          </w:p>
        </w:tc>
      </w:tr>
      <w:tr w:rsidR="00F353DC" w:rsidRPr="008C24CF" w14:paraId="4EF0AE52" w14:textId="77777777" w:rsidTr="00475D23">
        <w:tc>
          <w:tcPr>
            <w:tcW w:w="0" w:type="auto"/>
            <w:hideMark/>
          </w:tcPr>
          <w:p w14:paraId="6383B62C" w14:textId="12E0B21C" w:rsidR="00F353DC" w:rsidRPr="008C24CF" w:rsidRDefault="00F353DC" w:rsidP="00F353DC">
            <w:pPr>
              <w:ind w:left="694" w:hanging="694"/>
            </w:pPr>
            <w:proofErr w:type="spellStart"/>
            <w:r w:rsidRPr="008C24CF">
              <w:t>Iyer</w:t>
            </w:r>
            <w:proofErr w:type="spellEnd"/>
            <w:r w:rsidRPr="008C24CF">
              <w:t>, V. M., Watkins, A. L. (2008). Adoption of Sarbanes-Oxley measures by nonprofit organizations: An empirical study. Accounting Horizons, 22, 255–277.</w:t>
            </w:r>
          </w:p>
        </w:tc>
      </w:tr>
      <w:tr w:rsidR="00F353DC" w:rsidRPr="008C24CF" w14:paraId="122E1D26" w14:textId="77777777" w:rsidTr="00475D23">
        <w:tc>
          <w:tcPr>
            <w:tcW w:w="0" w:type="auto"/>
            <w:hideMark/>
          </w:tcPr>
          <w:p w14:paraId="7E79653F" w14:textId="2EF568F6" w:rsidR="00F353DC" w:rsidRPr="008C24CF" w:rsidRDefault="00F353DC" w:rsidP="00F353DC">
            <w:pPr>
              <w:ind w:left="694" w:hanging="694"/>
            </w:pPr>
            <w:proofErr w:type="spellStart"/>
            <w:r w:rsidRPr="008C24CF">
              <w:t>Klamm</w:t>
            </w:r>
            <w:proofErr w:type="spellEnd"/>
            <w:r w:rsidRPr="008C24CF">
              <w:t>, B. K., Watson, M. W. (2009). SOX 404 reported internal control weaknesses: A test of COSO framework components and information technology. Journal of Information Systems, 23(2), 1–23.</w:t>
            </w:r>
          </w:p>
        </w:tc>
      </w:tr>
      <w:tr w:rsidR="00F353DC" w:rsidRPr="008C24CF" w14:paraId="4BEA2E53" w14:textId="77777777" w:rsidTr="00475D23">
        <w:tc>
          <w:tcPr>
            <w:tcW w:w="0" w:type="auto"/>
            <w:hideMark/>
          </w:tcPr>
          <w:p w14:paraId="7D449A8E" w14:textId="1686BDB4" w:rsidR="00F353DC" w:rsidRPr="008C24CF" w:rsidRDefault="00F353DC" w:rsidP="00F353DC">
            <w:pPr>
              <w:ind w:left="694" w:hanging="694"/>
            </w:pPr>
            <w:r w:rsidRPr="008C24CF">
              <w:t>Lee, G., Xiao, X. (2018). Whistleblowing on accounting-related misconduct: A synthesis of the literature. Journal of Accounting Literature, 41, 22–46.</w:t>
            </w:r>
          </w:p>
        </w:tc>
      </w:tr>
      <w:tr w:rsidR="00F353DC" w:rsidRPr="008C24CF" w14:paraId="768B6B4D" w14:textId="77777777" w:rsidTr="00475D23">
        <w:tc>
          <w:tcPr>
            <w:tcW w:w="0" w:type="auto"/>
            <w:hideMark/>
          </w:tcPr>
          <w:p w14:paraId="4C551174" w14:textId="6545CE7C" w:rsidR="00F353DC" w:rsidRPr="008C24CF" w:rsidRDefault="00F353DC" w:rsidP="00F353DC">
            <w:pPr>
              <w:ind w:left="694" w:hanging="694"/>
            </w:pPr>
            <w:r w:rsidRPr="008C24CF">
              <w:t xml:space="preserve">Lennon, T., </w:t>
            </w:r>
            <w:proofErr w:type="spellStart"/>
            <w:r w:rsidRPr="008C24CF">
              <w:t>Spotts</w:t>
            </w:r>
            <w:proofErr w:type="spellEnd"/>
            <w:r w:rsidRPr="008C24CF">
              <w:t>, D., Mitchell, M. (2013). Benchmarking women’s leadership in the United States. Colorado Women’s College at the University of Denver.</w:t>
            </w:r>
          </w:p>
        </w:tc>
      </w:tr>
      <w:tr w:rsidR="00F353DC" w:rsidRPr="008C24CF" w14:paraId="60027EF2" w14:textId="77777777" w:rsidTr="00475D23">
        <w:tc>
          <w:tcPr>
            <w:tcW w:w="0" w:type="auto"/>
            <w:hideMark/>
          </w:tcPr>
          <w:p w14:paraId="420BF6A9" w14:textId="740BBB71" w:rsidR="00F353DC" w:rsidRPr="008C24CF" w:rsidRDefault="00F353DC" w:rsidP="00F353DC">
            <w:pPr>
              <w:ind w:left="694" w:hanging="694"/>
            </w:pPr>
            <w:r w:rsidRPr="008C24CF">
              <w:t>Liu, X. K., Wright, A. M., Wu, Y. J. (2015). Managers’ unethical fraudulent financial reporting: The effect of control strength and control framing. Journal of Business Ethics, 129(2), 295–310.</w:t>
            </w:r>
          </w:p>
        </w:tc>
      </w:tr>
      <w:tr w:rsidR="00F353DC" w:rsidRPr="008C24CF" w14:paraId="6EE3262A" w14:textId="77777777" w:rsidTr="00475D23">
        <w:tc>
          <w:tcPr>
            <w:tcW w:w="0" w:type="auto"/>
            <w:hideMark/>
          </w:tcPr>
          <w:p w14:paraId="28917285" w14:textId="7EE0AC92" w:rsidR="00F353DC" w:rsidRPr="008C24CF" w:rsidRDefault="00F353DC" w:rsidP="00F353DC">
            <w:pPr>
              <w:ind w:left="694" w:hanging="694"/>
            </w:pPr>
            <w:r w:rsidRPr="008C24CF">
              <w:t xml:space="preserve">Maier, F., Meyer, M., </w:t>
            </w:r>
            <w:proofErr w:type="spellStart"/>
            <w:r w:rsidRPr="008C24CF">
              <w:t>Steinbereithner</w:t>
            </w:r>
            <w:proofErr w:type="spellEnd"/>
            <w:r w:rsidRPr="008C24CF">
              <w:t>, M. (2016). Nonprofit organizations becoming business-like: A systematic review. Nonprofit and Voluntary Sector Quarterly, 45(1), 64–86.</w:t>
            </w:r>
          </w:p>
        </w:tc>
      </w:tr>
      <w:tr w:rsidR="00F353DC" w:rsidRPr="008C24CF" w14:paraId="76DD0A62" w14:textId="77777777" w:rsidTr="00475D23">
        <w:tc>
          <w:tcPr>
            <w:tcW w:w="0" w:type="auto"/>
            <w:hideMark/>
          </w:tcPr>
          <w:p w14:paraId="464C4417" w14:textId="5947A0D1" w:rsidR="00F353DC" w:rsidRPr="008C24CF" w:rsidRDefault="00F353DC" w:rsidP="00F353DC">
            <w:pPr>
              <w:ind w:left="694" w:hanging="694"/>
            </w:pPr>
            <w:r w:rsidRPr="008C24CF">
              <w:t>Mukherjee, S. (2017, November 6). How $6 million to fight Ebola disappeared from the red cross. Fortune. </w:t>
            </w:r>
            <w:hyperlink r:id="rId14" w:tgtFrame="_blank" w:history="1">
              <w:r w:rsidRPr="008C24CF">
                <w:rPr>
                  <w:rStyle w:val="Hyperlink"/>
                </w:rPr>
                <w:t>http://fortune.com/2017/11/06/red-cross-fraud-ebola-6-million/</w:t>
              </w:r>
            </w:hyperlink>
          </w:p>
        </w:tc>
      </w:tr>
      <w:tr w:rsidR="00F353DC" w:rsidRPr="008C24CF" w14:paraId="4714D37C" w14:textId="77777777" w:rsidTr="00475D23">
        <w:tc>
          <w:tcPr>
            <w:tcW w:w="0" w:type="auto"/>
            <w:hideMark/>
          </w:tcPr>
          <w:p w14:paraId="126BA7E6" w14:textId="61FAC648" w:rsidR="00F353DC" w:rsidRPr="008C24CF" w:rsidRDefault="00F353DC" w:rsidP="00F353DC">
            <w:pPr>
              <w:ind w:left="694" w:hanging="694"/>
            </w:pPr>
            <w:r w:rsidRPr="008C24CF">
              <w:t xml:space="preserve">Near, J. P., Miceli, M. P. (1985). Organizational dissidence: The case of </w:t>
            </w:r>
            <w:proofErr w:type="gramStart"/>
            <w:r w:rsidRPr="008C24CF">
              <w:t>whistle-blowing</w:t>
            </w:r>
            <w:proofErr w:type="gramEnd"/>
            <w:r w:rsidRPr="008C24CF">
              <w:t>. Journal of Business Ethics, 4(1), 1–16.</w:t>
            </w:r>
          </w:p>
        </w:tc>
      </w:tr>
      <w:tr w:rsidR="00F353DC" w:rsidRPr="008C24CF" w14:paraId="2E17A8AF" w14:textId="77777777" w:rsidTr="00475D23">
        <w:tc>
          <w:tcPr>
            <w:tcW w:w="0" w:type="auto"/>
            <w:hideMark/>
          </w:tcPr>
          <w:p w14:paraId="594102DC" w14:textId="63960A13" w:rsidR="00F353DC" w:rsidRPr="008C24CF" w:rsidRDefault="00F353DC" w:rsidP="00F353DC">
            <w:pPr>
              <w:ind w:left="694" w:hanging="694"/>
            </w:pPr>
            <w:r w:rsidRPr="008C24CF">
              <w:t xml:space="preserve">Near, J. P., Miceli, M. P. (1988). Individual and situational correlates of </w:t>
            </w:r>
            <w:proofErr w:type="gramStart"/>
            <w:r w:rsidRPr="008C24CF">
              <w:t>whistle-blowing</w:t>
            </w:r>
            <w:proofErr w:type="gramEnd"/>
            <w:r w:rsidRPr="008C24CF">
              <w:t>. Personnel Psychology, 41(2), 267–281.</w:t>
            </w:r>
          </w:p>
        </w:tc>
      </w:tr>
      <w:tr w:rsidR="00F353DC" w:rsidRPr="008C24CF" w14:paraId="5B2D9A54" w14:textId="77777777" w:rsidTr="00475D23">
        <w:tc>
          <w:tcPr>
            <w:tcW w:w="0" w:type="auto"/>
            <w:hideMark/>
          </w:tcPr>
          <w:p w14:paraId="709D3CAD" w14:textId="20948F5F" w:rsidR="00F353DC" w:rsidRPr="008C24CF" w:rsidRDefault="00F353DC" w:rsidP="00F353DC">
            <w:pPr>
              <w:ind w:left="694" w:hanging="694"/>
            </w:pPr>
            <w:r w:rsidRPr="008C24CF">
              <w:t>Near, J. P., Miceli, M. P. (1996). </w:t>
            </w:r>
            <w:proofErr w:type="gramStart"/>
            <w:r w:rsidRPr="008C24CF">
              <w:t>Whistle-blowing</w:t>
            </w:r>
            <w:proofErr w:type="gramEnd"/>
            <w:r w:rsidRPr="008C24CF">
              <w:t>: Myth and reality. Journal of Management, 22(3), 507–526.</w:t>
            </w:r>
          </w:p>
        </w:tc>
      </w:tr>
      <w:tr w:rsidR="00F353DC" w:rsidRPr="008C24CF" w14:paraId="3BF0003A" w14:textId="77777777" w:rsidTr="00475D23">
        <w:tc>
          <w:tcPr>
            <w:tcW w:w="0" w:type="auto"/>
            <w:hideMark/>
          </w:tcPr>
          <w:p w14:paraId="1E68F79D" w14:textId="08FB6E16" w:rsidR="00F353DC" w:rsidRPr="008C24CF" w:rsidRDefault="00F353DC" w:rsidP="00F353DC">
            <w:pPr>
              <w:ind w:left="694" w:hanging="694"/>
            </w:pPr>
            <w:proofErr w:type="spellStart"/>
            <w:r w:rsidRPr="008C24CF">
              <w:t>Nezhina</w:t>
            </w:r>
            <w:proofErr w:type="spellEnd"/>
            <w:r w:rsidRPr="008C24CF">
              <w:t xml:space="preserve">, T. G., </w:t>
            </w:r>
            <w:proofErr w:type="spellStart"/>
            <w:r w:rsidRPr="008C24CF">
              <w:t>Brudney</w:t>
            </w:r>
            <w:proofErr w:type="spellEnd"/>
            <w:r w:rsidRPr="008C24CF">
              <w:t>, J. L. (2012). Unintended? The effects of adoption of the Sarbanes-Oxley Act on nonprofit organizations. Nonprofit Management and Leadership, 22, 321–346.</w:t>
            </w:r>
          </w:p>
        </w:tc>
      </w:tr>
      <w:tr w:rsidR="00F353DC" w:rsidRPr="008C24CF" w14:paraId="08BBCCE2" w14:textId="77777777" w:rsidTr="00475D23">
        <w:tc>
          <w:tcPr>
            <w:tcW w:w="0" w:type="auto"/>
            <w:hideMark/>
          </w:tcPr>
          <w:p w14:paraId="50452C28" w14:textId="007202DB" w:rsidR="00F353DC" w:rsidRPr="008C24CF" w:rsidRDefault="00F353DC" w:rsidP="00F353DC">
            <w:pPr>
              <w:ind w:left="694" w:hanging="694"/>
            </w:pPr>
            <w:r w:rsidRPr="008C24CF">
              <w:t xml:space="preserve">Office of Management and </w:t>
            </w:r>
            <w:proofErr w:type="gramStart"/>
            <w:r w:rsidRPr="008C24CF">
              <w:t>Budget .</w:t>
            </w:r>
            <w:proofErr w:type="gramEnd"/>
            <w:r w:rsidRPr="008C24CF">
              <w:t xml:space="preserve"> (2019). OMB circular A-133 compliance supplement 2016. </w:t>
            </w:r>
            <w:hyperlink r:id="rId15" w:tgtFrame="_blank" w:history="1">
              <w:r w:rsidRPr="008C24CF">
                <w:rPr>
                  <w:rStyle w:val="Hyperlink"/>
                </w:rPr>
                <w:t>https://obamawhitehouse.archives.gov/omb/circulars/a133_compliance_supplement_2016</w:t>
              </w:r>
            </w:hyperlink>
          </w:p>
        </w:tc>
      </w:tr>
      <w:tr w:rsidR="00F353DC" w:rsidRPr="008C24CF" w14:paraId="60AAC85B" w14:textId="77777777" w:rsidTr="00475D23">
        <w:tc>
          <w:tcPr>
            <w:tcW w:w="0" w:type="auto"/>
            <w:hideMark/>
          </w:tcPr>
          <w:p w14:paraId="7440452D" w14:textId="5671F887" w:rsidR="00F353DC" w:rsidRPr="008C24CF" w:rsidRDefault="00F353DC" w:rsidP="00F353DC">
            <w:pPr>
              <w:ind w:left="694" w:hanging="694"/>
            </w:pPr>
            <w:r w:rsidRPr="008C24CF">
              <w:t xml:space="preserve">Omer, T. C., </w:t>
            </w:r>
            <w:proofErr w:type="spellStart"/>
            <w:r w:rsidRPr="008C24CF">
              <w:t>Yetman</w:t>
            </w:r>
            <w:proofErr w:type="spellEnd"/>
            <w:r w:rsidRPr="008C24CF">
              <w:t>, R. J. (2003). Near zero taxable income reporting by nonprofit organizations. Journal of the American Taxation Association, 25(2), 19–34.</w:t>
            </w:r>
          </w:p>
        </w:tc>
      </w:tr>
      <w:tr w:rsidR="00F353DC" w:rsidRPr="008C24CF" w14:paraId="3C650897" w14:textId="77777777" w:rsidTr="00475D23">
        <w:tc>
          <w:tcPr>
            <w:tcW w:w="0" w:type="auto"/>
            <w:hideMark/>
          </w:tcPr>
          <w:p w14:paraId="0A88C7C8" w14:textId="29884EB5" w:rsidR="00F353DC" w:rsidRPr="008C24CF" w:rsidRDefault="00F353DC" w:rsidP="00F353DC">
            <w:pPr>
              <w:ind w:left="694" w:hanging="694"/>
            </w:pPr>
            <w:r w:rsidRPr="008C24CF">
              <w:t>Parsons, L., Pryor, C., Roberts, A. (2017). Pressure to manage ratios and willingness to do so: Evidence from nonprofit managers. Nonprofit and Voluntary Sector Quarterly, 46(4), 1–20.</w:t>
            </w:r>
          </w:p>
        </w:tc>
      </w:tr>
      <w:tr w:rsidR="00F353DC" w:rsidRPr="008C24CF" w14:paraId="3BD4C46F" w14:textId="77777777" w:rsidTr="00475D23">
        <w:tc>
          <w:tcPr>
            <w:tcW w:w="0" w:type="auto"/>
            <w:hideMark/>
          </w:tcPr>
          <w:p w14:paraId="2EB39E83" w14:textId="30FE05C6" w:rsidR="00F353DC" w:rsidRPr="008C24CF" w:rsidRDefault="00F353DC" w:rsidP="00F353DC">
            <w:pPr>
              <w:ind w:left="694" w:hanging="694"/>
            </w:pPr>
            <w:r w:rsidRPr="008C24CF">
              <w:t>Patterson, E. R., Smith, J. R. (2007). The effects of Sarbanes-Oxley on auditing and internal control strength. The Accounting Review, 82(2), 427–455.</w:t>
            </w:r>
          </w:p>
        </w:tc>
      </w:tr>
      <w:tr w:rsidR="00F353DC" w:rsidRPr="008C24CF" w14:paraId="4F73C771" w14:textId="77777777" w:rsidTr="00475D23">
        <w:tc>
          <w:tcPr>
            <w:tcW w:w="0" w:type="auto"/>
            <w:hideMark/>
          </w:tcPr>
          <w:p w14:paraId="4AC0546D" w14:textId="243C5A3F" w:rsidR="00F353DC" w:rsidRPr="008C24CF" w:rsidRDefault="00F353DC" w:rsidP="00F353DC">
            <w:pPr>
              <w:ind w:left="694" w:hanging="694"/>
            </w:pPr>
            <w:r w:rsidRPr="008C24CF">
              <w:t>Preacher, K. J., Hayes, A. F. (2008). Asymptotic and resampling strategies for assessing and comparing indirect effects in multiple mediator models. Behavior Research Methods, 40(3), 879–891.</w:t>
            </w:r>
          </w:p>
        </w:tc>
      </w:tr>
      <w:tr w:rsidR="00F353DC" w:rsidRPr="008C24CF" w14:paraId="1ABC7CA9" w14:textId="77777777" w:rsidTr="00475D23">
        <w:tc>
          <w:tcPr>
            <w:tcW w:w="0" w:type="auto"/>
            <w:hideMark/>
          </w:tcPr>
          <w:p w14:paraId="5D86E2ED" w14:textId="5E1D5778" w:rsidR="00F353DC" w:rsidRPr="008C24CF" w:rsidRDefault="00F353DC" w:rsidP="00F353DC">
            <w:pPr>
              <w:ind w:left="694" w:hanging="694"/>
            </w:pPr>
            <w:r w:rsidRPr="008C24CF">
              <w:t xml:space="preserve">Public Company Accounting Oversight </w:t>
            </w:r>
            <w:proofErr w:type="gramStart"/>
            <w:r w:rsidRPr="008C24CF">
              <w:t>Board .</w:t>
            </w:r>
            <w:proofErr w:type="gramEnd"/>
            <w:r w:rsidRPr="008C24CF">
              <w:t xml:space="preserve"> (2007a). An audit of internal control over financial reporting that is integrated with an audit of financial statements. Auditing standard no. 5.</w:t>
            </w:r>
          </w:p>
        </w:tc>
      </w:tr>
      <w:tr w:rsidR="00F353DC" w:rsidRPr="008C24CF" w14:paraId="6008C9E1" w14:textId="77777777" w:rsidTr="00475D23">
        <w:tc>
          <w:tcPr>
            <w:tcW w:w="0" w:type="auto"/>
            <w:hideMark/>
          </w:tcPr>
          <w:p w14:paraId="0426D011" w14:textId="5897F87F" w:rsidR="00F353DC" w:rsidRPr="008C24CF" w:rsidRDefault="00F353DC" w:rsidP="00F353DC">
            <w:pPr>
              <w:ind w:left="694" w:hanging="694"/>
            </w:pPr>
            <w:r w:rsidRPr="008C24CF">
              <w:t xml:space="preserve">Public Company Accounting Oversight </w:t>
            </w:r>
            <w:proofErr w:type="gramStart"/>
            <w:r w:rsidRPr="008C24CF">
              <w:t>Board .</w:t>
            </w:r>
            <w:proofErr w:type="gramEnd"/>
            <w:r w:rsidRPr="008C24CF">
              <w:t xml:space="preserve"> (2007b). Consideration of fraud in a financial statement audit. AU Section 316.</w:t>
            </w:r>
          </w:p>
        </w:tc>
      </w:tr>
      <w:tr w:rsidR="00F353DC" w:rsidRPr="008C24CF" w14:paraId="05113FA1" w14:textId="77777777" w:rsidTr="00475D23">
        <w:tc>
          <w:tcPr>
            <w:tcW w:w="0" w:type="auto"/>
            <w:hideMark/>
          </w:tcPr>
          <w:p w14:paraId="1544A240" w14:textId="67AC4036" w:rsidR="00F353DC" w:rsidRPr="008C24CF" w:rsidRDefault="00F353DC" w:rsidP="00F353DC">
            <w:pPr>
              <w:ind w:left="694" w:hanging="694"/>
            </w:pPr>
            <w:r w:rsidRPr="008C24CF">
              <w:t xml:space="preserve">Public Company Accounting Oversight </w:t>
            </w:r>
            <w:proofErr w:type="gramStart"/>
            <w:r w:rsidRPr="008C24CF">
              <w:t>Board .</w:t>
            </w:r>
            <w:proofErr w:type="gramEnd"/>
            <w:r w:rsidRPr="008C24CF">
              <w:t xml:space="preserve"> (2010). Audit risk. Auditing standard no. 8.</w:t>
            </w:r>
          </w:p>
        </w:tc>
      </w:tr>
      <w:tr w:rsidR="00F353DC" w:rsidRPr="008C24CF" w14:paraId="58E83D05" w14:textId="77777777" w:rsidTr="00475D23">
        <w:tc>
          <w:tcPr>
            <w:tcW w:w="0" w:type="auto"/>
            <w:hideMark/>
          </w:tcPr>
          <w:p w14:paraId="7186BC07" w14:textId="1A5FD136" w:rsidR="00F353DC" w:rsidRPr="008C24CF" w:rsidRDefault="00F353DC" w:rsidP="00F353DC">
            <w:pPr>
              <w:ind w:left="694" w:hanging="694"/>
            </w:pPr>
            <w:r w:rsidRPr="008C24CF">
              <w:t>Rasmussen, E. (2019, February 7). 25 Investigates: Nonprofit manager charged with embezzling money meant for disabled kids. Cox Media Group. </w:t>
            </w:r>
            <w:hyperlink r:id="rId16" w:tgtFrame="_blank" w:history="1">
              <w:r w:rsidRPr="008C24CF">
                <w:rPr>
                  <w:rStyle w:val="Hyperlink"/>
                </w:rPr>
                <w:t>https://www.boston25news.com/news/25-investigates-nonprofit-manager-charged-with-embezzling-money-meant-for-disabled-kids/845520836</w:t>
              </w:r>
            </w:hyperlink>
          </w:p>
        </w:tc>
      </w:tr>
      <w:tr w:rsidR="00F353DC" w:rsidRPr="008C24CF" w14:paraId="7FEEA54D" w14:textId="77777777" w:rsidTr="00475D23">
        <w:tc>
          <w:tcPr>
            <w:tcW w:w="0" w:type="auto"/>
            <w:hideMark/>
          </w:tcPr>
          <w:p w14:paraId="5B73AE32" w14:textId="3492019F" w:rsidR="00F353DC" w:rsidRPr="008C24CF" w:rsidRDefault="00F353DC" w:rsidP="00F353DC">
            <w:pPr>
              <w:ind w:left="694" w:hanging="694"/>
            </w:pPr>
            <w:r w:rsidRPr="008C24CF">
              <w:lastRenderedPageBreak/>
              <w:t>Rothschild, J. (2013). The fate of whistleblowers in nonprofit organizations. Nonprofit and Voluntary Sector Quarterly, 425(5), 886–901.</w:t>
            </w:r>
          </w:p>
        </w:tc>
      </w:tr>
      <w:tr w:rsidR="00F353DC" w:rsidRPr="008C24CF" w14:paraId="6184BDA0" w14:textId="77777777" w:rsidTr="00475D23">
        <w:tc>
          <w:tcPr>
            <w:tcW w:w="0" w:type="auto"/>
            <w:hideMark/>
          </w:tcPr>
          <w:p w14:paraId="4D52188D" w14:textId="0A0E4FF7" w:rsidR="00F353DC" w:rsidRPr="008C24CF" w:rsidRDefault="00F353DC" w:rsidP="00F353DC">
            <w:pPr>
              <w:ind w:left="694" w:hanging="694"/>
            </w:pPr>
            <w:r w:rsidRPr="008C24CF">
              <w:t>Scheetz, A., Smalls, T. D., Wall, J., Wilson, A. B. (2020). Do employee fraud reporting intentions differ between for-profit and nonprofit organizations? Journal of Governmental &amp; Nonprofit Accounting, 9(1), 94–117.</w:t>
            </w:r>
          </w:p>
        </w:tc>
      </w:tr>
      <w:tr w:rsidR="00F353DC" w:rsidRPr="008C24CF" w14:paraId="324C8DCA" w14:textId="77777777" w:rsidTr="00475D23">
        <w:tc>
          <w:tcPr>
            <w:tcW w:w="0" w:type="auto"/>
            <w:hideMark/>
          </w:tcPr>
          <w:p w14:paraId="10E16782" w14:textId="4153D16B" w:rsidR="00F353DC" w:rsidRPr="008C24CF" w:rsidRDefault="00F353DC" w:rsidP="00F353DC">
            <w:pPr>
              <w:ind w:left="694" w:hanging="694"/>
            </w:pPr>
            <w:r w:rsidRPr="008C24CF">
              <w:t xml:space="preserve">Shang, J., </w:t>
            </w:r>
            <w:proofErr w:type="spellStart"/>
            <w:r w:rsidRPr="008C24CF">
              <w:t>Sargeant</w:t>
            </w:r>
            <w:proofErr w:type="spellEnd"/>
            <w:r w:rsidRPr="008C24CF">
              <w:t>, A., Carpenter, K. (2019). Giving intention versus giving behavior: How differently do satisfaction, trust, and commitment relate to them? Nonprofit and Voluntary Sector Quarterly, 48(5), 1023–1044.</w:t>
            </w:r>
          </w:p>
        </w:tc>
      </w:tr>
      <w:tr w:rsidR="00F353DC" w:rsidRPr="008C24CF" w14:paraId="554F72FB" w14:textId="77777777" w:rsidTr="00475D23">
        <w:tc>
          <w:tcPr>
            <w:tcW w:w="0" w:type="auto"/>
            <w:hideMark/>
          </w:tcPr>
          <w:p w14:paraId="3CB70BE0" w14:textId="41ED15BB" w:rsidR="00F353DC" w:rsidRPr="008C24CF" w:rsidRDefault="00F353DC" w:rsidP="00F353DC">
            <w:pPr>
              <w:ind w:left="694" w:hanging="694"/>
            </w:pPr>
            <w:r w:rsidRPr="008C24CF">
              <w:t>Snyder, H., Andersen, M., Zuber, J. (2017, March). Nonprofit fraud: How good are your internal controls? Strategic Finance. </w:t>
            </w:r>
            <w:hyperlink r:id="rId17" w:tgtFrame="_blank" w:history="1">
              <w:r w:rsidRPr="008C24CF">
                <w:rPr>
                  <w:rStyle w:val="Hyperlink"/>
                </w:rPr>
                <w:t>https://sfmagazine.com/post-entry/march-2017-nonprofit-fraud-how-good-are-your-internal-controls/</w:t>
              </w:r>
            </w:hyperlink>
          </w:p>
        </w:tc>
      </w:tr>
      <w:tr w:rsidR="00F353DC" w:rsidRPr="008C24CF" w14:paraId="4BC894C6" w14:textId="77777777" w:rsidTr="00475D23">
        <w:tc>
          <w:tcPr>
            <w:tcW w:w="0" w:type="auto"/>
            <w:hideMark/>
          </w:tcPr>
          <w:p w14:paraId="2CEAEE66" w14:textId="55A73EE1" w:rsidR="00F353DC" w:rsidRPr="008C24CF" w:rsidRDefault="00F353DC" w:rsidP="00F353DC">
            <w:pPr>
              <w:ind w:left="694" w:hanging="694"/>
            </w:pPr>
            <w:r w:rsidRPr="008C24CF">
              <w:t>Stephens, J., Flaherty, M. P. (2013, October 26). Inside the hidden world of thefts, scams, and phantom purchases at the nation’s nonprofits. The Washington Post.</w:t>
            </w:r>
            <w:hyperlink r:id="rId18" w:tgtFrame="_blank" w:history="1">
              <w:r w:rsidRPr="008C24CF">
                <w:rPr>
                  <w:rStyle w:val="Hyperlink"/>
                </w:rPr>
                <w:t>https://www.washingtonpost.com/investigations/inside-the-hidden-world-of-thefts-scams-and-phantom-purchases-at-the-nations-nonprofits/2013/10/26/825a82ca-0c26-11e3-9941-6711ed662e71_story.html?utm_term=.408161a4c873</w:t>
              </w:r>
            </w:hyperlink>
          </w:p>
        </w:tc>
      </w:tr>
      <w:tr w:rsidR="00F353DC" w:rsidRPr="008C24CF" w14:paraId="4F2EFF5C" w14:textId="77777777" w:rsidTr="00475D23">
        <w:tc>
          <w:tcPr>
            <w:tcW w:w="0" w:type="auto"/>
            <w:hideMark/>
          </w:tcPr>
          <w:p w14:paraId="13E4E4EC" w14:textId="586E1CD3" w:rsidR="00F353DC" w:rsidRPr="008C24CF" w:rsidRDefault="00F353DC" w:rsidP="00F353DC">
            <w:pPr>
              <w:ind w:left="694" w:hanging="694"/>
            </w:pPr>
            <w:r w:rsidRPr="008C24CF">
              <w:t xml:space="preserve">The </w:t>
            </w:r>
            <w:proofErr w:type="spellStart"/>
            <w:r w:rsidRPr="008C24CF">
              <w:t>NonProfit</w:t>
            </w:r>
            <w:proofErr w:type="spellEnd"/>
            <w:r w:rsidRPr="008C24CF">
              <w:t xml:space="preserve"> </w:t>
            </w:r>
            <w:proofErr w:type="gramStart"/>
            <w:r w:rsidRPr="008C24CF">
              <w:t>Times .</w:t>
            </w:r>
            <w:proofErr w:type="gramEnd"/>
            <w:r w:rsidRPr="008C24CF">
              <w:t xml:space="preserve"> (2019, February 19). Indictment in $6.7 million IT fraud at charity. </w:t>
            </w:r>
            <w:hyperlink r:id="rId19" w:tgtFrame="_blank" w:history="1">
              <w:r w:rsidRPr="008C24CF">
                <w:rPr>
                  <w:rStyle w:val="Hyperlink"/>
                </w:rPr>
                <w:t>https://www.thenonprofittimes.com/npt_articles/indictment-in-6-7-million-it-fraud-at-charity/</w:t>
              </w:r>
            </w:hyperlink>
          </w:p>
        </w:tc>
      </w:tr>
      <w:tr w:rsidR="00F353DC" w:rsidRPr="008C24CF" w14:paraId="7EDBC58F" w14:textId="77777777" w:rsidTr="00475D23">
        <w:tc>
          <w:tcPr>
            <w:tcW w:w="0" w:type="auto"/>
            <w:hideMark/>
          </w:tcPr>
          <w:p w14:paraId="77B53C6B" w14:textId="3BC43F51" w:rsidR="00F353DC" w:rsidRPr="008C24CF" w:rsidRDefault="00F353DC" w:rsidP="00F353DC">
            <w:pPr>
              <w:ind w:left="694" w:hanging="694"/>
            </w:pPr>
            <w:proofErr w:type="spellStart"/>
            <w:r w:rsidRPr="008C24CF">
              <w:t>Tinkelman</w:t>
            </w:r>
            <w:proofErr w:type="spellEnd"/>
            <w:r w:rsidRPr="008C24CF">
              <w:t>, D. (1999). Factors affecting the relation between donations to not-for-profit organizations and an efficiency ratio. Research in Governmental and Nonprofit Accounting, 10, 135–161.</w:t>
            </w:r>
          </w:p>
        </w:tc>
      </w:tr>
      <w:tr w:rsidR="00F353DC" w:rsidRPr="008C24CF" w14:paraId="2AA02CB8" w14:textId="77777777" w:rsidTr="00475D23">
        <w:tc>
          <w:tcPr>
            <w:tcW w:w="0" w:type="auto"/>
            <w:hideMark/>
          </w:tcPr>
          <w:p w14:paraId="66E642DE" w14:textId="31FBC964" w:rsidR="00F353DC" w:rsidRPr="008C24CF" w:rsidRDefault="00F353DC" w:rsidP="00F353DC">
            <w:pPr>
              <w:ind w:left="694" w:hanging="694"/>
            </w:pPr>
            <w:r w:rsidRPr="008C24CF">
              <w:t xml:space="preserve">U.S. </w:t>
            </w:r>
            <w:proofErr w:type="gramStart"/>
            <w:r w:rsidRPr="008C24CF">
              <w:t>Congress .</w:t>
            </w:r>
            <w:proofErr w:type="gramEnd"/>
            <w:r w:rsidRPr="008C24CF">
              <w:t xml:space="preserve"> (2002). The Sarbanes-Oxley Act of 2002. Public Law No. 107-204. H.R. 3763.</w:t>
            </w:r>
          </w:p>
        </w:tc>
      </w:tr>
      <w:tr w:rsidR="00F353DC" w:rsidRPr="008C24CF" w14:paraId="5AA5BD60" w14:textId="77777777" w:rsidTr="00475D23">
        <w:tc>
          <w:tcPr>
            <w:tcW w:w="0" w:type="auto"/>
            <w:hideMark/>
          </w:tcPr>
          <w:p w14:paraId="43F2F4CA" w14:textId="610873B7" w:rsidR="00F353DC" w:rsidRPr="008C24CF" w:rsidRDefault="00F353DC" w:rsidP="00F353DC">
            <w:pPr>
              <w:ind w:left="694" w:hanging="694"/>
            </w:pPr>
            <w:proofErr w:type="spellStart"/>
            <w:r w:rsidRPr="008C24CF">
              <w:t>Verbruggen</w:t>
            </w:r>
            <w:proofErr w:type="spellEnd"/>
            <w:r w:rsidRPr="008C24CF">
              <w:t xml:space="preserve">, S., </w:t>
            </w:r>
            <w:proofErr w:type="spellStart"/>
            <w:r w:rsidRPr="008C24CF">
              <w:t>Christiaens</w:t>
            </w:r>
            <w:proofErr w:type="spellEnd"/>
            <w:r w:rsidRPr="008C24CF">
              <w:t xml:space="preserve">, J., </w:t>
            </w:r>
            <w:proofErr w:type="spellStart"/>
            <w:r w:rsidRPr="008C24CF">
              <w:t>Milis</w:t>
            </w:r>
            <w:proofErr w:type="spellEnd"/>
            <w:r w:rsidRPr="008C24CF">
              <w:t>, K. (2011). Can resource dependence and coercive isomorphism explain nonprofit organizations’ compliance with reporting standards? Nonprofit and Voluntary Sector Quarterly, 40(1), 5–32.</w:t>
            </w:r>
          </w:p>
        </w:tc>
      </w:tr>
      <w:tr w:rsidR="00F353DC" w:rsidRPr="008C24CF" w14:paraId="29D30074" w14:textId="77777777" w:rsidTr="00475D23">
        <w:tc>
          <w:tcPr>
            <w:tcW w:w="0" w:type="auto"/>
            <w:hideMark/>
          </w:tcPr>
          <w:p w14:paraId="2EA923E6" w14:textId="169764EF" w:rsidR="00F353DC" w:rsidRPr="008C24CF" w:rsidRDefault="00F353DC" w:rsidP="00F353DC">
            <w:pPr>
              <w:ind w:left="694" w:hanging="694"/>
            </w:pPr>
            <w:r w:rsidRPr="008C24CF">
              <w:t>Vermeer, T. E., Edmonds, C. T., Asthana, S. C. (2014). Organizational form and accounting choice: Are nonprofits or for-profit managers more aggressive? The Accounting Review, 89(5), 1867–1893.</w:t>
            </w:r>
          </w:p>
        </w:tc>
      </w:tr>
      <w:tr w:rsidR="00F353DC" w:rsidRPr="008C24CF" w14:paraId="4F811814" w14:textId="77777777" w:rsidTr="00475D23">
        <w:tc>
          <w:tcPr>
            <w:tcW w:w="0" w:type="auto"/>
            <w:hideMark/>
          </w:tcPr>
          <w:p w14:paraId="0CEBDCC5" w14:textId="1C90C457" w:rsidR="00F353DC" w:rsidRPr="008C24CF" w:rsidRDefault="00F353DC" w:rsidP="00F353DC">
            <w:pPr>
              <w:ind w:left="694" w:hanging="694"/>
            </w:pPr>
            <w:r w:rsidRPr="008C24CF">
              <w:t>Zhao, X., Lynch, J. G., Chen, Q. (2010). Reconsidering Baron and Kenny: Myths and truths about mediation analysis. The Journal of Consumer Research, 37(2), 197–206.</w:t>
            </w:r>
          </w:p>
        </w:tc>
      </w:tr>
    </w:tbl>
    <w:p w14:paraId="0E752EE1" w14:textId="77777777" w:rsidR="008C24CF" w:rsidRPr="000976FB" w:rsidRDefault="008C24CF" w:rsidP="000976FB"/>
    <w:sectPr w:rsidR="008C24CF"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SegoeUI">
    <w:altName w:val="Yu Gothic"/>
    <w:panose1 w:val="00000000000000000000"/>
    <w:charset w:val="80"/>
    <w:family w:val="auto"/>
    <w:notTrueType/>
    <w:pitch w:val="default"/>
    <w:sig w:usb0="00000001" w:usb1="08070000" w:usb2="00000010" w:usb3="00000000" w:csb0="00020000" w:csb1="00000000"/>
  </w:font>
  <w:font w:name="GillSansMTPro-MediumItalic">
    <w:altName w:val="Calibri"/>
    <w:panose1 w:val="00000000000000000000"/>
    <w:charset w:val="00"/>
    <w:family w:val="swiss"/>
    <w:notTrueType/>
    <w:pitch w:val="default"/>
    <w:sig w:usb0="00000003" w:usb1="00000000" w:usb2="00000000" w:usb3="00000000" w:csb0="00000001" w:csb1="00000000"/>
  </w:font>
  <w:font w:name="MathematicalPiLTStd">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96DBE"/>
    <w:multiLevelType w:val="multilevel"/>
    <w:tmpl w:val="E61C6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D0E475C"/>
    <w:multiLevelType w:val="hybridMultilevel"/>
    <w:tmpl w:val="8DDCD0B6"/>
    <w:lvl w:ilvl="0" w:tplc="59940DDC">
      <w:start w:val="1"/>
      <w:numFmt w:val="decimal"/>
      <w:lvlText w:val="%1."/>
      <w:lvlJc w:val="left"/>
      <w:pPr>
        <w:ind w:left="720" w:hanging="360"/>
      </w:pPr>
    </w:lvl>
    <w:lvl w:ilvl="1" w:tplc="354ADAA0">
      <w:start w:val="1"/>
      <w:numFmt w:val="lowerLetter"/>
      <w:lvlText w:val="%2."/>
      <w:lvlJc w:val="left"/>
      <w:pPr>
        <w:ind w:left="1440" w:hanging="360"/>
      </w:pPr>
    </w:lvl>
    <w:lvl w:ilvl="2" w:tplc="E7E85F7A">
      <w:start w:val="1"/>
      <w:numFmt w:val="lowerRoman"/>
      <w:lvlText w:val="%3."/>
      <w:lvlJc w:val="right"/>
      <w:pPr>
        <w:ind w:left="2160" w:hanging="180"/>
      </w:pPr>
    </w:lvl>
    <w:lvl w:ilvl="3" w:tplc="4D10BF9E">
      <w:start w:val="1"/>
      <w:numFmt w:val="decimal"/>
      <w:lvlText w:val="%4."/>
      <w:lvlJc w:val="left"/>
      <w:pPr>
        <w:ind w:left="2880" w:hanging="360"/>
      </w:pPr>
    </w:lvl>
    <w:lvl w:ilvl="4" w:tplc="BE9862E4">
      <w:start w:val="1"/>
      <w:numFmt w:val="lowerLetter"/>
      <w:lvlText w:val="%5."/>
      <w:lvlJc w:val="left"/>
      <w:pPr>
        <w:ind w:left="3600" w:hanging="360"/>
      </w:pPr>
    </w:lvl>
    <w:lvl w:ilvl="5" w:tplc="57FA84D4">
      <w:start w:val="1"/>
      <w:numFmt w:val="lowerRoman"/>
      <w:lvlText w:val="%6."/>
      <w:lvlJc w:val="right"/>
      <w:pPr>
        <w:ind w:left="4320" w:hanging="180"/>
      </w:pPr>
    </w:lvl>
    <w:lvl w:ilvl="6" w:tplc="46744C56">
      <w:start w:val="1"/>
      <w:numFmt w:val="decimal"/>
      <w:lvlText w:val="%7."/>
      <w:lvlJc w:val="left"/>
      <w:pPr>
        <w:ind w:left="5040" w:hanging="360"/>
      </w:pPr>
    </w:lvl>
    <w:lvl w:ilvl="7" w:tplc="D2D4A0C2">
      <w:start w:val="1"/>
      <w:numFmt w:val="lowerLetter"/>
      <w:lvlText w:val="%8."/>
      <w:lvlJc w:val="left"/>
      <w:pPr>
        <w:ind w:left="5760" w:hanging="360"/>
      </w:pPr>
    </w:lvl>
    <w:lvl w:ilvl="8" w:tplc="9A0E9D38">
      <w:start w:val="1"/>
      <w:numFmt w:val="lowerRoman"/>
      <w:lvlText w:val="%9."/>
      <w:lvlJc w:val="right"/>
      <w:pPr>
        <w:ind w:left="6480" w:hanging="180"/>
      </w:pPr>
    </w:lvl>
  </w:abstractNum>
  <w:abstractNum w:abstractNumId="8" w15:restartNumberingAfterBreak="0">
    <w:nsid w:val="229D2339"/>
    <w:multiLevelType w:val="multilevel"/>
    <w:tmpl w:val="1818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51623691">
    <w:abstractNumId w:val="7"/>
  </w:num>
  <w:num w:numId="2" w16cid:durableId="327834674">
    <w:abstractNumId w:val="1"/>
  </w:num>
  <w:num w:numId="3" w16cid:durableId="1470973022">
    <w:abstractNumId w:val="3"/>
  </w:num>
  <w:num w:numId="4" w16cid:durableId="1616404292">
    <w:abstractNumId w:val="18"/>
  </w:num>
  <w:num w:numId="5" w16cid:durableId="1298531488">
    <w:abstractNumId w:val="5"/>
  </w:num>
  <w:num w:numId="6" w16cid:durableId="1868369629">
    <w:abstractNumId w:val="15"/>
  </w:num>
  <w:num w:numId="7" w16cid:durableId="1286930598">
    <w:abstractNumId w:val="19"/>
  </w:num>
  <w:num w:numId="8" w16cid:durableId="564534531">
    <w:abstractNumId w:val="2"/>
  </w:num>
  <w:num w:numId="9" w16cid:durableId="1223712776">
    <w:abstractNumId w:val="14"/>
  </w:num>
  <w:num w:numId="10" w16cid:durableId="1531719700">
    <w:abstractNumId w:val="11"/>
  </w:num>
  <w:num w:numId="11" w16cid:durableId="964121441">
    <w:abstractNumId w:val="4"/>
  </w:num>
  <w:num w:numId="12" w16cid:durableId="771122173">
    <w:abstractNumId w:val="16"/>
  </w:num>
  <w:num w:numId="13" w16cid:durableId="284430038">
    <w:abstractNumId w:val="20"/>
  </w:num>
  <w:num w:numId="14" w16cid:durableId="1646661875">
    <w:abstractNumId w:val="12"/>
  </w:num>
  <w:num w:numId="15" w16cid:durableId="1624074826">
    <w:abstractNumId w:val="9"/>
  </w:num>
  <w:num w:numId="16" w16cid:durableId="1239637973">
    <w:abstractNumId w:val="17"/>
  </w:num>
  <w:num w:numId="17" w16cid:durableId="1658457725">
    <w:abstractNumId w:val="10"/>
  </w:num>
  <w:num w:numId="18" w16cid:durableId="803735551">
    <w:abstractNumId w:val="6"/>
  </w:num>
  <w:num w:numId="19" w16cid:durableId="1373535309">
    <w:abstractNumId w:val="13"/>
  </w:num>
  <w:num w:numId="20" w16cid:durableId="739526572">
    <w:abstractNumId w:val="8"/>
  </w:num>
  <w:num w:numId="21" w16cid:durableId="932933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aOIzl31b3PfMeBL/lq4KIO//7v95Xb+4e6VVldIfNst0nFUfA1qOIPJJEMKQb42yA/IZD4qtn0tSYo+Yk7v+EQ==" w:salt="/h4TWjQzv+zXiZ/ExGLJE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293"/>
    <w:rsid w:val="000016EC"/>
    <w:rsid w:val="00003562"/>
    <w:rsid w:val="0000729D"/>
    <w:rsid w:val="0001072F"/>
    <w:rsid w:val="00013176"/>
    <w:rsid w:val="00014F38"/>
    <w:rsid w:val="00016770"/>
    <w:rsid w:val="00019CDB"/>
    <w:rsid w:val="00021674"/>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6F22"/>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32FE"/>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2112"/>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20DF"/>
    <w:rsid w:val="00224240"/>
    <w:rsid w:val="00226FA2"/>
    <w:rsid w:val="0024134B"/>
    <w:rsid w:val="00251132"/>
    <w:rsid w:val="002535DF"/>
    <w:rsid w:val="002558EB"/>
    <w:rsid w:val="00255B43"/>
    <w:rsid w:val="00255BDC"/>
    <w:rsid w:val="00255BEA"/>
    <w:rsid w:val="00260901"/>
    <w:rsid w:val="00261403"/>
    <w:rsid w:val="00261F59"/>
    <w:rsid w:val="00272AF4"/>
    <w:rsid w:val="00276C06"/>
    <w:rsid w:val="00280198"/>
    <w:rsid w:val="00282094"/>
    <w:rsid w:val="002843BC"/>
    <w:rsid w:val="00284A84"/>
    <w:rsid w:val="0029129F"/>
    <w:rsid w:val="00296B90"/>
    <w:rsid w:val="00297296"/>
    <w:rsid w:val="002A0668"/>
    <w:rsid w:val="002A49E4"/>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42AF"/>
    <w:rsid w:val="002E5C33"/>
    <w:rsid w:val="002E5D29"/>
    <w:rsid w:val="002F6BE2"/>
    <w:rsid w:val="00300EE4"/>
    <w:rsid w:val="0030197F"/>
    <w:rsid w:val="00301BFC"/>
    <w:rsid w:val="0030223E"/>
    <w:rsid w:val="00303A1E"/>
    <w:rsid w:val="00303BBD"/>
    <w:rsid w:val="00313440"/>
    <w:rsid w:val="00314FCD"/>
    <w:rsid w:val="00324290"/>
    <w:rsid w:val="00331632"/>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051E"/>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3E4"/>
    <w:rsid w:val="003E1DFB"/>
    <w:rsid w:val="003E6CFF"/>
    <w:rsid w:val="003F6870"/>
    <w:rsid w:val="004010E3"/>
    <w:rsid w:val="004055B8"/>
    <w:rsid w:val="00405C1E"/>
    <w:rsid w:val="004061C0"/>
    <w:rsid w:val="0040709D"/>
    <w:rsid w:val="004122F9"/>
    <w:rsid w:val="004124D3"/>
    <w:rsid w:val="004139BA"/>
    <w:rsid w:val="00414591"/>
    <w:rsid w:val="00421CBC"/>
    <w:rsid w:val="0043008C"/>
    <w:rsid w:val="00430B91"/>
    <w:rsid w:val="004326A4"/>
    <w:rsid w:val="004374EF"/>
    <w:rsid w:val="00440F61"/>
    <w:rsid w:val="004441CB"/>
    <w:rsid w:val="00450DB8"/>
    <w:rsid w:val="00453D2C"/>
    <w:rsid w:val="00454851"/>
    <w:rsid w:val="0045551E"/>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5D23"/>
    <w:rsid w:val="004816ED"/>
    <w:rsid w:val="004834F0"/>
    <w:rsid w:val="00485DAA"/>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7E1"/>
    <w:rsid w:val="004C5EEF"/>
    <w:rsid w:val="004D118A"/>
    <w:rsid w:val="004D1CB9"/>
    <w:rsid w:val="004D21C9"/>
    <w:rsid w:val="004E34F8"/>
    <w:rsid w:val="004E3C84"/>
    <w:rsid w:val="004E43B5"/>
    <w:rsid w:val="004E528B"/>
    <w:rsid w:val="004E7D07"/>
    <w:rsid w:val="004F146C"/>
    <w:rsid w:val="004F1F3C"/>
    <w:rsid w:val="004F657B"/>
    <w:rsid w:val="004F6F6C"/>
    <w:rsid w:val="0050408D"/>
    <w:rsid w:val="00504C6A"/>
    <w:rsid w:val="00510364"/>
    <w:rsid w:val="005116C9"/>
    <w:rsid w:val="00511BEE"/>
    <w:rsid w:val="005165D9"/>
    <w:rsid w:val="005175E9"/>
    <w:rsid w:val="00520368"/>
    <w:rsid w:val="0052658A"/>
    <w:rsid w:val="00533270"/>
    <w:rsid w:val="00540146"/>
    <w:rsid w:val="00543C22"/>
    <w:rsid w:val="0054405B"/>
    <w:rsid w:val="0054567F"/>
    <w:rsid w:val="00546B44"/>
    <w:rsid w:val="0055023E"/>
    <w:rsid w:val="00553291"/>
    <w:rsid w:val="005546FF"/>
    <w:rsid w:val="005558D4"/>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0B12"/>
    <w:rsid w:val="005A12F0"/>
    <w:rsid w:val="005A5291"/>
    <w:rsid w:val="005A6FD1"/>
    <w:rsid w:val="005B08F1"/>
    <w:rsid w:val="005B47BC"/>
    <w:rsid w:val="005C00EC"/>
    <w:rsid w:val="005C15C9"/>
    <w:rsid w:val="005C30E9"/>
    <w:rsid w:val="005C663B"/>
    <w:rsid w:val="005D1C38"/>
    <w:rsid w:val="005D1ED6"/>
    <w:rsid w:val="005D767A"/>
    <w:rsid w:val="005E2628"/>
    <w:rsid w:val="005E58D9"/>
    <w:rsid w:val="005E5F66"/>
    <w:rsid w:val="005F46EC"/>
    <w:rsid w:val="005F49C9"/>
    <w:rsid w:val="005F71CE"/>
    <w:rsid w:val="005F7A68"/>
    <w:rsid w:val="00601980"/>
    <w:rsid w:val="0060332C"/>
    <w:rsid w:val="00604C5A"/>
    <w:rsid w:val="00607F1D"/>
    <w:rsid w:val="006109AF"/>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5FCE"/>
    <w:rsid w:val="00666FD4"/>
    <w:rsid w:val="00667217"/>
    <w:rsid w:val="006702C6"/>
    <w:rsid w:val="00671E09"/>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11EB"/>
    <w:rsid w:val="006C7ED1"/>
    <w:rsid w:val="006D75E1"/>
    <w:rsid w:val="006D7670"/>
    <w:rsid w:val="006E10F4"/>
    <w:rsid w:val="006E10FD"/>
    <w:rsid w:val="006E2996"/>
    <w:rsid w:val="006E2EEC"/>
    <w:rsid w:val="006E471E"/>
    <w:rsid w:val="006E4859"/>
    <w:rsid w:val="006F24E3"/>
    <w:rsid w:val="007032E9"/>
    <w:rsid w:val="007065D3"/>
    <w:rsid w:val="007071B1"/>
    <w:rsid w:val="00707EC1"/>
    <w:rsid w:val="00710582"/>
    <w:rsid w:val="00714EE9"/>
    <w:rsid w:val="00717D95"/>
    <w:rsid w:val="007246B0"/>
    <w:rsid w:val="007258CB"/>
    <w:rsid w:val="00730E29"/>
    <w:rsid w:val="00732FF6"/>
    <w:rsid w:val="00735393"/>
    <w:rsid w:val="00736711"/>
    <w:rsid w:val="00745E32"/>
    <w:rsid w:val="007466F7"/>
    <w:rsid w:val="00747ABA"/>
    <w:rsid w:val="00750630"/>
    <w:rsid w:val="00756F22"/>
    <w:rsid w:val="00757D89"/>
    <w:rsid w:val="0076194B"/>
    <w:rsid w:val="00763676"/>
    <w:rsid w:val="00772776"/>
    <w:rsid w:val="00776E56"/>
    <w:rsid w:val="00781619"/>
    <w:rsid w:val="0079146B"/>
    <w:rsid w:val="00791DD5"/>
    <w:rsid w:val="00796875"/>
    <w:rsid w:val="0079756E"/>
    <w:rsid w:val="007A1233"/>
    <w:rsid w:val="007A258F"/>
    <w:rsid w:val="007A38ED"/>
    <w:rsid w:val="007A3B3A"/>
    <w:rsid w:val="007B0BBA"/>
    <w:rsid w:val="007B506D"/>
    <w:rsid w:val="007C16F7"/>
    <w:rsid w:val="007C679F"/>
    <w:rsid w:val="007D1945"/>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0CE0"/>
    <w:rsid w:val="00864432"/>
    <w:rsid w:val="008649A3"/>
    <w:rsid w:val="0086670A"/>
    <w:rsid w:val="00870BA1"/>
    <w:rsid w:val="00873CDE"/>
    <w:rsid w:val="00874421"/>
    <w:rsid w:val="00875997"/>
    <w:rsid w:val="0087796C"/>
    <w:rsid w:val="00880932"/>
    <w:rsid w:val="008825B5"/>
    <w:rsid w:val="00882979"/>
    <w:rsid w:val="00885E74"/>
    <w:rsid w:val="00886B14"/>
    <w:rsid w:val="008927F4"/>
    <w:rsid w:val="00893B58"/>
    <w:rsid w:val="00894E4C"/>
    <w:rsid w:val="0089642A"/>
    <w:rsid w:val="008A1743"/>
    <w:rsid w:val="008A23DD"/>
    <w:rsid w:val="008A28AF"/>
    <w:rsid w:val="008A4392"/>
    <w:rsid w:val="008A6C51"/>
    <w:rsid w:val="008B15CF"/>
    <w:rsid w:val="008B2242"/>
    <w:rsid w:val="008B4AD1"/>
    <w:rsid w:val="008B6D93"/>
    <w:rsid w:val="008B7AF1"/>
    <w:rsid w:val="008C24CF"/>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1D3D"/>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1F5"/>
    <w:rsid w:val="00B30468"/>
    <w:rsid w:val="00B32160"/>
    <w:rsid w:val="00B32B07"/>
    <w:rsid w:val="00B336E9"/>
    <w:rsid w:val="00B3397D"/>
    <w:rsid w:val="00B341C4"/>
    <w:rsid w:val="00B3426B"/>
    <w:rsid w:val="00B34F7B"/>
    <w:rsid w:val="00B35999"/>
    <w:rsid w:val="00B44237"/>
    <w:rsid w:val="00B47D09"/>
    <w:rsid w:val="00B50108"/>
    <w:rsid w:val="00B50E2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2D9B"/>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070"/>
    <w:rsid w:val="00C06B6B"/>
    <w:rsid w:val="00C06F37"/>
    <w:rsid w:val="00C0799A"/>
    <w:rsid w:val="00C13438"/>
    <w:rsid w:val="00C170FF"/>
    <w:rsid w:val="00C173E1"/>
    <w:rsid w:val="00C2019E"/>
    <w:rsid w:val="00C27AEF"/>
    <w:rsid w:val="00C30E0D"/>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0531"/>
    <w:rsid w:val="00CA1C19"/>
    <w:rsid w:val="00CA204D"/>
    <w:rsid w:val="00CA2E14"/>
    <w:rsid w:val="00CA60CD"/>
    <w:rsid w:val="00CA7E66"/>
    <w:rsid w:val="00CB10E9"/>
    <w:rsid w:val="00CB11D6"/>
    <w:rsid w:val="00CB5475"/>
    <w:rsid w:val="00CB60A7"/>
    <w:rsid w:val="00CB665E"/>
    <w:rsid w:val="00CB6E09"/>
    <w:rsid w:val="00CC09A7"/>
    <w:rsid w:val="00CC0FD9"/>
    <w:rsid w:val="00CC1F8F"/>
    <w:rsid w:val="00CD139B"/>
    <w:rsid w:val="00CD5795"/>
    <w:rsid w:val="00CD5E59"/>
    <w:rsid w:val="00CD7831"/>
    <w:rsid w:val="00CE05D4"/>
    <w:rsid w:val="00CE4712"/>
    <w:rsid w:val="00CF3224"/>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4464"/>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10D0"/>
    <w:rsid w:val="00DF6125"/>
    <w:rsid w:val="00E13E05"/>
    <w:rsid w:val="00E15784"/>
    <w:rsid w:val="00E16734"/>
    <w:rsid w:val="00E179BE"/>
    <w:rsid w:val="00E20401"/>
    <w:rsid w:val="00E264D8"/>
    <w:rsid w:val="00E319F9"/>
    <w:rsid w:val="00E331C7"/>
    <w:rsid w:val="00E35240"/>
    <w:rsid w:val="00E36AA4"/>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3598"/>
    <w:rsid w:val="00E95F4D"/>
    <w:rsid w:val="00E97067"/>
    <w:rsid w:val="00EA04E1"/>
    <w:rsid w:val="00EA6E8E"/>
    <w:rsid w:val="00EA7978"/>
    <w:rsid w:val="00EA7D19"/>
    <w:rsid w:val="00EB2D4B"/>
    <w:rsid w:val="00EB7F70"/>
    <w:rsid w:val="00EC4C2A"/>
    <w:rsid w:val="00EC6764"/>
    <w:rsid w:val="00EC726F"/>
    <w:rsid w:val="00EC7743"/>
    <w:rsid w:val="00EC7B8C"/>
    <w:rsid w:val="00ED2540"/>
    <w:rsid w:val="00ED3754"/>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3D2D"/>
    <w:rsid w:val="00F14096"/>
    <w:rsid w:val="00F14820"/>
    <w:rsid w:val="00F30DED"/>
    <w:rsid w:val="00F31DB2"/>
    <w:rsid w:val="00F353D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CEB"/>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C5159"/>
    <w:rsid w:val="00FD0FFF"/>
    <w:rsid w:val="00FE2208"/>
    <w:rsid w:val="00FE2769"/>
    <w:rsid w:val="00FE2ED0"/>
    <w:rsid w:val="00FE3C8C"/>
    <w:rsid w:val="00FE430B"/>
    <w:rsid w:val="00FE46AF"/>
    <w:rsid w:val="00FE73C3"/>
    <w:rsid w:val="00FF1F94"/>
    <w:rsid w:val="00FF2B49"/>
    <w:rsid w:val="00FF3001"/>
    <w:rsid w:val="00FF5582"/>
    <w:rsid w:val="02343FD3"/>
    <w:rsid w:val="03D01034"/>
    <w:rsid w:val="04255073"/>
    <w:rsid w:val="055FEC11"/>
    <w:rsid w:val="07230EFA"/>
    <w:rsid w:val="0A5AAFBC"/>
    <w:rsid w:val="0B4CB32B"/>
    <w:rsid w:val="0BDD57C0"/>
    <w:rsid w:val="103C1CA1"/>
    <w:rsid w:val="13008B58"/>
    <w:rsid w:val="14D9F6F1"/>
    <w:rsid w:val="181197B3"/>
    <w:rsid w:val="1A02A853"/>
    <w:rsid w:val="1B493875"/>
    <w:rsid w:val="1D0066DA"/>
    <w:rsid w:val="1DD11BAC"/>
    <w:rsid w:val="1F6CEC0D"/>
    <w:rsid w:val="236FA85E"/>
    <w:rsid w:val="24749943"/>
    <w:rsid w:val="2593AA2E"/>
    <w:rsid w:val="25A24B56"/>
    <w:rsid w:val="28400C07"/>
    <w:rsid w:val="2970BEAF"/>
    <w:rsid w:val="2BE4F3FF"/>
    <w:rsid w:val="2C531F32"/>
    <w:rsid w:val="2DB0AA55"/>
    <w:rsid w:val="2E85C22A"/>
    <w:rsid w:val="2EC98A29"/>
    <w:rsid w:val="2FC6D7D6"/>
    <w:rsid w:val="3076D2CA"/>
    <w:rsid w:val="30B86522"/>
    <w:rsid w:val="3162A837"/>
    <w:rsid w:val="33F005E4"/>
    <w:rsid w:val="35BBBC3A"/>
    <w:rsid w:val="35FA3EE1"/>
    <w:rsid w:val="389D8235"/>
    <w:rsid w:val="38C37707"/>
    <w:rsid w:val="39E3D2D5"/>
    <w:rsid w:val="3A461F0B"/>
    <w:rsid w:val="3A6B6AEF"/>
    <w:rsid w:val="3AB487A7"/>
    <w:rsid w:val="3C2AFDBE"/>
    <w:rsid w:val="3F629E80"/>
    <w:rsid w:val="40267B7E"/>
    <w:rsid w:val="44085F55"/>
    <w:rsid w:val="442187B2"/>
    <w:rsid w:val="443DFD29"/>
    <w:rsid w:val="45D9CD8A"/>
    <w:rsid w:val="4663D7C7"/>
    <w:rsid w:val="470D96B5"/>
    <w:rsid w:val="47759DEB"/>
    <w:rsid w:val="486D67DC"/>
    <w:rsid w:val="49116E4C"/>
    <w:rsid w:val="4930D34E"/>
    <w:rsid w:val="49705274"/>
    <w:rsid w:val="4C8470B7"/>
    <w:rsid w:val="4D9BD11D"/>
    <w:rsid w:val="4DE2F5C3"/>
    <w:rsid w:val="4E87A68A"/>
    <w:rsid w:val="4FE43ECE"/>
    <w:rsid w:val="5204FB9F"/>
    <w:rsid w:val="52C44516"/>
    <w:rsid w:val="53CB7887"/>
    <w:rsid w:val="547B737B"/>
    <w:rsid w:val="55EFF154"/>
    <w:rsid w:val="56C29E64"/>
    <w:rsid w:val="578BC1B5"/>
    <w:rsid w:val="57B3143D"/>
    <w:rsid w:val="585814D0"/>
    <w:rsid w:val="5B844375"/>
    <w:rsid w:val="5BA9F191"/>
    <w:rsid w:val="5BEFA5E4"/>
    <w:rsid w:val="5D928EBC"/>
    <w:rsid w:val="6032B4E1"/>
    <w:rsid w:val="63CE2BD3"/>
    <w:rsid w:val="6A3DAAC0"/>
    <w:rsid w:val="6B884CCB"/>
    <w:rsid w:val="6C70104F"/>
    <w:rsid w:val="6CC5508E"/>
    <w:rsid w:val="6D243928"/>
    <w:rsid w:val="6D472246"/>
    <w:rsid w:val="6F8E88B4"/>
    <w:rsid w:val="6FA9E6B8"/>
    <w:rsid w:val="703E83A8"/>
    <w:rsid w:val="720A39FE"/>
    <w:rsid w:val="7223625B"/>
    <w:rsid w:val="724AB4E3"/>
    <w:rsid w:val="7391826E"/>
    <w:rsid w:val="73A60A5F"/>
    <w:rsid w:val="752D52CF"/>
    <w:rsid w:val="7663EE47"/>
    <w:rsid w:val="7864F391"/>
    <w:rsid w:val="7A6EE240"/>
    <w:rsid w:val="7AEC995F"/>
    <w:rsid w:val="7B6190D7"/>
    <w:rsid w:val="7B9C9453"/>
    <w:rsid w:val="7C3366EA"/>
    <w:rsid w:val="7D12B1A9"/>
    <w:rsid w:val="7EFC9F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711"/>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
    <w:name w:val="kwd"/>
    <w:basedOn w:val="DefaultParagraphFont"/>
    <w:rsid w:val="008C24CF"/>
  </w:style>
  <w:style w:type="character" w:customStyle="1" w:styleId="captionlabel">
    <w:name w:val="captionlabel"/>
    <w:basedOn w:val="DefaultParagraphFont"/>
    <w:rsid w:val="008C24CF"/>
  </w:style>
  <w:style w:type="character" w:customStyle="1" w:styleId="figure">
    <w:name w:val="figure"/>
    <w:basedOn w:val="DefaultParagraphFont"/>
    <w:rsid w:val="008C24CF"/>
  </w:style>
  <w:style w:type="character" w:customStyle="1" w:styleId="overlay">
    <w:name w:val="overlay"/>
    <w:basedOn w:val="DefaultParagraphFont"/>
    <w:rsid w:val="008C24CF"/>
  </w:style>
  <w:style w:type="character" w:customStyle="1" w:styleId="nlmfn">
    <w:name w:val="nlm_fn"/>
    <w:basedOn w:val="DefaultParagraphFont"/>
    <w:rsid w:val="008C24CF"/>
  </w:style>
  <w:style w:type="character" w:customStyle="1" w:styleId="fn-label">
    <w:name w:val="fn-label"/>
    <w:basedOn w:val="DefaultParagraphFont"/>
    <w:rsid w:val="008C24CF"/>
  </w:style>
  <w:style w:type="character" w:customStyle="1" w:styleId="nlminline-graphic">
    <w:name w:val="nlm_inline-graphic"/>
    <w:basedOn w:val="DefaultParagraphFont"/>
    <w:rsid w:val="008C24CF"/>
  </w:style>
  <w:style w:type="character" w:customStyle="1" w:styleId="nlmyear">
    <w:name w:val="nlm_year"/>
    <w:basedOn w:val="DefaultParagraphFont"/>
    <w:rsid w:val="008C24CF"/>
  </w:style>
  <w:style w:type="character" w:customStyle="1" w:styleId="nlmarticle-title">
    <w:name w:val="nlm_article-title"/>
    <w:basedOn w:val="DefaultParagraphFont"/>
    <w:rsid w:val="008C24CF"/>
  </w:style>
  <w:style w:type="character" w:customStyle="1" w:styleId="nlmfpage">
    <w:name w:val="nlm_fpage"/>
    <w:basedOn w:val="DefaultParagraphFont"/>
    <w:rsid w:val="008C24CF"/>
  </w:style>
  <w:style w:type="character" w:customStyle="1" w:styleId="nlmlpage">
    <w:name w:val="nlm_lpage"/>
    <w:basedOn w:val="DefaultParagraphFont"/>
    <w:rsid w:val="008C24CF"/>
  </w:style>
  <w:style w:type="character" w:customStyle="1" w:styleId="ref-google">
    <w:name w:val="ref-google"/>
    <w:basedOn w:val="DefaultParagraphFont"/>
    <w:rsid w:val="008C24CF"/>
  </w:style>
  <w:style w:type="character" w:customStyle="1" w:styleId="ref-xlink">
    <w:name w:val="ref-xlink"/>
    <w:basedOn w:val="DefaultParagraphFont"/>
    <w:rsid w:val="008C24CF"/>
  </w:style>
  <w:style w:type="character" w:customStyle="1" w:styleId="ref-sfxlink">
    <w:name w:val="ref-sfxlink"/>
    <w:basedOn w:val="DefaultParagraphFont"/>
    <w:rsid w:val="008C24CF"/>
  </w:style>
  <w:style w:type="character" w:customStyle="1" w:styleId="nlmpublisher-name">
    <w:name w:val="nlm_publisher-name"/>
    <w:basedOn w:val="DefaultParagraphFont"/>
    <w:rsid w:val="008C24CF"/>
  </w:style>
  <w:style w:type="character" w:customStyle="1" w:styleId="nlmmonth">
    <w:name w:val="nlm_month"/>
    <w:basedOn w:val="DefaultParagraphFont"/>
    <w:rsid w:val="008C24CF"/>
  </w:style>
  <w:style w:type="character" w:customStyle="1" w:styleId="nlmday">
    <w:name w:val="nlm_day"/>
    <w:basedOn w:val="DefaultParagraphFont"/>
    <w:rsid w:val="008C2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861818989">
      <w:bodyDiv w:val="1"/>
      <w:marLeft w:val="0"/>
      <w:marRight w:val="0"/>
      <w:marTop w:val="0"/>
      <w:marBottom w:val="0"/>
      <w:divBdr>
        <w:top w:val="none" w:sz="0" w:space="0" w:color="auto"/>
        <w:left w:val="none" w:sz="0" w:space="0" w:color="auto"/>
        <w:bottom w:val="none" w:sz="0" w:space="0" w:color="auto"/>
        <w:right w:val="none" w:sz="0" w:space="0" w:color="auto"/>
      </w:divBdr>
      <w:divsChild>
        <w:div w:id="2144343475">
          <w:marLeft w:val="0"/>
          <w:marRight w:val="0"/>
          <w:marTop w:val="75"/>
          <w:marBottom w:val="0"/>
          <w:divBdr>
            <w:top w:val="none" w:sz="0" w:space="0" w:color="auto"/>
            <w:left w:val="none" w:sz="0" w:space="0" w:color="auto"/>
            <w:bottom w:val="none" w:sz="0" w:space="0" w:color="auto"/>
            <w:right w:val="none" w:sz="0" w:space="0" w:color="auto"/>
          </w:divBdr>
          <w:divsChild>
            <w:div w:id="1852260138">
              <w:marLeft w:val="0"/>
              <w:marRight w:val="0"/>
              <w:marTop w:val="0"/>
              <w:marBottom w:val="0"/>
              <w:divBdr>
                <w:top w:val="none" w:sz="0" w:space="0" w:color="auto"/>
                <w:left w:val="none" w:sz="0" w:space="0" w:color="auto"/>
                <w:bottom w:val="none" w:sz="0" w:space="0" w:color="auto"/>
                <w:right w:val="none" w:sz="0" w:space="0" w:color="auto"/>
              </w:divBdr>
            </w:div>
            <w:div w:id="1451365454">
              <w:marLeft w:val="0"/>
              <w:marRight w:val="0"/>
              <w:marTop w:val="0"/>
              <w:marBottom w:val="0"/>
              <w:divBdr>
                <w:top w:val="none" w:sz="0" w:space="0" w:color="auto"/>
                <w:left w:val="none" w:sz="0" w:space="0" w:color="auto"/>
                <w:bottom w:val="none" w:sz="0" w:space="0" w:color="auto"/>
                <w:right w:val="none" w:sz="0" w:space="0" w:color="auto"/>
              </w:divBdr>
            </w:div>
          </w:divsChild>
        </w:div>
        <w:div w:id="231814201">
          <w:marLeft w:val="0"/>
          <w:marRight w:val="0"/>
          <w:marTop w:val="0"/>
          <w:marBottom w:val="150"/>
          <w:divBdr>
            <w:top w:val="none" w:sz="0" w:space="0" w:color="auto"/>
            <w:left w:val="none" w:sz="0" w:space="0" w:color="auto"/>
            <w:bottom w:val="single" w:sz="6" w:space="0" w:color="CCCCCC"/>
            <w:right w:val="none" w:sz="0" w:space="0" w:color="auto"/>
          </w:divBdr>
          <w:divsChild>
            <w:div w:id="677006872">
              <w:marLeft w:val="300"/>
              <w:marRight w:val="0"/>
              <w:marTop w:val="0"/>
              <w:marBottom w:val="450"/>
              <w:divBdr>
                <w:top w:val="none" w:sz="0" w:space="0" w:color="auto"/>
                <w:left w:val="none" w:sz="0" w:space="0" w:color="auto"/>
                <w:bottom w:val="none" w:sz="0" w:space="0" w:color="auto"/>
                <w:right w:val="none" w:sz="0" w:space="0" w:color="auto"/>
              </w:divBdr>
              <w:divsChild>
                <w:div w:id="20325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242105">
          <w:marLeft w:val="0"/>
          <w:marRight w:val="0"/>
          <w:marTop w:val="0"/>
          <w:marBottom w:val="0"/>
          <w:divBdr>
            <w:top w:val="none" w:sz="0" w:space="0" w:color="auto"/>
            <w:left w:val="none" w:sz="0" w:space="0" w:color="auto"/>
            <w:bottom w:val="none" w:sz="0" w:space="0" w:color="auto"/>
            <w:right w:val="none" w:sz="0" w:space="0" w:color="auto"/>
          </w:divBdr>
          <w:divsChild>
            <w:div w:id="33163300">
              <w:marLeft w:val="0"/>
              <w:marRight w:val="0"/>
              <w:marTop w:val="0"/>
              <w:marBottom w:val="0"/>
              <w:divBdr>
                <w:top w:val="none" w:sz="0" w:space="0" w:color="auto"/>
                <w:left w:val="none" w:sz="0" w:space="0" w:color="auto"/>
                <w:bottom w:val="none" w:sz="0" w:space="0" w:color="auto"/>
                <w:right w:val="none" w:sz="0" w:space="0" w:color="auto"/>
              </w:divBdr>
              <w:divsChild>
                <w:div w:id="61223256">
                  <w:marLeft w:val="0"/>
                  <w:marRight w:val="0"/>
                  <w:marTop w:val="0"/>
                  <w:marBottom w:val="0"/>
                  <w:divBdr>
                    <w:top w:val="none" w:sz="0" w:space="0" w:color="auto"/>
                    <w:left w:val="none" w:sz="0" w:space="0" w:color="auto"/>
                    <w:bottom w:val="none" w:sz="0" w:space="0" w:color="auto"/>
                    <w:right w:val="none" w:sz="0" w:space="0" w:color="auto"/>
                  </w:divBdr>
                </w:div>
              </w:divsChild>
            </w:div>
            <w:div w:id="817190055">
              <w:marLeft w:val="0"/>
              <w:marRight w:val="0"/>
              <w:marTop w:val="0"/>
              <w:marBottom w:val="0"/>
              <w:divBdr>
                <w:top w:val="none" w:sz="0" w:space="0" w:color="auto"/>
                <w:left w:val="none" w:sz="0" w:space="0" w:color="auto"/>
                <w:bottom w:val="none" w:sz="0" w:space="0" w:color="auto"/>
                <w:right w:val="none" w:sz="0" w:space="0" w:color="auto"/>
              </w:divBdr>
              <w:divsChild>
                <w:div w:id="1597329299">
                  <w:marLeft w:val="0"/>
                  <w:marRight w:val="0"/>
                  <w:marTop w:val="0"/>
                  <w:marBottom w:val="0"/>
                  <w:divBdr>
                    <w:top w:val="none" w:sz="0" w:space="0" w:color="auto"/>
                    <w:left w:val="none" w:sz="0" w:space="0" w:color="auto"/>
                    <w:bottom w:val="none" w:sz="0" w:space="0" w:color="auto"/>
                    <w:right w:val="none" w:sz="0" w:space="0" w:color="auto"/>
                  </w:divBdr>
                </w:div>
                <w:div w:id="1790007762">
                  <w:marLeft w:val="0"/>
                  <w:marRight w:val="0"/>
                  <w:marTop w:val="0"/>
                  <w:marBottom w:val="0"/>
                  <w:divBdr>
                    <w:top w:val="none" w:sz="0" w:space="0" w:color="auto"/>
                    <w:left w:val="none" w:sz="0" w:space="0" w:color="auto"/>
                    <w:bottom w:val="none" w:sz="0" w:space="0" w:color="auto"/>
                    <w:right w:val="none" w:sz="0" w:space="0" w:color="auto"/>
                  </w:divBdr>
                  <w:divsChild>
                    <w:div w:id="1584491387">
                      <w:marLeft w:val="300"/>
                      <w:marRight w:val="0"/>
                      <w:marTop w:val="0"/>
                      <w:marBottom w:val="0"/>
                      <w:divBdr>
                        <w:top w:val="none" w:sz="0" w:space="0" w:color="auto"/>
                        <w:left w:val="none" w:sz="0" w:space="0" w:color="auto"/>
                        <w:bottom w:val="none" w:sz="0" w:space="0" w:color="auto"/>
                        <w:right w:val="none" w:sz="0" w:space="0" w:color="auto"/>
                      </w:divBdr>
                    </w:div>
                  </w:divsChild>
                </w:div>
                <w:div w:id="320693550">
                  <w:marLeft w:val="0"/>
                  <w:marRight w:val="0"/>
                  <w:marTop w:val="0"/>
                  <w:marBottom w:val="0"/>
                  <w:divBdr>
                    <w:top w:val="none" w:sz="0" w:space="0" w:color="auto"/>
                    <w:left w:val="none" w:sz="0" w:space="0" w:color="auto"/>
                    <w:bottom w:val="none" w:sz="0" w:space="0" w:color="auto"/>
                    <w:right w:val="none" w:sz="0" w:space="0" w:color="auto"/>
                  </w:divBdr>
                  <w:divsChild>
                    <w:div w:id="163054946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27427813">
              <w:marLeft w:val="0"/>
              <w:marRight w:val="0"/>
              <w:marTop w:val="0"/>
              <w:marBottom w:val="0"/>
              <w:divBdr>
                <w:top w:val="none" w:sz="0" w:space="0" w:color="auto"/>
                <w:left w:val="none" w:sz="0" w:space="0" w:color="auto"/>
                <w:bottom w:val="none" w:sz="0" w:space="0" w:color="auto"/>
                <w:right w:val="none" w:sz="0" w:space="0" w:color="auto"/>
              </w:divBdr>
              <w:divsChild>
                <w:div w:id="886406262">
                  <w:marLeft w:val="0"/>
                  <w:marRight w:val="0"/>
                  <w:marTop w:val="0"/>
                  <w:marBottom w:val="0"/>
                  <w:divBdr>
                    <w:top w:val="none" w:sz="0" w:space="0" w:color="auto"/>
                    <w:left w:val="none" w:sz="0" w:space="0" w:color="auto"/>
                    <w:bottom w:val="none" w:sz="0" w:space="0" w:color="auto"/>
                    <w:right w:val="none" w:sz="0" w:space="0" w:color="auto"/>
                  </w:divBdr>
                </w:div>
                <w:div w:id="1858736752">
                  <w:marLeft w:val="0"/>
                  <w:marRight w:val="0"/>
                  <w:marTop w:val="0"/>
                  <w:marBottom w:val="0"/>
                  <w:divBdr>
                    <w:top w:val="none" w:sz="0" w:space="0" w:color="auto"/>
                    <w:left w:val="none" w:sz="0" w:space="0" w:color="auto"/>
                    <w:bottom w:val="none" w:sz="0" w:space="0" w:color="auto"/>
                    <w:right w:val="none" w:sz="0" w:space="0" w:color="auto"/>
                  </w:divBdr>
                  <w:divsChild>
                    <w:div w:id="1554536977">
                      <w:marLeft w:val="300"/>
                      <w:marRight w:val="0"/>
                      <w:marTop w:val="0"/>
                      <w:marBottom w:val="0"/>
                      <w:divBdr>
                        <w:top w:val="none" w:sz="0" w:space="0" w:color="auto"/>
                        <w:left w:val="none" w:sz="0" w:space="0" w:color="auto"/>
                        <w:bottom w:val="none" w:sz="0" w:space="0" w:color="auto"/>
                        <w:right w:val="none" w:sz="0" w:space="0" w:color="auto"/>
                      </w:divBdr>
                    </w:div>
                  </w:divsChild>
                </w:div>
                <w:div w:id="1414545354">
                  <w:marLeft w:val="0"/>
                  <w:marRight w:val="0"/>
                  <w:marTop w:val="0"/>
                  <w:marBottom w:val="0"/>
                  <w:divBdr>
                    <w:top w:val="none" w:sz="0" w:space="0" w:color="auto"/>
                    <w:left w:val="none" w:sz="0" w:space="0" w:color="auto"/>
                    <w:bottom w:val="none" w:sz="0" w:space="0" w:color="auto"/>
                    <w:right w:val="none" w:sz="0" w:space="0" w:color="auto"/>
                  </w:divBdr>
                  <w:divsChild>
                    <w:div w:id="1547646642">
                      <w:marLeft w:val="300"/>
                      <w:marRight w:val="0"/>
                      <w:marTop w:val="0"/>
                      <w:marBottom w:val="0"/>
                      <w:divBdr>
                        <w:top w:val="none" w:sz="0" w:space="0" w:color="auto"/>
                        <w:left w:val="none" w:sz="0" w:space="0" w:color="auto"/>
                        <w:bottom w:val="none" w:sz="0" w:space="0" w:color="auto"/>
                        <w:right w:val="none" w:sz="0" w:space="0" w:color="auto"/>
                      </w:divBdr>
                    </w:div>
                  </w:divsChild>
                </w:div>
                <w:div w:id="1060594575">
                  <w:marLeft w:val="0"/>
                  <w:marRight w:val="0"/>
                  <w:marTop w:val="0"/>
                  <w:marBottom w:val="0"/>
                  <w:divBdr>
                    <w:top w:val="none" w:sz="0" w:space="0" w:color="auto"/>
                    <w:left w:val="none" w:sz="0" w:space="0" w:color="auto"/>
                    <w:bottom w:val="none" w:sz="0" w:space="0" w:color="auto"/>
                    <w:right w:val="none" w:sz="0" w:space="0" w:color="auto"/>
                  </w:divBdr>
                  <w:divsChild>
                    <w:div w:id="1013528539">
                      <w:marLeft w:val="300"/>
                      <w:marRight w:val="0"/>
                      <w:marTop w:val="0"/>
                      <w:marBottom w:val="0"/>
                      <w:divBdr>
                        <w:top w:val="none" w:sz="0" w:space="0" w:color="auto"/>
                        <w:left w:val="none" w:sz="0" w:space="0" w:color="auto"/>
                        <w:bottom w:val="none" w:sz="0" w:space="0" w:color="auto"/>
                        <w:right w:val="none" w:sz="0" w:space="0" w:color="auto"/>
                      </w:divBdr>
                    </w:div>
                    <w:div w:id="1913851149">
                      <w:marLeft w:val="0"/>
                      <w:marRight w:val="0"/>
                      <w:marTop w:val="0"/>
                      <w:marBottom w:val="0"/>
                      <w:divBdr>
                        <w:top w:val="none" w:sz="0" w:space="0" w:color="auto"/>
                        <w:left w:val="none" w:sz="0" w:space="0" w:color="auto"/>
                        <w:bottom w:val="none" w:sz="0" w:space="0" w:color="auto"/>
                        <w:right w:val="none" w:sz="0" w:space="0" w:color="auto"/>
                      </w:divBdr>
                    </w:div>
                    <w:div w:id="899362982">
                      <w:marLeft w:val="0"/>
                      <w:marRight w:val="0"/>
                      <w:marTop w:val="0"/>
                      <w:marBottom w:val="0"/>
                      <w:divBdr>
                        <w:top w:val="none" w:sz="0" w:space="0" w:color="auto"/>
                        <w:left w:val="none" w:sz="0" w:space="0" w:color="auto"/>
                        <w:bottom w:val="none" w:sz="0" w:space="0" w:color="auto"/>
                        <w:right w:val="none" w:sz="0" w:space="0" w:color="auto"/>
                      </w:divBdr>
                    </w:div>
                    <w:div w:id="450133629">
                      <w:marLeft w:val="375"/>
                      <w:marRight w:val="375"/>
                      <w:marTop w:val="0"/>
                      <w:marBottom w:val="0"/>
                      <w:divBdr>
                        <w:top w:val="none" w:sz="0" w:space="0" w:color="auto"/>
                        <w:left w:val="none" w:sz="0" w:space="0" w:color="auto"/>
                        <w:bottom w:val="none" w:sz="0" w:space="0" w:color="auto"/>
                        <w:right w:val="none" w:sz="0" w:space="0" w:color="auto"/>
                      </w:divBdr>
                      <w:divsChild>
                        <w:div w:id="1195343197">
                          <w:marLeft w:val="0"/>
                          <w:marRight w:val="0"/>
                          <w:marTop w:val="0"/>
                          <w:marBottom w:val="0"/>
                          <w:divBdr>
                            <w:top w:val="none" w:sz="0" w:space="0" w:color="auto"/>
                            <w:left w:val="none" w:sz="0" w:space="0" w:color="auto"/>
                            <w:bottom w:val="none" w:sz="0" w:space="0" w:color="auto"/>
                            <w:right w:val="none" w:sz="0" w:space="0" w:color="auto"/>
                          </w:divBdr>
                        </w:div>
                        <w:div w:id="7845402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092969059">
                  <w:marLeft w:val="0"/>
                  <w:marRight w:val="0"/>
                  <w:marTop w:val="0"/>
                  <w:marBottom w:val="0"/>
                  <w:divBdr>
                    <w:top w:val="none" w:sz="0" w:space="0" w:color="auto"/>
                    <w:left w:val="none" w:sz="0" w:space="0" w:color="auto"/>
                    <w:bottom w:val="none" w:sz="0" w:space="0" w:color="auto"/>
                    <w:right w:val="none" w:sz="0" w:space="0" w:color="auto"/>
                  </w:divBdr>
                  <w:divsChild>
                    <w:div w:id="180047324">
                      <w:marLeft w:val="300"/>
                      <w:marRight w:val="0"/>
                      <w:marTop w:val="0"/>
                      <w:marBottom w:val="0"/>
                      <w:divBdr>
                        <w:top w:val="none" w:sz="0" w:space="0" w:color="auto"/>
                        <w:left w:val="none" w:sz="0" w:space="0" w:color="auto"/>
                        <w:bottom w:val="none" w:sz="0" w:space="0" w:color="auto"/>
                        <w:right w:val="none" w:sz="0" w:space="0" w:color="auto"/>
                      </w:divBdr>
                    </w:div>
                    <w:div w:id="141313050">
                      <w:marLeft w:val="0"/>
                      <w:marRight w:val="0"/>
                      <w:marTop w:val="0"/>
                      <w:marBottom w:val="0"/>
                      <w:divBdr>
                        <w:top w:val="none" w:sz="0" w:space="0" w:color="auto"/>
                        <w:left w:val="none" w:sz="0" w:space="0" w:color="auto"/>
                        <w:bottom w:val="none" w:sz="0" w:space="0" w:color="auto"/>
                        <w:right w:val="none" w:sz="0" w:space="0" w:color="auto"/>
                      </w:divBdr>
                      <w:divsChild>
                        <w:div w:id="161898216">
                          <w:marLeft w:val="300"/>
                          <w:marRight w:val="0"/>
                          <w:marTop w:val="0"/>
                          <w:marBottom w:val="0"/>
                          <w:divBdr>
                            <w:top w:val="none" w:sz="0" w:space="0" w:color="auto"/>
                            <w:left w:val="none" w:sz="0" w:space="0" w:color="auto"/>
                            <w:bottom w:val="none" w:sz="0" w:space="0" w:color="auto"/>
                            <w:right w:val="none" w:sz="0" w:space="0" w:color="auto"/>
                          </w:divBdr>
                        </w:div>
                      </w:divsChild>
                    </w:div>
                    <w:div w:id="1856069126">
                      <w:marLeft w:val="0"/>
                      <w:marRight w:val="0"/>
                      <w:marTop w:val="0"/>
                      <w:marBottom w:val="0"/>
                      <w:divBdr>
                        <w:top w:val="none" w:sz="0" w:space="0" w:color="auto"/>
                        <w:left w:val="none" w:sz="0" w:space="0" w:color="auto"/>
                        <w:bottom w:val="none" w:sz="0" w:space="0" w:color="auto"/>
                        <w:right w:val="none" w:sz="0" w:space="0" w:color="auto"/>
                      </w:divBdr>
                      <w:divsChild>
                        <w:div w:id="992680521">
                          <w:marLeft w:val="300"/>
                          <w:marRight w:val="0"/>
                          <w:marTop w:val="0"/>
                          <w:marBottom w:val="0"/>
                          <w:divBdr>
                            <w:top w:val="none" w:sz="0" w:space="0" w:color="auto"/>
                            <w:left w:val="none" w:sz="0" w:space="0" w:color="auto"/>
                            <w:bottom w:val="none" w:sz="0" w:space="0" w:color="auto"/>
                            <w:right w:val="none" w:sz="0" w:space="0" w:color="auto"/>
                          </w:divBdr>
                        </w:div>
                      </w:divsChild>
                    </w:div>
                    <w:div w:id="774403359">
                      <w:marLeft w:val="0"/>
                      <w:marRight w:val="0"/>
                      <w:marTop w:val="0"/>
                      <w:marBottom w:val="0"/>
                      <w:divBdr>
                        <w:top w:val="none" w:sz="0" w:space="0" w:color="auto"/>
                        <w:left w:val="none" w:sz="0" w:space="0" w:color="auto"/>
                        <w:bottom w:val="none" w:sz="0" w:space="0" w:color="auto"/>
                        <w:right w:val="none" w:sz="0" w:space="0" w:color="auto"/>
                      </w:divBdr>
                      <w:divsChild>
                        <w:div w:id="108838484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042990">
              <w:marLeft w:val="0"/>
              <w:marRight w:val="0"/>
              <w:marTop w:val="0"/>
              <w:marBottom w:val="0"/>
              <w:divBdr>
                <w:top w:val="none" w:sz="0" w:space="0" w:color="auto"/>
                <w:left w:val="none" w:sz="0" w:space="0" w:color="auto"/>
                <w:bottom w:val="none" w:sz="0" w:space="0" w:color="auto"/>
                <w:right w:val="none" w:sz="0" w:space="0" w:color="auto"/>
              </w:divBdr>
              <w:divsChild>
                <w:div w:id="2062359872">
                  <w:marLeft w:val="0"/>
                  <w:marRight w:val="0"/>
                  <w:marTop w:val="0"/>
                  <w:marBottom w:val="0"/>
                  <w:divBdr>
                    <w:top w:val="none" w:sz="0" w:space="0" w:color="auto"/>
                    <w:left w:val="none" w:sz="0" w:space="0" w:color="auto"/>
                    <w:bottom w:val="none" w:sz="0" w:space="0" w:color="auto"/>
                    <w:right w:val="none" w:sz="0" w:space="0" w:color="auto"/>
                  </w:divBdr>
                </w:div>
                <w:div w:id="288584219">
                  <w:marLeft w:val="0"/>
                  <w:marRight w:val="0"/>
                  <w:marTop w:val="0"/>
                  <w:marBottom w:val="0"/>
                  <w:divBdr>
                    <w:top w:val="none" w:sz="0" w:space="0" w:color="auto"/>
                    <w:left w:val="none" w:sz="0" w:space="0" w:color="auto"/>
                    <w:bottom w:val="none" w:sz="0" w:space="0" w:color="auto"/>
                    <w:right w:val="none" w:sz="0" w:space="0" w:color="auto"/>
                  </w:divBdr>
                  <w:divsChild>
                    <w:div w:id="1007056684">
                      <w:marLeft w:val="300"/>
                      <w:marRight w:val="0"/>
                      <w:marTop w:val="0"/>
                      <w:marBottom w:val="0"/>
                      <w:divBdr>
                        <w:top w:val="none" w:sz="0" w:space="0" w:color="auto"/>
                        <w:left w:val="none" w:sz="0" w:space="0" w:color="auto"/>
                        <w:bottom w:val="none" w:sz="0" w:space="0" w:color="auto"/>
                        <w:right w:val="none" w:sz="0" w:space="0" w:color="auto"/>
                      </w:divBdr>
                    </w:div>
                  </w:divsChild>
                </w:div>
                <w:div w:id="1496725176">
                  <w:marLeft w:val="0"/>
                  <w:marRight w:val="0"/>
                  <w:marTop w:val="0"/>
                  <w:marBottom w:val="0"/>
                  <w:divBdr>
                    <w:top w:val="none" w:sz="0" w:space="0" w:color="auto"/>
                    <w:left w:val="none" w:sz="0" w:space="0" w:color="auto"/>
                    <w:bottom w:val="none" w:sz="0" w:space="0" w:color="auto"/>
                    <w:right w:val="none" w:sz="0" w:space="0" w:color="auto"/>
                  </w:divBdr>
                  <w:divsChild>
                    <w:div w:id="414518956">
                      <w:marLeft w:val="300"/>
                      <w:marRight w:val="0"/>
                      <w:marTop w:val="0"/>
                      <w:marBottom w:val="0"/>
                      <w:divBdr>
                        <w:top w:val="none" w:sz="0" w:space="0" w:color="auto"/>
                        <w:left w:val="none" w:sz="0" w:space="0" w:color="auto"/>
                        <w:bottom w:val="none" w:sz="0" w:space="0" w:color="auto"/>
                        <w:right w:val="none" w:sz="0" w:space="0" w:color="auto"/>
                      </w:divBdr>
                    </w:div>
                  </w:divsChild>
                </w:div>
                <w:div w:id="1780027886">
                  <w:marLeft w:val="0"/>
                  <w:marRight w:val="0"/>
                  <w:marTop w:val="0"/>
                  <w:marBottom w:val="0"/>
                  <w:divBdr>
                    <w:top w:val="none" w:sz="0" w:space="0" w:color="auto"/>
                    <w:left w:val="none" w:sz="0" w:space="0" w:color="auto"/>
                    <w:bottom w:val="none" w:sz="0" w:space="0" w:color="auto"/>
                    <w:right w:val="none" w:sz="0" w:space="0" w:color="auto"/>
                  </w:divBdr>
                  <w:divsChild>
                    <w:div w:id="966085976">
                      <w:marLeft w:val="300"/>
                      <w:marRight w:val="0"/>
                      <w:marTop w:val="0"/>
                      <w:marBottom w:val="0"/>
                      <w:divBdr>
                        <w:top w:val="none" w:sz="0" w:space="0" w:color="auto"/>
                        <w:left w:val="none" w:sz="0" w:space="0" w:color="auto"/>
                        <w:bottom w:val="none" w:sz="0" w:space="0" w:color="auto"/>
                        <w:right w:val="none" w:sz="0" w:space="0" w:color="auto"/>
                      </w:divBdr>
                    </w:div>
                    <w:div w:id="1339043902">
                      <w:marLeft w:val="300"/>
                      <w:marRight w:val="0"/>
                      <w:marTop w:val="0"/>
                      <w:marBottom w:val="0"/>
                      <w:divBdr>
                        <w:top w:val="none" w:sz="0" w:space="0" w:color="auto"/>
                        <w:left w:val="none" w:sz="0" w:space="0" w:color="auto"/>
                        <w:bottom w:val="none" w:sz="0" w:space="0" w:color="auto"/>
                        <w:right w:val="none" w:sz="0" w:space="0" w:color="auto"/>
                      </w:divBdr>
                      <w:divsChild>
                        <w:div w:id="1917086953">
                          <w:marLeft w:val="0"/>
                          <w:marRight w:val="0"/>
                          <w:marTop w:val="0"/>
                          <w:marBottom w:val="375"/>
                          <w:divBdr>
                            <w:top w:val="none" w:sz="0" w:space="0" w:color="auto"/>
                            <w:left w:val="none" w:sz="0" w:space="0" w:color="auto"/>
                            <w:bottom w:val="none" w:sz="0" w:space="0" w:color="auto"/>
                            <w:right w:val="none" w:sz="0" w:space="0" w:color="auto"/>
                          </w:divBdr>
                          <w:divsChild>
                            <w:div w:id="120671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891064">
                      <w:marLeft w:val="0"/>
                      <w:marRight w:val="0"/>
                      <w:marTop w:val="0"/>
                      <w:marBottom w:val="0"/>
                      <w:divBdr>
                        <w:top w:val="none" w:sz="0" w:space="0" w:color="auto"/>
                        <w:left w:val="none" w:sz="0" w:space="0" w:color="auto"/>
                        <w:bottom w:val="none" w:sz="0" w:space="0" w:color="auto"/>
                        <w:right w:val="none" w:sz="0" w:space="0" w:color="auto"/>
                      </w:divBdr>
                    </w:div>
                    <w:div w:id="50928056">
                      <w:marLeft w:val="0"/>
                      <w:marRight w:val="0"/>
                      <w:marTop w:val="0"/>
                      <w:marBottom w:val="0"/>
                      <w:divBdr>
                        <w:top w:val="none" w:sz="0" w:space="0" w:color="auto"/>
                        <w:left w:val="none" w:sz="0" w:space="0" w:color="auto"/>
                        <w:bottom w:val="none" w:sz="0" w:space="0" w:color="auto"/>
                        <w:right w:val="none" w:sz="0" w:space="0" w:color="auto"/>
                      </w:divBdr>
                    </w:div>
                    <w:div w:id="1838038977">
                      <w:marLeft w:val="375"/>
                      <w:marRight w:val="375"/>
                      <w:marTop w:val="0"/>
                      <w:marBottom w:val="0"/>
                      <w:divBdr>
                        <w:top w:val="none" w:sz="0" w:space="0" w:color="auto"/>
                        <w:left w:val="none" w:sz="0" w:space="0" w:color="auto"/>
                        <w:bottom w:val="none" w:sz="0" w:space="0" w:color="auto"/>
                        <w:right w:val="none" w:sz="0" w:space="0" w:color="auto"/>
                      </w:divBdr>
                      <w:divsChild>
                        <w:div w:id="146361992">
                          <w:marLeft w:val="0"/>
                          <w:marRight w:val="0"/>
                          <w:marTop w:val="0"/>
                          <w:marBottom w:val="0"/>
                          <w:divBdr>
                            <w:top w:val="none" w:sz="0" w:space="0" w:color="auto"/>
                            <w:left w:val="none" w:sz="0" w:space="0" w:color="auto"/>
                            <w:bottom w:val="none" w:sz="0" w:space="0" w:color="auto"/>
                            <w:right w:val="none" w:sz="0" w:space="0" w:color="auto"/>
                          </w:divBdr>
                        </w:div>
                        <w:div w:id="1360937988">
                          <w:marLeft w:val="0"/>
                          <w:marRight w:val="0"/>
                          <w:marTop w:val="150"/>
                          <w:marBottom w:val="0"/>
                          <w:divBdr>
                            <w:top w:val="none" w:sz="0" w:space="0" w:color="auto"/>
                            <w:left w:val="none" w:sz="0" w:space="0" w:color="auto"/>
                            <w:bottom w:val="none" w:sz="0" w:space="0" w:color="auto"/>
                            <w:right w:val="none" w:sz="0" w:space="0" w:color="auto"/>
                          </w:divBdr>
                        </w:div>
                      </w:divsChild>
                    </w:div>
                    <w:div w:id="1675691964">
                      <w:marLeft w:val="0"/>
                      <w:marRight w:val="0"/>
                      <w:marTop w:val="0"/>
                      <w:marBottom w:val="0"/>
                      <w:divBdr>
                        <w:top w:val="none" w:sz="0" w:space="0" w:color="auto"/>
                        <w:left w:val="none" w:sz="0" w:space="0" w:color="auto"/>
                        <w:bottom w:val="none" w:sz="0" w:space="0" w:color="auto"/>
                        <w:right w:val="none" w:sz="0" w:space="0" w:color="auto"/>
                      </w:divBdr>
                    </w:div>
                    <w:div w:id="1029140027">
                      <w:marLeft w:val="0"/>
                      <w:marRight w:val="0"/>
                      <w:marTop w:val="0"/>
                      <w:marBottom w:val="0"/>
                      <w:divBdr>
                        <w:top w:val="none" w:sz="0" w:space="0" w:color="auto"/>
                        <w:left w:val="none" w:sz="0" w:space="0" w:color="auto"/>
                        <w:bottom w:val="none" w:sz="0" w:space="0" w:color="auto"/>
                        <w:right w:val="none" w:sz="0" w:space="0" w:color="auto"/>
                      </w:divBdr>
                    </w:div>
                    <w:div w:id="609356353">
                      <w:marLeft w:val="375"/>
                      <w:marRight w:val="375"/>
                      <w:marTop w:val="0"/>
                      <w:marBottom w:val="0"/>
                      <w:divBdr>
                        <w:top w:val="none" w:sz="0" w:space="0" w:color="auto"/>
                        <w:left w:val="none" w:sz="0" w:space="0" w:color="auto"/>
                        <w:bottom w:val="none" w:sz="0" w:space="0" w:color="auto"/>
                        <w:right w:val="none" w:sz="0" w:space="0" w:color="auto"/>
                      </w:divBdr>
                      <w:divsChild>
                        <w:div w:id="2086416938">
                          <w:marLeft w:val="0"/>
                          <w:marRight w:val="0"/>
                          <w:marTop w:val="0"/>
                          <w:marBottom w:val="0"/>
                          <w:divBdr>
                            <w:top w:val="none" w:sz="0" w:space="0" w:color="auto"/>
                            <w:left w:val="none" w:sz="0" w:space="0" w:color="auto"/>
                            <w:bottom w:val="none" w:sz="0" w:space="0" w:color="auto"/>
                            <w:right w:val="none" w:sz="0" w:space="0" w:color="auto"/>
                          </w:divBdr>
                        </w:div>
                        <w:div w:id="2100101658">
                          <w:marLeft w:val="0"/>
                          <w:marRight w:val="0"/>
                          <w:marTop w:val="150"/>
                          <w:marBottom w:val="0"/>
                          <w:divBdr>
                            <w:top w:val="none" w:sz="0" w:space="0" w:color="auto"/>
                            <w:left w:val="none" w:sz="0" w:space="0" w:color="auto"/>
                            <w:bottom w:val="none" w:sz="0" w:space="0" w:color="auto"/>
                            <w:right w:val="none" w:sz="0" w:space="0" w:color="auto"/>
                          </w:divBdr>
                        </w:div>
                      </w:divsChild>
                    </w:div>
                    <w:div w:id="1932278371">
                      <w:marLeft w:val="0"/>
                      <w:marRight w:val="0"/>
                      <w:marTop w:val="0"/>
                      <w:marBottom w:val="0"/>
                      <w:divBdr>
                        <w:top w:val="none" w:sz="0" w:space="0" w:color="auto"/>
                        <w:left w:val="none" w:sz="0" w:space="0" w:color="auto"/>
                        <w:bottom w:val="none" w:sz="0" w:space="0" w:color="auto"/>
                        <w:right w:val="none" w:sz="0" w:space="0" w:color="auto"/>
                      </w:divBdr>
                    </w:div>
                    <w:div w:id="83843070">
                      <w:marLeft w:val="0"/>
                      <w:marRight w:val="0"/>
                      <w:marTop w:val="0"/>
                      <w:marBottom w:val="0"/>
                      <w:divBdr>
                        <w:top w:val="none" w:sz="0" w:space="0" w:color="auto"/>
                        <w:left w:val="none" w:sz="0" w:space="0" w:color="auto"/>
                        <w:bottom w:val="none" w:sz="0" w:space="0" w:color="auto"/>
                        <w:right w:val="none" w:sz="0" w:space="0" w:color="auto"/>
                      </w:divBdr>
                    </w:div>
                    <w:div w:id="170416655">
                      <w:marLeft w:val="375"/>
                      <w:marRight w:val="375"/>
                      <w:marTop w:val="0"/>
                      <w:marBottom w:val="0"/>
                      <w:divBdr>
                        <w:top w:val="none" w:sz="0" w:space="0" w:color="auto"/>
                        <w:left w:val="none" w:sz="0" w:space="0" w:color="auto"/>
                        <w:bottom w:val="none" w:sz="0" w:space="0" w:color="auto"/>
                        <w:right w:val="none" w:sz="0" w:space="0" w:color="auto"/>
                      </w:divBdr>
                      <w:divsChild>
                        <w:div w:id="1905067553">
                          <w:marLeft w:val="0"/>
                          <w:marRight w:val="0"/>
                          <w:marTop w:val="0"/>
                          <w:marBottom w:val="0"/>
                          <w:divBdr>
                            <w:top w:val="none" w:sz="0" w:space="0" w:color="auto"/>
                            <w:left w:val="none" w:sz="0" w:space="0" w:color="auto"/>
                            <w:bottom w:val="none" w:sz="0" w:space="0" w:color="auto"/>
                            <w:right w:val="none" w:sz="0" w:space="0" w:color="auto"/>
                          </w:divBdr>
                        </w:div>
                        <w:div w:id="447354545">
                          <w:marLeft w:val="0"/>
                          <w:marRight w:val="0"/>
                          <w:marTop w:val="150"/>
                          <w:marBottom w:val="0"/>
                          <w:divBdr>
                            <w:top w:val="none" w:sz="0" w:space="0" w:color="auto"/>
                            <w:left w:val="none" w:sz="0" w:space="0" w:color="auto"/>
                            <w:bottom w:val="none" w:sz="0" w:space="0" w:color="auto"/>
                            <w:right w:val="none" w:sz="0" w:space="0" w:color="auto"/>
                          </w:divBdr>
                        </w:div>
                      </w:divsChild>
                    </w:div>
                    <w:div w:id="43874200">
                      <w:marLeft w:val="0"/>
                      <w:marRight w:val="0"/>
                      <w:marTop w:val="0"/>
                      <w:marBottom w:val="0"/>
                      <w:divBdr>
                        <w:top w:val="none" w:sz="0" w:space="0" w:color="auto"/>
                        <w:left w:val="none" w:sz="0" w:space="0" w:color="auto"/>
                        <w:bottom w:val="none" w:sz="0" w:space="0" w:color="auto"/>
                        <w:right w:val="none" w:sz="0" w:space="0" w:color="auto"/>
                      </w:divBdr>
                    </w:div>
                    <w:div w:id="1050499362">
                      <w:marLeft w:val="0"/>
                      <w:marRight w:val="0"/>
                      <w:marTop w:val="0"/>
                      <w:marBottom w:val="0"/>
                      <w:divBdr>
                        <w:top w:val="none" w:sz="0" w:space="0" w:color="auto"/>
                        <w:left w:val="none" w:sz="0" w:space="0" w:color="auto"/>
                        <w:bottom w:val="none" w:sz="0" w:space="0" w:color="auto"/>
                        <w:right w:val="none" w:sz="0" w:space="0" w:color="auto"/>
                      </w:divBdr>
                    </w:div>
                    <w:div w:id="391390504">
                      <w:marLeft w:val="375"/>
                      <w:marRight w:val="375"/>
                      <w:marTop w:val="0"/>
                      <w:marBottom w:val="0"/>
                      <w:divBdr>
                        <w:top w:val="none" w:sz="0" w:space="0" w:color="auto"/>
                        <w:left w:val="none" w:sz="0" w:space="0" w:color="auto"/>
                        <w:bottom w:val="none" w:sz="0" w:space="0" w:color="auto"/>
                        <w:right w:val="none" w:sz="0" w:space="0" w:color="auto"/>
                      </w:divBdr>
                      <w:divsChild>
                        <w:div w:id="745996724">
                          <w:marLeft w:val="0"/>
                          <w:marRight w:val="0"/>
                          <w:marTop w:val="0"/>
                          <w:marBottom w:val="0"/>
                          <w:divBdr>
                            <w:top w:val="none" w:sz="0" w:space="0" w:color="auto"/>
                            <w:left w:val="none" w:sz="0" w:space="0" w:color="auto"/>
                            <w:bottom w:val="none" w:sz="0" w:space="0" w:color="auto"/>
                            <w:right w:val="none" w:sz="0" w:space="0" w:color="auto"/>
                          </w:divBdr>
                        </w:div>
                        <w:div w:id="1896046382">
                          <w:marLeft w:val="0"/>
                          <w:marRight w:val="0"/>
                          <w:marTop w:val="150"/>
                          <w:marBottom w:val="0"/>
                          <w:divBdr>
                            <w:top w:val="none" w:sz="0" w:space="0" w:color="auto"/>
                            <w:left w:val="none" w:sz="0" w:space="0" w:color="auto"/>
                            <w:bottom w:val="none" w:sz="0" w:space="0" w:color="auto"/>
                            <w:right w:val="none" w:sz="0" w:space="0" w:color="auto"/>
                          </w:divBdr>
                        </w:div>
                      </w:divsChild>
                    </w:div>
                    <w:div w:id="2094081957">
                      <w:marLeft w:val="0"/>
                      <w:marRight w:val="0"/>
                      <w:marTop w:val="0"/>
                      <w:marBottom w:val="0"/>
                      <w:divBdr>
                        <w:top w:val="none" w:sz="0" w:space="0" w:color="auto"/>
                        <w:left w:val="none" w:sz="0" w:space="0" w:color="auto"/>
                        <w:bottom w:val="none" w:sz="0" w:space="0" w:color="auto"/>
                        <w:right w:val="none" w:sz="0" w:space="0" w:color="auto"/>
                      </w:divBdr>
                    </w:div>
                    <w:div w:id="109712149">
                      <w:marLeft w:val="0"/>
                      <w:marRight w:val="0"/>
                      <w:marTop w:val="0"/>
                      <w:marBottom w:val="0"/>
                      <w:divBdr>
                        <w:top w:val="none" w:sz="0" w:space="0" w:color="auto"/>
                        <w:left w:val="none" w:sz="0" w:space="0" w:color="auto"/>
                        <w:bottom w:val="none" w:sz="0" w:space="0" w:color="auto"/>
                        <w:right w:val="none" w:sz="0" w:space="0" w:color="auto"/>
                      </w:divBdr>
                    </w:div>
                    <w:div w:id="1877690923">
                      <w:marLeft w:val="375"/>
                      <w:marRight w:val="375"/>
                      <w:marTop w:val="0"/>
                      <w:marBottom w:val="0"/>
                      <w:divBdr>
                        <w:top w:val="none" w:sz="0" w:space="0" w:color="auto"/>
                        <w:left w:val="none" w:sz="0" w:space="0" w:color="auto"/>
                        <w:bottom w:val="none" w:sz="0" w:space="0" w:color="auto"/>
                        <w:right w:val="none" w:sz="0" w:space="0" w:color="auto"/>
                      </w:divBdr>
                      <w:divsChild>
                        <w:div w:id="1935160832">
                          <w:marLeft w:val="0"/>
                          <w:marRight w:val="0"/>
                          <w:marTop w:val="0"/>
                          <w:marBottom w:val="0"/>
                          <w:divBdr>
                            <w:top w:val="none" w:sz="0" w:space="0" w:color="auto"/>
                            <w:left w:val="none" w:sz="0" w:space="0" w:color="auto"/>
                            <w:bottom w:val="none" w:sz="0" w:space="0" w:color="auto"/>
                            <w:right w:val="none" w:sz="0" w:space="0" w:color="auto"/>
                          </w:divBdr>
                        </w:div>
                        <w:div w:id="916400090">
                          <w:marLeft w:val="0"/>
                          <w:marRight w:val="0"/>
                          <w:marTop w:val="150"/>
                          <w:marBottom w:val="0"/>
                          <w:divBdr>
                            <w:top w:val="none" w:sz="0" w:space="0" w:color="auto"/>
                            <w:left w:val="none" w:sz="0" w:space="0" w:color="auto"/>
                            <w:bottom w:val="none" w:sz="0" w:space="0" w:color="auto"/>
                            <w:right w:val="none" w:sz="0" w:space="0" w:color="auto"/>
                          </w:divBdr>
                        </w:div>
                      </w:divsChild>
                    </w:div>
                    <w:div w:id="61951879">
                      <w:marLeft w:val="0"/>
                      <w:marRight w:val="0"/>
                      <w:marTop w:val="0"/>
                      <w:marBottom w:val="0"/>
                      <w:divBdr>
                        <w:top w:val="none" w:sz="0" w:space="0" w:color="auto"/>
                        <w:left w:val="none" w:sz="0" w:space="0" w:color="auto"/>
                        <w:bottom w:val="none" w:sz="0" w:space="0" w:color="auto"/>
                        <w:right w:val="none" w:sz="0" w:space="0" w:color="auto"/>
                      </w:divBdr>
                    </w:div>
                    <w:div w:id="467475953">
                      <w:marLeft w:val="0"/>
                      <w:marRight w:val="0"/>
                      <w:marTop w:val="0"/>
                      <w:marBottom w:val="0"/>
                      <w:divBdr>
                        <w:top w:val="none" w:sz="0" w:space="0" w:color="auto"/>
                        <w:left w:val="none" w:sz="0" w:space="0" w:color="auto"/>
                        <w:bottom w:val="none" w:sz="0" w:space="0" w:color="auto"/>
                        <w:right w:val="none" w:sz="0" w:space="0" w:color="auto"/>
                      </w:divBdr>
                    </w:div>
                    <w:div w:id="683629070">
                      <w:marLeft w:val="375"/>
                      <w:marRight w:val="375"/>
                      <w:marTop w:val="0"/>
                      <w:marBottom w:val="0"/>
                      <w:divBdr>
                        <w:top w:val="none" w:sz="0" w:space="0" w:color="auto"/>
                        <w:left w:val="none" w:sz="0" w:space="0" w:color="auto"/>
                        <w:bottom w:val="none" w:sz="0" w:space="0" w:color="auto"/>
                        <w:right w:val="none" w:sz="0" w:space="0" w:color="auto"/>
                      </w:divBdr>
                      <w:divsChild>
                        <w:div w:id="477963852">
                          <w:marLeft w:val="0"/>
                          <w:marRight w:val="0"/>
                          <w:marTop w:val="0"/>
                          <w:marBottom w:val="0"/>
                          <w:divBdr>
                            <w:top w:val="none" w:sz="0" w:space="0" w:color="auto"/>
                            <w:left w:val="none" w:sz="0" w:space="0" w:color="auto"/>
                            <w:bottom w:val="none" w:sz="0" w:space="0" w:color="auto"/>
                            <w:right w:val="none" w:sz="0" w:space="0" w:color="auto"/>
                          </w:divBdr>
                        </w:div>
                        <w:div w:id="1182860199">
                          <w:marLeft w:val="0"/>
                          <w:marRight w:val="0"/>
                          <w:marTop w:val="150"/>
                          <w:marBottom w:val="0"/>
                          <w:divBdr>
                            <w:top w:val="none" w:sz="0" w:space="0" w:color="auto"/>
                            <w:left w:val="none" w:sz="0" w:space="0" w:color="auto"/>
                            <w:bottom w:val="none" w:sz="0" w:space="0" w:color="auto"/>
                            <w:right w:val="none" w:sz="0" w:space="0" w:color="auto"/>
                          </w:divBdr>
                        </w:div>
                      </w:divsChild>
                    </w:div>
                    <w:div w:id="1967811100">
                      <w:marLeft w:val="0"/>
                      <w:marRight w:val="0"/>
                      <w:marTop w:val="0"/>
                      <w:marBottom w:val="0"/>
                      <w:divBdr>
                        <w:top w:val="none" w:sz="0" w:space="0" w:color="auto"/>
                        <w:left w:val="none" w:sz="0" w:space="0" w:color="auto"/>
                        <w:bottom w:val="none" w:sz="0" w:space="0" w:color="auto"/>
                        <w:right w:val="none" w:sz="0" w:space="0" w:color="auto"/>
                      </w:divBdr>
                    </w:div>
                    <w:div w:id="1325628706">
                      <w:marLeft w:val="0"/>
                      <w:marRight w:val="0"/>
                      <w:marTop w:val="0"/>
                      <w:marBottom w:val="0"/>
                      <w:divBdr>
                        <w:top w:val="none" w:sz="0" w:space="0" w:color="auto"/>
                        <w:left w:val="none" w:sz="0" w:space="0" w:color="auto"/>
                        <w:bottom w:val="none" w:sz="0" w:space="0" w:color="auto"/>
                        <w:right w:val="none" w:sz="0" w:space="0" w:color="auto"/>
                      </w:divBdr>
                    </w:div>
                    <w:div w:id="723915790">
                      <w:marLeft w:val="375"/>
                      <w:marRight w:val="375"/>
                      <w:marTop w:val="0"/>
                      <w:marBottom w:val="0"/>
                      <w:divBdr>
                        <w:top w:val="none" w:sz="0" w:space="0" w:color="auto"/>
                        <w:left w:val="none" w:sz="0" w:space="0" w:color="auto"/>
                        <w:bottom w:val="none" w:sz="0" w:space="0" w:color="auto"/>
                        <w:right w:val="none" w:sz="0" w:space="0" w:color="auto"/>
                      </w:divBdr>
                      <w:divsChild>
                        <w:div w:id="338897287">
                          <w:marLeft w:val="0"/>
                          <w:marRight w:val="0"/>
                          <w:marTop w:val="0"/>
                          <w:marBottom w:val="0"/>
                          <w:divBdr>
                            <w:top w:val="none" w:sz="0" w:space="0" w:color="auto"/>
                            <w:left w:val="none" w:sz="0" w:space="0" w:color="auto"/>
                            <w:bottom w:val="none" w:sz="0" w:space="0" w:color="auto"/>
                            <w:right w:val="none" w:sz="0" w:space="0" w:color="auto"/>
                          </w:divBdr>
                        </w:div>
                        <w:div w:id="822308649">
                          <w:marLeft w:val="0"/>
                          <w:marRight w:val="0"/>
                          <w:marTop w:val="150"/>
                          <w:marBottom w:val="0"/>
                          <w:divBdr>
                            <w:top w:val="none" w:sz="0" w:space="0" w:color="auto"/>
                            <w:left w:val="none" w:sz="0" w:space="0" w:color="auto"/>
                            <w:bottom w:val="none" w:sz="0" w:space="0" w:color="auto"/>
                            <w:right w:val="none" w:sz="0" w:space="0" w:color="auto"/>
                          </w:divBdr>
                        </w:div>
                      </w:divsChild>
                    </w:div>
                    <w:div w:id="1637297912">
                      <w:marLeft w:val="0"/>
                      <w:marRight w:val="0"/>
                      <w:marTop w:val="0"/>
                      <w:marBottom w:val="0"/>
                      <w:divBdr>
                        <w:top w:val="none" w:sz="0" w:space="0" w:color="auto"/>
                        <w:left w:val="none" w:sz="0" w:space="0" w:color="auto"/>
                        <w:bottom w:val="none" w:sz="0" w:space="0" w:color="auto"/>
                        <w:right w:val="none" w:sz="0" w:space="0" w:color="auto"/>
                      </w:divBdr>
                    </w:div>
                    <w:div w:id="79757600">
                      <w:marLeft w:val="0"/>
                      <w:marRight w:val="0"/>
                      <w:marTop w:val="0"/>
                      <w:marBottom w:val="0"/>
                      <w:divBdr>
                        <w:top w:val="none" w:sz="0" w:space="0" w:color="auto"/>
                        <w:left w:val="none" w:sz="0" w:space="0" w:color="auto"/>
                        <w:bottom w:val="none" w:sz="0" w:space="0" w:color="auto"/>
                        <w:right w:val="none" w:sz="0" w:space="0" w:color="auto"/>
                      </w:divBdr>
                    </w:div>
                    <w:div w:id="194853090">
                      <w:marLeft w:val="375"/>
                      <w:marRight w:val="375"/>
                      <w:marTop w:val="0"/>
                      <w:marBottom w:val="0"/>
                      <w:divBdr>
                        <w:top w:val="none" w:sz="0" w:space="0" w:color="auto"/>
                        <w:left w:val="none" w:sz="0" w:space="0" w:color="auto"/>
                        <w:bottom w:val="none" w:sz="0" w:space="0" w:color="auto"/>
                        <w:right w:val="none" w:sz="0" w:space="0" w:color="auto"/>
                      </w:divBdr>
                      <w:divsChild>
                        <w:div w:id="445277587">
                          <w:marLeft w:val="0"/>
                          <w:marRight w:val="0"/>
                          <w:marTop w:val="0"/>
                          <w:marBottom w:val="0"/>
                          <w:divBdr>
                            <w:top w:val="none" w:sz="0" w:space="0" w:color="auto"/>
                            <w:left w:val="none" w:sz="0" w:space="0" w:color="auto"/>
                            <w:bottom w:val="none" w:sz="0" w:space="0" w:color="auto"/>
                            <w:right w:val="none" w:sz="0" w:space="0" w:color="auto"/>
                          </w:divBdr>
                        </w:div>
                        <w:div w:id="1321075936">
                          <w:marLeft w:val="0"/>
                          <w:marRight w:val="0"/>
                          <w:marTop w:val="150"/>
                          <w:marBottom w:val="0"/>
                          <w:divBdr>
                            <w:top w:val="none" w:sz="0" w:space="0" w:color="auto"/>
                            <w:left w:val="none" w:sz="0" w:space="0" w:color="auto"/>
                            <w:bottom w:val="none" w:sz="0" w:space="0" w:color="auto"/>
                            <w:right w:val="none" w:sz="0" w:space="0" w:color="auto"/>
                          </w:divBdr>
                        </w:div>
                      </w:divsChild>
                    </w:div>
                    <w:div w:id="1294094112">
                      <w:marLeft w:val="0"/>
                      <w:marRight w:val="0"/>
                      <w:marTop w:val="0"/>
                      <w:marBottom w:val="0"/>
                      <w:divBdr>
                        <w:top w:val="none" w:sz="0" w:space="0" w:color="auto"/>
                        <w:left w:val="none" w:sz="0" w:space="0" w:color="auto"/>
                        <w:bottom w:val="none" w:sz="0" w:space="0" w:color="auto"/>
                        <w:right w:val="none" w:sz="0" w:space="0" w:color="auto"/>
                      </w:divBdr>
                    </w:div>
                    <w:div w:id="494998402">
                      <w:marLeft w:val="0"/>
                      <w:marRight w:val="0"/>
                      <w:marTop w:val="0"/>
                      <w:marBottom w:val="0"/>
                      <w:divBdr>
                        <w:top w:val="none" w:sz="0" w:space="0" w:color="auto"/>
                        <w:left w:val="none" w:sz="0" w:space="0" w:color="auto"/>
                        <w:bottom w:val="none" w:sz="0" w:space="0" w:color="auto"/>
                        <w:right w:val="none" w:sz="0" w:space="0" w:color="auto"/>
                      </w:divBdr>
                    </w:div>
                    <w:div w:id="1674335874">
                      <w:marLeft w:val="375"/>
                      <w:marRight w:val="375"/>
                      <w:marTop w:val="0"/>
                      <w:marBottom w:val="0"/>
                      <w:divBdr>
                        <w:top w:val="none" w:sz="0" w:space="0" w:color="auto"/>
                        <w:left w:val="none" w:sz="0" w:space="0" w:color="auto"/>
                        <w:bottom w:val="none" w:sz="0" w:space="0" w:color="auto"/>
                        <w:right w:val="none" w:sz="0" w:space="0" w:color="auto"/>
                      </w:divBdr>
                      <w:divsChild>
                        <w:div w:id="1937513721">
                          <w:marLeft w:val="0"/>
                          <w:marRight w:val="0"/>
                          <w:marTop w:val="0"/>
                          <w:marBottom w:val="0"/>
                          <w:divBdr>
                            <w:top w:val="none" w:sz="0" w:space="0" w:color="auto"/>
                            <w:left w:val="none" w:sz="0" w:space="0" w:color="auto"/>
                            <w:bottom w:val="none" w:sz="0" w:space="0" w:color="auto"/>
                            <w:right w:val="none" w:sz="0" w:space="0" w:color="auto"/>
                          </w:divBdr>
                        </w:div>
                        <w:div w:id="20794716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316028988">
                  <w:marLeft w:val="0"/>
                  <w:marRight w:val="0"/>
                  <w:marTop w:val="0"/>
                  <w:marBottom w:val="0"/>
                  <w:divBdr>
                    <w:top w:val="none" w:sz="0" w:space="0" w:color="auto"/>
                    <w:left w:val="none" w:sz="0" w:space="0" w:color="auto"/>
                    <w:bottom w:val="none" w:sz="0" w:space="0" w:color="auto"/>
                    <w:right w:val="none" w:sz="0" w:space="0" w:color="auto"/>
                  </w:divBdr>
                  <w:divsChild>
                    <w:div w:id="1942176301">
                      <w:marLeft w:val="300"/>
                      <w:marRight w:val="0"/>
                      <w:marTop w:val="0"/>
                      <w:marBottom w:val="0"/>
                      <w:divBdr>
                        <w:top w:val="none" w:sz="0" w:space="0" w:color="auto"/>
                        <w:left w:val="none" w:sz="0" w:space="0" w:color="auto"/>
                        <w:bottom w:val="none" w:sz="0" w:space="0" w:color="auto"/>
                        <w:right w:val="none" w:sz="0" w:space="0" w:color="auto"/>
                      </w:divBdr>
                    </w:div>
                    <w:div w:id="1094740716">
                      <w:marLeft w:val="0"/>
                      <w:marRight w:val="0"/>
                      <w:marTop w:val="0"/>
                      <w:marBottom w:val="0"/>
                      <w:divBdr>
                        <w:top w:val="none" w:sz="0" w:space="0" w:color="auto"/>
                        <w:left w:val="none" w:sz="0" w:space="0" w:color="auto"/>
                        <w:bottom w:val="none" w:sz="0" w:space="0" w:color="auto"/>
                        <w:right w:val="none" w:sz="0" w:space="0" w:color="auto"/>
                      </w:divBdr>
                    </w:div>
                    <w:div w:id="1959797737">
                      <w:marLeft w:val="0"/>
                      <w:marRight w:val="0"/>
                      <w:marTop w:val="0"/>
                      <w:marBottom w:val="0"/>
                      <w:divBdr>
                        <w:top w:val="none" w:sz="0" w:space="0" w:color="auto"/>
                        <w:left w:val="none" w:sz="0" w:space="0" w:color="auto"/>
                        <w:bottom w:val="none" w:sz="0" w:space="0" w:color="auto"/>
                        <w:right w:val="none" w:sz="0" w:space="0" w:color="auto"/>
                      </w:divBdr>
                    </w:div>
                    <w:div w:id="1735470374">
                      <w:marLeft w:val="375"/>
                      <w:marRight w:val="375"/>
                      <w:marTop w:val="0"/>
                      <w:marBottom w:val="0"/>
                      <w:divBdr>
                        <w:top w:val="none" w:sz="0" w:space="0" w:color="auto"/>
                        <w:left w:val="none" w:sz="0" w:space="0" w:color="auto"/>
                        <w:bottom w:val="none" w:sz="0" w:space="0" w:color="auto"/>
                        <w:right w:val="none" w:sz="0" w:space="0" w:color="auto"/>
                      </w:divBdr>
                      <w:divsChild>
                        <w:div w:id="1001128077">
                          <w:marLeft w:val="0"/>
                          <w:marRight w:val="0"/>
                          <w:marTop w:val="0"/>
                          <w:marBottom w:val="0"/>
                          <w:divBdr>
                            <w:top w:val="none" w:sz="0" w:space="0" w:color="auto"/>
                            <w:left w:val="none" w:sz="0" w:space="0" w:color="auto"/>
                            <w:bottom w:val="none" w:sz="0" w:space="0" w:color="auto"/>
                            <w:right w:val="none" w:sz="0" w:space="0" w:color="auto"/>
                          </w:divBdr>
                        </w:div>
                        <w:div w:id="713163412">
                          <w:marLeft w:val="0"/>
                          <w:marRight w:val="0"/>
                          <w:marTop w:val="150"/>
                          <w:marBottom w:val="0"/>
                          <w:divBdr>
                            <w:top w:val="none" w:sz="0" w:space="0" w:color="auto"/>
                            <w:left w:val="none" w:sz="0" w:space="0" w:color="auto"/>
                            <w:bottom w:val="none" w:sz="0" w:space="0" w:color="auto"/>
                            <w:right w:val="none" w:sz="0" w:space="0" w:color="auto"/>
                          </w:divBdr>
                        </w:div>
                      </w:divsChild>
                    </w:div>
                    <w:div w:id="428506957">
                      <w:marLeft w:val="0"/>
                      <w:marRight w:val="0"/>
                      <w:marTop w:val="0"/>
                      <w:marBottom w:val="0"/>
                      <w:divBdr>
                        <w:top w:val="none" w:sz="0" w:space="0" w:color="auto"/>
                        <w:left w:val="none" w:sz="0" w:space="0" w:color="auto"/>
                        <w:bottom w:val="none" w:sz="0" w:space="0" w:color="auto"/>
                        <w:right w:val="none" w:sz="0" w:space="0" w:color="auto"/>
                      </w:divBdr>
                    </w:div>
                    <w:div w:id="1489007988">
                      <w:marLeft w:val="0"/>
                      <w:marRight w:val="0"/>
                      <w:marTop w:val="0"/>
                      <w:marBottom w:val="0"/>
                      <w:divBdr>
                        <w:top w:val="none" w:sz="0" w:space="0" w:color="auto"/>
                        <w:left w:val="none" w:sz="0" w:space="0" w:color="auto"/>
                        <w:bottom w:val="none" w:sz="0" w:space="0" w:color="auto"/>
                        <w:right w:val="none" w:sz="0" w:space="0" w:color="auto"/>
                      </w:divBdr>
                    </w:div>
                    <w:div w:id="410467424">
                      <w:marLeft w:val="375"/>
                      <w:marRight w:val="375"/>
                      <w:marTop w:val="0"/>
                      <w:marBottom w:val="0"/>
                      <w:divBdr>
                        <w:top w:val="none" w:sz="0" w:space="0" w:color="auto"/>
                        <w:left w:val="none" w:sz="0" w:space="0" w:color="auto"/>
                        <w:bottom w:val="none" w:sz="0" w:space="0" w:color="auto"/>
                        <w:right w:val="none" w:sz="0" w:space="0" w:color="auto"/>
                      </w:divBdr>
                      <w:divsChild>
                        <w:div w:id="121660832">
                          <w:marLeft w:val="0"/>
                          <w:marRight w:val="0"/>
                          <w:marTop w:val="0"/>
                          <w:marBottom w:val="0"/>
                          <w:divBdr>
                            <w:top w:val="none" w:sz="0" w:space="0" w:color="auto"/>
                            <w:left w:val="none" w:sz="0" w:space="0" w:color="auto"/>
                            <w:bottom w:val="none" w:sz="0" w:space="0" w:color="auto"/>
                            <w:right w:val="none" w:sz="0" w:space="0" w:color="auto"/>
                          </w:divBdr>
                        </w:div>
                        <w:div w:id="12799942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47844759">
              <w:marLeft w:val="0"/>
              <w:marRight w:val="0"/>
              <w:marTop w:val="0"/>
              <w:marBottom w:val="0"/>
              <w:divBdr>
                <w:top w:val="none" w:sz="0" w:space="0" w:color="auto"/>
                <w:left w:val="none" w:sz="0" w:space="0" w:color="auto"/>
                <w:bottom w:val="none" w:sz="0" w:space="0" w:color="auto"/>
                <w:right w:val="none" w:sz="0" w:space="0" w:color="auto"/>
              </w:divBdr>
              <w:divsChild>
                <w:div w:id="1034693328">
                  <w:marLeft w:val="0"/>
                  <w:marRight w:val="0"/>
                  <w:marTop w:val="0"/>
                  <w:marBottom w:val="0"/>
                  <w:divBdr>
                    <w:top w:val="none" w:sz="0" w:space="0" w:color="auto"/>
                    <w:left w:val="none" w:sz="0" w:space="0" w:color="auto"/>
                    <w:bottom w:val="none" w:sz="0" w:space="0" w:color="auto"/>
                    <w:right w:val="none" w:sz="0" w:space="0" w:color="auto"/>
                  </w:divBdr>
                </w:div>
              </w:divsChild>
            </w:div>
            <w:div w:id="2026973524">
              <w:marLeft w:val="0"/>
              <w:marRight w:val="0"/>
              <w:marTop w:val="0"/>
              <w:marBottom w:val="0"/>
              <w:divBdr>
                <w:top w:val="none" w:sz="0" w:space="0" w:color="auto"/>
                <w:left w:val="none" w:sz="0" w:space="0" w:color="auto"/>
                <w:bottom w:val="none" w:sz="0" w:space="0" w:color="auto"/>
                <w:right w:val="none" w:sz="0" w:space="0" w:color="auto"/>
              </w:divBdr>
              <w:divsChild>
                <w:div w:id="1546672407">
                  <w:marLeft w:val="0"/>
                  <w:marRight w:val="0"/>
                  <w:marTop w:val="0"/>
                  <w:marBottom w:val="0"/>
                  <w:divBdr>
                    <w:top w:val="none" w:sz="0" w:space="0" w:color="auto"/>
                    <w:left w:val="none" w:sz="0" w:space="0" w:color="auto"/>
                    <w:bottom w:val="none" w:sz="0" w:space="0" w:color="auto"/>
                    <w:right w:val="none" w:sz="0" w:space="0" w:color="auto"/>
                  </w:divBdr>
                </w:div>
              </w:divsChild>
            </w:div>
            <w:div w:id="421876695">
              <w:marLeft w:val="0"/>
              <w:marRight w:val="0"/>
              <w:marTop w:val="0"/>
              <w:marBottom w:val="0"/>
              <w:divBdr>
                <w:top w:val="none" w:sz="0" w:space="0" w:color="auto"/>
                <w:left w:val="none" w:sz="0" w:space="0" w:color="auto"/>
                <w:bottom w:val="none" w:sz="0" w:space="0" w:color="auto"/>
                <w:right w:val="none" w:sz="0" w:space="0" w:color="auto"/>
              </w:divBdr>
            </w:div>
            <w:div w:id="923606908">
              <w:marLeft w:val="0"/>
              <w:marRight w:val="0"/>
              <w:marTop w:val="0"/>
              <w:marBottom w:val="0"/>
              <w:divBdr>
                <w:top w:val="none" w:sz="0" w:space="0" w:color="auto"/>
                <w:left w:val="none" w:sz="0" w:space="0" w:color="auto"/>
                <w:bottom w:val="none" w:sz="0" w:space="0" w:color="auto"/>
                <w:right w:val="none" w:sz="0" w:space="0" w:color="auto"/>
              </w:divBdr>
              <w:divsChild>
                <w:div w:id="2120490338">
                  <w:marLeft w:val="0"/>
                  <w:marRight w:val="0"/>
                  <w:marTop w:val="0"/>
                  <w:marBottom w:val="0"/>
                  <w:divBdr>
                    <w:top w:val="none" w:sz="0" w:space="0" w:color="auto"/>
                    <w:left w:val="none" w:sz="0" w:space="0" w:color="auto"/>
                    <w:bottom w:val="none" w:sz="0" w:space="0" w:color="auto"/>
                    <w:right w:val="none" w:sz="0" w:space="0" w:color="auto"/>
                  </w:divBdr>
                </w:div>
              </w:divsChild>
            </w:div>
            <w:div w:id="149903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211262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08997640211017665" TargetMode="External"/><Relationship Id="rId13" Type="http://schemas.openxmlformats.org/officeDocument/2006/relationships/image" Target="media/image4.emf"/><Relationship Id="rId18" Type="http://schemas.openxmlformats.org/officeDocument/2006/relationships/hyperlink" Target="https://www.washingtonpost.com/investigations/inside-the-hidden-world-of-thefts-scams-and-phantom-purchases-at-the-nations-nonprofits/2013/10/26/825a82ca-0c26-11e3-9941-6711ed662e71_story.html?utm_term=.408161a4c873"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hyperlink" Target="https://sfmagazine.com/post-entry/march-2017-nonprofit-fraud-how-good-are-your-internal-controls/" TargetMode="External"/><Relationship Id="rId2" Type="http://schemas.openxmlformats.org/officeDocument/2006/relationships/customXml" Target="../customXml/item2.xml"/><Relationship Id="rId16" Type="http://schemas.openxmlformats.org/officeDocument/2006/relationships/hyperlink" Target="https://www.boston25news.com/news/25-investigates-nonprofit-manager-charged-with-embezzling-money-meant-for-disabled-kids/84552083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hyperlink" Target="https://obamawhitehouse.archives.gov/omb/circulars/a133_compliance_supplement_2016" TargetMode="External"/><Relationship Id="rId10" Type="http://schemas.openxmlformats.org/officeDocument/2006/relationships/image" Target="media/image1.png"/><Relationship Id="rId19" Type="http://schemas.openxmlformats.org/officeDocument/2006/relationships/hyperlink" Target="https://www.thenonprofittimes.com/npt_articles/indictment-in-6-7-million-it-fraud-at-charity/"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fortune.com/2017/11/06/red-cross-fraud-ebola-6-mill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20</Pages>
  <Words>9700</Words>
  <Characters>55290</Characters>
  <Application>Microsoft Office Word</Application>
  <DocSecurity>8</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69</cp:revision>
  <dcterms:created xsi:type="dcterms:W3CDTF">2022-01-20T18:20:00Z</dcterms:created>
  <dcterms:modified xsi:type="dcterms:W3CDTF">2022-08-02T16:35:00Z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