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3FCA794" w:rsidR="000A7622" w:rsidRPr="00C04F25" w:rsidRDefault="00C25676" w:rsidP="00D14423">
      <w:pPr>
        <w:autoSpaceDE w:val="0"/>
        <w:autoSpaceDN w:val="0"/>
        <w:adjustRightInd w:val="0"/>
        <w:rPr>
          <w:rFonts w:cstheme="minorHAnsi"/>
          <w:b/>
          <w:bCs/>
          <w:i/>
          <w:iCs/>
          <w:sz w:val="32"/>
          <w:szCs w:val="32"/>
        </w:rPr>
      </w:pPr>
      <w:r>
        <w:rPr>
          <w:rFonts w:cstheme="minorHAnsi"/>
          <w:b/>
          <w:bCs/>
          <w:i/>
          <w:iCs/>
          <w:sz w:val="32"/>
          <w:szCs w:val="32"/>
        </w:rPr>
        <w:t xml:space="preserve">Accounting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6A2DFBE" w:rsidR="000A7622" w:rsidRDefault="007A181E" w:rsidP="00D14423">
      <w:pPr>
        <w:rPr>
          <w:rFonts w:cstheme="minorHAnsi"/>
          <w:sz w:val="24"/>
          <w:szCs w:val="24"/>
        </w:rPr>
      </w:pPr>
      <w:r>
        <w:rPr>
          <w:rFonts w:cstheme="minorHAnsi"/>
          <w:i/>
          <w:sz w:val="24"/>
          <w:szCs w:val="24"/>
          <w:lang w:val="fr-FR"/>
        </w:rPr>
        <w:t xml:space="preserve">Journal of Public </w:t>
      </w:r>
      <w:proofErr w:type="spellStart"/>
      <w:r>
        <w:rPr>
          <w:rFonts w:cstheme="minorHAnsi"/>
          <w:i/>
          <w:sz w:val="24"/>
          <w:szCs w:val="24"/>
          <w:lang w:val="fr-FR"/>
        </w:rPr>
        <w:t>Budgeting</w:t>
      </w:r>
      <w:proofErr w:type="spellEnd"/>
      <w:r>
        <w:rPr>
          <w:rFonts w:cstheme="minorHAnsi"/>
          <w:i/>
          <w:sz w:val="24"/>
          <w:szCs w:val="24"/>
          <w:lang w:val="fr-FR"/>
        </w:rPr>
        <w:t xml:space="preserve">, </w:t>
      </w:r>
      <w:proofErr w:type="spellStart"/>
      <w:r>
        <w:rPr>
          <w:rFonts w:cstheme="minorHAnsi"/>
          <w:i/>
          <w:sz w:val="24"/>
          <w:szCs w:val="24"/>
          <w:lang w:val="fr-FR"/>
        </w:rPr>
        <w:t>Accounting</w:t>
      </w:r>
      <w:proofErr w:type="spellEnd"/>
      <w:r>
        <w:rPr>
          <w:rFonts w:cstheme="minorHAnsi"/>
          <w:i/>
          <w:sz w:val="24"/>
          <w:szCs w:val="24"/>
          <w:lang w:val="fr-FR"/>
        </w:rPr>
        <w:t xml:space="preserve"> &amp; Financial Ma</w:t>
      </w:r>
      <w:r w:rsidR="00DC6756">
        <w:rPr>
          <w:rFonts w:cstheme="minorHAnsi"/>
          <w:i/>
          <w:sz w:val="24"/>
          <w:szCs w:val="24"/>
          <w:lang w:val="fr-FR"/>
        </w:rPr>
        <w:t>nagement</w:t>
      </w:r>
      <w:r w:rsidR="000A7622" w:rsidRPr="00C04F25">
        <w:rPr>
          <w:rFonts w:cstheme="minorHAnsi"/>
          <w:sz w:val="24"/>
          <w:szCs w:val="24"/>
          <w:lang w:val="fr-FR"/>
        </w:rPr>
        <w:t xml:space="preserve">, Vol. </w:t>
      </w:r>
      <w:r w:rsidR="00DC6756">
        <w:rPr>
          <w:rFonts w:cstheme="minorHAnsi"/>
          <w:sz w:val="24"/>
          <w:szCs w:val="24"/>
          <w:lang w:val="fr-FR"/>
        </w:rPr>
        <w:t>33</w:t>
      </w:r>
      <w:r w:rsidR="000A7622" w:rsidRPr="00C04F25">
        <w:rPr>
          <w:rFonts w:cstheme="minorHAnsi"/>
          <w:sz w:val="24"/>
          <w:szCs w:val="24"/>
          <w:lang w:val="fr-FR"/>
        </w:rPr>
        <w:t xml:space="preserve">, No. </w:t>
      </w:r>
      <w:r w:rsidR="00DC6756">
        <w:rPr>
          <w:rFonts w:cstheme="minorHAnsi"/>
          <w:sz w:val="24"/>
          <w:szCs w:val="24"/>
          <w:lang w:val="fr-FR"/>
        </w:rPr>
        <w:t>4</w:t>
      </w:r>
      <w:r w:rsidR="000A7622" w:rsidRPr="00C04F25">
        <w:rPr>
          <w:rFonts w:cstheme="minorHAnsi"/>
          <w:sz w:val="24"/>
          <w:szCs w:val="24"/>
          <w:lang w:val="fr-FR"/>
        </w:rPr>
        <w:t xml:space="preserve"> (</w:t>
      </w:r>
      <w:r w:rsidR="00DC6756">
        <w:rPr>
          <w:rFonts w:cstheme="minorHAnsi"/>
          <w:sz w:val="24"/>
          <w:szCs w:val="24"/>
          <w:lang w:val="fr-FR"/>
        </w:rPr>
        <w:t>July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DC6756">
        <w:rPr>
          <w:rFonts w:cstheme="minorHAnsi"/>
          <w:sz w:val="24"/>
          <w:szCs w:val="24"/>
          <w:lang w:val="fr-FR"/>
        </w:rPr>
        <w:t>427-446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442FF">
        <w:rPr>
          <w:rFonts w:cstheme="minorHAnsi"/>
          <w:sz w:val="24"/>
          <w:szCs w:val="24"/>
        </w:rPr>
        <w:t>Emerald Insight</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442FF">
        <w:rPr>
          <w:rFonts w:cstheme="minorHAnsi"/>
          <w:sz w:val="24"/>
          <w:szCs w:val="24"/>
        </w:rPr>
        <w:t>Emerald Insight</w:t>
      </w:r>
      <w:r w:rsidR="000A7622" w:rsidRPr="00C04F25">
        <w:rPr>
          <w:rFonts w:cstheme="minorHAnsi"/>
          <w:sz w:val="24"/>
          <w:szCs w:val="24"/>
        </w:rPr>
        <w:t xml:space="preserve"> does not grant permission for this article to be further copied/distributed or hosted elsewhere without the express permission from </w:t>
      </w:r>
      <w:r w:rsidR="008442FF">
        <w:rPr>
          <w:rFonts w:cstheme="minorHAnsi"/>
          <w:sz w:val="24"/>
          <w:szCs w:val="24"/>
        </w:rPr>
        <w:t>Emerald Insight</w:t>
      </w:r>
      <w:r w:rsidR="000A7622" w:rsidRPr="00C04F25">
        <w:rPr>
          <w:rFonts w:cstheme="minorHAnsi"/>
          <w:sz w:val="24"/>
          <w:szCs w:val="24"/>
        </w:rPr>
        <w:t xml:space="preserve">. </w:t>
      </w:r>
      <w:bookmarkEnd w:id="1"/>
    </w:p>
    <w:p w14:paraId="36D66B89" w14:textId="59713308" w:rsidR="000976FB" w:rsidRDefault="000976FB" w:rsidP="000976FB"/>
    <w:p w14:paraId="66BF9E62" w14:textId="306C1659" w:rsidR="00C1377E" w:rsidRDefault="00C1377E" w:rsidP="00C1377E">
      <w:pPr>
        <w:pStyle w:val="Title"/>
      </w:pPr>
      <w:r w:rsidRPr="00C1377E">
        <w:t>Linguistic Tone of Management Discussion and Analysis Disclosures and the Municipal Debt Market</w:t>
      </w:r>
    </w:p>
    <w:p w14:paraId="3A7AE287" w14:textId="77777777" w:rsidR="00C25676" w:rsidRDefault="00C25676" w:rsidP="00C1377E"/>
    <w:p w14:paraId="540DA13B" w14:textId="77777777" w:rsidR="00585EFB" w:rsidRPr="00585EFB" w:rsidRDefault="00585EFB" w:rsidP="00585EFB">
      <w:pPr>
        <w:pStyle w:val="NoSpacing"/>
        <w:rPr>
          <w:sz w:val="32"/>
          <w:szCs w:val="32"/>
        </w:rPr>
      </w:pPr>
      <w:bookmarkStart w:id="2" w:name="Introduction"/>
      <w:bookmarkStart w:id="3" w:name="Linguistic tone of management discussion"/>
      <w:bookmarkEnd w:id="2"/>
      <w:bookmarkEnd w:id="3"/>
      <w:r w:rsidRPr="00585EFB">
        <w:rPr>
          <w:sz w:val="32"/>
          <w:szCs w:val="32"/>
        </w:rPr>
        <w:t>Kevin T. Rich</w:t>
      </w:r>
    </w:p>
    <w:p w14:paraId="29EF2B21" w14:textId="754979DC" w:rsidR="00585EFB" w:rsidRPr="00585EFB" w:rsidRDefault="00585EFB" w:rsidP="00585EFB">
      <w:pPr>
        <w:pStyle w:val="NoSpacing"/>
        <w:rPr>
          <w:sz w:val="24"/>
          <w:szCs w:val="24"/>
        </w:rPr>
      </w:pPr>
      <w:r w:rsidRPr="00585EFB">
        <w:rPr>
          <w:sz w:val="24"/>
          <w:szCs w:val="24"/>
        </w:rPr>
        <w:t>Marquette University, Milwaukee, Wisconsin</w:t>
      </w:r>
    </w:p>
    <w:p w14:paraId="57564A88" w14:textId="77777777" w:rsidR="00585EFB" w:rsidRPr="00585EFB" w:rsidRDefault="00585EFB" w:rsidP="00585EFB">
      <w:pPr>
        <w:pStyle w:val="NoSpacing"/>
        <w:rPr>
          <w:sz w:val="32"/>
          <w:szCs w:val="32"/>
        </w:rPr>
      </w:pPr>
      <w:r w:rsidRPr="00585EFB">
        <w:rPr>
          <w:sz w:val="32"/>
          <w:szCs w:val="32"/>
        </w:rPr>
        <w:t>Brent L. Roberts</w:t>
      </w:r>
    </w:p>
    <w:p w14:paraId="2476306E" w14:textId="3511B1DE" w:rsidR="00585EFB" w:rsidRPr="00585EFB" w:rsidRDefault="00585EFB" w:rsidP="00585EFB">
      <w:pPr>
        <w:pStyle w:val="NoSpacing"/>
        <w:rPr>
          <w:sz w:val="24"/>
          <w:szCs w:val="24"/>
        </w:rPr>
      </w:pPr>
      <w:r w:rsidRPr="00585EFB">
        <w:rPr>
          <w:sz w:val="24"/>
          <w:szCs w:val="24"/>
        </w:rPr>
        <w:t>Saint Cloud State University, Saint Cloud, Minnesota</w:t>
      </w:r>
    </w:p>
    <w:p w14:paraId="652CAA73" w14:textId="77777777" w:rsidR="00585EFB" w:rsidRPr="00585EFB" w:rsidRDefault="00585EFB" w:rsidP="00585EFB">
      <w:pPr>
        <w:pStyle w:val="NoSpacing"/>
        <w:rPr>
          <w:sz w:val="32"/>
          <w:szCs w:val="32"/>
        </w:rPr>
      </w:pPr>
      <w:r w:rsidRPr="00585EFB">
        <w:rPr>
          <w:sz w:val="32"/>
          <w:szCs w:val="32"/>
        </w:rPr>
        <w:t>Jean X. Zhang</w:t>
      </w:r>
    </w:p>
    <w:p w14:paraId="7D93EA58" w14:textId="118572D7" w:rsidR="00585EFB" w:rsidRPr="00585EFB" w:rsidRDefault="00585EFB" w:rsidP="00585EFB">
      <w:pPr>
        <w:pStyle w:val="NoSpacing"/>
        <w:rPr>
          <w:sz w:val="24"/>
          <w:szCs w:val="24"/>
        </w:rPr>
      </w:pPr>
      <w:r w:rsidRPr="00585EFB">
        <w:rPr>
          <w:sz w:val="24"/>
          <w:szCs w:val="24"/>
        </w:rPr>
        <w:t>Virginia Commonwealth University, Richmond, Virginia</w:t>
      </w:r>
    </w:p>
    <w:p w14:paraId="05E51D15" w14:textId="419961E1" w:rsidR="00C1377E" w:rsidRDefault="00C1377E" w:rsidP="00C1377E"/>
    <w:p w14:paraId="5BAFD72E" w14:textId="77777777" w:rsidR="006C7965" w:rsidRPr="006C7965" w:rsidRDefault="006C7965" w:rsidP="00585EFB">
      <w:pPr>
        <w:pStyle w:val="Heading1"/>
      </w:pPr>
      <w:r w:rsidRPr="006C7965">
        <w:t>Abstract</w:t>
      </w:r>
    </w:p>
    <w:p w14:paraId="03DEE95D" w14:textId="77777777" w:rsidR="006C7965" w:rsidRPr="006C7965" w:rsidRDefault="006C7965" w:rsidP="00585EFB">
      <w:pPr>
        <w:pStyle w:val="Heading2"/>
      </w:pPr>
      <w:r w:rsidRPr="006C7965">
        <w:t>Purpose</w:t>
      </w:r>
    </w:p>
    <w:p w14:paraId="19AB4C9C" w14:textId="77777777" w:rsidR="006C7965" w:rsidRPr="006C7965" w:rsidRDefault="006C7965" w:rsidP="006C7965">
      <w:r w:rsidRPr="006C7965">
        <w:t>As the management discussion and analysis (MD&amp;A) section contains discretionary narrative disclosures regarding a government's yearly financial changes and status, the authors investigate several municipal debt market consequences of linguistic tone within these disclosures.</w:t>
      </w:r>
    </w:p>
    <w:p w14:paraId="5BA6BC82" w14:textId="77777777" w:rsidR="006C7965" w:rsidRPr="006C7965" w:rsidRDefault="006C7965" w:rsidP="00585EFB">
      <w:pPr>
        <w:pStyle w:val="Heading2"/>
      </w:pPr>
      <w:r w:rsidRPr="006C7965">
        <w:lastRenderedPageBreak/>
        <w:t>Design/methodology/approach</w:t>
      </w:r>
    </w:p>
    <w:p w14:paraId="269ABE24" w14:textId="77777777" w:rsidR="006C7965" w:rsidRPr="006C7965" w:rsidRDefault="006C7965" w:rsidP="006C7965">
      <w:r w:rsidRPr="006C7965">
        <w:t>The authors textually analyze municipal MD&amp;As with Linguistic Inquiry and Word Count (LIWC) software and develop narrative tone measures based on existing financial-specific dictionaries. Using a final sample of 446 municipal bond issuances from 2012 to 2016, the authors modify the current bond regression models to examine the association between MD&amp;A disclosure tone and future bond interest costs or rating disagreements.</w:t>
      </w:r>
    </w:p>
    <w:p w14:paraId="197D28AC" w14:textId="77777777" w:rsidR="006C7965" w:rsidRPr="006C7965" w:rsidRDefault="006C7965" w:rsidP="00585EFB">
      <w:pPr>
        <w:pStyle w:val="Heading2"/>
      </w:pPr>
      <w:r w:rsidRPr="006C7965">
        <w:t>Findings</w:t>
      </w:r>
    </w:p>
    <w:p w14:paraId="718E0DCC" w14:textId="77777777" w:rsidR="006C7965" w:rsidRPr="006C7965" w:rsidRDefault="006C7965" w:rsidP="006C7965">
      <w:r w:rsidRPr="006C7965">
        <w:t xml:space="preserve">This study’s empirical analysis suggests that </w:t>
      </w:r>
      <w:proofErr w:type="gramStart"/>
      <w:r w:rsidRPr="006C7965">
        <w:t>more</w:t>
      </w:r>
      <w:proofErr w:type="gramEnd"/>
      <w:r w:rsidRPr="006C7965">
        <w:t xml:space="preserve"> negative MD&amp;A tone is associated with higher future debt costs and greater future disagreements among bond rating agencies.</w:t>
      </w:r>
    </w:p>
    <w:p w14:paraId="71B4379A" w14:textId="77777777" w:rsidR="006C7965" w:rsidRPr="006C7965" w:rsidRDefault="006C7965" w:rsidP="00585EFB">
      <w:pPr>
        <w:pStyle w:val="Heading2"/>
      </w:pPr>
      <w:r w:rsidRPr="006C7965">
        <w:t>Practical implications</w:t>
      </w:r>
    </w:p>
    <w:p w14:paraId="29C60FC0" w14:textId="77777777" w:rsidR="006C7965" w:rsidRPr="006C7965" w:rsidRDefault="006C7965" w:rsidP="006C7965">
      <w:r w:rsidRPr="006C7965">
        <w:t>Overall, the evidence implies that municipal bond stakeholders use the information in narrative disclosures when evaluating risk, but that the qualitative nature can introduce differences in interpretation between users. Furthermore, additional training in MD&amp;A writing and further standard guidance in MD&amp;A disclosures could improve the MD&amp;A's informativeness for bond market decision-making and state-level monitoring.</w:t>
      </w:r>
    </w:p>
    <w:p w14:paraId="2E56F585" w14:textId="77777777" w:rsidR="006C7965" w:rsidRPr="006C7965" w:rsidRDefault="006C7965" w:rsidP="00585EFB">
      <w:pPr>
        <w:pStyle w:val="Heading2"/>
      </w:pPr>
      <w:r w:rsidRPr="006C7965">
        <w:t>Originality/value</w:t>
      </w:r>
    </w:p>
    <w:p w14:paraId="5915AEB4" w14:textId="77777777" w:rsidR="006C7965" w:rsidRPr="006C7965" w:rsidRDefault="006C7965" w:rsidP="006C7965">
      <w:r w:rsidRPr="006C7965">
        <w:t xml:space="preserve">This study is </w:t>
      </w:r>
      <w:proofErr w:type="gramStart"/>
      <w:r w:rsidRPr="006C7965">
        <w:t>first</w:t>
      </w:r>
      <w:proofErr w:type="gramEnd"/>
      <w:r w:rsidRPr="006C7965">
        <w:t xml:space="preserve"> to incorporate narrative tone measures into bond models in a governmental context.</w:t>
      </w:r>
    </w:p>
    <w:p w14:paraId="2FDC22DB" w14:textId="77777777" w:rsidR="006C7965" w:rsidRPr="006C7965" w:rsidRDefault="006C7965" w:rsidP="00585EFB">
      <w:pPr>
        <w:pStyle w:val="Heading1"/>
      </w:pPr>
      <w:r w:rsidRPr="006C7965">
        <w:t>Keywords</w:t>
      </w:r>
    </w:p>
    <w:p w14:paraId="738D91D6" w14:textId="4A16462F" w:rsidR="006C7965" w:rsidRPr="00585EFB" w:rsidRDefault="006C7965" w:rsidP="00585EFB">
      <w:pPr>
        <w:pStyle w:val="NoSpacing"/>
      </w:pPr>
      <w:r w:rsidRPr="007A181E">
        <w:t>Municipal MD&amp;A</w:t>
      </w:r>
      <w:r w:rsidR="00585EFB">
        <w:rPr>
          <w:rStyle w:val="Hyperlink"/>
          <w:color w:val="auto"/>
          <w:u w:val="none"/>
        </w:rPr>
        <w:t xml:space="preserve">, </w:t>
      </w:r>
      <w:r w:rsidRPr="007A181E">
        <w:t>Municipal bonds</w:t>
      </w:r>
      <w:r w:rsidR="00585EFB">
        <w:rPr>
          <w:rStyle w:val="Hyperlink"/>
          <w:color w:val="auto"/>
          <w:u w:val="none"/>
        </w:rPr>
        <w:t xml:space="preserve">, </w:t>
      </w:r>
      <w:r w:rsidRPr="007A181E">
        <w:t>GASB 34</w:t>
      </w:r>
      <w:r w:rsidR="00585EFB">
        <w:rPr>
          <w:rStyle w:val="Hyperlink"/>
          <w:color w:val="auto"/>
          <w:u w:val="none"/>
        </w:rPr>
        <w:t xml:space="preserve">, </w:t>
      </w:r>
      <w:r w:rsidRPr="007A181E">
        <w:t>Narrative disclosure</w:t>
      </w:r>
    </w:p>
    <w:p w14:paraId="1920A998" w14:textId="77777777" w:rsidR="006C7965" w:rsidRPr="006C7965" w:rsidRDefault="006C7965" w:rsidP="00585EFB">
      <w:pPr>
        <w:pStyle w:val="Heading1"/>
      </w:pPr>
      <w:r w:rsidRPr="006C7965">
        <w:t>Citation</w:t>
      </w:r>
    </w:p>
    <w:p w14:paraId="1516E099" w14:textId="7DF83453" w:rsidR="006C7965" w:rsidRPr="006C7965" w:rsidRDefault="006C7965" w:rsidP="006C7965">
      <w:r w:rsidRPr="007A181E">
        <w:t>Rich, K.T.</w:t>
      </w:r>
      <w:r w:rsidRPr="006C7965">
        <w:t>, </w:t>
      </w:r>
      <w:r w:rsidRPr="007A181E">
        <w:t>Roberts, B.L.</w:t>
      </w:r>
      <w:r w:rsidRPr="006C7965">
        <w:t> and </w:t>
      </w:r>
      <w:r w:rsidRPr="007A181E">
        <w:t>Zhang, J.X.</w:t>
      </w:r>
      <w:r w:rsidRPr="006C7965">
        <w:t> (2021), "Linguistic tone of management discussion and analysis disclosures and the municipal debt market", </w:t>
      </w:r>
      <w:r w:rsidRPr="007A181E">
        <w:rPr>
          <w:i/>
          <w:iCs/>
        </w:rPr>
        <w:t>Journal of Public Budgeting, Accounting &amp; Financial Management</w:t>
      </w:r>
      <w:r w:rsidRPr="006C7965">
        <w:t>, Vol. 33 No. 4, pp. 427-446. </w:t>
      </w:r>
      <w:r w:rsidRPr="007A181E">
        <w:t>https://doi.org/10.1108/JPBAFM-11-2019-0168</w:t>
      </w:r>
    </w:p>
    <w:p w14:paraId="71DAF9F9" w14:textId="77777777" w:rsidR="006C7965" w:rsidRPr="006C7965" w:rsidRDefault="006C7965" w:rsidP="00585EFB">
      <w:pPr>
        <w:pStyle w:val="Heading1"/>
      </w:pPr>
      <w:r w:rsidRPr="006C7965">
        <w:t>Introduction</w:t>
      </w:r>
    </w:p>
    <w:p w14:paraId="78B4B925" w14:textId="0948C037" w:rsidR="006C7965" w:rsidRPr="006C7965" w:rsidRDefault="006C7965" w:rsidP="006C7965">
      <w:r w:rsidRPr="006C7965">
        <w:t xml:space="preserve">The municipal bond market in the United States is significant, with over $3.6 </w:t>
      </w:r>
      <w:proofErr w:type="spellStart"/>
      <w:r w:rsidRPr="006C7965">
        <w:t>tn</w:t>
      </w:r>
      <w:proofErr w:type="spellEnd"/>
      <w:r w:rsidRPr="006C7965">
        <w:t xml:space="preserve"> owed to investors by state and local governments and new issues </w:t>
      </w:r>
      <w:proofErr w:type="gramStart"/>
      <w:r w:rsidRPr="006C7965">
        <w:t>in excess of</w:t>
      </w:r>
      <w:proofErr w:type="gramEnd"/>
      <w:r w:rsidRPr="006C7965">
        <w:t xml:space="preserve"> $80 bn per quarter (</w:t>
      </w:r>
      <w:r w:rsidRPr="007A181E">
        <w:t>SIFMA, 2018</w:t>
      </w:r>
      <w:r w:rsidRPr="006C7965">
        <w:t>). While the Municipal Securities Rulemaking Board (MSRB) provides oversight over municipal securities professionals, issuers are largely exempt from most components of federal securities laws, including the reporting requirements of the Securities Act of 1933 and the Exchange Act of 1934 (</w:t>
      </w:r>
      <w:proofErr w:type="spellStart"/>
      <w:r w:rsidRPr="007A181E">
        <w:t>Cuny</w:t>
      </w:r>
      <w:proofErr w:type="spellEnd"/>
      <w:r w:rsidRPr="007A181E">
        <w:t>, 2016</w:t>
      </w:r>
      <w:r w:rsidRPr="006C7965">
        <w:t>). As a result, information about municipal issues is likely less salient relative to other capital markets (</w:t>
      </w:r>
      <w:proofErr w:type="spellStart"/>
      <w:r w:rsidRPr="007A181E">
        <w:t>Cuny</w:t>
      </w:r>
      <w:proofErr w:type="spellEnd"/>
      <w:r w:rsidRPr="007A181E">
        <w:t>, 2018</w:t>
      </w:r>
      <w:r w:rsidRPr="006C7965">
        <w:t>).</w:t>
      </w:r>
    </w:p>
    <w:p w14:paraId="482FABAA" w14:textId="39415453" w:rsidR="006C7965" w:rsidRPr="006C7965" w:rsidRDefault="006C7965" w:rsidP="006C7965">
      <w:r w:rsidRPr="006C7965">
        <w:t>One source of information available to municipal bond investors is the qualitative information provided in yearly financial disclosures. Governmental Accounting Standards Board Statement No. 34 (GASB 34) requires state and local governments to provide a management discussion and analysis (MD&amp;A) section in their financial reports (</w:t>
      </w:r>
      <w:r w:rsidRPr="007A181E">
        <w:t>GASB, 1999</w:t>
      </w:r>
      <w:r w:rsidRPr="006C7965">
        <w:t>). MD&amp;A disclosures provide government finance officers with the discretion to narratively highlight significant financial performance measures and changes that occurred during the fiscal year (</w:t>
      </w:r>
      <w:r w:rsidRPr="007A181E">
        <w:t>Patton </w:t>
      </w:r>
      <w:r w:rsidRPr="007A181E">
        <w:rPr>
          <w:i/>
          <w:iCs/>
        </w:rPr>
        <w:t>et al.</w:t>
      </w:r>
      <w:r w:rsidRPr="007A181E">
        <w:t>, 2001</w:t>
      </w:r>
      <w:r w:rsidRPr="006C7965">
        <w:t>). These textual disclosures can provide incremental information explaining significant financial and operational information in a way that increases the financial statements' usefulness to external parties (</w:t>
      </w:r>
      <w:r w:rsidRPr="007A181E">
        <w:t>Loughran and McDonald, 2011</w:t>
      </w:r>
      <w:r w:rsidRPr="006C7965">
        <w:t>; </w:t>
      </w:r>
      <w:r w:rsidRPr="007A181E">
        <w:t>Brown and Tucker, 2011</w:t>
      </w:r>
      <w:r w:rsidRPr="006C7965">
        <w:t>) and are likely the most useful component of GASB 34 disclosures for municipal bond analysts (</w:t>
      </w:r>
      <w:r w:rsidRPr="007A181E">
        <w:t>Bloch, 2016</w:t>
      </w:r>
      <w:r w:rsidRPr="006C7965">
        <w:t>). The purpose of this study is to extend governmental accounting studies noting bond associations with quantitative information (</w:t>
      </w:r>
      <w:proofErr w:type="gramStart"/>
      <w:r w:rsidRPr="006C7965">
        <w:t>e.g.</w:t>
      </w:r>
      <w:proofErr w:type="gramEnd"/>
      <w:r w:rsidRPr="006C7965">
        <w:t> </w:t>
      </w:r>
      <w:r w:rsidRPr="007A181E">
        <w:t>Plummer </w:t>
      </w:r>
      <w:r w:rsidRPr="007A181E">
        <w:rPr>
          <w:i/>
          <w:iCs/>
        </w:rPr>
        <w:t>et al.</w:t>
      </w:r>
      <w:r w:rsidRPr="007A181E">
        <w:t>, 2007</w:t>
      </w:r>
      <w:r w:rsidRPr="006C7965">
        <w:t>; </w:t>
      </w:r>
      <w:r w:rsidRPr="007A181E">
        <w:t>Benson and Marks, 2014</w:t>
      </w:r>
      <w:r w:rsidRPr="006C7965">
        <w:t>; </w:t>
      </w:r>
      <w:r w:rsidRPr="007A181E">
        <w:t>Reck and Wilson, 2014</w:t>
      </w:r>
      <w:r w:rsidRPr="006C7965">
        <w:t>) and reporting characteristics (e.g. </w:t>
      </w:r>
      <w:r w:rsidRPr="007A181E">
        <w:t>Baber and Gore, 2008</w:t>
      </w:r>
      <w:r w:rsidRPr="006C7965">
        <w:t>; </w:t>
      </w:r>
      <w:r w:rsidRPr="007A181E">
        <w:t>Baber </w:t>
      </w:r>
      <w:r w:rsidRPr="007A181E">
        <w:rPr>
          <w:i/>
          <w:iCs/>
        </w:rPr>
        <w:t>et al.</w:t>
      </w:r>
      <w:r w:rsidRPr="007A181E">
        <w:t xml:space="preserve">, </w:t>
      </w:r>
      <w:r w:rsidRPr="007A181E">
        <w:lastRenderedPageBreak/>
        <w:t>2013</w:t>
      </w:r>
      <w:r w:rsidRPr="006C7965">
        <w:t>) by examining the relationship between linguistic tone (one qualitative measure of MD&amp;A content) and bond characteristics.</w:t>
      </w:r>
    </w:p>
    <w:p w14:paraId="67D96FE6" w14:textId="5A55662F" w:rsidR="006C7965" w:rsidRPr="006C7965" w:rsidRDefault="006C7965" w:rsidP="006C7965">
      <w:r w:rsidRPr="006C7965">
        <w:t>Linguistic tone is a textual analysis measure designed to capture the fraction of “positive” and/or “negative” words within narrative disclosures based on established word dictionaries (</w:t>
      </w:r>
      <w:proofErr w:type="gramStart"/>
      <w:r w:rsidRPr="006C7965">
        <w:t>e.g.</w:t>
      </w:r>
      <w:proofErr w:type="gramEnd"/>
      <w:r w:rsidRPr="006C7965">
        <w:t> </w:t>
      </w:r>
      <w:r w:rsidRPr="007A181E">
        <w:t>Loughran and McDonald, 2011</w:t>
      </w:r>
      <w:r w:rsidRPr="006C7965">
        <w:t>). In the corporate sector, the prior literature suggests that linguistic tone within discretionary disclosures is predictive of future firm performance (e.g. </w:t>
      </w:r>
      <w:r w:rsidRPr="007A181E">
        <w:t>Feldman </w:t>
      </w:r>
      <w:r w:rsidRPr="007A181E">
        <w:rPr>
          <w:i/>
          <w:iCs/>
        </w:rPr>
        <w:t>et al.</w:t>
      </w:r>
      <w:r w:rsidRPr="007A181E">
        <w:t>, 2010</w:t>
      </w:r>
      <w:r w:rsidRPr="006C7965">
        <w:t>; </w:t>
      </w:r>
      <w:r w:rsidRPr="007A181E">
        <w:t>Li, 2010</w:t>
      </w:r>
      <w:r w:rsidRPr="006C7965">
        <w:t>), accounting measures (e.g. </w:t>
      </w:r>
      <w:r w:rsidRPr="007A181E">
        <w:t>Davis </w:t>
      </w:r>
      <w:r w:rsidRPr="007A181E">
        <w:rPr>
          <w:i/>
          <w:iCs/>
        </w:rPr>
        <w:t>et al.</w:t>
      </w:r>
      <w:r w:rsidRPr="007A181E">
        <w:t>, 2012</w:t>
      </w:r>
      <w:r w:rsidRPr="006C7965">
        <w:t>), cost of capital (</w:t>
      </w:r>
      <w:r w:rsidRPr="007A181E">
        <w:t>Kothari </w:t>
      </w:r>
      <w:r w:rsidRPr="007A181E">
        <w:rPr>
          <w:i/>
          <w:iCs/>
        </w:rPr>
        <w:t>et al.</w:t>
      </w:r>
      <w:r w:rsidRPr="007A181E">
        <w:t>, 2009</w:t>
      </w:r>
      <w:r w:rsidRPr="006C7965">
        <w:t>) and bankruptcy probability (</w:t>
      </w:r>
      <w:proofErr w:type="spellStart"/>
      <w:r w:rsidRPr="007A181E">
        <w:t>Mayew</w:t>
      </w:r>
      <w:proofErr w:type="spellEnd"/>
      <w:r w:rsidRPr="007A181E">
        <w:t> </w:t>
      </w:r>
      <w:r w:rsidRPr="007A181E">
        <w:rPr>
          <w:i/>
          <w:iCs/>
        </w:rPr>
        <w:t>et al.</w:t>
      </w:r>
      <w:r w:rsidRPr="007A181E">
        <w:t>, 2015</w:t>
      </w:r>
      <w:r w:rsidRPr="006C7965">
        <w:t>). While the study of linguistic tone is less prevalent in the municipal sector, the prior literature does suggest that more positive municipal MD&amp;A tone is associated with less future report delay (</w:t>
      </w:r>
      <w:r w:rsidRPr="007A181E">
        <w:t>Rich </w:t>
      </w:r>
      <w:r w:rsidRPr="007A181E">
        <w:rPr>
          <w:i/>
          <w:iCs/>
        </w:rPr>
        <w:t>et al.</w:t>
      </w:r>
      <w:r w:rsidRPr="007A181E">
        <w:t>, 2016</w:t>
      </w:r>
      <w:r w:rsidRPr="006C7965">
        <w:t>) and fewer future internal control exceptions (</w:t>
      </w:r>
      <w:r w:rsidRPr="007A181E">
        <w:t>Rich </w:t>
      </w:r>
      <w:r w:rsidRPr="007A181E">
        <w:rPr>
          <w:i/>
          <w:iCs/>
        </w:rPr>
        <w:t>et al.</w:t>
      </w:r>
      <w:r w:rsidRPr="007A181E">
        <w:t>, 2018</w:t>
      </w:r>
      <w:r w:rsidRPr="006C7965">
        <w:t>). These results imply that the positivity (negativity) of tone is associated with favorable (unfavorable) future outcomes. Thus, it is plausible that municipal bond analysts will consider linguistic tone when making evaluations about the riskiness of a particular issuance.</w:t>
      </w:r>
    </w:p>
    <w:p w14:paraId="1BA6ADEA" w14:textId="77777777" w:rsidR="006C7965" w:rsidRPr="006C7965" w:rsidRDefault="006C7965" w:rsidP="006C7965">
      <w:r w:rsidRPr="006C7965">
        <w:t>Using a sample of municipal bond issues from 2012 to 2016, we find that more negative MD&amp;A disclosure tone is associated with higher future debt costs, suggesting that investors infer a higher likelihood of default when managers disclose less optimistic commentary about municipal operations. In addition, we find that negative tone is associated with increased likelihood of disagreement among bond analysts, indicating that while MD&amp;A disclosure sentiment provides new information to stakeholders, there may still be different perceptions of risk among bond analysts. Overall, our findings suggest that linguistic tone in municipal MD&amp;A information is relevant to the municipal debt market.</w:t>
      </w:r>
    </w:p>
    <w:p w14:paraId="646A97F0" w14:textId="4375A477" w:rsidR="006C7965" w:rsidRPr="006C7965" w:rsidRDefault="006C7965" w:rsidP="006C7965">
      <w:r w:rsidRPr="006C7965">
        <w:t>Our study contributes to the municipal debt literature by providing evidence that suggests qualitative information in MD&amp;A disclosures is informative in terms of both municipal interest costs and bond rating disagreements. This is important to many stakeholders involved in the municipal debt market. Moreover, our study should help municipalities to understand the importance of narrative disclosures within the MD&amp;A on debt financing, thereby encouraging municipalities to prepare high-quality narrative disclosures regarding their yearly financial changes. Furthermore, our findings are important to bond rating agencies looking to gain better insight into municipal narrative disclosures, as well as investors evaluating the riskiness of municipal bonds. Each of these stakeholders plays a role in supporting the informational efficiency of the municipal bond market. Lastly, our finding that the MD&amp;A section has information content is important to standard setters looking to evaluate the informativeness of disclosures under GASB 34 (</w:t>
      </w:r>
      <w:r w:rsidRPr="007A181E">
        <w:t>GASB, 2020</w:t>
      </w:r>
      <w:r w:rsidRPr="006C7965">
        <w:t>).</w:t>
      </w:r>
    </w:p>
    <w:p w14:paraId="6853B949" w14:textId="77777777" w:rsidR="006C7965" w:rsidRPr="006C7965" w:rsidRDefault="006C7965" w:rsidP="006C7965">
      <w:r w:rsidRPr="006C7965">
        <w:t>The remainder of this paper is organized as follows. We first present a literature review that includes an exploration of the governmental debt market and textual analysis literature, followed by a discussion of our hypotheses. Our sample selection procedures and methodology are presented next, followed by a discussion of the results. The last section provides concluding remarks.</w:t>
      </w:r>
    </w:p>
    <w:p w14:paraId="6EF82352" w14:textId="77777777" w:rsidR="006C7965" w:rsidRPr="006C7965" w:rsidRDefault="006C7965" w:rsidP="00585EFB">
      <w:pPr>
        <w:pStyle w:val="Heading1"/>
      </w:pPr>
      <w:r w:rsidRPr="006C7965">
        <w:t>Literature review and hypotheses</w:t>
      </w:r>
    </w:p>
    <w:p w14:paraId="40700005" w14:textId="77777777" w:rsidR="006C7965" w:rsidRPr="006C7965" w:rsidRDefault="006C7965" w:rsidP="00585EFB">
      <w:pPr>
        <w:pStyle w:val="Heading2"/>
      </w:pPr>
      <w:r w:rsidRPr="006C7965">
        <w:t>Governmental debt market</w:t>
      </w:r>
    </w:p>
    <w:p w14:paraId="23BD83C7" w14:textId="33F15D9F" w:rsidR="006C7965" w:rsidRPr="006C7965" w:rsidRDefault="006C7965" w:rsidP="006C7965">
      <w:r w:rsidRPr="006C7965">
        <w:t>The proceeds from long-term debt (such as bonds) can represent a substantial funding source for governments (</w:t>
      </w:r>
      <w:r w:rsidRPr="007A181E">
        <w:t>Pierson </w:t>
      </w:r>
      <w:r w:rsidRPr="007A181E">
        <w:rPr>
          <w:i/>
          <w:iCs/>
        </w:rPr>
        <w:t>et al.</w:t>
      </w:r>
      <w:r w:rsidRPr="007A181E">
        <w:t>, 2015</w:t>
      </w:r>
      <w:r w:rsidRPr="006C7965">
        <w:t>). A significant proportion of the local government bond literature focuses on relationships with quantitative disclosures. Research points to information from the government-wide financial statements and GASB 34-based financial ratios being relevant to bond ratings, interest costs, bond insurance premiums and secondary market pricing and efficiency (</w:t>
      </w:r>
      <w:r w:rsidRPr="007A181E">
        <w:t>Plummer </w:t>
      </w:r>
      <w:r w:rsidRPr="007A181E">
        <w:rPr>
          <w:i/>
          <w:iCs/>
        </w:rPr>
        <w:t>et al.</w:t>
      </w:r>
      <w:r w:rsidRPr="007A181E">
        <w:t>, 2007</w:t>
      </w:r>
      <w:r w:rsidRPr="006C7965">
        <w:t>; </w:t>
      </w:r>
      <w:r w:rsidRPr="007A181E">
        <w:t>Marlowe, 2010</w:t>
      </w:r>
      <w:r w:rsidRPr="006C7965">
        <w:t>; </w:t>
      </w:r>
      <w:r w:rsidRPr="007A181E">
        <w:t>Kioko </w:t>
      </w:r>
      <w:r w:rsidRPr="007A181E">
        <w:rPr>
          <w:i/>
          <w:iCs/>
        </w:rPr>
        <w:t>et al.</w:t>
      </w:r>
      <w:r w:rsidRPr="007A181E">
        <w:t>, 2013</w:t>
      </w:r>
      <w:r w:rsidRPr="006C7965">
        <w:t>; </w:t>
      </w:r>
      <w:r w:rsidRPr="007A181E">
        <w:t>Benson and Marks, 2014</w:t>
      </w:r>
      <w:r w:rsidRPr="006C7965">
        <w:t>; </w:t>
      </w:r>
      <w:r w:rsidRPr="007A181E">
        <w:t>Reck and Wilson, 2014</w:t>
      </w:r>
      <w:r w:rsidRPr="006C7965">
        <w:t>). Additionally, governments having general fund revenues approximately equal to general fund expenditures (</w:t>
      </w:r>
      <w:proofErr w:type="spellStart"/>
      <w:r w:rsidRPr="007A181E">
        <w:t>Apostolou</w:t>
      </w:r>
      <w:proofErr w:type="spellEnd"/>
      <w:r w:rsidRPr="007A181E">
        <w:t> </w:t>
      </w:r>
      <w:r w:rsidRPr="007A181E">
        <w:rPr>
          <w:i/>
          <w:iCs/>
        </w:rPr>
        <w:t>et al.</w:t>
      </w:r>
      <w:r w:rsidRPr="007A181E">
        <w:t>, 2014</w:t>
      </w:r>
      <w:r w:rsidRPr="006C7965">
        <w:t xml:space="preserve">), maintaining favorable budget-to-actual expenditure </w:t>
      </w:r>
      <w:r w:rsidRPr="006C7965">
        <w:lastRenderedPageBreak/>
        <w:t>variances (</w:t>
      </w:r>
      <w:r w:rsidRPr="007A181E">
        <w:t xml:space="preserve">Callahan and </w:t>
      </w:r>
      <w:proofErr w:type="spellStart"/>
      <w:r w:rsidRPr="007A181E">
        <w:t>Waymire</w:t>
      </w:r>
      <w:proofErr w:type="spellEnd"/>
      <w:r w:rsidRPr="007A181E">
        <w:t>, 2015</w:t>
      </w:r>
      <w:r w:rsidRPr="006C7965">
        <w:t>) and holding budgetary slack (</w:t>
      </w:r>
      <w:r w:rsidRPr="007A181E">
        <w:t>Marlowe, 2011</w:t>
      </w:r>
      <w:r w:rsidRPr="006C7965">
        <w:t>) are shown to be associated with favorable bond outcomes (</w:t>
      </w:r>
      <w:proofErr w:type="gramStart"/>
      <w:r w:rsidRPr="006C7965">
        <w:t>e.g.</w:t>
      </w:r>
      <w:proofErr w:type="gramEnd"/>
      <w:r w:rsidRPr="006C7965">
        <w:t xml:space="preserve"> higher ratings, lower interest costs).</w:t>
      </w:r>
    </w:p>
    <w:p w14:paraId="38753978" w14:textId="746F0016" w:rsidR="006C7965" w:rsidRPr="006C7965" w:rsidRDefault="006C7965" w:rsidP="006C7965">
      <w:r w:rsidRPr="006C7965">
        <w:t>In addition to quantitative information, reporting characteristics are often associated with bond outcomes. Higher quality disclosures can decrease borrowing costs for municipalities (</w:t>
      </w:r>
      <w:proofErr w:type="spellStart"/>
      <w:r w:rsidRPr="007A181E">
        <w:t>Cuny</w:t>
      </w:r>
      <w:proofErr w:type="spellEnd"/>
      <w:r w:rsidRPr="007A181E">
        <w:t>, 2018</w:t>
      </w:r>
      <w:r w:rsidRPr="006C7965">
        <w:t>). As GAAP is often associated with higher reporting quality, </w:t>
      </w:r>
      <w:proofErr w:type="gramStart"/>
      <w:r w:rsidRPr="007A181E">
        <w:t>Baber</w:t>
      </w:r>
      <w:proofErr w:type="gramEnd"/>
      <w:r w:rsidRPr="007A181E">
        <w:t xml:space="preserve"> and Gore (2008)</w:t>
      </w:r>
      <w:r w:rsidRPr="006C7965">
        <w:t> find that municipalities in GAAP-mandated states experience lower bond interest costs. Proxies for poor reporting quality, such as accounting restatements (</w:t>
      </w:r>
      <w:r w:rsidRPr="007A181E">
        <w:t>Baber </w:t>
      </w:r>
      <w:r w:rsidRPr="007A181E">
        <w:rPr>
          <w:i/>
          <w:iCs/>
        </w:rPr>
        <w:t>et al.</w:t>
      </w:r>
      <w:r w:rsidRPr="007A181E">
        <w:t>, 2013</w:t>
      </w:r>
      <w:r w:rsidRPr="006C7965">
        <w:t>), material weaknesses in internal control (</w:t>
      </w:r>
      <w:r w:rsidRPr="007A181E">
        <w:t>Gore </w:t>
      </w:r>
      <w:r w:rsidRPr="007A181E">
        <w:rPr>
          <w:i/>
          <w:iCs/>
        </w:rPr>
        <w:t>et al.</w:t>
      </w:r>
      <w:r w:rsidRPr="007A181E">
        <w:t>, 2016</w:t>
      </w:r>
      <w:r w:rsidRPr="006C7965">
        <w:t>) and reporting delay (</w:t>
      </w:r>
      <w:r w:rsidRPr="007A181E">
        <w:t>Henke and Maher, 2016</w:t>
      </w:r>
      <w:r w:rsidRPr="006C7965">
        <w:t>; </w:t>
      </w:r>
      <w:r w:rsidRPr="007A181E">
        <w:t>Edmonds </w:t>
      </w:r>
      <w:r w:rsidRPr="007A181E">
        <w:rPr>
          <w:i/>
          <w:iCs/>
        </w:rPr>
        <w:t>et al.</w:t>
      </w:r>
      <w:r w:rsidRPr="007A181E">
        <w:t>, 2017</w:t>
      </w:r>
      <w:r w:rsidRPr="006C7965">
        <w:t>), are also shown as leading to unfavorable bond outcomes. Municipalities also face higher bond yield premiums and agency fees when bond ratings are more pessimistic than expected, suggesting investors and rating agencies price as unobservable negative information (</w:t>
      </w:r>
      <w:r w:rsidRPr="007A181E">
        <w:t>Beck </w:t>
      </w:r>
      <w:r w:rsidRPr="007A181E">
        <w:rPr>
          <w:i/>
          <w:iCs/>
        </w:rPr>
        <w:t>et al.</w:t>
      </w:r>
      <w:r w:rsidRPr="007A181E">
        <w:t>, 2019</w:t>
      </w:r>
      <w:r w:rsidRPr="006C7965">
        <w:t>).</w:t>
      </w:r>
    </w:p>
    <w:p w14:paraId="042A71B6" w14:textId="77777777" w:rsidR="006C7965" w:rsidRPr="006C7965" w:rsidRDefault="006C7965" w:rsidP="00585EFB">
      <w:pPr>
        <w:pStyle w:val="Heading2"/>
      </w:pPr>
      <w:r w:rsidRPr="006C7965">
        <w:t>Governmental MD&amp;A</w:t>
      </w:r>
    </w:p>
    <w:p w14:paraId="6B5900AC" w14:textId="47F069A7" w:rsidR="006C7965" w:rsidRPr="006C7965" w:rsidRDefault="006C7965" w:rsidP="006C7965">
      <w:r w:rsidRPr="006C7965">
        <w:t>Even though quantitative disclosures and reporting characteristics can be related to future bond outcomes, qualitative disclosures could also be informative. In the governmental context, an MD&amp;A represents a crucial section for financial officers to narratively disclose their entity's financial information. GASB 34 requires state and local governments to include an MD&amp;A within their annual financial report. Since governmental financial managers are considered “knowledgeable about the transactions, events and conditions that are reflected in the government's financial report and of the fiscal policies that govern its operations,” the MD&amp;A should provide readers “an objective and easily readable analysis of the government's financial performance for the year” (</w:t>
      </w:r>
      <w:r w:rsidRPr="007A181E">
        <w:t>GASB, 1999</w:t>
      </w:r>
      <w:r w:rsidRPr="006C7965">
        <w:t>).</w:t>
      </w:r>
    </w:p>
    <w:p w14:paraId="507BB11B" w14:textId="30A15A2C" w:rsidR="006C7965" w:rsidRPr="006C7965" w:rsidRDefault="006C7965" w:rsidP="006C7965">
      <w:r w:rsidRPr="006C7965">
        <w:t>Even though government finance managers have discretion to describe financial aspects they deem important for reader understanding, GASB 34 maintains minimum MD&amp;A requirements (</w:t>
      </w:r>
      <w:proofErr w:type="gramStart"/>
      <w:r w:rsidRPr="006C7965">
        <w:t>e.g.</w:t>
      </w:r>
      <w:proofErr w:type="gramEnd"/>
      <w:r w:rsidRPr="006C7965">
        <w:t xml:space="preserve"> financial statement descriptions, financial position analysis and significant budgetary variations) (</w:t>
      </w:r>
      <w:r w:rsidRPr="007A181E">
        <w:t>GASB, 1999</w:t>
      </w:r>
      <w:r w:rsidRPr="006C7965">
        <w:t>). GASB 34 also recommends that the MD&amp;A should avoid “boilerplate” (</w:t>
      </w:r>
      <w:proofErr w:type="gramStart"/>
      <w:r w:rsidRPr="006C7965">
        <w:t>i.e.</w:t>
      </w:r>
      <w:proofErr w:type="gramEnd"/>
      <w:r w:rsidRPr="006C7965">
        <w:t xml:space="preserve"> nonchanging and noninformative) language that obfuscates the intended message. </w:t>
      </w:r>
      <w:r w:rsidRPr="007A181E">
        <w:t>Patton </w:t>
      </w:r>
      <w:r w:rsidRPr="007A181E">
        <w:rPr>
          <w:i/>
          <w:iCs/>
        </w:rPr>
        <w:t>et al.</w:t>
      </w:r>
      <w:r w:rsidRPr="007A181E">
        <w:t> (2001)</w:t>
      </w:r>
      <w:r w:rsidRPr="006C7965">
        <w:t xml:space="preserve"> suggest that “financial managers should focus on “significant” amounts, </w:t>
      </w:r>
      <w:proofErr w:type="gramStart"/>
      <w:r w:rsidRPr="006C7965">
        <w:t>changes</w:t>
      </w:r>
      <w:proofErr w:type="gramEnd"/>
      <w:r w:rsidRPr="006C7965">
        <w:t xml:space="preserve"> and variances” </w:t>
      </w:r>
      <w:r w:rsidRPr="007A181E">
        <w:t>[1]</w:t>
      </w:r>
      <w:r w:rsidRPr="006C7965">
        <w:t>.</w:t>
      </w:r>
    </w:p>
    <w:p w14:paraId="344644EE" w14:textId="3A44853A" w:rsidR="006C7965" w:rsidRPr="006C7965" w:rsidRDefault="006C7965" w:rsidP="006C7965">
      <w:r w:rsidRPr="006C7965">
        <w:t>Managers' financial narrative within the MD&amp;A should allow decision-makers to assess whether a given government's finances have been improved or declined (</w:t>
      </w:r>
      <w:r w:rsidRPr="007A181E">
        <w:t xml:space="preserve">Wilson and </w:t>
      </w:r>
      <w:proofErr w:type="spellStart"/>
      <w:r w:rsidRPr="007A181E">
        <w:t>Kattelus</w:t>
      </w:r>
      <w:proofErr w:type="spellEnd"/>
      <w:r w:rsidRPr="007A181E">
        <w:t>, 2001</w:t>
      </w:r>
      <w:r w:rsidRPr="006C7965">
        <w:t>). GASB 34 also specifically identifies the need for analysis of budget variances, capital asset changes and long-term debt activity during the year (</w:t>
      </w:r>
      <w:r w:rsidRPr="007A181E">
        <w:t>GASB, 1999</w:t>
      </w:r>
      <w:r w:rsidRPr="006C7965">
        <w:t>). </w:t>
      </w:r>
      <w:r w:rsidRPr="007A181E">
        <w:t>Bloch's (2016)</w:t>
      </w:r>
      <w:r w:rsidRPr="006C7965">
        <w:t> survey demonstrates that municipal analysts consider the MD&amp;A to be the most beneficial required component of GASB 34's financial reporting model improvements (except when the MD&amp;A contains boilerplate information). As the Dodd–Frank Act of 2010 increased the registration and transparency requirements regarding municipal bond advisors, </w:t>
      </w:r>
      <w:proofErr w:type="spellStart"/>
      <w:r w:rsidRPr="007A181E">
        <w:t>Ivonchyk</w:t>
      </w:r>
      <w:proofErr w:type="spellEnd"/>
      <w:r w:rsidRPr="007A181E">
        <w:t xml:space="preserve"> (2019)</w:t>
      </w:r>
      <w:r w:rsidRPr="006C7965">
        <w:t xml:space="preserve"> notes a decrease in interest costs postimplementation. </w:t>
      </w:r>
      <w:proofErr w:type="gramStart"/>
      <w:r w:rsidRPr="006C7965">
        <w:t>As well</w:t>
      </w:r>
      <w:proofErr w:type="gramEnd"/>
      <w:r w:rsidRPr="006C7965">
        <w:t>, underwriting fees can increase when a bond issuance does not engage a financial manager (</w:t>
      </w:r>
      <w:proofErr w:type="spellStart"/>
      <w:r w:rsidRPr="007A181E">
        <w:t>Luby</w:t>
      </w:r>
      <w:proofErr w:type="spellEnd"/>
      <w:r w:rsidRPr="007A181E">
        <w:t xml:space="preserve"> and </w:t>
      </w:r>
      <w:proofErr w:type="spellStart"/>
      <w:r w:rsidRPr="007A181E">
        <w:t>Moldogaziev</w:t>
      </w:r>
      <w:proofErr w:type="spellEnd"/>
      <w:r w:rsidRPr="007A181E">
        <w:t>, 2013</w:t>
      </w:r>
      <w:r w:rsidRPr="006C7965">
        <w:t>). These findings suggest that financial and textual characteristics in recent reporting could further influence debt outcomes.</w:t>
      </w:r>
    </w:p>
    <w:p w14:paraId="06CF3C6D" w14:textId="77777777" w:rsidR="006C7965" w:rsidRPr="006C7965" w:rsidRDefault="006C7965" w:rsidP="00585EFB">
      <w:pPr>
        <w:pStyle w:val="Heading2"/>
      </w:pPr>
      <w:r w:rsidRPr="006C7965">
        <w:t>Textual analysis</w:t>
      </w:r>
    </w:p>
    <w:p w14:paraId="574DCC88" w14:textId="2C7B7554" w:rsidR="006C7965" w:rsidRPr="006C7965" w:rsidRDefault="006C7965" w:rsidP="006C7965">
      <w:r w:rsidRPr="006C7965">
        <w:t>One measure to analyze the content of qualitative disclosures is tone, which is the proportion of positive and/or negative words. </w:t>
      </w:r>
      <w:r w:rsidRPr="007A181E">
        <w:t>Loughran and McDonald (2011)</w:t>
      </w:r>
      <w:r w:rsidRPr="006C7965">
        <w:t> develop a word list to calculate tone within financial reporting contexts to analyze corporate 10-K and MD&amp;A disclosures. They find market reactions to different compositions of tone suggesting that financial statement users identify signals within companies' narrative disclosures and make decisions accordingly. </w:t>
      </w:r>
      <w:r w:rsidRPr="007A181E">
        <w:t>Henry and Leone (2016)</w:t>
      </w:r>
      <w:r w:rsidRPr="006C7965">
        <w:t> suggest that financial-specific word lists (such as </w:t>
      </w:r>
      <w:r w:rsidRPr="007A181E">
        <w:t>Loughran and McDonald's (2011)</w:t>
      </w:r>
      <w:r w:rsidRPr="006C7965">
        <w:t> list) are better at explaining the market reaction than more generic word lists. The literature notes that positive and negative tone in disclosures can influence the cost of capital (</w:t>
      </w:r>
      <w:r w:rsidRPr="007A181E">
        <w:t>Kothari </w:t>
      </w:r>
      <w:r w:rsidRPr="007A181E">
        <w:rPr>
          <w:i/>
          <w:iCs/>
        </w:rPr>
        <w:t>et al.</w:t>
      </w:r>
      <w:r w:rsidRPr="007A181E">
        <w:t xml:space="preserve">, </w:t>
      </w:r>
      <w:r w:rsidRPr="007A181E">
        <w:lastRenderedPageBreak/>
        <w:t>2009</w:t>
      </w:r>
      <w:r w:rsidRPr="006C7965">
        <w:t>), the amount of accruals (</w:t>
      </w:r>
      <w:r w:rsidRPr="007A181E">
        <w:t>Li, 2010</w:t>
      </w:r>
      <w:r w:rsidRPr="006C7965">
        <w:t>), future return on assets (</w:t>
      </w:r>
      <w:r w:rsidRPr="007A181E">
        <w:t>Davis </w:t>
      </w:r>
      <w:r w:rsidRPr="007A181E">
        <w:rPr>
          <w:i/>
          <w:iCs/>
        </w:rPr>
        <w:t>et al.</w:t>
      </w:r>
      <w:r w:rsidRPr="007A181E">
        <w:t>, 2012</w:t>
      </w:r>
      <w:r w:rsidRPr="006C7965">
        <w:t>), abnormal returns (</w:t>
      </w:r>
      <w:proofErr w:type="gramStart"/>
      <w:r w:rsidRPr="006C7965">
        <w:t>e.g.</w:t>
      </w:r>
      <w:proofErr w:type="gramEnd"/>
      <w:r w:rsidRPr="006C7965">
        <w:t> </w:t>
      </w:r>
      <w:r w:rsidRPr="007A181E">
        <w:t>Feldman </w:t>
      </w:r>
      <w:r w:rsidRPr="007A181E">
        <w:rPr>
          <w:i/>
          <w:iCs/>
        </w:rPr>
        <w:t>et al.</w:t>
      </w:r>
      <w:r w:rsidRPr="007A181E">
        <w:t>, 2010</w:t>
      </w:r>
      <w:r w:rsidRPr="006C7965">
        <w:t>; </w:t>
      </w:r>
      <w:r w:rsidRPr="007A181E">
        <w:t>Chen </w:t>
      </w:r>
      <w:r w:rsidRPr="007A181E">
        <w:rPr>
          <w:i/>
          <w:iCs/>
        </w:rPr>
        <w:t>et al.</w:t>
      </w:r>
      <w:r w:rsidRPr="007A181E">
        <w:t>, 2018</w:t>
      </w:r>
      <w:r w:rsidRPr="006C7965">
        <w:t>), bond rating downgrades (</w:t>
      </w:r>
      <w:r w:rsidRPr="007A181E">
        <w:t>Agarwal </w:t>
      </w:r>
      <w:r w:rsidRPr="007A181E">
        <w:rPr>
          <w:i/>
          <w:iCs/>
        </w:rPr>
        <w:t>et al.</w:t>
      </w:r>
      <w:r w:rsidRPr="007A181E">
        <w:t>, 2016</w:t>
      </w:r>
      <w:r w:rsidRPr="006C7965">
        <w:t>) and the likelihood of missing analyst expectations (</w:t>
      </w:r>
      <w:r w:rsidRPr="007A181E">
        <w:t xml:space="preserve">Allee and </w:t>
      </w:r>
      <w:proofErr w:type="spellStart"/>
      <w:r w:rsidRPr="007A181E">
        <w:t>Deangelis</w:t>
      </w:r>
      <w:proofErr w:type="spellEnd"/>
      <w:r w:rsidRPr="007A181E">
        <w:t>, 2015</w:t>
      </w:r>
      <w:r w:rsidRPr="006C7965">
        <w:t>). MD&amp;A tone can also help to predict the likelihood of an auditor's going concern opinion and the probability of subsequent bankruptcy (</w:t>
      </w:r>
      <w:proofErr w:type="spellStart"/>
      <w:r w:rsidRPr="007A181E">
        <w:t>Mayew</w:t>
      </w:r>
      <w:proofErr w:type="spellEnd"/>
      <w:r w:rsidRPr="007A181E">
        <w:t> </w:t>
      </w:r>
      <w:r w:rsidRPr="007A181E">
        <w:rPr>
          <w:i/>
          <w:iCs/>
        </w:rPr>
        <w:t>et al.</w:t>
      </w:r>
      <w:r w:rsidRPr="007A181E">
        <w:t>, 2015</w:t>
      </w:r>
      <w:r w:rsidRPr="006C7965">
        <w:t>).</w:t>
      </w:r>
    </w:p>
    <w:p w14:paraId="5EAC5A51" w14:textId="7A405C3A" w:rsidR="006C7965" w:rsidRPr="006C7965" w:rsidRDefault="006C7965" w:rsidP="006C7965">
      <w:proofErr w:type="gramStart"/>
      <w:r w:rsidRPr="006C7965">
        <w:t>Similar to</w:t>
      </w:r>
      <w:proofErr w:type="gramEnd"/>
      <w:r w:rsidRPr="006C7965">
        <w:t xml:space="preserve"> corporate research, there is some evidence suggesting that MD&amp;A tone is informative for assessing a government's financial reporting quality and organizational performance. Municipality MD&amp;A tone is found to be negatively associated with both future reporting delay (</w:t>
      </w:r>
      <w:r w:rsidRPr="007A181E">
        <w:t>Rich </w:t>
      </w:r>
      <w:r w:rsidRPr="007A181E">
        <w:rPr>
          <w:i/>
          <w:iCs/>
        </w:rPr>
        <w:t>et al.</w:t>
      </w:r>
      <w:r w:rsidRPr="007A181E">
        <w:t>, 2016</w:t>
      </w:r>
      <w:r w:rsidRPr="006C7965">
        <w:t>) and future internal control weaknesses (</w:t>
      </w:r>
      <w:r w:rsidRPr="007A181E">
        <w:t>Rich </w:t>
      </w:r>
      <w:r w:rsidRPr="007A181E">
        <w:rPr>
          <w:i/>
          <w:iCs/>
        </w:rPr>
        <w:t>et al.</w:t>
      </w:r>
      <w:r w:rsidRPr="007A181E">
        <w:t>, 2018</w:t>
      </w:r>
      <w:r w:rsidRPr="006C7965">
        <w:t>). The analyses within </w:t>
      </w:r>
      <w:r w:rsidRPr="007A181E">
        <w:t>Rich </w:t>
      </w:r>
      <w:r w:rsidRPr="007A181E">
        <w:rPr>
          <w:i/>
          <w:iCs/>
        </w:rPr>
        <w:t>et al.</w:t>
      </w:r>
      <w:r w:rsidRPr="007A181E">
        <w:t> (2018)</w:t>
      </w:r>
      <w:r w:rsidRPr="006C7965">
        <w:t> also show that MD&amp;A tone is negatively associated with general fund deficits and positively associated with general fund intergovernmental revenues. As governments are expected to provide services instead of being profit driven, these findings suggest that finance officers display concern when expenditures exceed revenues but express confidence when additional funding bolsters financial condition. Unlike some of the corporate studies investigating associations tone and external outcomes, </w:t>
      </w:r>
      <w:r w:rsidRPr="007A181E">
        <w:t>Rich </w:t>
      </w:r>
      <w:r w:rsidRPr="007A181E">
        <w:rPr>
          <w:i/>
          <w:iCs/>
        </w:rPr>
        <w:t>et al.</w:t>
      </w:r>
      <w:r w:rsidRPr="007A181E">
        <w:t> (2016</w:t>
      </w:r>
      <w:r w:rsidRPr="006C7965">
        <w:t>, </w:t>
      </w:r>
      <w:r w:rsidRPr="007A181E">
        <w:t>2018)</w:t>
      </w:r>
      <w:r w:rsidRPr="006C7965">
        <w:t xml:space="preserve"> only </w:t>
      </w:r>
      <w:proofErr w:type="gramStart"/>
      <w:r w:rsidRPr="006C7965">
        <w:t>analyze</w:t>
      </w:r>
      <w:proofErr w:type="gramEnd"/>
      <w:r w:rsidRPr="006C7965">
        <w:t xml:space="preserve"> internal associations with tone. Since research has not addressed stakeholders' reactions to linguistic tone in a governmental reporting context, this study is relevant to determine how discretionary narrative disclosures are associated with several bond characteristics.</w:t>
      </w:r>
    </w:p>
    <w:p w14:paraId="1511B842" w14:textId="77777777" w:rsidR="006C7965" w:rsidRPr="006C7965" w:rsidRDefault="006C7965" w:rsidP="00585EFB">
      <w:pPr>
        <w:pStyle w:val="Heading2"/>
      </w:pPr>
      <w:r w:rsidRPr="006C7965">
        <w:t>Hypotheses</w:t>
      </w:r>
    </w:p>
    <w:p w14:paraId="63D685DB" w14:textId="32FC5BD2" w:rsidR="006C7965" w:rsidRPr="006C7965" w:rsidRDefault="006C7965" w:rsidP="006C7965">
      <w:r w:rsidRPr="006C7965">
        <w:t>Narrative disclosures are intended to help financial statement users understand the entity's finances and operations over the fiscal period and subsequently assist users' decision-making. Corporate sector research suggests that the linguistic tone is associated with future debt-related factors such as cost of capital (</w:t>
      </w:r>
      <w:r w:rsidRPr="007A181E">
        <w:t>Kothari </w:t>
      </w:r>
      <w:r w:rsidRPr="007A181E">
        <w:rPr>
          <w:i/>
          <w:iCs/>
        </w:rPr>
        <w:t>et al.</w:t>
      </w:r>
      <w:r w:rsidRPr="007A181E">
        <w:t>, 2009</w:t>
      </w:r>
      <w:r w:rsidRPr="006C7965">
        <w:t>) and bond ratings (</w:t>
      </w:r>
      <w:r w:rsidRPr="007A181E">
        <w:t>Agarwal </w:t>
      </w:r>
      <w:r w:rsidRPr="007A181E">
        <w:rPr>
          <w:i/>
          <w:iCs/>
        </w:rPr>
        <w:t>et al.</w:t>
      </w:r>
      <w:r w:rsidRPr="007A181E">
        <w:t>, 2016</w:t>
      </w:r>
      <w:r w:rsidRPr="006C7965">
        <w:t>). Compared to the financial markets for publicly traded companies, the bond market for municipalities offers substantially less disclosure (</w:t>
      </w:r>
      <w:proofErr w:type="spellStart"/>
      <w:r w:rsidRPr="007A181E">
        <w:t>Cuny</w:t>
      </w:r>
      <w:proofErr w:type="spellEnd"/>
      <w:r w:rsidRPr="007A181E">
        <w:t>, 2018</w:t>
      </w:r>
      <w:r w:rsidRPr="006C7965">
        <w:t>), which may inhibit investment decisions. Additionally, bond assessments from the private sector may not be generalized to the governmental sector because of differences in financial reporting and service orientation (</w:t>
      </w:r>
      <w:r w:rsidRPr="007A181E">
        <w:t>GASB, 2006</w:t>
      </w:r>
      <w:r w:rsidRPr="006C7965">
        <w:t>). To limit the degree of information asymmetry in the municipal context, one possibility is that bond analysts rely on qualitative information in MD&amp;A disclosures when making assessments of risk (</w:t>
      </w:r>
      <w:r w:rsidRPr="007A181E">
        <w:t>Bloch, 2016</w:t>
      </w:r>
      <w:r w:rsidRPr="006C7965">
        <w:t>).</w:t>
      </w:r>
    </w:p>
    <w:p w14:paraId="37DA0025" w14:textId="768794A3" w:rsidR="006C7965" w:rsidRPr="006C7965" w:rsidRDefault="006C7965" w:rsidP="006C7965">
      <w:r w:rsidRPr="006C7965">
        <w:t>Following evidence that favorable (unfavorable) quantitative financial performance (</w:t>
      </w:r>
      <w:proofErr w:type="gramStart"/>
      <w:r w:rsidRPr="006C7965">
        <w:t>e.g.</w:t>
      </w:r>
      <w:proofErr w:type="gramEnd"/>
      <w:r w:rsidRPr="006C7965">
        <w:t> </w:t>
      </w:r>
      <w:r w:rsidRPr="007A181E">
        <w:t>Marlowe, 2011</w:t>
      </w:r>
      <w:r w:rsidRPr="006C7965">
        <w:t>; </w:t>
      </w:r>
      <w:r w:rsidRPr="007A181E">
        <w:t xml:space="preserve">Callahan and </w:t>
      </w:r>
      <w:proofErr w:type="spellStart"/>
      <w:r w:rsidRPr="007A181E">
        <w:t>Waymire</w:t>
      </w:r>
      <w:proofErr w:type="spellEnd"/>
      <w:r w:rsidRPr="007A181E">
        <w:t>, 2015</w:t>
      </w:r>
      <w:r w:rsidRPr="006C7965">
        <w:t>) and higher (lower) disclosure quality (e.g. </w:t>
      </w:r>
      <w:r w:rsidRPr="007A181E">
        <w:t>Baber and Gore, 2008</w:t>
      </w:r>
      <w:r w:rsidRPr="006C7965">
        <w:t>; </w:t>
      </w:r>
      <w:r w:rsidRPr="007A181E">
        <w:t>Baber </w:t>
      </w:r>
      <w:r w:rsidRPr="007A181E">
        <w:rPr>
          <w:i/>
          <w:iCs/>
        </w:rPr>
        <w:t>et al.</w:t>
      </w:r>
      <w:r w:rsidRPr="007A181E">
        <w:t>, 2013</w:t>
      </w:r>
      <w:r w:rsidRPr="006C7965">
        <w:t>; </w:t>
      </w:r>
      <w:r w:rsidRPr="007A181E">
        <w:t>Henke and Maher, 2016</w:t>
      </w:r>
      <w:r w:rsidRPr="006C7965">
        <w:t>; </w:t>
      </w:r>
      <w:r w:rsidRPr="007A181E">
        <w:t>Park </w:t>
      </w:r>
      <w:r w:rsidRPr="007A181E">
        <w:rPr>
          <w:i/>
          <w:iCs/>
        </w:rPr>
        <w:t>et al.</w:t>
      </w:r>
      <w:r w:rsidRPr="007A181E">
        <w:t>, 2017</w:t>
      </w:r>
      <w:r w:rsidRPr="006C7965">
        <w:t>) are associated with better (worse) bond outcomes, municipal analysts could perceive tone within the municipal MD&amp;A to be informative. Additionally, </w:t>
      </w:r>
      <w:r w:rsidRPr="007A181E">
        <w:t>Beck </w:t>
      </w:r>
      <w:r w:rsidRPr="007A181E">
        <w:rPr>
          <w:i/>
          <w:iCs/>
        </w:rPr>
        <w:t>et al.</w:t>
      </w:r>
      <w:r w:rsidRPr="007A181E">
        <w:t> (2019)</w:t>
      </w:r>
      <w:r w:rsidRPr="006C7965">
        <w:t> </w:t>
      </w:r>
      <w:proofErr w:type="gramStart"/>
      <w:r w:rsidRPr="006C7965">
        <w:t>highlight</w:t>
      </w:r>
      <w:proofErr w:type="gramEnd"/>
      <w:r w:rsidRPr="006C7965">
        <w:t xml:space="preserve"> that unobservable negative information can infer higher risk and can influence bonds with more pessimistic ratings, higher bond yield premiums and higher agency fees. If municipal bond analysts perceive that positive (negative) tone provides useful information about future performance and the likelihood of default, then we expect lower (higher) debt costs for municipalities with positive (negative) disclosure tone. Therefore, our first hypotheses state the following:</w:t>
      </w:r>
    </w:p>
    <w:p w14:paraId="772DB57D" w14:textId="4592EE67" w:rsidR="006C7965" w:rsidRPr="006C7965" w:rsidRDefault="006C7965" w:rsidP="007E560D">
      <w:pPr>
        <w:ind w:left="720"/>
      </w:pPr>
      <w:r w:rsidRPr="006C7965">
        <w:rPr>
          <w:i/>
          <w:iCs/>
        </w:rPr>
        <w:t>H1a.</w:t>
      </w:r>
      <w:r w:rsidR="007E560D">
        <w:rPr>
          <w:i/>
          <w:iCs/>
        </w:rPr>
        <w:t xml:space="preserve"> </w:t>
      </w:r>
      <w:r w:rsidRPr="006C7965">
        <w:t>True interest costs (TICs) are inversely associated with positive municipal MD&amp;A disclosure tone.</w:t>
      </w:r>
    </w:p>
    <w:p w14:paraId="09027893" w14:textId="3EE4FAE0" w:rsidR="006C7965" w:rsidRPr="006C7965" w:rsidRDefault="006C7965" w:rsidP="007E560D">
      <w:pPr>
        <w:ind w:left="720"/>
      </w:pPr>
      <w:r w:rsidRPr="006C7965">
        <w:rPr>
          <w:i/>
          <w:iCs/>
        </w:rPr>
        <w:t>H1b.</w:t>
      </w:r>
      <w:r w:rsidR="007E560D">
        <w:rPr>
          <w:i/>
          <w:iCs/>
        </w:rPr>
        <w:t xml:space="preserve"> </w:t>
      </w:r>
      <w:r w:rsidRPr="006C7965">
        <w:t>TICs are directly associated with negative municipal MD&amp;A disclosure tone.</w:t>
      </w:r>
    </w:p>
    <w:p w14:paraId="3ED85880" w14:textId="67E1E0E0" w:rsidR="006C7965" w:rsidRPr="006C7965" w:rsidRDefault="006C7965" w:rsidP="006C7965">
      <w:r w:rsidRPr="006C7965">
        <w:t>Even though municipal MD&amp;A tone could provide information content toward inferring bond interest costs, the impact of tone may have different interpretations among various users. Since evaluating creditworthiness is somewhat subjective (</w:t>
      </w:r>
      <w:proofErr w:type="spellStart"/>
      <w:r w:rsidRPr="007A181E">
        <w:t>Ederington</w:t>
      </w:r>
      <w:proofErr w:type="spellEnd"/>
      <w:r w:rsidRPr="007A181E">
        <w:t>, 1986</w:t>
      </w:r>
      <w:r w:rsidRPr="006C7965">
        <w:t>), and agencies can have differences in their weighting of objective rating measures (</w:t>
      </w:r>
      <w:r w:rsidRPr="007A181E">
        <w:t>Walker and Krueger, 2009</w:t>
      </w:r>
      <w:r w:rsidRPr="006C7965">
        <w:t>), rating analysis judgments may show variation. Corporate firms having more obfuscated asset classes (</w:t>
      </w:r>
      <w:r w:rsidRPr="007A181E">
        <w:t>Livingston </w:t>
      </w:r>
      <w:r w:rsidRPr="007A181E">
        <w:rPr>
          <w:i/>
          <w:iCs/>
        </w:rPr>
        <w:t>et al.</w:t>
      </w:r>
      <w:r w:rsidRPr="007A181E">
        <w:t>, 2007</w:t>
      </w:r>
      <w:r w:rsidRPr="006C7965">
        <w:t>), disclosing less comparable financial information (</w:t>
      </w:r>
      <w:r w:rsidRPr="007A181E">
        <w:t>Kim </w:t>
      </w:r>
      <w:r w:rsidRPr="007A181E">
        <w:rPr>
          <w:i/>
          <w:iCs/>
        </w:rPr>
        <w:t>et al.</w:t>
      </w:r>
      <w:r w:rsidRPr="007A181E">
        <w:t>, 2013</w:t>
      </w:r>
      <w:r w:rsidRPr="006C7965">
        <w:t>) and being in more opaque industries (</w:t>
      </w:r>
      <w:r w:rsidRPr="007A181E">
        <w:t>Morgan, 2002</w:t>
      </w:r>
      <w:r w:rsidRPr="006C7965">
        <w:t>) have been shown to relate to more bond rating disagreements or splits (</w:t>
      </w:r>
      <w:proofErr w:type="gramStart"/>
      <w:r w:rsidRPr="006C7965">
        <w:t>i.e.</w:t>
      </w:r>
      <w:proofErr w:type="gramEnd"/>
      <w:r w:rsidRPr="006C7965">
        <w:t xml:space="preserve"> rating differences between Moody's and Standard and Poor's systems on a given </w:t>
      </w:r>
      <w:r w:rsidRPr="006C7965">
        <w:lastRenderedPageBreak/>
        <w:t>bond issuance). Governmental research finds that uncertainty over the assumed discount rate for pensions (</w:t>
      </w:r>
      <w:r w:rsidRPr="007A181E">
        <w:t>Hallman and Khurana, 2015</w:t>
      </w:r>
      <w:r w:rsidRPr="006C7965">
        <w:t>) can be influential in forming rating splits.</w:t>
      </w:r>
    </w:p>
    <w:p w14:paraId="0CC7E9B7" w14:textId="08CBF2EB" w:rsidR="006C7965" w:rsidRPr="006C7965" w:rsidRDefault="006C7965" w:rsidP="006C7965">
      <w:r w:rsidRPr="006C7965">
        <w:t>It is unclear from the limited governmental research how tone could be interpreted by municipal bond analysts. As uncertainty over financial information can lead to variability in bond ratings (</w:t>
      </w:r>
      <w:r w:rsidRPr="007A181E">
        <w:t>Morgan, 2002</w:t>
      </w:r>
      <w:r w:rsidRPr="006C7965">
        <w:t xml:space="preserve">), the positivity of tone within qualitative disclosures could reduce or enhance the uncertainty. If linguistic tone characteristics help investors to arrive at a consensus regarding bond issue default risk, one consequence would be a reduced likelihood of bond rating disagreement. However, if linguistic tone introduces the need for additional subjective interpretation of qualitative information, this </w:t>
      </w:r>
      <w:proofErr w:type="gramStart"/>
      <w:r w:rsidRPr="006C7965">
        <w:t>would</w:t>
      </w:r>
      <w:proofErr w:type="gramEnd"/>
      <w:r w:rsidRPr="006C7965">
        <w:t xml:space="preserve"> likely result in more bond rating disagreement. Therefore, we state our second hypothesis in the null as follows:</w:t>
      </w:r>
    </w:p>
    <w:p w14:paraId="63F52133" w14:textId="617D46E4" w:rsidR="006C7965" w:rsidRPr="006C7965" w:rsidRDefault="006C7965" w:rsidP="007E560D">
      <w:pPr>
        <w:ind w:left="720"/>
      </w:pPr>
      <w:r w:rsidRPr="006C7965">
        <w:rPr>
          <w:i/>
          <w:iCs/>
        </w:rPr>
        <w:t>H2.</w:t>
      </w:r>
      <w:r w:rsidR="007E560D">
        <w:rPr>
          <w:i/>
          <w:iCs/>
        </w:rPr>
        <w:t xml:space="preserve"> </w:t>
      </w:r>
      <w:r w:rsidRPr="006C7965">
        <w:t>Bond rating disagreements are independent of municipal MD&amp;A disclosure tone.</w:t>
      </w:r>
    </w:p>
    <w:p w14:paraId="4E079823" w14:textId="77777777" w:rsidR="006C7965" w:rsidRPr="006C7965" w:rsidRDefault="006C7965" w:rsidP="007E560D">
      <w:pPr>
        <w:pStyle w:val="Heading1"/>
      </w:pPr>
      <w:r w:rsidRPr="006C7965">
        <w:t>Research design and results</w:t>
      </w:r>
    </w:p>
    <w:p w14:paraId="1464652A" w14:textId="77777777" w:rsidR="006C7965" w:rsidRPr="006C7965" w:rsidRDefault="006C7965" w:rsidP="00FD247F">
      <w:pPr>
        <w:pStyle w:val="Heading2"/>
      </w:pPr>
      <w:r w:rsidRPr="006C7965">
        <w:t>Sample and descriptive statistics</w:t>
      </w:r>
    </w:p>
    <w:p w14:paraId="6A89A5B1" w14:textId="3CAE028A" w:rsidR="006C7965" w:rsidRPr="006C7965" w:rsidRDefault="006C7965" w:rsidP="006C7965">
      <w:proofErr w:type="gramStart"/>
      <w:r w:rsidRPr="006C7965">
        <w:t>Similar to</w:t>
      </w:r>
      <w:proofErr w:type="gramEnd"/>
      <w:r w:rsidRPr="006C7965">
        <w:t> </w:t>
      </w:r>
      <w:r w:rsidRPr="007A181E">
        <w:t>Rich </w:t>
      </w:r>
      <w:r w:rsidRPr="007A181E">
        <w:rPr>
          <w:i/>
          <w:iCs/>
        </w:rPr>
        <w:t>et al.</w:t>
      </w:r>
      <w:r w:rsidRPr="007A181E">
        <w:t> (2016)</w:t>
      </w:r>
      <w:r w:rsidRPr="006C7965">
        <w:t>, we download Comprehensive Annual Financial Reports (CAFRs) from municipality websites from 2011 to 2015 and extract the MD&amp;A section for textual analysis </w:t>
      </w:r>
      <w:r w:rsidRPr="007A181E">
        <w:t>[2]</w:t>
      </w:r>
      <w:r w:rsidRPr="006C7965">
        <w:t>. Following prior studies (</w:t>
      </w:r>
      <w:proofErr w:type="spellStart"/>
      <w:r w:rsidRPr="007A181E">
        <w:t>Mayew</w:t>
      </w:r>
      <w:proofErr w:type="spellEnd"/>
      <w:r w:rsidRPr="007A181E">
        <w:t> </w:t>
      </w:r>
      <w:r w:rsidRPr="007A181E">
        <w:rPr>
          <w:i/>
          <w:iCs/>
        </w:rPr>
        <w:t>et al.</w:t>
      </w:r>
      <w:r w:rsidRPr="007A181E">
        <w:t>, 2015</w:t>
      </w:r>
      <w:r w:rsidRPr="006C7965">
        <w:t>; </w:t>
      </w:r>
      <w:r w:rsidRPr="007A181E">
        <w:t>Rich </w:t>
      </w:r>
      <w:r w:rsidRPr="007A181E">
        <w:rPr>
          <w:i/>
          <w:iCs/>
        </w:rPr>
        <w:t>et al.</w:t>
      </w:r>
      <w:r w:rsidRPr="007A181E">
        <w:t>, 2016</w:t>
      </w:r>
      <w:r w:rsidRPr="006C7965">
        <w:t>; </w:t>
      </w:r>
      <w:r w:rsidRPr="007A181E">
        <w:t>Allee </w:t>
      </w:r>
      <w:r w:rsidRPr="007A181E">
        <w:rPr>
          <w:i/>
          <w:iCs/>
        </w:rPr>
        <w:t>et al.</w:t>
      </w:r>
      <w:r w:rsidRPr="007A181E">
        <w:t>, 2020</w:t>
      </w:r>
      <w:r w:rsidRPr="006C7965">
        <w:t>), we import the </w:t>
      </w:r>
      <w:r w:rsidRPr="007A181E">
        <w:t>Loughran and McDonald (2011)</w:t>
      </w:r>
      <w:r w:rsidRPr="006C7965">
        <w:t> dictionary into the Linguistic Inquiry and Word Count (LIWC) software because of its applicability to a financial context </w:t>
      </w:r>
      <w:r w:rsidRPr="007A181E">
        <w:t>[3]</w:t>
      </w:r>
      <w:r w:rsidRPr="006C7965">
        <w:t>. Given the importance of a dictionary with the proper context (</w:t>
      </w:r>
      <w:r w:rsidRPr="007A181E">
        <w:t>Grimmer and Stewart, 2013</w:t>
      </w:r>
      <w:r w:rsidRPr="006C7965">
        <w:t>), we augment the </w:t>
      </w:r>
      <w:r w:rsidRPr="007A181E">
        <w:t>Loughran and McDonald (2011)</w:t>
      </w:r>
      <w:r w:rsidRPr="006C7965">
        <w:t> list with the government-specific words suggested in Appendix B of </w:t>
      </w:r>
      <w:r w:rsidRPr="007A181E">
        <w:t>Rich </w:t>
      </w:r>
      <w:r w:rsidRPr="007A181E">
        <w:rPr>
          <w:i/>
          <w:iCs/>
        </w:rPr>
        <w:t>et al.</w:t>
      </w:r>
      <w:r w:rsidRPr="007A181E">
        <w:t> (2018)</w:t>
      </w:r>
      <w:r w:rsidRPr="006C7965">
        <w:t>. Then, we identified the positive and negative words that appear in more than five percent of the sample and evaluated each for the governmental context. This resulted in the removal of seven words from the negative word list (absences, bridge, claims, encumbrances, fines, refuse and unemployment) and three words from the positive word list (accountable, benefit and stabilization) </w:t>
      </w:r>
      <w:r w:rsidRPr="007A181E">
        <w:t>[4]</w:t>
      </w:r>
      <w:r w:rsidRPr="006C7965">
        <w:t>.</w:t>
      </w:r>
    </w:p>
    <w:p w14:paraId="3DA6624D" w14:textId="076D9251" w:rsidR="006C7965" w:rsidRPr="006C7965" w:rsidRDefault="006C7965" w:rsidP="006C7965">
      <w:r w:rsidRPr="006C7965">
        <w:t>We provide two excerpts of MD&amp;A disclosures in the </w:t>
      </w:r>
      <w:r w:rsidRPr="007A181E">
        <w:t>Appendix</w:t>
      </w:r>
      <w:r w:rsidRPr="006C7965">
        <w:t> to illustrate construction of our tone measures, which we calculate as the percentage of </w:t>
      </w:r>
      <w:r w:rsidRPr="006C7965">
        <w:rPr>
          <w:i/>
          <w:iCs/>
        </w:rPr>
        <w:t>positive</w:t>
      </w:r>
      <w:r w:rsidRPr="006C7965">
        <w:t> or </w:t>
      </w:r>
      <w:r w:rsidRPr="006C7965">
        <w:rPr>
          <w:i/>
          <w:iCs/>
        </w:rPr>
        <w:t>negative</w:t>
      </w:r>
      <w:r w:rsidRPr="006C7965">
        <w:t> words to total words, respectively, based on the </w:t>
      </w:r>
      <w:r w:rsidRPr="007A181E">
        <w:t>Loughran and McDonald (2011)</w:t>
      </w:r>
      <w:r w:rsidRPr="006C7965">
        <w:t> dictionary with modifications from </w:t>
      </w:r>
      <w:r w:rsidRPr="007A181E">
        <w:t>Rich </w:t>
      </w:r>
      <w:r w:rsidRPr="007A181E">
        <w:rPr>
          <w:i/>
          <w:iCs/>
        </w:rPr>
        <w:t>et al.</w:t>
      </w:r>
      <w:r w:rsidRPr="007A181E">
        <w:t> (2018)</w:t>
      </w:r>
      <w:r w:rsidRPr="006C7965">
        <w:t> and our evaluation </w:t>
      </w:r>
      <w:r w:rsidRPr="007A181E">
        <w:t>[5]</w:t>
      </w:r>
      <w:r w:rsidRPr="006C7965">
        <w:t>. The Iowa City, Iowa excerpt exemplifies the power of linguistic tone, as it provides qualitative explanation of conditions that are not available from examination of financial statements alone.</w:t>
      </w:r>
    </w:p>
    <w:p w14:paraId="3315E623" w14:textId="77777777" w:rsidR="006C7965" w:rsidRPr="006C7965" w:rsidRDefault="006C7965" w:rsidP="006C7965">
      <w:r w:rsidRPr="006C7965">
        <w:t>Data on the municipal form of government and council election cycles are from the 2011 International City/County Management Association (ICMA) Municipal Form of Government Survey and other financial data are manually collected from CAFRs. Population and median income information are obtained from the US census, and details on the recipients of the Certificate of Excellence in Financial Reporting are obtained from the Government Finance Officers Association (GFOA).</w:t>
      </w:r>
    </w:p>
    <w:p w14:paraId="6A2A8F19" w14:textId="06CA3298" w:rsidR="006C7965" w:rsidRPr="006C7965" w:rsidRDefault="006C7965" w:rsidP="006C7965">
      <w:r w:rsidRPr="007A181E">
        <w:t>Table 1</w:t>
      </w:r>
      <w:r w:rsidRPr="006C7965">
        <w:t> provides a detailed breakdown of our sample selection procedures. Our research is based on the 362 municipalities from </w:t>
      </w:r>
      <w:r w:rsidRPr="007A181E">
        <w:t>Rich </w:t>
      </w:r>
      <w:r w:rsidRPr="007A181E">
        <w:rPr>
          <w:i/>
          <w:iCs/>
        </w:rPr>
        <w:t>et al.</w:t>
      </w:r>
      <w:r w:rsidRPr="007A181E">
        <w:t> (2016)</w:t>
      </w:r>
      <w:r w:rsidRPr="006C7965">
        <w:t>, including the jurisdictions with more than 25,000 citizens those responded to the 2011 ICMA survey and other data availability filters. Using Thomson Reuters (SDC), we find 2,048 bond issuances by these 362 municipalities from 2012 to 2016. To ensure that a municipality's bond issuances follow their CAFR release (thereby allowing the bond market to react to the information therein), we keep issues with a bond sale date beyond the CAFR's CPA signing date (a proxy for CAFR release date to the public). Thus, our municipal MD&amp;A disclosures are from 2011 to 2015, while our bond issues are from 2012 to 2016 </w:t>
      </w:r>
      <w:r w:rsidRPr="007A181E">
        <w:t>[6]</w:t>
      </w:r>
      <w:r w:rsidRPr="006C7965">
        <w:t xml:space="preserve">. After deleting municipalities with missing TIC details, MD&amp;A disclosures, bond market data and other control variable data, our final sample consists of 446 bond issues from 107 unique municipalities in 37 states during the years </w:t>
      </w:r>
      <w:r w:rsidRPr="006C7965">
        <w:lastRenderedPageBreak/>
        <w:t>2012–2016 </w:t>
      </w:r>
      <w:r w:rsidRPr="007A181E">
        <w:t>[7]</w:t>
      </w:r>
      <w:r w:rsidRPr="006C7965">
        <w:t>. Since our dependent variables are not available for every bond issuance in our sample, the number of observations varies for each of our models.</w:t>
      </w:r>
    </w:p>
    <w:p w14:paraId="7DC0AFBC" w14:textId="77777777" w:rsidR="006C7965" w:rsidRPr="006C7965" w:rsidRDefault="006C7965" w:rsidP="00FD247F">
      <w:pPr>
        <w:pStyle w:val="Heading2"/>
      </w:pPr>
      <w:r w:rsidRPr="006C7965">
        <w:t>Debt costs</w:t>
      </w:r>
    </w:p>
    <w:p w14:paraId="6422B096" w14:textId="027FF78E" w:rsidR="006C7965" w:rsidRPr="006C7965" w:rsidRDefault="006C7965" w:rsidP="006C7965">
      <w:r w:rsidRPr="006C7965">
        <w:t>Our primary goal is to test whether MD&amp;A linguistic tone in municipal MD&amp;A disclosures contains valuable information in terms of debt costs. We propose the following model to investigate our </w:t>
      </w:r>
      <w:r w:rsidRPr="007A181E">
        <w:t>Hypotheses 1a</w:t>
      </w:r>
      <w:r w:rsidRPr="006C7965">
        <w:t> and </w:t>
      </w:r>
      <w:r w:rsidRPr="007A181E">
        <w:t>1b</w:t>
      </w:r>
      <w:r w:rsidRPr="006C7965">
        <w:t>.</w:t>
      </w:r>
    </w:p>
    <w:p w14:paraId="3A05FE13" w14:textId="1AFF0B53" w:rsidR="007E3183" w:rsidRDefault="007E3183" w:rsidP="006C7965">
      <m:oMathPara>
        <m:oMath>
          <m:r>
            <w:rPr>
              <w:rFonts w:ascii="Cambria Math" w:hAnsi="Cambria Math"/>
              <w:sz w:val="28"/>
              <w:szCs w:val="28"/>
            </w:rPr>
            <m:t>TI</m:t>
          </m:r>
          <m:sSub>
            <m:sSubPr>
              <m:ctrlPr>
                <w:rPr>
                  <w:rFonts w:ascii="Cambria Math" w:hAnsi="Cambria Math"/>
                  <w:sz w:val="28"/>
                  <w:szCs w:val="28"/>
                </w:rPr>
              </m:ctrlPr>
            </m:sSubPr>
            <m:e>
              <m:r>
                <w:rPr>
                  <w:rFonts w:ascii="Cambria Math" w:hAnsi="Cambria Math"/>
                  <w:sz w:val="28"/>
                  <w:szCs w:val="28"/>
                </w:rPr>
                <m:t>C</m:t>
              </m:r>
            </m:e>
            <m:sub>
              <m:r>
                <w:rPr>
                  <w:rFonts w:ascii="Cambria Math" w:hAnsi="Cambria Math"/>
                  <w:sz w:val="28"/>
                  <w:szCs w:val="28"/>
                </w:rPr>
                <m:t>i,t+1</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β</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β</m:t>
              </m:r>
            </m:e>
            <m:sub>
              <m:r>
                <w:rPr>
                  <w:rFonts w:ascii="Cambria Math" w:hAnsi="Cambria Math"/>
                  <w:sz w:val="28"/>
                  <w:szCs w:val="28"/>
                </w:rPr>
                <m:t>1</m:t>
              </m:r>
            </m:sub>
          </m:sSub>
          <m:sSub>
            <m:sSubPr>
              <m:ctrlPr>
                <w:rPr>
                  <w:rFonts w:ascii="Cambria Math" w:hAnsi="Cambria Math"/>
                  <w:sz w:val="28"/>
                  <w:szCs w:val="28"/>
                </w:rPr>
              </m:ctrlPr>
            </m:sSubPr>
            <m:e>
              <m:r>
                <w:rPr>
                  <w:rFonts w:ascii="Cambria Math" w:hAnsi="Cambria Math"/>
                  <w:sz w:val="28"/>
                  <w:szCs w:val="28"/>
                </w:rPr>
                <m:t>Positive</m:t>
              </m:r>
            </m:e>
            <m:sub>
              <m:r>
                <w:rPr>
                  <w:rFonts w:ascii="Cambria Math" w:hAnsi="Cambria Math"/>
                  <w:sz w:val="28"/>
                  <w:szCs w:val="28"/>
                </w:rPr>
                <m:t>i,t</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β</m:t>
              </m:r>
            </m:e>
            <m:sub>
              <m:r>
                <w:rPr>
                  <w:rFonts w:ascii="Cambria Math" w:hAnsi="Cambria Math"/>
                  <w:sz w:val="28"/>
                  <w:szCs w:val="28"/>
                </w:rPr>
                <m:t>2</m:t>
              </m:r>
            </m:sub>
          </m:sSub>
          <m:sSub>
            <m:sSubPr>
              <m:ctrlPr>
                <w:rPr>
                  <w:rFonts w:ascii="Cambria Math" w:hAnsi="Cambria Math"/>
                  <w:sz w:val="28"/>
                  <w:szCs w:val="28"/>
                </w:rPr>
              </m:ctrlPr>
            </m:sSubPr>
            <m:e>
              <m:r>
                <w:rPr>
                  <w:rFonts w:ascii="Cambria Math" w:hAnsi="Cambria Math"/>
                  <w:sz w:val="28"/>
                  <w:szCs w:val="28"/>
                </w:rPr>
                <m:t>Negative</m:t>
              </m:r>
            </m:e>
            <m:sub>
              <m:r>
                <w:rPr>
                  <w:rFonts w:ascii="Cambria Math" w:hAnsi="Cambria Math"/>
                  <w:sz w:val="28"/>
                  <w:szCs w:val="28"/>
                </w:rPr>
                <m:t>i,t</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β</m:t>
              </m:r>
            </m:e>
            <m:sub>
              <m:r>
                <w:rPr>
                  <w:rFonts w:ascii="Cambria Math" w:hAnsi="Cambria Math"/>
                  <w:sz w:val="28"/>
                  <w:szCs w:val="28"/>
                </w:rPr>
                <m:t>b</m:t>
              </m:r>
            </m:sub>
          </m:sSub>
          <m:r>
            <w:rPr>
              <w:rFonts w:ascii="Cambria Math" w:hAnsi="Cambria Math"/>
              <w:sz w:val="28"/>
              <w:szCs w:val="28"/>
            </w:rPr>
            <m:t>Bondcontols+∑</m:t>
          </m:r>
          <m:sSub>
            <m:sSubPr>
              <m:ctrlPr>
                <w:rPr>
                  <w:rFonts w:ascii="Cambria Math" w:hAnsi="Cambria Math"/>
                  <w:sz w:val="28"/>
                  <w:szCs w:val="28"/>
                </w:rPr>
              </m:ctrlPr>
            </m:sSubPr>
            <m:e>
              <m:r>
                <w:rPr>
                  <w:rFonts w:ascii="Cambria Math" w:hAnsi="Cambria Math"/>
                  <w:sz w:val="28"/>
                  <w:szCs w:val="28"/>
                </w:rPr>
                <m:t>λ</m:t>
              </m:r>
            </m:e>
            <m:sub>
              <m:r>
                <w:rPr>
                  <w:rFonts w:ascii="Cambria Math" w:hAnsi="Cambria Math"/>
                  <w:sz w:val="28"/>
                  <w:szCs w:val="28"/>
                </w:rPr>
                <m:t>m</m:t>
              </m:r>
            </m:sub>
          </m:sSub>
          <m:r>
            <w:rPr>
              <w:rFonts w:ascii="Cambria Math" w:hAnsi="Cambria Math"/>
              <w:sz w:val="28"/>
              <w:szCs w:val="28"/>
            </w:rPr>
            <m:t>Municipalcontols+∑</m:t>
          </m:r>
          <m:sSub>
            <m:sSubPr>
              <m:ctrlPr>
                <w:rPr>
                  <w:rFonts w:ascii="Cambria Math" w:hAnsi="Cambria Math"/>
                  <w:sz w:val="28"/>
                  <w:szCs w:val="28"/>
                </w:rPr>
              </m:ctrlPr>
            </m:sSubPr>
            <m:e>
              <m:r>
                <w:rPr>
                  <w:rFonts w:ascii="Cambria Math" w:hAnsi="Cambria Math"/>
                  <w:sz w:val="28"/>
                  <w:szCs w:val="28"/>
                </w:rPr>
                <m:t>YearFE</m:t>
              </m:r>
            </m:e>
            <m:sub>
              <m:r>
                <w:rPr>
                  <w:rFonts w:ascii="Cambria Math" w:hAnsi="Cambria Math"/>
                  <w:sz w:val="28"/>
                  <w:szCs w:val="28"/>
                </w:rPr>
                <m:t>t</m:t>
              </m:r>
            </m:sub>
          </m:sSub>
          <m:r>
            <w:rPr>
              <w:rFonts w:ascii="Cambria Math" w:hAnsi="Cambria Math"/>
              <w:sz w:val="28"/>
              <w:szCs w:val="28"/>
            </w:rPr>
            <m:t>+ε</m:t>
          </m:r>
        </m:oMath>
      </m:oMathPara>
    </w:p>
    <w:p w14:paraId="44421822" w14:textId="2BF45134" w:rsidR="006C7965" w:rsidRPr="006C7965" w:rsidRDefault="006C7965" w:rsidP="006C7965">
      <w:r w:rsidRPr="006C7965">
        <w:t>The dependent variable is </w:t>
      </w:r>
      <w:r w:rsidRPr="006C7965">
        <w:rPr>
          <w:i/>
          <w:iCs/>
        </w:rPr>
        <w:t>TIC</w:t>
      </w:r>
      <w:r w:rsidRPr="006C7965">
        <w:t>, which is defined as the interest rate that sets the present value of the principal and interest payments equal to the issue proceeds received by the issuer. Note that </w:t>
      </w:r>
      <w:r w:rsidRPr="006C7965">
        <w:rPr>
          <w:i/>
          <w:iCs/>
        </w:rPr>
        <w:t>TIC</w:t>
      </w:r>
      <w:r w:rsidRPr="006C7965">
        <w:t> is measured at time (</w:t>
      </w:r>
      <w:r w:rsidRPr="006C7965">
        <w:rPr>
          <w:i/>
          <w:iCs/>
        </w:rPr>
        <w:t>t+1</w:t>
      </w:r>
      <w:r w:rsidRPr="006C7965">
        <w:t>), which indicates that the respective bond issuance follows the CAFR release at time (</w:t>
      </w:r>
      <w:r w:rsidRPr="006C7965">
        <w:rPr>
          <w:i/>
          <w:iCs/>
        </w:rPr>
        <w:t>t</w:t>
      </w:r>
      <w:r w:rsidRPr="006C7965">
        <w:t>). The variables of interest are </w:t>
      </w:r>
      <w:r w:rsidRPr="006C7965">
        <w:rPr>
          <w:i/>
          <w:iCs/>
        </w:rPr>
        <w:t>Positive</w:t>
      </w:r>
      <w:r w:rsidRPr="006C7965">
        <w:t> and </w:t>
      </w:r>
      <w:r w:rsidRPr="006C7965">
        <w:rPr>
          <w:i/>
          <w:iCs/>
        </w:rPr>
        <w:t>Negative</w:t>
      </w:r>
      <w:r w:rsidRPr="006C7965">
        <w:t> </w:t>
      </w:r>
      <w:proofErr w:type="gramStart"/>
      <w:r w:rsidRPr="006C7965">
        <w:t>tone</w:t>
      </w:r>
      <w:proofErr w:type="gramEnd"/>
      <w:r w:rsidRPr="006C7965">
        <w:rPr>
          <w:i/>
          <w:iCs/>
        </w:rPr>
        <w:t>,</w:t>
      </w:r>
      <w:r w:rsidRPr="006C7965">
        <w:t> where a negative coefficient on </w:t>
      </w:r>
      <w:r w:rsidRPr="006C7965">
        <w:rPr>
          <w:i/>
          <w:iCs/>
        </w:rPr>
        <w:t>Positive</w:t>
      </w:r>
      <w:r w:rsidRPr="006C7965">
        <w:t> (</w:t>
      </w:r>
      <w:r w:rsidRPr="007A181E">
        <w:t>Hypothesis 1a</w:t>
      </w:r>
      <w:r w:rsidRPr="006C7965">
        <w:t>) and/or a positive coefficient on </w:t>
      </w:r>
      <w:r w:rsidRPr="006C7965">
        <w:rPr>
          <w:i/>
          <w:iCs/>
        </w:rPr>
        <w:t>Negative</w:t>
      </w:r>
      <w:r w:rsidRPr="006C7965">
        <w:t> (</w:t>
      </w:r>
      <w:r w:rsidRPr="007A181E">
        <w:t>Hypothesis 1b</w:t>
      </w:r>
      <w:r w:rsidRPr="006C7965">
        <w:t>) would suggest perceptions of higher (lower) default risk by bond investors.</w:t>
      </w:r>
    </w:p>
    <w:p w14:paraId="36A4A0C0" w14:textId="14F05254" w:rsidR="006C7965" w:rsidRPr="006C7965" w:rsidRDefault="006C7965" w:rsidP="006C7965">
      <w:r w:rsidRPr="006C7965">
        <w:t>Our model includes several control variables that capture bond characteristics shown by prior research to reflect bond default risk. </w:t>
      </w:r>
      <w:r w:rsidRPr="006C7965">
        <w:rPr>
          <w:i/>
          <w:iCs/>
        </w:rPr>
        <w:t>GO bond</w:t>
      </w:r>
      <w:r w:rsidRPr="006C7965">
        <w:t> is an indicator set to one for general obligation issues and zero for revenue issues. </w:t>
      </w:r>
      <w:r w:rsidRPr="006C7965">
        <w:rPr>
          <w:i/>
          <w:iCs/>
        </w:rPr>
        <w:t>Amount</w:t>
      </w:r>
      <w:r w:rsidRPr="006C7965">
        <w:t> is the natural log of the face value of the issue. </w:t>
      </w:r>
      <w:r w:rsidRPr="006C7965">
        <w:rPr>
          <w:i/>
          <w:iCs/>
        </w:rPr>
        <w:t>Maturity</w:t>
      </w:r>
      <w:r w:rsidRPr="006C7965">
        <w:t> is the natural log of the years to maturity for a given bond. </w:t>
      </w:r>
      <w:r w:rsidRPr="006C7965">
        <w:rPr>
          <w:i/>
          <w:iCs/>
        </w:rPr>
        <w:t>Competitive bid</w:t>
      </w:r>
      <w:r w:rsidRPr="006C7965">
        <w:t> is an indicator set to one for sales through a competitive bidding process (zero otherwise). We anticipate a negative relationship between </w:t>
      </w:r>
      <w:r w:rsidRPr="006C7965">
        <w:rPr>
          <w:i/>
          <w:iCs/>
        </w:rPr>
        <w:t>TIC</w:t>
      </w:r>
      <w:r w:rsidRPr="006C7965">
        <w:t> and bonds sold through competitive bidding (</w:t>
      </w:r>
      <w:r w:rsidRPr="007A181E">
        <w:t>Baber and Gore, 2008</w:t>
      </w:r>
      <w:r w:rsidRPr="006C7965">
        <w:t>; </w:t>
      </w:r>
      <w:proofErr w:type="spellStart"/>
      <w:r w:rsidRPr="007A181E">
        <w:t>Apostolou</w:t>
      </w:r>
      <w:proofErr w:type="spellEnd"/>
      <w:r w:rsidRPr="007A181E">
        <w:t> </w:t>
      </w:r>
      <w:r w:rsidRPr="007A181E">
        <w:rPr>
          <w:i/>
          <w:iCs/>
        </w:rPr>
        <w:t>et al.</w:t>
      </w:r>
      <w:r w:rsidRPr="007A181E">
        <w:t>, 2014</w:t>
      </w:r>
      <w:r w:rsidRPr="006C7965">
        <w:t>; </w:t>
      </w:r>
      <w:r w:rsidRPr="007A181E">
        <w:t>Henke and Maher, 2016</w:t>
      </w:r>
      <w:r w:rsidRPr="006C7965">
        <w:t>). </w:t>
      </w:r>
      <w:r w:rsidRPr="006C7965">
        <w:rPr>
          <w:i/>
          <w:iCs/>
        </w:rPr>
        <w:t>Insured</w:t>
      </w:r>
      <w:r w:rsidRPr="006C7965">
        <w:t> is an indicator set to one for insured issues (zero otherwise). Several pieces of literature (</w:t>
      </w:r>
      <w:proofErr w:type="gramStart"/>
      <w:r w:rsidRPr="006C7965">
        <w:t>e.g.</w:t>
      </w:r>
      <w:proofErr w:type="gramEnd"/>
      <w:r w:rsidRPr="006C7965">
        <w:t> </w:t>
      </w:r>
      <w:r w:rsidRPr="007A181E">
        <w:t>Plummer </w:t>
      </w:r>
      <w:r w:rsidRPr="007A181E">
        <w:rPr>
          <w:i/>
          <w:iCs/>
        </w:rPr>
        <w:t>et al.</w:t>
      </w:r>
      <w:r w:rsidRPr="007A181E">
        <w:t>, 2007</w:t>
      </w:r>
      <w:r w:rsidRPr="006C7965">
        <w:t>; </w:t>
      </w:r>
      <w:r w:rsidRPr="007A181E">
        <w:t>Baber and Gore, 2008</w:t>
      </w:r>
      <w:r w:rsidRPr="006C7965">
        <w:t>; </w:t>
      </w:r>
      <w:r w:rsidRPr="007A181E">
        <w:t>Baber </w:t>
      </w:r>
      <w:r w:rsidRPr="007A181E">
        <w:rPr>
          <w:i/>
          <w:iCs/>
        </w:rPr>
        <w:t>et al.</w:t>
      </w:r>
      <w:r w:rsidRPr="007A181E">
        <w:t>, 2013</w:t>
      </w:r>
      <w:r w:rsidRPr="006C7965">
        <w:t>; </w:t>
      </w:r>
      <w:r w:rsidRPr="007A181E">
        <w:t>Bonsall and Miller, 2017</w:t>
      </w:r>
      <w:r w:rsidRPr="006C7965">
        <w:t>) use an ordinal measure for analyzing bond ratings. As such, </w:t>
      </w:r>
      <w:r w:rsidRPr="006C7965">
        <w:rPr>
          <w:i/>
          <w:iCs/>
        </w:rPr>
        <w:t>bond rating</w:t>
      </w:r>
      <w:r w:rsidRPr="006C7965">
        <w:t xml:space="preserve"> indicates Moody's ratings, where </w:t>
      </w:r>
      <w:proofErr w:type="spellStart"/>
      <w:r w:rsidRPr="006C7965">
        <w:t>Aaa</w:t>
      </w:r>
      <w:proofErr w:type="spellEnd"/>
      <w:r w:rsidRPr="006C7965">
        <w:t> = 1, and the numerical rating increases by 1 as the bond rating declines </w:t>
      </w:r>
      <w:r w:rsidRPr="007A181E">
        <w:t>[8]</w:t>
      </w:r>
      <w:r w:rsidRPr="006C7965">
        <w:t>. We also include </w:t>
      </w:r>
      <w:proofErr w:type="gramStart"/>
      <w:r w:rsidRPr="006C7965">
        <w:rPr>
          <w:i/>
          <w:iCs/>
        </w:rPr>
        <w:t>bond</w:t>
      </w:r>
      <w:proofErr w:type="gramEnd"/>
      <w:r w:rsidRPr="006C7965">
        <w:rPr>
          <w:i/>
          <w:iCs/>
        </w:rPr>
        <w:t xml:space="preserve"> buyer index</w:t>
      </w:r>
      <w:r w:rsidRPr="006C7965">
        <w:t> of market yields for municipal bond issuances to control for overall market interest rates.</w:t>
      </w:r>
    </w:p>
    <w:p w14:paraId="64B7BBC4" w14:textId="77777777" w:rsidR="006C7965" w:rsidRPr="006C7965" w:rsidRDefault="006C7965" w:rsidP="006C7965">
      <w:r w:rsidRPr="006C7965">
        <w:t xml:space="preserve">We capture the following municipality specific characteristics in our analysis. We </w:t>
      </w:r>
      <w:proofErr w:type="gramStart"/>
      <w:r w:rsidRPr="006C7965">
        <w:t>control for</w:t>
      </w:r>
      <w:proofErr w:type="gramEnd"/>
      <w:r w:rsidRPr="006C7965">
        <w:t xml:space="preserve"> municipal size (</w:t>
      </w:r>
      <w:r w:rsidRPr="006C7965">
        <w:rPr>
          <w:i/>
          <w:iCs/>
        </w:rPr>
        <w:t>Population</w:t>
      </w:r>
      <w:r w:rsidRPr="006C7965">
        <w:t xml:space="preserve">) as the log of citizens </w:t>
      </w:r>
      <w:proofErr w:type="gramStart"/>
      <w:r w:rsidRPr="006C7965">
        <w:t>in a given</w:t>
      </w:r>
      <w:proofErr w:type="gramEnd"/>
      <w:r w:rsidRPr="006C7965">
        <w:t xml:space="preserve"> municipality. We measure municipal wealth (</w:t>
      </w:r>
      <w:r w:rsidRPr="006C7965">
        <w:rPr>
          <w:i/>
          <w:iCs/>
        </w:rPr>
        <w:t>Median income</w:t>
      </w:r>
      <w:r w:rsidRPr="006C7965">
        <w:t>) as the log of county-level median income. We predict a negative coefficient for </w:t>
      </w:r>
      <w:r w:rsidRPr="006C7965">
        <w:rPr>
          <w:i/>
          <w:iCs/>
        </w:rPr>
        <w:t>median income</w:t>
      </w:r>
      <w:r w:rsidRPr="006C7965">
        <w:t> due to reduced default risk for the municipality stemming from greater access to resources.</w:t>
      </w:r>
    </w:p>
    <w:p w14:paraId="77AB3C1F" w14:textId="2EE67F8E" w:rsidR="006C7965" w:rsidRPr="006C7965" w:rsidRDefault="006C7965" w:rsidP="006C7965">
      <w:r w:rsidRPr="006C7965">
        <w:rPr>
          <w:i/>
          <w:iCs/>
        </w:rPr>
        <w:t>GFOA certificate</w:t>
      </w:r>
      <w:r w:rsidRPr="006C7965">
        <w:t> is an indicator variable equal to one for municipalities receiving the GFOA Certificate of Excellence in Financial Reporting (zero otherwise). Given that the </w:t>
      </w:r>
      <w:r w:rsidRPr="006C7965">
        <w:rPr>
          <w:i/>
          <w:iCs/>
        </w:rPr>
        <w:t>GFOA certificate</w:t>
      </w:r>
      <w:r w:rsidRPr="006C7965">
        <w:t> indicates greater overall disclosure quality, this should result in a negative coefficient. Additionally, </w:t>
      </w:r>
      <w:r w:rsidRPr="006C7965">
        <w:rPr>
          <w:i/>
          <w:iCs/>
        </w:rPr>
        <w:t>staggered council</w:t>
      </w:r>
      <w:r w:rsidRPr="006C7965">
        <w:t> is an indicator variable equal to one for municipalities with staggered council elections (zero otherwise) and proxies for municipal manager entrenchment. </w:t>
      </w:r>
      <w:r w:rsidRPr="007A181E">
        <w:t>Baber </w:t>
      </w:r>
      <w:r w:rsidRPr="007A181E">
        <w:rPr>
          <w:i/>
          <w:iCs/>
        </w:rPr>
        <w:t>et al.</w:t>
      </w:r>
      <w:r w:rsidRPr="007A181E">
        <w:t> (2013)</w:t>
      </w:r>
      <w:r w:rsidRPr="006C7965">
        <w:t> </w:t>
      </w:r>
      <w:proofErr w:type="gramStart"/>
      <w:r w:rsidRPr="006C7965">
        <w:t>find</w:t>
      </w:r>
      <w:proofErr w:type="gramEnd"/>
      <w:r w:rsidRPr="006C7965">
        <w:t xml:space="preserve"> that municipalities with staggered council elections are more likely to experience restatements. However, </w:t>
      </w:r>
      <w:r w:rsidRPr="007A181E">
        <w:t>Rich and Zhang (2014)</w:t>
      </w:r>
      <w:r w:rsidRPr="006C7965">
        <w:t> and </w:t>
      </w:r>
      <w:r w:rsidRPr="007A181E">
        <w:t>Peterson (2018)</w:t>
      </w:r>
      <w:r w:rsidRPr="006C7965">
        <w:t xml:space="preserve"> show that staggered council elections are associated with fewer internal control weaknesses. Thus, we do not make a prediction </w:t>
      </w:r>
      <w:proofErr w:type="gramStart"/>
      <w:r w:rsidRPr="006C7965">
        <w:t>with regard to</w:t>
      </w:r>
      <w:proofErr w:type="gramEnd"/>
      <w:r w:rsidRPr="006C7965">
        <w:t> </w:t>
      </w:r>
      <w:r w:rsidRPr="006C7965">
        <w:rPr>
          <w:i/>
          <w:iCs/>
        </w:rPr>
        <w:t xml:space="preserve">staggered council. </w:t>
      </w:r>
      <w:proofErr w:type="gramStart"/>
      <w:r w:rsidRPr="006C7965">
        <w:rPr>
          <w:i/>
          <w:iCs/>
        </w:rPr>
        <w:t>Council</w:t>
      </w:r>
      <w:proofErr w:type="gramEnd"/>
      <w:r w:rsidRPr="006C7965">
        <w:rPr>
          <w:i/>
          <w:iCs/>
        </w:rPr>
        <w:t xml:space="preserve"> manager</w:t>
      </w:r>
      <w:r w:rsidRPr="006C7965">
        <w:t> is an indicator variable equal to one for municipalities that employ a professional chief executive (zero otherwise). We predict lower debt costs for municipalities organized based on the council-manager model given prior findings of greater financial reporting quality (</w:t>
      </w:r>
      <w:r w:rsidRPr="007A181E">
        <w:t>Evans and Patton, 1987</w:t>
      </w:r>
      <w:r w:rsidRPr="006C7965">
        <w:t>; </w:t>
      </w:r>
      <w:r w:rsidRPr="007A181E">
        <w:t>Baber </w:t>
      </w:r>
      <w:r w:rsidRPr="007A181E">
        <w:rPr>
          <w:i/>
          <w:iCs/>
        </w:rPr>
        <w:t>et al.</w:t>
      </w:r>
      <w:r w:rsidRPr="007A181E">
        <w:t>, 2013</w:t>
      </w:r>
      <w:r w:rsidRPr="006C7965">
        <w:t>).</w:t>
      </w:r>
    </w:p>
    <w:p w14:paraId="7F2E5D01" w14:textId="77777777" w:rsidR="006C7965" w:rsidRPr="006C7965" w:rsidRDefault="006C7965" w:rsidP="006C7965">
      <w:r w:rsidRPr="006C7965">
        <w:t xml:space="preserve">Next, we </w:t>
      </w:r>
      <w:proofErr w:type="gramStart"/>
      <w:r w:rsidRPr="006C7965">
        <w:t>control for</w:t>
      </w:r>
      <w:proofErr w:type="gramEnd"/>
      <w:r w:rsidRPr="006C7965">
        <w:t xml:space="preserve"> the financial health of the municipality by including </w:t>
      </w:r>
      <w:r w:rsidRPr="006C7965">
        <w:rPr>
          <w:i/>
          <w:iCs/>
        </w:rPr>
        <w:t>govt funds surplus</w:t>
      </w:r>
      <w:r w:rsidRPr="006C7965">
        <w:t> denoting a surplus from governmental funds (</w:t>
      </w:r>
      <w:proofErr w:type="gramStart"/>
      <w:r w:rsidRPr="006C7965">
        <w:t>i.e.</w:t>
      </w:r>
      <w:proofErr w:type="gramEnd"/>
      <w:r w:rsidRPr="006C7965">
        <w:t xml:space="preserve"> governmental funds revenue–expenditures). In addition, we include governmental fund expenses (</w:t>
      </w:r>
      <w:r w:rsidRPr="006C7965">
        <w:rPr>
          <w:i/>
          <w:iCs/>
        </w:rPr>
        <w:t>Govt funds expenses</w:t>
      </w:r>
      <w:r w:rsidRPr="006C7965">
        <w:t>) and the change in fund balance in governmental funds (</w:t>
      </w:r>
      <w:proofErr w:type="spellStart"/>
      <w:r w:rsidRPr="006C7965">
        <w:rPr>
          <w:i/>
          <w:iCs/>
        </w:rPr>
        <w:t>Chg</w:t>
      </w:r>
      <w:proofErr w:type="spellEnd"/>
      <w:r w:rsidRPr="006C7965">
        <w:rPr>
          <w:i/>
          <w:iCs/>
        </w:rPr>
        <w:t xml:space="preserve"> </w:t>
      </w:r>
      <w:r w:rsidRPr="006C7965">
        <w:rPr>
          <w:i/>
          <w:iCs/>
        </w:rPr>
        <w:lastRenderedPageBreak/>
        <w:t xml:space="preserve">fund </w:t>
      </w:r>
      <w:proofErr w:type="spellStart"/>
      <w:r w:rsidRPr="006C7965">
        <w:rPr>
          <w:i/>
          <w:iCs/>
        </w:rPr>
        <w:t>bal</w:t>
      </w:r>
      <w:proofErr w:type="spellEnd"/>
      <w:r w:rsidRPr="006C7965">
        <w:rPr>
          <w:i/>
          <w:iCs/>
        </w:rPr>
        <w:t xml:space="preserve"> govt funds</w:t>
      </w:r>
      <w:r w:rsidRPr="006C7965">
        <w:t xml:space="preserve">). We predict that municipalities with better financial health have lower default risk, and therefore will have lower debt costs. We also </w:t>
      </w:r>
      <w:proofErr w:type="gramStart"/>
      <w:r w:rsidRPr="006C7965">
        <w:t>control for</w:t>
      </w:r>
      <w:proofErr w:type="gramEnd"/>
      <w:r w:rsidRPr="006C7965">
        <w:t xml:space="preserve"> infrastructure spending (</w:t>
      </w:r>
      <w:r w:rsidRPr="006C7965">
        <w:rPr>
          <w:i/>
          <w:iCs/>
        </w:rPr>
        <w:t>Capital outlay</w:t>
      </w:r>
      <w:r w:rsidRPr="006C7965">
        <w:t>) and predict a positive association with debt costs because greater spending levels may place the municipality at a higher default risk.</w:t>
      </w:r>
    </w:p>
    <w:p w14:paraId="30B2F75C" w14:textId="0CECF4AF" w:rsidR="006C7965" w:rsidRPr="006C7965" w:rsidRDefault="006C7965" w:rsidP="006C7965">
      <w:r w:rsidRPr="006C7965">
        <w:t>We also include an internal control weakness index (</w:t>
      </w:r>
      <w:r w:rsidRPr="006C7965">
        <w:rPr>
          <w:i/>
          <w:iCs/>
        </w:rPr>
        <w:t>ICW index</w:t>
      </w:r>
      <w:r w:rsidRPr="006C7965">
        <w:t xml:space="preserve">) designed to consider the impact of disclosed internal control issues, where a material weakness is coded as 2, a significant deficiency </w:t>
      </w:r>
      <w:proofErr w:type="gramStart"/>
      <w:r w:rsidRPr="006C7965">
        <w:t>not designated</w:t>
      </w:r>
      <w:proofErr w:type="gramEnd"/>
      <w:r w:rsidRPr="006C7965">
        <w:t xml:space="preserve"> a material weakness is 1 and no internal control weakness is 0 (</w:t>
      </w:r>
      <w:r w:rsidRPr="007A181E">
        <w:t>López and Peters, 2010</w:t>
      </w:r>
      <w:r w:rsidRPr="006C7965">
        <w:t>; </w:t>
      </w:r>
      <w:r w:rsidRPr="007A181E">
        <w:t>Rich and Zhang, 2014</w:t>
      </w:r>
      <w:r w:rsidRPr="006C7965">
        <w:t xml:space="preserve">). This variable allows us to </w:t>
      </w:r>
      <w:proofErr w:type="gramStart"/>
      <w:r w:rsidRPr="006C7965">
        <w:t>control for</w:t>
      </w:r>
      <w:proofErr w:type="gramEnd"/>
      <w:r w:rsidRPr="006C7965">
        <w:t xml:space="preserve"> the risk and severity of potential material misstatements within financial reporting. Furthermore, we include an indicator variable equal to one (zero otherwise) for municipalities located in a state with GAAP requirements (</w:t>
      </w:r>
      <w:r w:rsidRPr="006C7965">
        <w:rPr>
          <w:i/>
          <w:iCs/>
        </w:rPr>
        <w:t>GAAP state</w:t>
      </w:r>
      <w:r w:rsidRPr="006C7965">
        <w:t>). We predict a negative coefficient given findings of lower debt costs in GAAP states from </w:t>
      </w:r>
      <w:r w:rsidRPr="007A181E">
        <w:t>Baber and Gore (2008)</w:t>
      </w:r>
      <w:r w:rsidRPr="006C7965">
        <w:t>. Lastly, we include year-fixed effects and cluster by municipality (</w:t>
      </w:r>
      <w:proofErr w:type="gramStart"/>
      <w:r w:rsidRPr="006C7965">
        <w:t>e.g.</w:t>
      </w:r>
      <w:proofErr w:type="gramEnd"/>
      <w:r w:rsidRPr="006C7965">
        <w:t> </w:t>
      </w:r>
      <w:r w:rsidRPr="007A181E">
        <w:t>Baber </w:t>
      </w:r>
      <w:r w:rsidRPr="007A181E">
        <w:rPr>
          <w:i/>
          <w:iCs/>
        </w:rPr>
        <w:t>et al.</w:t>
      </w:r>
      <w:r w:rsidRPr="007A181E">
        <w:t>, 2013</w:t>
      </w:r>
      <w:r w:rsidRPr="006C7965">
        <w:t>; </w:t>
      </w:r>
      <w:r w:rsidRPr="007A181E">
        <w:t xml:space="preserve">Callahan and </w:t>
      </w:r>
      <w:proofErr w:type="spellStart"/>
      <w:r w:rsidRPr="007A181E">
        <w:t>Waymire</w:t>
      </w:r>
      <w:proofErr w:type="spellEnd"/>
      <w:r w:rsidRPr="007A181E">
        <w:t>, 2015</w:t>
      </w:r>
      <w:r w:rsidRPr="006C7965">
        <w:t>; </w:t>
      </w:r>
      <w:r w:rsidRPr="007A181E">
        <w:t>Beck </w:t>
      </w:r>
      <w:r w:rsidRPr="007A181E">
        <w:rPr>
          <w:i/>
          <w:iCs/>
        </w:rPr>
        <w:t>et al.</w:t>
      </w:r>
      <w:r w:rsidRPr="007A181E">
        <w:t>, 2019</w:t>
      </w:r>
      <w:r w:rsidRPr="006C7965">
        <w:t xml:space="preserve">) to control for other regulatory differences that could impact disclosure decisions. Values for independent continuous variables are </w:t>
      </w:r>
      <w:proofErr w:type="spellStart"/>
      <w:r w:rsidRPr="006C7965">
        <w:t>winsorized</w:t>
      </w:r>
      <w:proofErr w:type="spellEnd"/>
      <w:r w:rsidRPr="006C7965">
        <w:t xml:space="preserve"> at the one percent (99 %) tails of the distribution to minimize the effect of influential observations (</w:t>
      </w:r>
      <w:proofErr w:type="gramStart"/>
      <w:r w:rsidRPr="006C7965">
        <w:t>e.g.</w:t>
      </w:r>
      <w:proofErr w:type="gramEnd"/>
      <w:r w:rsidRPr="006C7965">
        <w:t> </w:t>
      </w:r>
      <w:proofErr w:type="spellStart"/>
      <w:r w:rsidRPr="007A181E">
        <w:t>Mayew</w:t>
      </w:r>
      <w:proofErr w:type="spellEnd"/>
      <w:r w:rsidRPr="007A181E">
        <w:t> </w:t>
      </w:r>
      <w:r w:rsidRPr="007A181E">
        <w:rPr>
          <w:i/>
          <w:iCs/>
        </w:rPr>
        <w:t>et al.</w:t>
      </w:r>
      <w:r w:rsidRPr="007A181E">
        <w:t>, 2015</w:t>
      </w:r>
      <w:r w:rsidRPr="006C7965">
        <w:t>; </w:t>
      </w:r>
      <w:r w:rsidRPr="007A181E">
        <w:t>Henry and Leone, 2016</w:t>
      </w:r>
      <w:r w:rsidRPr="006C7965">
        <w:t>). </w:t>
      </w:r>
      <w:r w:rsidRPr="007A181E">
        <w:t>Table 2</w:t>
      </w:r>
      <w:r w:rsidRPr="006C7965">
        <w:t> provides detailed variable definitions.</w:t>
      </w:r>
    </w:p>
    <w:p w14:paraId="5CC851F9" w14:textId="77777777" w:rsidR="006C7965" w:rsidRPr="006C7965" w:rsidRDefault="006C7965" w:rsidP="006C7965">
      <w:r w:rsidRPr="006C7965">
        <w:t>Bond rating disagreements</w:t>
      </w:r>
    </w:p>
    <w:p w14:paraId="0BFD973A" w14:textId="20E21EAC" w:rsidR="006C7965" w:rsidRPr="006C7965" w:rsidRDefault="006C7965" w:rsidP="006C7965">
      <w:r w:rsidRPr="006C7965">
        <w:t>To analyze </w:t>
      </w:r>
      <w:r w:rsidRPr="007A181E">
        <w:t>Hypothesis 2</w:t>
      </w:r>
      <w:r w:rsidRPr="006C7965">
        <w:t>, we model the probability of bond rating disagreements as a function of MD&amp;A disclosure tone and other controls following the approach described in </w:t>
      </w:r>
      <w:r w:rsidRPr="007A181E">
        <w:t>Hallman and Khurana (2015)</w:t>
      </w:r>
      <w:r w:rsidRPr="006C7965">
        <w:t> as follows:</w:t>
      </w:r>
    </w:p>
    <w:p w14:paraId="63757420" w14:textId="43844299" w:rsidR="00153E48" w:rsidRPr="006C7965" w:rsidRDefault="00153E48" w:rsidP="006C7965">
      <m:oMathPara>
        <m:oMath>
          <m:r>
            <w:rPr>
              <w:rFonts w:ascii="Cambria Math" w:hAnsi="Cambria Math"/>
              <w:sz w:val="28"/>
              <w:szCs w:val="28"/>
            </w:rPr>
            <m:t>Rating</m:t>
          </m:r>
          <m:r>
            <m:rPr>
              <m:nor/>
            </m:rPr>
            <w:rPr>
              <w:sz w:val="28"/>
              <w:szCs w:val="28"/>
            </w:rPr>
            <m:t> </m:t>
          </m:r>
          <m:sSub>
            <m:sSubPr>
              <m:ctrlPr>
                <w:rPr>
                  <w:rFonts w:ascii="Cambria Math" w:hAnsi="Cambria Math"/>
                  <w:sz w:val="28"/>
                  <w:szCs w:val="28"/>
                </w:rPr>
              </m:ctrlPr>
            </m:sSubPr>
            <m:e>
              <m:r>
                <w:rPr>
                  <w:rFonts w:ascii="Cambria Math" w:hAnsi="Cambria Math"/>
                  <w:sz w:val="28"/>
                  <w:szCs w:val="28"/>
                </w:rPr>
                <m:t>split</m:t>
              </m:r>
            </m:e>
            <m:sub>
              <m:r>
                <w:rPr>
                  <w:rFonts w:ascii="Cambria Math" w:hAnsi="Cambria Math"/>
                  <w:sz w:val="28"/>
                  <w:szCs w:val="28"/>
                </w:rPr>
                <m:t>i,t</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β</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β</m:t>
              </m:r>
            </m:e>
            <m:sub>
              <m:r>
                <w:rPr>
                  <w:rFonts w:ascii="Cambria Math" w:hAnsi="Cambria Math"/>
                  <w:sz w:val="28"/>
                  <w:szCs w:val="28"/>
                </w:rPr>
                <m:t>1</m:t>
              </m:r>
            </m:sub>
          </m:sSub>
          <m:sSub>
            <m:sSubPr>
              <m:ctrlPr>
                <w:rPr>
                  <w:rFonts w:ascii="Cambria Math" w:hAnsi="Cambria Math"/>
                  <w:sz w:val="28"/>
                  <w:szCs w:val="28"/>
                </w:rPr>
              </m:ctrlPr>
            </m:sSubPr>
            <m:e>
              <m:r>
                <w:rPr>
                  <w:rFonts w:ascii="Cambria Math" w:hAnsi="Cambria Math"/>
                  <w:sz w:val="28"/>
                  <w:szCs w:val="28"/>
                </w:rPr>
                <m:t>Positive</m:t>
              </m:r>
            </m:e>
            <m:sub>
              <m:r>
                <w:rPr>
                  <w:rFonts w:ascii="Cambria Math" w:hAnsi="Cambria Math"/>
                  <w:sz w:val="28"/>
                  <w:szCs w:val="28"/>
                </w:rPr>
                <m:t>i,t</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β</m:t>
              </m:r>
            </m:e>
            <m:sub>
              <m:r>
                <w:rPr>
                  <w:rFonts w:ascii="Cambria Math" w:hAnsi="Cambria Math"/>
                  <w:sz w:val="28"/>
                  <w:szCs w:val="28"/>
                </w:rPr>
                <m:t>2</m:t>
              </m:r>
            </m:sub>
          </m:sSub>
          <m:sSub>
            <m:sSubPr>
              <m:ctrlPr>
                <w:rPr>
                  <w:rFonts w:ascii="Cambria Math" w:hAnsi="Cambria Math"/>
                  <w:sz w:val="28"/>
                  <w:szCs w:val="28"/>
                </w:rPr>
              </m:ctrlPr>
            </m:sSubPr>
            <m:e>
              <m:r>
                <w:rPr>
                  <w:rFonts w:ascii="Cambria Math" w:hAnsi="Cambria Math"/>
                  <w:sz w:val="28"/>
                  <w:szCs w:val="28"/>
                </w:rPr>
                <m:t>Negative</m:t>
              </m:r>
            </m:e>
            <m:sub>
              <m:r>
                <w:rPr>
                  <w:rFonts w:ascii="Cambria Math" w:hAnsi="Cambria Math"/>
                  <w:sz w:val="28"/>
                  <w:szCs w:val="28"/>
                </w:rPr>
                <m:t>i,t</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β</m:t>
              </m:r>
            </m:e>
            <m:sub>
              <m:r>
                <w:rPr>
                  <w:rFonts w:ascii="Cambria Math" w:hAnsi="Cambria Math"/>
                  <w:sz w:val="28"/>
                  <w:szCs w:val="28"/>
                </w:rPr>
                <m:t>b</m:t>
              </m:r>
            </m:sub>
          </m:sSub>
          <m:r>
            <w:rPr>
              <w:rFonts w:ascii="Cambria Math" w:hAnsi="Cambria Math"/>
              <w:sz w:val="28"/>
              <w:szCs w:val="28"/>
            </w:rPr>
            <m:t>Bondcontols+∑</m:t>
          </m:r>
          <m:sSub>
            <m:sSubPr>
              <m:ctrlPr>
                <w:rPr>
                  <w:rFonts w:ascii="Cambria Math" w:hAnsi="Cambria Math"/>
                  <w:sz w:val="28"/>
                  <w:szCs w:val="28"/>
                </w:rPr>
              </m:ctrlPr>
            </m:sSubPr>
            <m:e>
              <m:r>
                <w:rPr>
                  <w:rFonts w:ascii="Cambria Math" w:hAnsi="Cambria Math"/>
                  <w:sz w:val="28"/>
                  <w:szCs w:val="28"/>
                </w:rPr>
                <m:t>λ</m:t>
              </m:r>
            </m:e>
            <m:sub>
              <m:r>
                <w:rPr>
                  <w:rFonts w:ascii="Cambria Math" w:hAnsi="Cambria Math"/>
                  <w:sz w:val="28"/>
                  <w:szCs w:val="28"/>
                </w:rPr>
                <m:t>m</m:t>
              </m:r>
            </m:sub>
          </m:sSub>
          <m:r>
            <w:rPr>
              <w:rFonts w:ascii="Cambria Math" w:hAnsi="Cambria Math"/>
              <w:sz w:val="28"/>
              <w:szCs w:val="28"/>
            </w:rPr>
            <m:t>Municipalcontols+∑</m:t>
          </m:r>
          <m:sSub>
            <m:sSubPr>
              <m:ctrlPr>
                <w:rPr>
                  <w:rFonts w:ascii="Cambria Math" w:hAnsi="Cambria Math"/>
                  <w:sz w:val="28"/>
                  <w:szCs w:val="28"/>
                </w:rPr>
              </m:ctrlPr>
            </m:sSubPr>
            <m:e>
              <m:r>
                <w:rPr>
                  <w:rFonts w:ascii="Cambria Math" w:hAnsi="Cambria Math"/>
                  <w:sz w:val="28"/>
                  <w:szCs w:val="28"/>
                </w:rPr>
                <m:t>YearFE</m:t>
              </m:r>
            </m:e>
            <m:sub>
              <m:r>
                <w:rPr>
                  <w:rFonts w:ascii="Cambria Math" w:hAnsi="Cambria Math"/>
                  <w:sz w:val="28"/>
                  <w:szCs w:val="28"/>
                </w:rPr>
                <m:t>t</m:t>
              </m:r>
            </m:sub>
          </m:sSub>
          <m:r>
            <m:rPr>
              <m:nor/>
            </m:rPr>
            <w:rPr>
              <w:sz w:val="28"/>
              <w:szCs w:val="28"/>
            </w:rPr>
            <m:t xml:space="preserve"> </m:t>
          </m:r>
          <m:r>
            <m:rPr>
              <m:nor/>
            </m:rPr>
            <w:rPr>
              <w:sz w:val="28"/>
              <w:szCs w:val="28"/>
            </w:rPr>
            <w:tab/>
          </m:r>
          <m:r>
            <m:rPr>
              <m:nor/>
            </m:rPr>
            <w:rPr>
              <w:sz w:val="28"/>
              <w:szCs w:val="28"/>
            </w:rPr>
            <w:tab/>
          </m:r>
          <m:r>
            <m:rPr>
              <m:nor/>
            </m:rPr>
            <w:rPr>
              <w:sz w:val="28"/>
              <w:szCs w:val="28"/>
            </w:rPr>
            <w:tab/>
          </m:r>
          <m:r>
            <m:rPr>
              <m:nor/>
            </m:rPr>
            <w:rPr>
              <w:sz w:val="28"/>
              <w:szCs w:val="28"/>
            </w:rPr>
            <w:tab/>
          </m:r>
          <m:r>
            <m:rPr>
              <m:nor/>
            </m:rPr>
            <w:rPr>
              <w:sz w:val="28"/>
              <w:szCs w:val="28"/>
            </w:rPr>
            <w:tab/>
          </m:r>
          <m:r>
            <w:rPr>
              <w:rFonts w:ascii="Cambria Math" w:hAnsi="Cambria Math"/>
              <w:sz w:val="28"/>
              <w:szCs w:val="28"/>
            </w:rPr>
            <m:t>+ε</m:t>
          </m:r>
        </m:oMath>
      </m:oMathPara>
    </w:p>
    <w:p w14:paraId="681109A7" w14:textId="77777777" w:rsidR="006C7965" w:rsidRPr="006C7965" w:rsidRDefault="006C7965" w:rsidP="006C7965">
      <w:r w:rsidRPr="006C7965">
        <w:rPr>
          <w:i/>
          <w:iCs/>
        </w:rPr>
        <w:t>Rating split</w:t>
      </w:r>
      <w:r w:rsidRPr="006C7965">
        <w:t> is an indicator variable that takes the value of one when Moody's, Fitch and Standard and Poor's issue conflicting ratings and zero otherwise. We make no predictions for associations between either </w:t>
      </w:r>
      <w:r w:rsidRPr="006C7965">
        <w:rPr>
          <w:i/>
          <w:iCs/>
        </w:rPr>
        <w:t>Positive</w:t>
      </w:r>
      <w:r w:rsidRPr="006C7965">
        <w:t> or </w:t>
      </w:r>
      <w:r w:rsidRPr="006C7965">
        <w:rPr>
          <w:i/>
          <w:iCs/>
        </w:rPr>
        <w:t>Negative</w:t>
      </w:r>
      <w:r w:rsidRPr="006C7965">
        <w:t> tone and </w:t>
      </w:r>
      <w:r w:rsidRPr="006C7965">
        <w:rPr>
          <w:i/>
          <w:iCs/>
        </w:rPr>
        <w:t xml:space="preserve">Rating </w:t>
      </w:r>
      <w:proofErr w:type="gramStart"/>
      <w:r w:rsidRPr="006C7965">
        <w:rPr>
          <w:i/>
          <w:iCs/>
        </w:rPr>
        <w:t>split</w:t>
      </w:r>
      <w:r w:rsidRPr="006C7965">
        <w:t>, but</w:t>
      </w:r>
      <w:proofErr w:type="gramEnd"/>
      <w:r w:rsidRPr="006C7965">
        <w:t xml:space="preserve"> note that positive (negative) values suggest more (less) disagreement among bond rating agencies. All other variables are defined previously, except for </w:t>
      </w:r>
      <w:r w:rsidRPr="006C7965">
        <w:rPr>
          <w:i/>
          <w:iCs/>
        </w:rPr>
        <w:t>unemployment</w:t>
      </w:r>
      <w:r w:rsidRPr="006C7965">
        <w:t xml:space="preserve">, which is the unemployment rate </w:t>
      </w:r>
      <w:proofErr w:type="gramStart"/>
      <w:r w:rsidRPr="006C7965">
        <w:t>in a given</w:t>
      </w:r>
      <w:proofErr w:type="gramEnd"/>
      <w:r w:rsidRPr="006C7965">
        <w:t xml:space="preserve"> municipality.</w:t>
      </w:r>
    </w:p>
    <w:p w14:paraId="70AC3FE1" w14:textId="77777777" w:rsidR="006C7965" w:rsidRPr="006C7965" w:rsidRDefault="006C7965" w:rsidP="00E052D9">
      <w:pPr>
        <w:pStyle w:val="Heading2"/>
      </w:pPr>
      <w:r w:rsidRPr="006C7965">
        <w:t>Primary results</w:t>
      </w:r>
    </w:p>
    <w:p w14:paraId="1B1B9061" w14:textId="6CA8823C" w:rsidR="006C7965" w:rsidRPr="006C7965" w:rsidRDefault="006C7965" w:rsidP="006C7965">
      <w:r w:rsidRPr="007A181E">
        <w:t>Table 2</w:t>
      </w:r>
      <w:r w:rsidRPr="006C7965">
        <w:t> provides the descriptive statistics for our sample. The mean (median) </w:t>
      </w:r>
      <w:r w:rsidRPr="006C7965">
        <w:rPr>
          <w:i/>
          <w:iCs/>
        </w:rPr>
        <w:t>TIC</w:t>
      </w:r>
      <w:r w:rsidRPr="006C7965">
        <w:t> is 2.596 (</w:t>
      </w:r>
      <w:proofErr w:type="gramStart"/>
      <w:r w:rsidRPr="006C7965">
        <w:t>2.656)%</w:t>
      </w:r>
      <w:proofErr w:type="gramEnd"/>
      <w:r w:rsidRPr="006C7965">
        <w:t>. We find that financial managers use more positive words than negative words (means of 0.544 vs. 0.363 % of MD&amp;A words, respectively). The Pearson correlations for all variables are presented in </w:t>
      </w:r>
      <w:r w:rsidRPr="007A181E">
        <w:t>Table 3</w:t>
      </w:r>
      <w:r w:rsidRPr="006C7965">
        <w:t>. Noteworthy is the fact that </w:t>
      </w:r>
      <w:r w:rsidRPr="006C7965">
        <w:rPr>
          <w:i/>
          <w:iCs/>
        </w:rPr>
        <w:t>positive</w:t>
      </w:r>
      <w:r w:rsidRPr="006C7965">
        <w:t> (</w:t>
      </w:r>
      <w:r w:rsidRPr="006C7965">
        <w:rPr>
          <w:i/>
          <w:iCs/>
        </w:rPr>
        <w:t>negative</w:t>
      </w:r>
      <w:r w:rsidRPr="006C7965">
        <w:t>) is inversely (directly) correlated with </w:t>
      </w:r>
      <w:r w:rsidRPr="006C7965">
        <w:rPr>
          <w:i/>
          <w:iCs/>
        </w:rPr>
        <w:t>bond rating</w:t>
      </w:r>
      <w:r w:rsidRPr="006C7965">
        <w:t>, </w:t>
      </w:r>
      <w:r w:rsidRPr="007A181E">
        <w:t>[9]</w:t>
      </w:r>
      <w:r w:rsidRPr="006C7965">
        <w:t> while directly (inversely) correlated with </w:t>
      </w:r>
      <w:proofErr w:type="spellStart"/>
      <w:r w:rsidRPr="006C7965">
        <w:rPr>
          <w:i/>
          <w:iCs/>
        </w:rPr>
        <w:t>chg</w:t>
      </w:r>
      <w:proofErr w:type="spellEnd"/>
      <w:r w:rsidRPr="006C7965">
        <w:rPr>
          <w:i/>
          <w:iCs/>
        </w:rPr>
        <w:t xml:space="preserve"> fund </w:t>
      </w:r>
      <w:proofErr w:type="spellStart"/>
      <w:r w:rsidRPr="006C7965">
        <w:rPr>
          <w:i/>
          <w:iCs/>
        </w:rPr>
        <w:t>bal</w:t>
      </w:r>
      <w:proofErr w:type="spellEnd"/>
      <w:r w:rsidRPr="006C7965">
        <w:rPr>
          <w:i/>
          <w:iCs/>
        </w:rPr>
        <w:t xml:space="preserve"> govt funds</w:t>
      </w:r>
      <w:r w:rsidRPr="006C7965">
        <w:t>. Each of these results corroborates the assertion that positive (negative) linguistic tone communicates favorable (unfavorable) information about municipality conditions and supports the use of our measures </w:t>
      </w:r>
      <w:r w:rsidRPr="007A181E">
        <w:t>[10]</w:t>
      </w:r>
      <w:r w:rsidRPr="006C7965">
        <w:t>.</w:t>
      </w:r>
    </w:p>
    <w:p w14:paraId="0B7E939C" w14:textId="3BFE13D0" w:rsidR="006C7965" w:rsidRPr="006C7965" w:rsidRDefault="006C7965" w:rsidP="006C7965">
      <w:r w:rsidRPr="007A181E">
        <w:t>Table 4</w:t>
      </w:r>
      <w:r w:rsidRPr="006C7965">
        <w:t>, Column 1 presents the regression results for </w:t>
      </w:r>
      <w:r w:rsidRPr="007A181E">
        <w:t>Equation (1)</w:t>
      </w:r>
      <w:r w:rsidRPr="006C7965">
        <w:t> using </w:t>
      </w:r>
      <w:r w:rsidRPr="006C7965">
        <w:rPr>
          <w:i/>
          <w:iCs/>
        </w:rPr>
        <w:t>TIC</w:t>
      </w:r>
      <w:r w:rsidRPr="006C7965">
        <w:t> as the dependent variable. The coefficient on </w:t>
      </w:r>
      <w:r w:rsidRPr="006C7965">
        <w:rPr>
          <w:i/>
          <w:iCs/>
        </w:rPr>
        <w:t>negative</w:t>
      </w:r>
      <w:r w:rsidRPr="006C7965">
        <w:t> is positive and significant (coefficient = 0.53; </w:t>
      </w:r>
      <w:r w:rsidRPr="006C7965">
        <w:rPr>
          <w:i/>
          <w:iCs/>
        </w:rPr>
        <w:t>t</w:t>
      </w:r>
      <w:r w:rsidRPr="006C7965">
        <w:t>-statistic = 3.21), indicating that municipalities with more negative tone in MD&amp;A disclosures pay higher future bond interest costs on average. Specifically, our findings suggest an increase of about nine basis points for one standard deviation change in </w:t>
      </w:r>
      <w:r w:rsidRPr="006C7965">
        <w:rPr>
          <w:i/>
          <w:iCs/>
        </w:rPr>
        <w:t>negative</w:t>
      </w:r>
      <w:r w:rsidRPr="006C7965">
        <w:t> tone </w:t>
      </w:r>
      <w:r w:rsidRPr="007A181E">
        <w:t>[11]</w:t>
      </w:r>
      <w:r w:rsidRPr="006C7965">
        <w:t>. Our results are consistent with current research in the corporate setting that shows market reaction to bad news is significantly larger than the reaction to good news (</w:t>
      </w:r>
      <w:r w:rsidRPr="007A181E">
        <w:t>Kothari </w:t>
      </w:r>
      <w:r w:rsidRPr="007A181E">
        <w:rPr>
          <w:i/>
          <w:iCs/>
        </w:rPr>
        <w:t>et al.</w:t>
      </w:r>
      <w:r w:rsidRPr="007A181E">
        <w:t>, 2009</w:t>
      </w:r>
      <w:r w:rsidRPr="006C7965">
        <w:t xml:space="preserve">). One interpretation of this finding is that investors perceive disclosures containing negative tone as reflecting concern about the municipality's </w:t>
      </w:r>
      <w:proofErr w:type="gramStart"/>
      <w:r w:rsidRPr="006C7965">
        <w:t>future prospects</w:t>
      </w:r>
      <w:proofErr w:type="gramEnd"/>
      <w:r w:rsidRPr="006C7965">
        <w:t xml:space="preserve">, which results in higher default risk. Therefore, we assert our evidence </w:t>
      </w:r>
      <w:r w:rsidRPr="006C7965">
        <w:lastRenderedPageBreak/>
        <w:t>supports </w:t>
      </w:r>
      <w:r w:rsidRPr="007A181E">
        <w:t>Hypothesis 1b</w:t>
      </w:r>
      <w:r w:rsidRPr="006C7965">
        <w:t> that investors can interpret negative MD&amp;A disclosure tone when pricing municipal bond issues.</w:t>
      </w:r>
    </w:p>
    <w:p w14:paraId="11F18E42" w14:textId="3F9815A7" w:rsidR="006C7965" w:rsidRPr="006C7965" w:rsidRDefault="006C7965" w:rsidP="006C7965">
      <w:r w:rsidRPr="006C7965">
        <w:t>We do not find support for </w:t>
      </w:r>
      <w:r w:rsidRPr="007A181E">
        <w:t xml:space="preserve">Hypothesis </w:t>
      </w:r>
      <w:proofErr w:type="gramStart"/>
      <w:r w:rsidRPr="007A181E">
        <w:t>1a</w:t>
      </w:r>
      <w:r w:rsidRPr="006C7965">
        <w:t>, since</w:t>
      </w:r>
      <w:proofErr w:type="gramEnd"/>
      <w:r w:rsidRPr="006C7965">
        <w:t xml:space="preserve"> the coefficient for </w:t>
      </w:r>
      <w:r w:rsidRPr="006C7965">
        <w:rPr>
          <w:i/>
          <w:iCs/>
        </w:rPr>
        <w:t>positive</w:t>
      </w:r>
      <w:r w:rsidRPr="006C7965">
        <w:t> is not significant in our primary analysis. One possible interpretation involves concerns with positive tone because of the potential for positive words to frame a negative statement (such as “not good”) (</w:t>
      </w:r>
      <w:r w:rsidRPr="007A181E">
        <w:t>Loughran and McDonald, 2016</w:t>
      </w:r>
      <w:r w:rsidRPr="006C7965">
        <w:t>). For our control variables, our findings are consistent with the prior literature (</w:t>
      </w:r>
      <w:r w:rsidRPr="007A181E">
        <w:t>Baber </w:t>
      </w:r>
      <w:r w:rsidRPr="007A181E">
        <w:rPr>
          <w:i/>
          <w:iCs/>
        </w:rPr>
        <w:t>et al.</w:t>
      </w:r>
      <w:r w:rsidRPr="007A181E">
        <w:t>, 2013</w:t>
      </w:r>
      <w:r w:rsidRPr="006C7965">
        <w:t>; </w:t>
      </w:r>
      <w:r w:rsidRPr="007A181E">
        <w:t>Reck and Wilson, 2014</w:t>
      </w:r>
      <w:r w:rsidRPr="006C7965">
        <w:t>; </w:t>
      </w:r>
      <w:r w:rsidRPr="007A181E">
        <w:t>Henke and Maher, 2016</w:t>
      </w:r>
      <w:r w:rsidRPr="006C7965">
        <w:t>) in that we find that debt costs are higher for general obligation bonds, bonds with high maturity and those with lower bond ratings. </w:t>
      </w:r>
      <w:r w:rsidRPr="006C7965">
        <w:rPr>
          <w:i/>
          <w:iCs/>
        </w:rPr>
        <w:t>TIC</w:t>
      </w:r>
      <w:r w:rsidRPr="006C7965">
        <w:t> is also positively associated with the bond buyer index and capital expenditures. However, our results do not show a significant negative association between </w:t>
      </w:r>
      <w:r w:rsidRPr="006C7965">
        <w:rPr>
          <w:i/>
          <w:iCs/>
        </w:rPr>
        <w:t>TIC</w:t>
      </w:r>
      <w:r w:rsidRPr="006C7965">
        <w:t> and </w:t>
      </w:r>
      <w:r w:rsidRPr="006C7965">
        <w:rPr>
          <w:i/>
          <w:iCs/>
        </w:rPr>
        <w:t>competitive bid</w:t>
      </w:r>
      <w:r w:rsidRPr="006C7965">
        <w:t>. Since our sample has almost 98% of bonds with competitive bidding, the lack of variable variation could obscure the relationship with </w:t>
      </w:r>
      <w:r w:rsidRPr="006C7965">
        <w:rPr>
          <w:i/>
          <w:iCs/>
        </w:rPr>
        <w:t>TIC</w:t>
      </w:r>
      <w:r w:rsidRPr="006C7965">
        <w:t> as found in the prior literature (</w:t>
      </w:r>
      <w:proofErr w:type="gramStart"/>
      <w:r w:rsidRPr="006C7965">
        <w:t>e.g.</w:t>
      </w:r>
      <w:proofErr w:type="gramEnd"/>
      <w:r w:rsidRPr="006C7965">
        <w:t> </w:t>
      </w:r>
      <w:r w:rsidRPr="007A181E">
        <w:t>Baber and Gore, 2008</w:t>
      </w:r>
      <w:r w:rsidRPr="006C7965">
        <w:t>; and </w:t>
      </w:r>
      <w:r w:rsidRPr="007A181E">
        <w:t>Henke and Maher, 2016</w:t>
      </w:r>
      <w:r w:rsidRPr="006C7965">
        <w:t>). Lastly, we find that </w:t>
      </w:r>
      <w:r w:rsidRPr="006C7965">
        <w:rPr>
          <w:i/>
          <w:iCs/>
        </w:rPr>
        <w:t>TIC</w:t>
      </w:r>
      <w:r w:rsidRPr="006C7965">
        <w:t> is lower for municipalities with more surplus, larger amount bonds and those with staggered council elections.</w:t>
      </w:r>
    </w:p>
    <w:p w14:paraId="7AEB317F" w14:textId="4CF28D16" w:rsidR="006C7965" w:rsidRPr="006C7965" w:rsidRDefault="006C7965" w:rsidP="006C7965">
      <w:r w:rsidRPr="007A181E">
        <w:t>Loughran and McDonald (2016)</w:t>
      </w:r>
      <w:r w:rsidRPr="006C7965">
        <w:t> express that management rarely negates a negative word to make a positive statement. Nevertheless, as a validity check, we utilize an alternative measure of linguistic tone that considers the “</w:t>
      </w:r>
      <w:r w:rsidRPr="006C7965">
        <w:rPr>
          <w:i/>
          <w:iCs/>
        </w:rPr>
        <w:t>net positive tone</w:t>
      </w:r>
      <w:r w:rsidRPr="006C7965">
        <w:t>” calculated as </w:t>
      </w:r>
      <w:r w:rsidRPr="006C7965">
        <w:rPr>
          <w:i/>
          <w:iCs/>
        </w:rPr>
        <w:t>positive</w:t>
      </w:r>
      <w:r w:rsidRPr="006C7965">
        <w:t>–</w:t>
      </w:r>
      <w:r w:rsidRPr="006C7965">
        <w:rPr>
          <w:i/>
          <w:iCs/>
        </w:rPr>
        <w:t>negative</w:t>
      </w:r>
      <w:r w:rsidRPr="006C7965">
        <w:t> (</w:t>
      </w:r>
      <w:r w:rsidRPr="007A181E">
        <w:t>Agrawal </w:t>
      </w:r>
      <w:r w:rsidRPr="007A181E">
        <w:rPr>
          <w:i/>
          <w:iCs/>
        </w:rPr>
        <w:t>et al.</w:t>
      </w:r>
      <w:r w:rsidRPr="007A181E">
        <w:t>, 2016</w:t>
      </w:r>
      <w:r w:rsidRPr="006C7965">
        <w:t>). Results with this alternative measure as an explanatory variable (</w:t>
      </w:r>
      <w:proofErr w:type="spellStart"/>
      <w:r w:rsidRPr="006C7965">
        <w:t>untabulated</w:t>
      </w:r>
      <w:proofErr w:type="spellEnd"/>
      <w:r w:rsidRPr="006C7965">
        <w:t>) are consistent with those presented in </w:t>
      </w:r>
      <w:r w:rsidRPr="007A181E">
        <w:t>Table 4</w:t>
      </w:r>
      <w:r w:rsidRPr="006C7965">
        <w:t>. In addition, we tested the validity of our results using both the base </w:t>
      </w:r>
      <w:r w:rsidRPr="007A181E">
        <w:t>Loughran and McDonald (2011)</w:t>
      </w:r>
      <w:r w:rsidRPr="006C7965">
        <w:t> dictionary and the </w:t>
      </w:r>
      <w:r w:rsidRPr="007A181E">
        <w:t>Rich </w:t>
      </w:r>
      <w:r w:rsidRPr="007A181E">
        <w:rPr>
          <w:i/>
          <w:iCs/>
        </w:rPr>
        <w:t>et al.</w:t>
      </w:r>
      <w:r w:rsidRPr="007A181E">
        <w:t> (2018)</w:t>
      </w:r>
      <w:r w:rsidRPr="006C7965">
        <w:t> adjustments. We note our results are very similar to the tables presented.</w:t>
      </w:r>
    </w:p>
    <w:p w14:paraId="2BD6C5D5" w14:textId="4D128484" w:rsidR="006C7965" w:rsidRPr="006C7965" w:rsidRDefault="006C7965" w:rsidP="006C7965">
      <w:r w:rsidRPr="006C7965">
        <w:t>Next, we examine the idea of language communicating information about future municipal prospects. We ran our TIC model separately for bonds maturing in greater/less than 15 years, with the results presented in Columns 2 and 3 of </w:t>
      </w:r>
      <w:r w:rsidRPr="007A181E">
        <w:t>Table 4</w:t>
      </w:r>
      <w:r w:rsidRPr="006C7965">
        <w:t>. This further analysis suggests that our findings are driven by the “high” maturity subsample (approximately 60% of observations), with a negative coefficient on </w:t>
      </w:r>
      <w:r w:rsidRPr="006C7965">
        <w:rPr>
          <w:i/>
          <w:iCs/>
        </w:rPr>
        <w:t>positive</w:t>
      </w:r>
      <w:r w:rsidRPr="006C7965">
        <w:t> tone (</w:t>
      </w:r>
      <w:r w:rsidRPr="006C7965">
        <w:rPr>
          <w:i/>
          <w:iCs/>
        </w:rPr>
        <w:t>t</w:t>
      </w:r>
      <w:r w:rsidRPr="006C7965">
        <w:t>-statistic = −1.92), and a positive coefficient on </w:t>
      </w:r>
      <w:r w:rsidRPr="006C7965">
        <w:rPr>
          <w:i/>
          <w:iCs/>
        </w:rPr>
        <w:t>negative</w:t>
      </w:r>
      <w:r w:rsidRPr="006C7965">
        <w:t> (</w:t>
      </w:r>
      <w:r w:rsidRPr="006C7965">
        <w:rPr>
          <w:i/>
          <w:iCs/>
        </w:rPr>
        <w:t>t</w:t>
      </w:r>
      <w:r w:rsidRPr="006C7965">
        <w:t>-statistic = 3.29). Alternatively, we find no statistically significant results on </w:t>
      </w:r>
      <w:r w:rsidRPr="006C7965">
        <w:rPr>
          <w:i/>
          <w:iCs/>
        </w:rPr>
        <w:t>positive</w:t>
      </w:r>
      <w:r w:rsidRPr="006C7965">
        <w:t> or </w:t>
      </w:r>
      <w:r w:rsidRPr="006C7965">
        <w:rPr>
          <w:i/>
          <w:iCs/>
        </w:rPr>
        <w:t>negative</w:t>
      </w:r>
      <w:r w:rsidRPr="006C7965">
        <w:t> for the lower maturity subsample. We take these findings to further support the conclusion that bond investors use tone to make inferences regarding long-term risk fundamentals.</w:t>
      </w:r>
    </w:p>
    <w:p w14:paraId="6970370C" w14:textId="4A75EAD8" w:rsidR="006C7965" w:rsidRPr="006C7965" w:rsidRDefault="006C7965" w:rsidP="006C7965">
      <w:r w:rsidRPr="007A181E">
        <w:t>Table 5</w:t>
      </w:r>
      <w:r w:rsidRPr="006C7965">
        <w:t xml:space="preserve"> shows the descriptive statistics for our bond rating differences sample. We have a total of 221 observations, which represent a reduction in sample size due to missing Moody's, </w:t>
      </w:r>
      <w:proofErr w:type="gramStart"/>
      <w:r w:rsidRPr="006C7965">
        <w:t>Fitch</w:t>
      </w:r>
      <w:proofErr w:type="gramEnd"/>
      <w:r w:rsidRPr="006C7965">
        <w:t xml:space="preserve"> and Standard and Poor bond ratings within the SDC Platinum dataset. The mean </w:t>
      </w:r>
      <w:r w:rsidRPr="006C7965">
        <w:rPr>
          <w:i/>
          <w:iCs/>
        </w:rPr>
        <w:t>rating split</w:t>
      </w:r>
      <w:r w:rsidRPr="006C7965">
        <w:t> is 0.530, suggesting a slight majority of sample bond issuances had conflicting ratings. Consistent with </w:t>
      </w:r>
      <w:r w:rsidRPr="007A181E">
        <w:t>Table 2</w:t>
      </w:r>
      <w:r w:rsidRPr="006C7965">
        <w:t>, we also find that on average managers use more positive words than negative words (0.563 vs 0.359%).</w:t>
      </w:r>
    </w:p>
    <w:p w14:paraId="10FCA9D1" w14:textId="1FA734E0" w:rsidR="006C7965" w:rsidRPr="006C7965" w:rsidRDefault="006C7965" w:rsidP="006C7965">
      <w:r w:rsidRPr="007A181E">
        <w:t>Table 6</w:t>
      </w:r>
      <w:r w:rsidRPr="006C7965">
        <w:t> presents the regression results for </w:t>
      </w:r>
      <w:r w:rsidRPr="007A181E">
        <w:t>Equation (2)</w:t>
      </w:r>
      <w:r w:rsidRPr="006C7965">
        <w:t> using </w:t>
      </w:r>
      <w:r w:rsidRPr="006C7965">
        <w:rPr>
          <w:i/>
          <w:iCs/>
        </w:rPr>
        <w:t>rating split</w:t>
      </w:r>
      <w:r w:rsidRPr="006C7965">
        <w:t> as the dependent variable. The coefficient on </w:t>
      </w:r>
      <w:r w:rsidRPr="006C7965">
        <w:rPr>
          <w:i/>
          <w:iCs/>
        </w:rPr>
        <w:t>negative</w:t>
      </w:r>
      <w:r w:rsidRPr="006C7965">
        <w:t xml:space="preserve"> is positive and significant (coefficient = 4.61; t-statistic = 2.37), suggesting that negatively framed MD&amp;A language is associated with greater subjective interpretation by bond analysts, prompting disagreement among the three rating agencies regarding </w:t>
      </w:r>
      <w:proofErr w:type="gramStart"/>
      <w:r w:rsidRPr="006C7965">
        <w:t>future prospects</w:t>
      </w:r>
      <w:proofErr w:type="gramEnd"/>
      <w:r w:rsidRPr="006C7965">
        <w:t>. Therefore, we reject the null form of </w:t>
      </w:r>
      <w:r w:rsidRPr="007A181E">
        <w:t>Hypothesis 2</w:t>
      </w:r>
      <w:r w:rsidRPr="006C7965">
        <w:t> in favor of the alternative that bond analysts interpret negative tone information differently in terms of the impact on future default risk </w:t>
      </w:r>
      <w:r w:rsidRPr="007A181E">
        <w:t>[12]</w:t>
      </w:r>
      <w:r w:rsidRPr="006C7965">
        <w:t>. This is consistent with finding that bond yield premium reactions are greater for pessimistic unobservable information than for optimistic unobservable information (</w:t>
      </w:r>
      <w:r w:rsidRPr="007A181E">
        <w:t>Beck </w:t>
      </w:r>
      <w:r w:rsidRPr="007A181E">
        <w:rPr>
          <w:i/>
          <w:iCs/>
        </w:rPr>
        <w:t>et al.</w:t>
      </w:r>
      <w:r w:rsidRPr="007A181E">
        <w:t>, 2019</w:t>
      </w:r>
      <w:r w:rsidRPr="006C7965">
        <w:t>). In addition, we find that the likelihood of a </w:t>
      </w:r>
      <w:r w:rsidRPr="006C7965">
        <w:rPr>
          <w:i/>
          <w:iCs/>
        </w:rPr>
        <w:t>rating split</w:t>
      </w:r>
      <w:r w:rsidRPr="006C7965">
        <w:t> is negatively associated with general obligation bonds (</w:t>
      </w:r>
      <w:r w:rsidRPr="006C7965">
        <w:rPr>
          <w:i/>
          <w:iCs/>
        </w:rPr>
        <w:t>GO bond</w:t>
      </w:r>
      <w:r w:rsidRPr="006C7965">
        <w:t>), </w:t>
      </w:r>
      <w:r w:rsidRPr="006C7965">
        <w:rPr>
          <w:i/>
          <w:iCs/>
        </w:rPr>
        <w:t>median income</w:t>
      </w:r>
      <w:r w:rsidRPr="006C7965">
        <w:t> and </w:t>
      </w:r>
      <w:r w:rsidRPr="006C7965">
        <w:rPr>
          <w:i/>
          <w:iCs/>
        </w:rPr>
        <w:t>capital outlay</w:t>
      </w:r>
      <w:r w:rsidRPr="006C7965">
        <w:t>. Overall, our evidence shows the textual tone in municipal MD&amp;A disclosure provides information content to the debt holders and rating agencies.</w:t>
      </w:r>
    </w:p>
    <w:p w14:paraId="480B8454" w14:textId="77777777" w:rsidR="006C7965" w:rsidRPr="006C7965" w:rsidRDefault="006C7965" w:rsidP="00E052D9">
      <w:pPr>
        <w:pStyle w:val="Heading2"/>
      </w:pPr>
      <w:r w:rsidRPr="006C7965">
        <w:lastRenderedPageBreak/>
        <w:t>Robustness tests and other analyses</w:t>
      </w:r>
    </w:p>
    <w:p w14:paraId="7CE05657" w14:textId="77777777" w:rsidR="006C7965" w:rsidRPr="006C7965" w:rsidRDefault="006C7965" w:rsidP="006C7965">
      <w:r w:rsidRPr="006C7965">
        <w:t>One possibility is that our results are driven by differences in financial circumstances at a given municipality. Bond analysts could perceive an increase (decrease) in revenues as decreased (increased) credit risk. To explore this matter further, we divide our sample into two groups based on whether the municipality had an increase or decrease in revenue from governmental funds in the given year. Our findings (</w:t>
      </w:r>
      <w:proofErr w:type="spellStart"/>
      <w:r w:rsidRPr="006C7965">
        <w:t>untabulated</w:t>
      </w:r>
      <w:proofErr w:type="spellEnd"/>
      <w:r w:rsidRPr="006C7965">
        <w:t>) suggest that </w:t>
      </w:r>
      <w:proofErr w:type="gramStart"/>
      <w:r w:rsidRPr="006C7965">
        <w:rPr>
          <w:i/>
          <w:iCs/>
        </w:rPr>
        <w:t>negative</w:t>
      </w:r>
      <w:proofErr w:type="gramEnd"/>
      <w:r w:rsidRPr="006C7965">
        <w:t> tone is associated with higher future interest costs for municipalities with revenue increases but not for revenue decreases.</w:t>
      </w:r>
    </w:p>
    <w:p w14:paraId="455D40EA" w14:textId="66AAB84D" w:rsidR="006C7965" w:rsidRPr="006C7965" w:rsidRDefault="006C7965" w:rsidP="006C7965">
      <w:r w:rsidRPr="006C7965">
        <w:t>To further consider underlying municipal conditions, we follow </w:t>
      </w:r>
      <w:proofErr w:type="spellStart"/>
      <w:r w:rsidRPr="007A181E">
        <w:t>Baginski</w:t>
      </w:r>
      <w:proofErr w:type="spellEnd"/>
      <w:r w:rsidRPr="007A181E">
        <w:t> </w:t>
      </w:r>
      <w:r w:rsidRPr="007A181E">
        <w:rPr>
          <w:i/>
          <w:iCs/>
        </w:rPr>
        <w:t>et al.</w:t>
      </w:r>
      <w:r w:rsidRPr="007A181E">
        <w:t> (2018)</w:t>
      </w:r>
      <w:r w:rsidRPr="006C7965">
        <w:t> and model “expected” value for our tone measures (</w:t>
      </w:r>
      <w:proofErr w:type="gramStart"/>
      <w:r w:rsidRPr="006C7965">
        <w:t>e.g.</w:t>
      </w:r>
      <w:proofErr w:type="gramEnd"/>
      <w:r w:rsidRPr="006C7965">
        <w:t> </w:t>
      </w:r>
      <w:r w:rsidRPr="006C7965">
        <w:rPr>
          <w:i/>
          <w:iCs/>
        </w:rPr>
        <w:t>positive</w:t>
      </w:r>
      <w:r w:rsidRPr="006C7965">
        <w:t> and </w:t>
      </w:r>
      <w:r w:rsidRPr="006C7965">
        <w:rPr>
          <w:i/>
          <w:iCs/>
        </w:rPr>
        <w:t>negative</w:t>
      </w:r>
      <w:r w:rsidRPr="006C7965">
        <w:t>) </w:t>
      </w:r>
      <w:r w:rsidRPr="007A181E">
        <w:t>[13]</w:t>
      </w:r>
      <w:r w:rsidRPr="006C7965">
        <w:t>. Then, we calculated a “residual” tone based on the reported amount minus the residual from these additional specifications. Substitution of these residual tone proxies for our original tone proxies resulted in extremely similar results (</w:t>
      </w:r>
      <w:proofErr w:type="spellStart"/>
      <w:r w:rsidRPr="006C7965">
        <w:t>untabulated</w:t>
      </w:r>
      <w:proofErr w:type="spellEnd"/>
      <w:r w:rsidRPr="006C7965">
        <w:t xml:space="preserve">), which </w:t>
      </w:r>
      <w:proofErr w:type="gramStart"/>
      <w:r w:rsidRPr="006C7965">
        <w:t>lend</w:t>
      </w:r>
      <w:proofErr w:type="gramEnd"/>
      <w:r w:rsidRPr="006C7965">
        <w:t xml:space="preserve"> credence to the argument that our results are not driven by opportunistic tone choices by municipal managers.</w:t>
      </w:r>
    </w:p>
    <w:p w14:paraId="25902DD9" w14:textId="4B265C7E" w:rsidR="006C7965" w:rsidRPr="006C7965" w:rsidRDefault="006C7965" w:rsidP="006C7965">
      <w:r w:rsidRPr="006C7965">
        <w:t>Next, we considered the possibility that disagreements among rating agencies biases our </w:t>
      </w:r>
      <w:r w:rsidRPr="006C7965">
        <w:rPr>
          <w:i/>
          <w:iCs/>
        </w:rPr>
        <w:t>TIC</w:t>
      </w:r>
      <w:r w:rsidRPr="006C7965">
        <w:t> results by performing a </w:t>
      </w:r>
      <w:r w:rsidRPr="007A181E">
        <w:t>Heckman (1979)</w:t>
      </w:r>
      <w:r w:rsidRPr="006C7965">
        <w:t> two-stage procedure where the first stage reflects the choice to obtain ratings from multiple agencies. Specifically, we employ a probit model with the dependent variable as an indicator equal to one (zero otherwise) for municipality years with bond issues rated by all three agencies (Standard and Poor's, Moody's and Fitch) and </w:t>
      </w:r>
      <w:r w:rsidRPr="006C7965">
        <w:rPr>
          <w:i/>
          <w:iCs/>
        </w:rPr>
        <w:t>GO bond</w:t>
      </w:r>
      <w:r w:rsidRPr="006C7965">
        <w:t>, </w:t>
      </w:r>
      <w:r w:rsidRPr="006C7965">
        <w:rPr>
          <w:i/>
          <w:iCs/>
        </w:rPr>
        <w:t>population</w:t>
      </w:r>
      <w:r w:rsidRPr="006C7965">
        <w:t>, </w:t>
      </w:r>
      <w:r w:rsidRPr="006C7965">
        <w:rPr>
          <w:i/>
          <w:iCs/>
        </w:rPr>
        <w:t>amount</w:t>
      </w:r>
      <w:r w:rsidRPr="006C7965">
        <w:t> and </w:t>
      </w:r>
      <w:r w:rsidRPr="006C7965">
        <w:rPr>
          <w:i/>
          <w:iCs/>
        </w:rPr>
        <w:t>govt funds surplus</w:t>
      </w:r>
      <w:r w:rsidRPr="006C7965">
        <w:t> as explanatory variables. The second stage includes the inverse Mills ratio from the first stage, as well as </w:t>
      </w:r>
      <w:r w:rsidRPr="006C7965">
        <w:rPr>
          <w:i/>
          <w:iCs/>
        </w:rPr>
        <w:t>rating split</w:t>
      </w:r>
      <w:r w:rsidRPr="006C7965">
        <w:t>. Our results for the second stage (</w:t>
      </w:r>
      <w:proofErr w:type="spellStart"/>
      <w:r w:rsidRPr="006C7965">
        <w:t>untabulated</w:t>
      </w:r>
      <w:proofErr w:type="spellEnd"/>
      <w:r w:rsidRPr="006C7965">
        <w:t xml:space="preserve">) are </w:t>
      </w:r>
      <w:proofErr w:type="gramStart"/>
      <w:r w:rsidRPr="006C7965">
        <w:t>similar to</w:t>
      </w:r>
      <w:proofErr w:type="gramEnd"/>
      <w:r w:rsidRPr="006C7965">
        <w:t xml:space="preserve"> those presented in </w:t>
      </w:r>
      <w:r w:rsidRPr="007A181E">
        <w:t>Table 4</w:t>
      </w:r>
      <w:r w:rsidRPr="006C7965">
        <w:t>. We also note insignificant coefficients on both the inverse Mills ratio and </w:t>
      </w:r>
      <w:r w:rsidRPr="006C7965">
        <w:rPr>
          <w:i/>
          <w:iCs/>
        </w:rPr>
        <w:t>rating split</w:t>
      </w:r>
      <w:r w:rsidRPr="006C7965">
        <w:t>, suggesting that disagreements do not moderate our </w:t>
      </w:r>
      <w:r w:rsidRPr="006C7965">
        <w:rPr>
          <w:i/>
          <w:iCs/>
        </w:rPr>
        <w:t>TIC</w:t>
      </w:r>
      <w:r w:rsidRPr="006C7965">
        <w:t> and tone analysis.</w:t>
      </w:r>
    </w:p>
    <w:p w14:paraId="273B9355" w14:textId="77777777" w:rsidR="006C7965" w:rsidRPr="006C7965" w:rsidRDefault="006C7965" w:rsidP="006C7965">
      <w:r w:rsidRPr="006C7965">
        <w:t>We also examine our findings by different credit rating subsets, since it is possible that qualitative commentary will matter more for issues perceived to carry higher risk (</w:t>
      </w:r>
      <w:proofErr w:type="spellStart"/>
      <w:r w:rsidRPr="006C7965">
        <w:t>untabulated</w:t>
      </w:r>
      <w:proofErr w:type="spellEnd"/>
      <w:r w:rsidRPr="006C7965">
        <w:t>). We divide our sample by using the median rating as the cutoff point and find that only </w:t>
      </w:r>
      <w:r w:rsidRPr="006C7965">
        <w:rPr>
          <w:i/>
          <w:iCs/>
        </w:rPr>
        <w:t>negative</w:t>
      </w:r>
      <w:r w:rsidRPr="006C7965">
        <w:t> tone has a positive, significant coefficient in the low rating subsample, while both </w:t>
      </w:r>
      <w:r w:rsidRPr="006C7965">
        <w:rPr>
          <w:i/>
          <w:iCs/>
        </w:rPr>
        <w:t>positive</w:t>
      </w:r>
      <w:r w:rsidRPr="006C7965">
        <w:t> and </w:t>
      </w:r>
      <w:r w:rsidRPr="006C7965">
        <w:rPr>
          <w:i/>
          <w:iCs/>
        </w:rPr>
        <w:t>negative</w:t>
      </w:r>
      <w:r w:rsidRPr="006C7965">
        <w:t> tones are not significant in the high rating subsample. This suggests that linguistic tone is more important for municipalities with low credit ratings possibly because of fewer alternative sources of information about municipality prospects.</w:t>
      </w:r>
    </w:p>
    <w:p w14:paraId="338FF1E1" w14:textId="014501D8" w:rsidR="006C7965" w:rsidRPr="006C7965" w:rsidRDefault="006C7965" w:rsidP="006C7965">
      <w:r w:rsidRPr="006C7965">
        <w:t>We also use several alternate specifications for variables. We created indicator variables for each different bond rating and included them in our model </w:t>
      </w:r>
      <w:r w:rsidRPr="006C7965">
        <w:rPr>
          <w:i/>
          <w:iCs/>
        </w:rPr>
        <w:t>in lieu</w:t>
      </w:r>
      <w:r w:rsidRPr="006C7965">
        <w:t> of </w:t>
      </w:r>
      <w:r w:rsidRPr="006C7965">
        <w:rPr>
          <w:i/>
          <w:iCs/>
        </w:rPr>
        <w:t>bond rating</w:t>
      </w:r>
      <w:r w:rsidRPr="006C7965">
        <w:t>. Our findings (</w:t>
      </w:r>
      <w:proofErr w:type="spellStart"/>
      <w:r w:rsidRPr="006C7965">
        <w:t>untabulated</w:t>
      </w:r>
      <w:proofErr w:type="spellEnd"/>
      <w:r w:rsidRPr="006C7965">
        <w:t>) are very similar to those shown in </w:t>
      </w:r>
      <w:r w:rsidRPr="007A181E">
        <w:t>Table 4</w:t>
      </w:r>
      <w:r w:rsidRPr="006C7965">
        <w:t>. Next, we employ alternative definitions for surplus, including revenue-scaled amounts and measurement exclusively at the general fund level. Results (</w:t>
      </w:r>
      <w:proofErr w:type="spellStart"/>
      <w:r w:rsidRPr="006C7965">
        <w:t>untabulated</w:t>
      </w:r>
      <w:proofErr w:type="spellEnd"/>
      <w:r w:rsidRPr="006C7965">
        <w:t>) using these alternative measures are virtually identical to those presented in </w:t>
      </w:r>
      <w:r w:rsidRPr="007A181E">
        <w:t>Tables 4</w:t>
      </w:r>
      <w:r w:rsidRPr="006C7965">
        <w:t> and </w:t>
      </w:r>
      <w:r w:rsidRPr="007A181E">
        <w:t>6</w:t>
      </w:r>
      <w:r w:rsidRPr="006C7965">
        <w:t>. We also employed alternative measurements of </w:t>
      </w:r>
      <w:r w:rsidRPr="006C7965">
        <w:rPr>
          <w:i/>
          <w:iCs/>
        </w:rPr>
        <w:t>capital outlay</w:t>
      </w:r>
      <w:r w:rsidRPr="006C7965">
        <w:t xml:space="preserve"> on a revenue-scaled basis and noted similar results. Lastly, we note similar results without clustering standard errors and using </w:t>
      </w:r>
      <w:proofErr w:type="spellStart"/>
      <w:r w:rsidRPr="006C7965">
        <w:t>unwinsorized</w:t>
      </w:r>
      <w:proofErr w:type="spellEnd"/>
      <w:r w:rsidRPr="006C7965">
        <w:t xml:space="preserve"> data.</w:t>
      </w:r>
    </w:p>
    <w:p w14:paraId="343F21F3" w14:textId="77777777" w:rsidR="006C7965" w:rsidRPr="006C7965" w:rsidRDefault="006C7965" w:rsidP="00E052D9">
      <w:pPr>
        <w:pStyle w:val="Heading1"/>
      </w:pPr>
      <w:r w:rsidRPr="006C7965">
        <w:t>Conclusion</w:t>
      </w:r>
    </w:p>
    <w:p w14:paraId="75063F9D" w14:textId="77777777" w:rsidR="006C7965" w:rsidRPr="006C7965" w:rsidRDefault="006C7965" w:rsidP="006C7965">
      <w:r w:rsidRPr="006C7965">
        <w:t>Current research in the corporate sector suggests that there is information content in managers' narrative disclosures, including the language choices wherein. However, whether the results apply to the governmental setting is an empirical question. In this study, we provide an exploratory step toward understanding the capital market effects of language choices within the narrative disclosures of municipal managers.</w:t>
      </w:r>
    </w:p>
    <w:p w14:paraId="0BC37029" w14:textId="5C73ADD1" w:rsidR="006C7965" w:rsidRPr="006C7965" w:rsidRDefault="006C7965" w:rsidP="006C7965">
      <w:r w:rsidRPr="006C7965">
        <w:t xml:space="preserve">Using a sample of 446 municipal bond issuances between 2012 and 2016, our results show that </w:t>
      </w:r>
      <w:proofErr w:type="gramStart"/>
      <w:r w:rsidRPr="006C7965">
        <w:t>more</w:t>
      </w:r>
      <w:proofErr w:type="gramEnd"/>
      <w:r w:rsidRPr="006C7965">
        <w:t xml:space="preserve"> negative tone in municipal MD&amp;A disclosures is associated with greater future interest costs and more frequent rating disagreements among bond rating agencies. This suggests that bond market participants value qualitative </w:t>
      </w:r>
      <w:r w:rsidRPr="006C7965">
        <w:lastRenderedPageBreak/>
        <w:t>information in government financial reporting, but its interpretation can be subjective. Our findings should be of value to a variety of stakeholders, including municipalities making disclosure decisions, bond analysts supporting the informational efficiency of the bond market, investors assessing the riskiness of bond issues and regulators looking to evaluate the informativeness of disclosures under GASB 34. Our study is particularly important in the current economy of rising indebtedness due to coronavirus disease 2019 (COVID-19) (</w:t>
      </w:r>
      <w:r w:rsidRPr="007A181E">
        <w:t>de Jong and Ho, 2020</w:t>
      </w:r>
      <w:r w:rsidRPr="006C7965">
        <w:t>; </w:t>
      </w:r>
      <w:proofErr w:type="spellStart"/>
      <w:r w:rsidRPr="007A181E">
        <w:t>Grossi</w:t>
      </w:r>
      <w:proofErr w:type="spellEnd"/>
      <w:r w:rsidRPr="007A181E">
        <w:t> </w:t>
      </w:r>
      <w:r w:rsidRPr="007A181E">
        <w:rPr>
          <w:i/>
          <w:iCs/>
        </w:rPr>
        <w:t>et al.</w:t>
      </w:r>
      <w:r w:rsidRPr="007A181E">
        <w:t>, 2020</w:t>
      </w:r>
      <w:r w:rsidRPr="006C7965">
        <w:t>; </w:t>
      </w:r>
      <w:r w:rsidRPr="007A181E">
        <w:t xml:space="preserve">Joyce and </w:t>
      </w:r>
      <w:proofErr w:type="spellStart"/>
      <w:r w:rsidRPr="007A181E">
        <w:t>Suryo</w:t>
      </w:r>
      <w:proofErr w:type="spellEnd"/>
      <w:r w:rsidRPr="007A181E">
        <w:t>, 2020</w:t>
      </w:r>
      <w:r w:rsidRPr="006C7965">
        <w:t>).</w:t>
      </w:r>
    </w:p>
    <w:p w14:paraId="63B28DC3" w14:textId="77777777" w:rsidR="006C7965" w:rsidRPr="006C7965" w:rsidRDefault="006C7965" w:rsidP="006C7965">
      <w:r w:rsidRPr="006C7965">
        <w:t>Our research provides an important step for future research, where researchers could investigate clustering algorithms that discover the main clusters of words in the documents and convey more information about the content of the sections. Additionally, while our results suggest associations between disclosure tone and interest costs, the underlying reasons driving specific word choices could provide useful insight into market participants. Another interesting research area is to study the informational value of other linguistic characteristics, such as readability, in the municipal bond market. Finally, future research can examine the disclosure and transparency of the municipal advisors and underwriters under the Dodd–Frank Act.</w:t>
      </w:r>
    </w:p>
    <w:p w14:paraId="53F56CDF" w14:textId="77777777" w:rsidR="006C7965" w:rsidRPr="006C7965" w:rsidRDefault="006C7965" w:rsidP="006C7965">
      <w:r w:rsidRPr="006C7965">
        <w:t xml:space="preserve">Our research has the following policy implications. Given that our results show qualitative information in MD&amp;A disclosures is informative in the municipal bond market, our research can be used as a tool for state governments to assess the informativeness of their municipalities' MD&amp;A disclosures regarding debt. Evidence from our paper also stresses to municipalities the importance of narrative disclosures within the MD&amp;A on debt financing. This could encourage municipalities to properly train finance staff </w:t>
      </w:r>
      <w:proofErr w:type="gramStart"/>
      <w:r w:rsidRPr="006C7965">
        <w:t>on best</w:t>
      </w:r>
      <w:proofErr w:type="gramEnd"/>
      <w:r w:rsidRPr="006C7965">
        <w:t xml:space="preserve"> disclosure practices, possibly through organizations such as ICMA and GFOA.</w:t>
      </w:r>
    </w:p>
    <w:p w14:paraId="095E8A98" w14:textId="6538771B" w:rsidR="006C7965" w:rsidRPr="006C7965" w:rsidRDefault="006C7965" w:rsidP="006C7965">
      <w:r w:rsidRPr="006C7965">
        <w:t>As the GASB evaluates the informativeness of disclosures under GASB 34 (</w:t>
      </w:r>
      <w:r w:rsidRPr="007A181E">
        <w:t>GASB, 2020</w:t>
      </w:r>
      <w:r w:rsidRPr="006C7965">
        <w:t>), it can utilize our models to assess municipalities' disclosure quality in informing the debt market. To encourage more transparency, the GASB can potentially place more emphasis on the discussion of risks and conditions that the governments are facing in the MD&amp;A disclosure. Bond rating agencies and investors can utilize our models to understand the importance of discretionary disclosure in evaluating the riskiness of municipal bonds.</w:t>
      </w:r>
    </w:p>
    <w:p w14:paraId="0AF7AC0F" w14:textId="77777777" w:rsidR="006C7965" w:rsidRPr="006C7965" w:rsidRDefault="006C7965" w:rsidP="006C7965">
      <w:r w:rsidRPr="006C7965">
        <w:t>One limitation of our results is that these only reflect associations between disclosure tone and interest costs and resultantly do not imply a causal relationship. Furthermore, our relatively small sample size implies that our findings may not generalize to the overall population of municipalities raising funds through debt financing. Additionally, dictionary-based analyses might ignore context that is only available from a detailed review of disclosure. Nevertheless, our study provides an important step toward understanding the relationship between linguistic tone and municipal bond characteristics.</w:t>
      </w:r>
    </w:p>
    <w:p w14:paraId="721ECA37" w14:textId="2502B67A" w:rsidR="006C7965" w:rsidRPr="006C7965" w:rsidRDefault="006C7965" w:rsidP="00E052D9">
      <w:pPr>
        <w:spacing w:after="0"/>
      </w:pPr>
      <w:r w:rsidRPr="006C7965">
        <w:t>Table 1</w:t>
      </w:r>
      <w:r w:rsidR="00E052D9">
        <w:t xml:space="preserve"> </w:t>
      </w:r>
      <w:r w:rsidRPr="006C7965">
        <w:t>Sample selection</w:t>
      </w:r>
    </w:p>
    <w:tbl>
      <w:tblPr>
        <w:tblStyle w:val="TableGrid"/>
        <w:tblW w:w="0" w:type="auto"/>
        <w:tblLook w:val="04A0" w:firstRow="1" w:lastRow="0" w:firstColumn="1" w:lastColumn="0" w:noHBand="0" w:noVBand="1"/>
      </w:tblPr>
      <w:tblGrid>
        <w:gridCol w:w="7290"/>
        <w:gridCol w:w="851"/>
      </w:tblGrid>
      <w:tr w:rsidR="006C7965" w:rsidRPr="006C7965" w14:paraId="088D317D" w14:textId="77777777" w:rsidTr="00E052D9">
        <w:tc>
          <w:tcPr>
            <w:tcW w:w="0" w:type="auto"/>
            <w:hideMark/>
          </w:tcPr>
          <w:p w14:paraId="224094A5" w14:textId="41A57C7E" w:rsidR="006C7965" w:rsidRPr="006C7965" w:rsidRDefault="006C7965" w:rsidP="006C7965">
            <w:r w:rsidRPr="006C7965">
              <w:t>Cities and towns from </w:t>
            </w:r>
            <w:r w:rsidRPr="007A181E">
              <w:t>Rich </w:t>
            </w:r>
            <w:r w:rsidRPr="007A181E">
              <w:rPr>
                <w:i/>
                <w:iCs/>
              </w:rPr>
              <w:t>et al.</w:t>
            </w:r>
            <w:r w:rsidRPr="007A181E">
              <w:t> (2016)</w:t>
            </w:r>
          </w:p>
        </w:tc>
        <w:tc>
          <w:tcPr>
            <w:tcW w:w="0" w:type="auto"/>
            <w:hideMark/>
          </w:tcPr>
          <w:p w14:paraId="229350BD" w14:textId="77777777" w:rsidR="006C7965" w:rsidRPr="006C7965" w:rsidRDefault="006C7965" w:rsidP="006C7965">
            <w:r w:rsidRPr="006C7965">
              <w:t>362</w:t>
            </w:r>
          </w:p>
        </w:tc>
      </w:tr>
      <w:tr w:rsidR="006C7965" w:rsidRPr="006C7965" w14:paraId="50E15C4B" w14:textId="77777777" w:rsidTr="00E052D9">
        <w:tc>
          <w:tcPr>
            <w:tcW w:w="0" w:type="auto"/>
            <w:hideMark/>
          </w:tcPr>
          <w:p w14:paraId="2BB03F2F" w14:textId="77777777" w:rsidR="006C7965" w:rsidRPr="006C7965" w:rsidRDefault="006C7965" w:rsidP="006C7965">
            <w:r w:rsidRPr="006C7965">
              <w:t>Bond issuances for the 362 municipalities in Thomson Reuters from 2012–2016</w:t>
            </w:r>
          </w:p>
        </w:tc>
        <w:tc>
          <w:tcPr>
            <w:tcW w:w="0" w:type="auto"/>
            <w:hideMark/>
          </w:tcPr>
          <w:p w14:paraId="2374BF73" w14:textId="77777777" w:rsidR="006C7965" w:rsidRPr="006C7965" w:rsidRDefault="006C7965" w:rsidP="006C7965">
            <w:r w:rsidRPr="006C7965">
              <w:t>2,048</w:t>
            </w:r>
          </w:p>
        </w:tc>
      </w:tr>
      <w:tr w:rsidR="006C7965" w:rsidRPr="006C7965" w14:paraId="045B9A1F" w14:textId="77777777" w:rsidTr="00E052D9">
        <w:tc>
          <w:tcPr>
            <w:tcW w:w="0" w:type="auto"/>
            <w:hideMark/>
          </w:tcPr>
          <w:p w14:paraId="709E87F4" w14:textId="77777777" w:rsidR="006C7965" w:rsidRPr="006C7965" w:rsidRDefault="006C7965" w:rsidP="006C7965">
            <w:r w:rsidRPr="006C7965">
              <w:t>Less those with missing TIC data from Thomson Reuters</w:t>
            </w:r>
          </w:p>
        </w:tc>
        <w:tc>
          <w:tcPr>
            <w:tcW w:w="0" w:type="auto"/>
            <w:hideMark/>
          </w:tcPr>
          <w:p w14:paraId="0CD28C43" w14:textId="77777777" w:rsidR="006C7965" w:rsidRPr="006C7965" w:rsidRDefault="006C7965" w:rsidP="006C7965">
            <w:r w:rsidRPr="006C7965">
              <w:t>(1,323)</w:t>
            </w:r>
          </w:p>
        </w:tc>
      </w:tr>
      <w:tr w:rsidR="006C7965" w:rsidRPr="006C7965" w14:paraId="1C96C57F" w14:textId="77777777" w:rsidTr="00E052D9">
        <w:tc>
          <w:tcPr>
            <w:tcW w:w="0" w:type="auto"/>
            <w:hideMark/>
          </w:tcPr>
          <w:p w14:paraId="49343815" w14:textId="77777777" w:rsidR="006C7965" w:rsidRPr="006C7965" w:rsidRDefault="006C7965" w:rsidP="006C7965">
            <w:r w:rsidRPr="006C7965">
              <w:t>Less those with missing bond controls from Thomson Reuters</w:t>
            </w:r>
          </w:p>
        </w:tc>
        <w:tc>
          <w:tcPr>
            <w:tcW w:w="0" w:type="auto"/>
            <w:hideMark/>
          </w:tcPr>
          <w:p w14:paraId="73584688" w14:textId="77777777" w:rsidR="006C7965" w:rsidRPr="006C7965" w:rsidRDefault="006C7965" w:rsidP="006C7965">
            <w:r w:rsidRPr="006C7965">
              <w:t>(215)</w:t>
            </w:r>
          </w:p>
        </w:tc>
      </w:tr>
      <w:tr w:rsidR="006C7965" w:rsidRPr="006C7965" w14:paraId="67A6DE45" w14:textId="77777777" w:rsidTr="00E052D9">
        <w:tc>
          <w:tcPr>
            <w:tcW w:w="0" w:type="auto"/>
            <w:hideMark/>
          </w:tcPr>
          <w:p w14:paraId="5F2356CD" w14:textId="77777777" w:rsidR="006C7965" w:rsidRPr="006C7965" w:rsidRDefault="006C7965" w:rsidP="006C7965">
            <w:r w:rsidRPr="006C7965">
              <w:t>Less those with missing governance controls from ICMA</w:t>
            </w:r>
          </w:p>
        </w:tc>
        <w:tc>
          <w:tcPr>
            <w:tcW w:w="0" w:type="auto"/>
            <w:hideMark/>
          </w:tcPr>
          <w:p w14:paraId="69C5E31E" w14:textId="77777777" w:rsidR="006C7965" w:rsidRPr="006C7965" w:rsidRDefault="006C7965" w:rsidP="006C7965">
            <w:r w:rsidRPr="006C7965">
              <w:t>(39)</w:t>
            </w:r>
          </w:p>
        </w:tc>
      </w:tr>
      <w:tr w:rsidR="006C7965" w:rsidRPr="006C7965" w14:paraId="4356B9A1" w14:textId="77777777" w:rsidTr="00E052D9">
        <w:tc>
          <w:tcPr>
            <w:tcW w:w="0" w:type="auto"/>
            <w:hideMark/>
          </w:tcPr>
          <w:p w14:paraId="07A9FE3F" w14:textId="77777777" w:rsidR="006C7965" w:rsidRPr="006C7965" w:rsidRDefault="006C7965" w:rsidP="006C7965">
            <w:r w:rsidRPr="006C7965">
              <w:t>Less those with missing financial controls from CAFRs</w:t>
            </w:r>
          </w:p>
        </w:tc>
        <w:tc>
          <w:tcPr>
            <w:tcW w:w="0" w:type="auto"/>
            <w:hideMark/>
          </w:tcPr>
          <w:p w14:paraId="1F8B700F" w14:textId="77777777" w:rsidR="006C7965" w:rsidRPr="006C7965" w:rsidRDefault="006C7965" w:rsidP="006C7965">
            <w:r w:rsidRPr="006C7965">
              <w:t>(10)</w:t>
            </w:r>
          </w:p>
        </w:tc>
      </w:tr>
      <w:tr w:rsidR="006C7965" w:rsidRPr="006C7965" w14:paraId="22D17FAB" w14:textId="77777777" w:rsidTr="00E052D9">
        <w:tc>
          <w:tcPr>
            <w:tcW w:w="0" w:type="auto"/>
            <w:hideMark/>
          </w:tcPr>
          <w:p w14:paraId="711C2895" w14:textId="77777777" w:rsidR="006C7965" w:rsidRPr="006C7965" w:rsidRDefault="006C7965" w:rsidP="006C7965">
            <w:r w:rsidRPr="006C7965">
              <w:t>Less those with missing other control variables</w:t>
            </w:r>
          </w:p>
        </w:tc>
        <w:tc>
          <w:tcPr>
            <w:tcW w:w="0" w:type="auto"/>
            <w:hideMark/>
          </w:tcPr>
          <w:p w14:paraId="604DC6D3" w14:textId="77777777" w:rsidR="006C7965" w:rsidRPr="006C7965" w:rsidRDefault="006C7965" w:rsidP="006C7965">
            <w:r w:rsidRPr="006C7965">
              <w:t>(15)</w:t>
            </w:r>
          </w:p>
        </w:tc>
      </w:tr>
      <w:tr w:rsidR="006C7965" w:rsidRPr="006C7965" w14:paraId="5259F031" w14:textId="77777777" w:rsidTr="00E052D9">
        <w:tc>
          <w:tcPr>
            <w:tcW w:w="0" w:type="auto"/>
            <w:hideMark/>
          </w:tcPr>
          <w:p w14:paraId="5A1B95FE" w14:textId="77777777" w:rsidR="006C7965" w:rsidRPr="006C7965" w:rsidRDefault="006C7965" w:rsidP="006C7965">
            <w:r w:rsidRPr="006C7965">
              <w:t>Final sample</w:t>
            </w:r>
          </w:p>
        </w:tc>
        <w:tc>
          <w:tcPr>
            <w:tcW w:w="0" w:type="auto"/>
            <w:hideMark/>
          </w:tcPr>
          <w:p w14:paraId="6F560710" w14:textId="77777777" w:rsidR="006C7965" w:rsidRPr="006C7965" w:rsidRDefault="006C7965" w:rsidP="006C7965">
            <w:r w:rsidRPr="006C7965">
              <w:t>446</w:t>
            </w:r>
          </w:p>
        </w:tc>
      </w:tr>
    </w:tbl>
    <w:p w14:paraId="2A196FDC" w14:textId="77777777" w:rsidR="00644598" w:rsidRDefault="00644598" w:rsidP="006C7965"/>
    <w:p w14:paraId="0E583038" w14:textId="47717644" w:rsidR="006C7965" w:rsidRPr="006C7965" w:rsidRDefault="00644598" w:rsidP="00644598">
      <w:pPr>
        <w:spacing w:after="0"/>
      </w:pPr>
      <w:r>
        <w:t>T</w:t>
      </w:r>
      <w:r w:rsidR="006C7965" w:rsidRPr="006C7965">
        <w:t>able 2</w:t>
      </w:r>
      <w:r>
        <w:t xml:space="preserve"> </w:t>
      </w:r>
      <w:r w:rsidR="006C7965" w:rsidRPr="006C7965">
        <w:t>Descriptive statistics</w:t>
      </w:r>
    </w:p>
    <w:tbl>
      <w:tblPr>
        <w:tblStyle w:val="TableGrid"/>
        <w:tblW w:w="0" w:type="auto"/>
        <w:tblLook w:val="04A0" w:firstRow="1" w:lastRow="0" w:firstColumn="1" w:lastColumn="0" w:noHBand="0" w:noVBand="1"/>
      </w:tblPr>
      <w:tblGrid>
        <w:gridCol w:w="2330"/>
        <w:gridCol w:w="941"/>
        <w:gridCol w:w="918"/>
        <w:gridCol w:w="956"/>
        <w:gridCol w:w="830"/>
        <w:gridCol w:w="941"/>
      </w:tblGrid>
      <w:tr w:rsidR="006C7965" w:rsidRPr="006C7965" w14:paraId="42DD9A66" w14:textId="77777777" w:rsidTr="00644598">
        <w:tc>
          <w:tcPr>
            <w:tcW w:w="0" w:type="auto"/>
            <w:hideMark/>
          </w:tcPr>
          <w:p w14:paraId="683E9E72" w14:textId="77777777" w:rsidR="006C7965" w:rsidRPr="006C7965" w:rsidRDefault="006C7965" w:rsidP="006C7965"/>
        </w:tc>
        <w:tc>
          <w:tcPr>
            <w:tcW w:w="0" w:type="auto"/>
            <w:hideMark/>
          </w:tcPr>
          <w:p w14:paraId="45516DE8" w14:textId="77777777" w:rsidR="006C7965" w:rsidRPr="006C7965" w:rsidRDefault="006C7965" w:rsidP="006C7965">
            <w:pPr>
              <w:rPr>
                <w:b/>
                <w:bCs/>
              </w:rPr>
            </w:pPr>
            <w:r w:rsidRPr="006C7965">
              <w:rPr>
                <w:b/>
                <w:bCs/>
              </w:rPr>
              <w:t>Mean</w:t>
            </w:r>
          </w:p>
        </w:tc>
        <w:tc>
          <w:tcPr>
            <w:tcW w:w="0" w:type="auto"/>
            <w:hideMark/>
          </w:tcPr>
          <w:p w14:paraId="5FF225BC" w14:textId="77777777" w:rsidR="006C7965" w:rsidRPr="006C7965" w:rsidRDefault="006C7965" w:rsidP="006C7965">
            <w:pPr>
              <w:rPr>
                <w:b/>
                <w:bCs/>
              </w:rPr>
            </w:pPr>
            <w:r w:rsidRPr="006C7965">
              <w:rPr>
                <w:b/>
                <w:bCs/>
              </w:rPr>
              <w:t>Median</w:t>
            </w:r>
          </w:p>
        </w:tc>
        <w:tc>
          <w:tcPr>
            <w:tcW w:w="0" w:type="auto"/>
            <w:hideMark/>
          </w:tcPr>
          <w:p w14:paraId="679E8FEF" w14:textId="77777777" w:rsidR="006C7965" w:rsidRPr="006C7965" w:rsidRDefault="006C7965" w:rsidP="006C7965">
            <w:pPr>
              <w:rPr>
                <w:b/>
                <w:bCs/>
              </w:rPr>
            </w:pPr>
            <w:r w:rsidRPr="006C7965">
              <w:rPr>
                <w:b/>
                <w:bCs/>
              </w:rPr>
              <w:t>Std. dev</w:t>
            </w:r>
          </w:p>
        </w:tc>
        <w:tc>
          <w:tcPr>
            <w:tcW w:w="0" w:type="auto"/>
            <w:hideMark/>
          </w:tcPr>
          <w:p w14:paraId="4904C094" w14:textId="77777777" w:rsidR="006C7965" w:rsidRPr="006C7965" w:rsidRDefault="006C7965" w:rsidP="006C7965">
            <w:pPr>
              <w:rPr>
                <w:b/>
                <w:bCs/>
              </w:rPr>
            </w:pPr>
            <w:r w:rsidRPr="006C7965">
              <w:rPr>
                <w:b/>
                <w:bCs/>
              </w:rPr>
              <w:t>Min</w:t>
            </w:r>
          </w:p>
        </w:tc>
        <w:tc>
          <w:tcPr>
            <w:tcW w:w="0" w:type="auto"/>
            <w:hideMark/>
          </w:tcPr>
          <w:p w14:paraId="565CD82A" w14:textId="77777777" w:rsidR="006C7965" w:rsidRPr="006C7965" w:rsidRDefault="006C7965" w:rsidP="006C7965">
            <w:pPr>
              <w:rPr>
                <w:b/>
                <w:bCs/>
              </w:rPr>
            </w:pPr>
            <w:r w:rsidRPr="006C7965">
              <w:rPr>
                <w:b/>
                <w:bCs/>
              </w:rPr>
              <w:t>Max</w:t>
            </w:r>
          </w:p>
        </w:tc>
      </w:tr>
      <w:tr w:rsidR="006C7965" w:rsidRPr="006C7965" w14:paraId="272DC010" w14:textId="77777777" w:rsidTr="00644598">
        <w:tc>
          <w:tcPr>
            <w:tcW w:w="0" w:type="auto"/>
            <w:hideMark/>
          </w:tcPr>
          <w:p w14:paraId="4A791E69" w14:textId="77777777" w:rsidR="006C7965" w:rsidRPr="006C7965" w:rsidRDefault="006C7965" w:rsidP="006C7965">
            <w:r w:rsidRPr="006C7965">
              <w:t>TIC</w:t>
            </w:r>
          </w:p>
        </w:tc>
        <w:tc>
          <w:tcPr>
            <w:tcW w:w="0" w:type="auto"/>
            <w:hideMark/>
          </w:tcPr>
          <w:p w14:paraId="23907671" w14:textId="77777777" w:rsidR="006C7965" w:rsidRPr="006C7965" w:rsidRDefault="006C7965" w:rsidP="006C7965">
            <w:r w:rsidRPr="006C7965">
              <w:t>2.596</w:t>
            </w:r>
          </w:p>
        </w:tc>
        <w:tc>
          <w:tcPr>
            <w:tcW w:w="0" w:type="auto"/>
            <w:hideMark/>
          </w:tcPr>
          <w:p w14:paraId="781C8DC9" w14:textId="77777777" w:rsidR="006C7965" w:rsidRPr="006C7965" w:rsidRDefault="006C7965" w:rsidP="006C7965">
            <w:r w:rsidRPr="006C7965">
              <w:t>2.656</w:t>
            </w:r>
          </w:p>
        </w:tc>
        <w:tc>
          <w:tcPr>
            <w:tcW w:w="0" w:type="auto"/>
            <w:hideMark/>
          </w:tcPr>
          <w:p w14:paraId="7A7855D2" w14:textId="77777777" w:rsidR="006C7965" w:rsidRPr="006C7965" w:rsidRDefault="006C7965" w:rsidP="006C7965">
            <w:r w:rsidRPr="006C7965">
              <w:t>0.852</w:t>
            </w:r>
          </w:p>
        </w:tc>
        <w:tc>
          <w:tcPr>
            <w:tcW w:w="0" w:type="auto"/>
            <w:hideMark/>
          </w:tcPr>
          <w:p w14:paraId="75815897" w14:textId="77777777" w:rsidR="006C7965" w:rsidRPr="006C7965" w:rsidRDefault="006C7965" w:rsidP="006C7965">
            <w:r w:rsidRPr="006C7965">
              <w:t>0.762</w:t>
            </w:r>
          </w:p>
        </w:tc>
        <w:tc>
          <w:tcPr>
            <w:tcW w:w="0" w:type="auto"/>
            <w:hideMark/>
          </w:tcPr>
          <w:p w14:paraId="7E308A12" w14:textId="77777777" w:rsidR="006C7965" w:rsidRPr="006C7965" w:rsidRDefault="006C7965" w:rsidP="006C7965">
            <w:r w:rsidRPr="006C7965">
              <w:t>4.848</w:t>
            </w:r>
          </w:p>
        </w:tc>
      </w:tr>
      <w:tr w:rsidR="006C7965" w:rsidRPr="006C7965" w14:paraId="13D3E493" w14:textId="77777777" w:rsidTr="00644598">
        <w:tc>
          <w:tcPr>
            <w:tcW w:w="0" w:type="auto"/>
            <w:hideMark/>
          </w:tcPr>
          <w:p w14:paraId="212DF277" w14:textId="77777777" w:rsidR="006C7965" w:rsidRPr="006C7965" w:rsidRDefault="006C7965" w:rsidP="006C7965">
            <w:r w:rsidRPr="006C7965">
              <w:t>Positive</w:t>
            </w:r>
          </w:p>
        </w:tc>
        <w:tc>
          <w:tcPr>
            <w:tcW w:w="0" w:type="auto"/>
            <w:hideMark/>
          </w:tcPr>
          <w:p w14:paraId="7ABB9219" w14:textId="77777777" w:rsidR="006C7965" w:rsidRPr="006C7965" w:rsidRDefault="006C7965" w:rsidP="006C7965">
            <w:r w:rsidRPr="006C7965">
              <w:t>0.544</w:t>
            </w:r>
          </w:p>
        </w:tc>
        <w:tc>
          <w:tcPr>
            <w:tcW w:w="0" w:type="auto"/>
            <w:hideMark/>
          </w:tcPr>
          <w:p w14:paraId="08E0C53E" w14:textId="77777777" w:rsidR="006C7965" w:rsidRPr="006C7965" w:rsidRDefault="006C7965" w:rsidP="006C7965">
            <w:r w:rsidRPr="006C7965">
              <w:t>0.550</w:t>
            </w:r>
          </w:p>
        </w:tc>
        <w:tc>
          <w:tcPr>
            <w:tcW w:w="0" w:type="auto"/>
            <w:hideMark/>
          </w:tcPr>
          <w:p w14:paraId="31FB8E40" w14:textId="77777777" w:rsidR="006C7965" w:rsidRPr="006C7965" w:rsidRDefault="006C7965" w:rsidP="006C7965">
            <w:r w:rsidRPr="006C7965">
              <w:t>0.153</w:t>
            </w:r>
          </w:p>
        </w:tc>
        <w:tc>
          <w:tcPr>
            <w:tcW w:w="0" w:type="auto"/>
            <w:hideMark/>
          </w:tcPr>
          <w:p w14:paraId="1A8D05F8" w14:textId="77777777" w:rsidR="006C7965" w:rsidRPr="006C7965" w:rsidRDefault="006C7965" w:rsidP="006C7965">
            <w:r w:rsidRPr="006C7965">
              <w:t>0.220</w:t>
            </w:r>
          </w:p>
        </w:tc>
        <w:tc>
          <w:tcPr>
            <w:tcW w:w="0" w:type="auto"/>
            <w:hideMark/>
          </w:tcPr>
          <w:p w14:paraId="2F2AB0F8" w14:textId="77777777" w:rsidR="006C7965" w:rsidRPr="006C7965" w:rsidRDefault="006C7965" w:rsidP="006C7965">
            <w:r w:rsidRPr="006C7965">
              <w:t>0.940</w:t>
            </w:r>
          </w:p>
        </w:tc>
      </w:tr>
      <w:tr w:rsidR="006C7965" w:rsidRPr="006C7965" w14:paraId="62194B8E" w14:textId="77777777" w:rsidTr="00644598">
        <w:tc>
          <w:tcPr>
            <w:tcW w:w="0" w:type="auto"/>
            <w:hideMark/>
          </w:tcPr>
          <w:p w14:paraId="42F4A402" w14:textId="77777777" w:rsidR="006C7965" w:rsidRPr="006C7965" w:rsidRDefault="006C7965" w:rsidP="006C7965">
            <w:r w:rsidRPr="006C7965">
              <w:lastRenderedPageBreak/>
              <w:t>Negative</w:t>
            </w:r>
          </w:p>
        </w:tc>
        <w:tc>
          <w:tcPr>
            <w:tcW w:w="0" w:type="auto"/>
            <w:hideMark/>
          </w:tcPr>
          <w:p w14:paraId="3E44BAF1" w14:textId="77777777" w:rsidR="006C7965" w:rsidRPr="006C7965" w:rsidRDefault="006C7965" w:rsidP="006C7965">
            <w:r w:rsidRPr="006C7965">
              <w:t>0.363</w:t>
            </w:r>
          </w:p>
        </w:tc>
        <w:tc>
          <w:tcPr>
            <w:tcW w:w="0" w:type="auto"/>
            <w:hideMark/>
          </w:tcPr>
          <w:p w14:paraId="6DC47DB3" w14:textId="77777777" w:rsidR="006C7965" w:rsidRPr="006C7965" w:rsidRDefault="006C7965" w:rsidP="006C7965">
            <w:r w:rsidRPr="006C7965">
              <w:t>0.330</w:t>
            </w:r>
          </w:p>
        </w:tc>
        <w:tc>
          <w:tcPr>
            <w:tcW w:w="0" w:type="auto"/>
            <w:hideMark/>
          </w:tcPr>
          <w:p w14:paraId="2617272D" w14:textId="77777777" w:rsidR="006C7965" w:rsidRPr="006C7965" w:rsidRDefault="006C7965" w:rsidP="006C7965">
            <w:r w:rsidRPr="006C7965">
              <w:t>0.151</w:t>
            </w:r>
          </w:p>
        </w:tc>
        <w:tc>
          <w:tcPr>
            <w:tcW w:w="0" w:type="auto"/>
            <w:hideMark/>
          </w:tcPr>
          <w:p w14:paraId="6146B998" w14:textId="77777777" w:rsidR="006C7965" w:rsidRPr="006C7965" w:rsidRDefault="006C7965" w:rsidP="006C7965">
            <w:r w:rsidRPr="006C7965">
              <w:t>0.110</w:t>
            </w:r>
          </w:p>
        </w:tc>
        <w:tc>
          <w:tcPr>
            <w:tcW w:w="0" w:type="auto"/>
            <w:hideMark/>
          </w:tcPr>
          <w:p w14:paraId="714AEAA9" w14:textId="77777777" w:rsidR="006C7965" w:rsidRPr="006C7965" w:rsidRDefault="006C7965" w:rsidP="006C7965">
            <w:r w:rsidRPr="006C7965">
              <w:t>0.810</w:t>
            </w:r>
          </w:p>
        </w:tc>
      </w:tr>
      <w:tr w:rsidR="006C7965" w:rsidRPr="006C7965" w14:paraId="125B7A59" w14:textId="77777777" w:rsidTr="00644598">
        <w:tc>
          <w:tcPr>
            <w:tcW w:w="0" w:type="auto"/>
            <w:hideMark/>
          </w:tcPr>
          <w:p w14:paraId="7F7471A8" w14:textId="77777777" w:rsidR="006C7965" w:rsidRPr="006C7965" w:rsidRDefault="006C7965" w:rsidP="006C7965">
            <w:r w:rsidRPr="006C7965">
              <w:t>Go bond</w:t>
            </w:r>
          </w:p>
        </w:tc>
        <w:tc>
          <w:tcPr>
            <w:tcW w:w="0" w:type="auto"/>
            <w:hideMark/>
          </w:tcPr>
          <w:p w14:paraId="31392987" w14:textId="77777777" w:rsidR="006C7965" w:rsidRPr="006C7965" w:rsidRDefault="006C7965" w:rsidP="006C7965">
            <w:r w:rsidRPr="006C7965">
              <w:t>0.848</w:t>
            </w:r>
          </w:p>
        </w:tc>
        <w:tc>
          <w:tcPr>
            <w:tcW w:w="0" w:type="auto"/>
            <w:hideMark/>
          </w:tcPr>
          <w:p w14:paraId="78FADE4E" w14:textId="77777777" w:rsidR="006C7965" w:rsidRPr="006C7965" w:rsidRDefault="006C7965" w:rsidP="006C7965">
            <w:r w:rsidRPr="006C7965">
              <w:t>1.000</w:t>
            </w:r>
          </w:p>
        </w:tc>
        <w:tc>
          <w:tcPr>
            <w:tcW w:w="0" w:type="auto"/>
            <w:hideMark/>
          </w:tcPr>
          <w:p w14:paraId="4B2F545D" w14:textId="77777777" w:rsidR="006C7965" w:rsidRPr="006C7965" w:rsidRDefault="006C7965" w:rsidP="006C7965">
            <w:r w:rsidRPr="006C7965">
              <w:t>0.360</w:t>
            </w:r>
          </w:p>
        </w:tc>
        <w:tc>
          <w:tcPr>
            <w:tcW w:w="0" w:type="auto"/>
            <w:hideMark/>
          </w:tcPr>
          <w:p w14:paraId="71C461B4" w14:textId="77777777" w:rsidR="006C7965" w:rsidRPr="006C7965" w:rsidRDefault="006C7965" w:rsidP="006C7965">
            <w:r w:rsidRPr="006C7965">
              <w:t>0.000</w:t>
            </w:r>
          </w:p>
        </w:tc>
        <w:tc>
          <w:tcPr>
            <w:tcW w:w="0" w:type="auto"/>
            <w:hideMark/>
          </w:tcPr>
          <w:p w14:paraId="15E52224" w14:textId="77777777" w:rsidR="006C7965" w:rsidRPr="006C7965" w:rsidRDefault="006C7965" w:rsidP="006C7965">
            <w:r w:rsidRPr="006C7965">
              <w:t>1.000</w:t>
            </w:r>
          </w:p>
        </w:tc>
      </w:tr>
      <w:tr w:rsidR="006C7965" w:rsidRPr="006C7965" w14:paraId="1728BC10" w14:textId="77777777" w:rsidTr="00644598">
        <w:tc>
          <w:tcPr>
            <w:tcW w:w="0" w:type="auto"/>
            <w:hideMark/>
          </w:tcPr>
          <w:p w14:paraId="5A7175CE" w14:textId="77777777" w:rsidR="006C7965" w:rsidRPr="006C7965" w:rsidRDefault="006C7965" w:rsidP="006C7965">
            <w:r w:rsidRPr="006C7965">
              <w:t>Amount</w:t>
            </w:r>
          </w:p>
        </w:tc>
        <w:tc>
          <w:tcPr>
            <w:tcW w:w="0" w:type="auto"/>
            <w:hideMark/>
          </w:tcPr>
          <w:p w14:paraId="4DC158FF" w14:textId="77777777" w:rsidR="006C7965" w:rsidRPr="006C7965" w:rsidRDefault="006C7965" w:rsidP="006C7965">
            <w:r w:rsidRPr="006C7965">
              <w:t>2.380</w:t>
            </w:r>
          </w:p>
        </w:tc>
        <w:tc>
          <w:tcPr>
            <w:tcW w:w="0" w:type="auto"/>
            <w:hideMark/>
          </w:tcPr>
          <w:p w14:paraId="0D7FFD77" w14:textId="77777777" w:rsidR="006C7965" w:rsidRPr="006C7965" w:rsidRDefault="006C7965" w:rsidP="006C7965">
            <w:r w:rsidRPr="006C7965">
              <w:t>2.300</w:t>
            </w:r>
          </w:p>
        </w:tc>
        <w:tc>
          <w:tcPr>
            <w:tcW w:w="0" w:type="auto"/>
            <w:hideMark/>
          </w:tcPr>
          <w:p w14:paraId="022B7502" w14:textId="77777777" w:rsidR="006C7965" w:rsidRPr="006C7965" w:rsidRDefault="006C7965" w:rsidP="006C7965">
            <w:r w:rsidRPr="006C7965">
              <w:t>1.069</w:t>
            </w:r>
          </w:p>
        </w:tc>
        <w:tc>
          <w:tcPr>
            <w:tcW w:w="0" w:type="auto"/>
            <w:hideMark/>
          </w:tcPr>
          <w:p w14:paraId="583478BC" w14:textId="77777777" w:rsidR="006C7965" w:rsidRPr="006C7965" w:rsidRDefault="006C7965" w:rsidP="006C7965">
            <w:r w:rsidRPr="006C7965">
              <w:t>−0.942</w:t>
            </w:r>
          </w:p>
        </w:tc>
        <w:tc>
          <w:tcPr>
            <w:tcW w:w="0" w:type="auto"/>
            <w:hideMark/>
          </w:tcPr>
          <w:p w14:paraId="7008A82D" w14:textId="77777777" w:rsidR="006C7965" w:rsidRPr="006C7965" w:rsidRDefault="006C7965" w:rsidP="006C7965">
            <w:r w:rsidRPr="006C7965">
              <w:t>5.850</w:t>
            </w:r>
          </w:p>
        </w:tc>
      </w:tr>
      <w:tr w:rsidR="006C7965" w:rsidRPr="006C7965" w14:paraId="1F90290B" w14:textId="77777777" w:rsidTr="00644598">
        <w:tc>
          <w:tcPr>
            <w:tcW w:w="0" w:type="auto"/>
            <w:hideMark/>
          </w:tcPr>
          <w:p w14:paraId="10C37314" w14:textId="77777777" w:rsidR="006C7965" w:rsidRPr="006C7965" w:rsidRDefault="006C7965" w:rsidP="006C7965">
            <w:r w:rsidRPr="006C7965">
              <w:t>Maturity</w:t>
            </w:r>
          </w:p>
        </w:tc>
        <w:tc>
          <w:tcPr>
            <w:tcW w:w="0" w:type="auto"/>
            <w:hideMark/>
          </w:tcPr>
          <w:p w14:paraId="352281C2" w14:textId="77777777" w:rsidR="006C7965" w:rsidRPr="006C7965" w:rsidRDefault="006C7965" w:rsidP="006C7965">
            <w:r w:rsidRPr="006C7965">
              <w:t>2.700</w:t>
            </w:r>
          </w:p>
        </w:tc>
        <w:tc>
          <w:tcPr>
            <w:tcW w:w="0" w:type="auto"/>
            <w:hideMark/>
          </w:tcPr>
          <w:p w14:paraId="07D8D1DC" w14:textId="77777777" w:rsidR="006C7965" w:rsidRPr="006C7965" w:rsidRDefault="006C7965" w:rsidP="006C7965">
            <w:r w:rsidRPr="006C7965">
              <w:t>2.948</w:t>
            </w:r>
          </w:p>
        </w:tc>
        <w:tc>
          <w:tcPr>
            <w:tcW w:w="0" w:type="auto"/>
            <w:hideMark/>
          </w:tcPr>
          <w:p w14:paraId="23F7AB5B" w14:textId="77777777" w:rsidR="006C7965" w:rsidRPr="006C7965" w:rsidRDefault="006C7965" w:rsidP="006C7965">
            <w:r w:rsidRPr="006C7965">
              <w:t>0.499</w:t>
            </w:r>
          </w:p>
        </w:tc>
        <w:tc>
          <w:tcPr>
            <w:tcW w:w="0" w:type="auto"/>
            <w:hideMark/>
          </w:tcPr>
          <w:p w14:paraId="6F759201" w14:textId="77777777" w:rsidR="006C7965" w:rsidRPr="006C7965" w:rsidRDefault="006C7965" w:rsidP="006C7965">
            <w:r w:rsidRPr="006C7965">
              <w:t>−0.074</w:t>
            </w:r>
          </w:p>
        </w:tc>
        <w:tc>
          <w:tcPr>
            <w:tcW w:w="0" w:type="auto"/>
            <w:hideMark/>
          </w:tcPr>
          <w:p w14:paraId="0C6F294D" w14:textId="77777777" w:rsidR="006C7965" w:rsidRPr="006C7965" w:rsidRDefault="006C7965" w:rsidP="006C7965">
            <w:r w:rsidRPr="006C7965">
              <w:t>3.404</w:t>
            </w:r>
          </w:p>
        </w:tc>
      </w:tr>
      <w:tr w:rsidR="006C7965" w:rsidRPr="006C7965" w14:paraId="63EBA64F" w14:textId="77777777" w:rsidTr="00644598">
        <w:tc>
          <w:tcPr>
            <w:tcW w:w="0" w:type="auto"/>
            <w:hideMark/>
          </w:tcPr>
          <w:p w14:paraId="78835C11" w14:textId="77777777" w:rsidR="006C7965" w:rsidRPr="006C7965" w:rsidRDefault="006C7965" w:rsidP="006C7965">
            <w:r w:rsidRPr="006C7965">
              <w:t>Competitive bid</w:t>
            </w:r>
          </w:p>
        </w:tc>
        <w:tc>
          <w:tcPr>
            <w:tcW w:w="0" w:type="auto"/>
            <w:hideMark/>
          </w:tcPr>
          <w:p w14:paraId="626FE68B" w14:textId="77777777" w:rsidR="006C7965" w:rsidRPr="006C7965" w:rsidRDefault="006C7965" w:rsidP="006C7965">
            <w:r w:rsidRPr="006C7965">
              <w:t>0.978</w:t>
            </w:r>
          </w:p>
        </w:tc>
        <w:tc>
          <w:tcPr>
            <w:tcW w:w="0" w:type="auto"/>
            <w:hideMark/>
          </w:tcPr>
          <w:p w14:paraId="79EC51C3" w14:textId="77777777" w:rsidR="006C7965" w:rsidRPr="006C7965" w:rsidRDefault="006C7965" w:rsidP="006C7965">
            <w:r w:rsidRPr="006C7965">
              <w:t>1.000</w:t>
            </w:r>
          </w:p>
        </w:tc>
        <w:tc>
          <w:tcPr>
            <w:tcW w:w="0" w:type="auto"/>
            <w:hideMark/>
          </w:tcPr>
          <w:p w14:paraId="7A099BEC" w14:textId="77777777" w:rsidR="006C7965" w:rsidRPr="006C7965" w:rsidRDefault="006C7965" w:rsidP="006C7965">
            <w:r w:rsidRPr="006C7965">
              <w:t>0.148</w:t>
            </w:r>
          </w:p>
        </w:tc>
        <w:tc>
          <w:tcPr>
            <w:tcW w:w="0" w:type="auto"/>
            <w:hideMark/>
          </w:tcPr>
          <w:p w14:paraId="5DAFB720" w14:textId="77777777" w:rsidR="006C7965" w:rsidRPr="006C7965" w:rsidRDefault="006C7965" w:rsidP="006C7965">
            <w:r w:rsidRPr="006C7965">
              <w:t>0.000</w:t>
            </w:r>
          </w:p>
        </w:tc>
        <w:tc>
          <w:tcPr>
            <w:tcW w:w="0" w:type="auto"/>
            <w:hideMark/>
          </w:tcPr>
          <w:p w14:paraId="39113359" w14:textId="77777777" w:rsidR="006C7965" w:rsidRPr="006C7965" w:rsidRDefault="006C7965" w:rsidP="006C7965">
            <w:r w:rsidRPr="006C7965">
              <w:t>1.000</w:t>
            </w:r>
          </w:p>
        </w:tc>
      </w:tr>
      <w:tr w:rsidR="006C7965" w:rsidRPr="006C7965" w14:paraId="7305CC51" w14:textId="77777777" w:rsidTr="00644598">
        <w:tc>
          <w:tcPr>
            <w:tcW w:w="0" w:type="auto"/>
            <w:hideMark/>
          </w:tcPr>
          <w:p w14:paraId="625821C1" w14:textId="77777777" w:rsidR="006C7965" w:rsidRPr="006C7965" w:rsidRDefault="006C7965" w:rsidP="006C7965">
            <w:r w:rsidRPr="006C7965">
              <w:t>Insured</w:t>
            </w:r>
          </w:p>
        </w:tc>
        <w:tc>
          <w:tcPr>
            <w:tcW w:w="0" w:type="auto"/>
            <w:hideMark/>
          </w:tcPr>
          <w:p w14:paraId="6A13C905" w14:textId="77777777" w:rsidR="006C7965" w:rsidRPr="006C7965" w:rsidRDefault="006C7965" w:rsidP="006C7965">
            <w:r w:rsidRPr="006C7965">
              <w:t>0.036</w:t>
            </w:r>
          </w:p>
        </w:tc>
        <w:tc>
          <w:tcPr>
            <w:tcW w:w="0" w:type="auto"/>
            <w:hideMark/>
          </w:tcPr>
          <w:p w14:paraId="1413B1D7" w14:textId="77777777" w:rsidR="006C7965" w:rsidRPr="006C7965" w:rsidRDefault="006C7965" w:rsidP="006C7965">
            <w:r w:rsidRPr="006C7965">
              <w:t>0.000</w:t>
            </w:r>
          </w:p>
        </w:tc>
        <w:tc>
          <w:tcPr>
            <w:tcW w:w="0" w:type="auto"/>
            <w:hideMark/>
          </w:tcPr>
          <w:p w14:paraId="529A4398" w14:textId="77777777" w:rsidR="006C7965" w:rsidRPr="006C7965" w:rsidRDefault="006C7965" w:rsidP="006C7965">
            <w:r w:rsidRPr="006C7965">
              <w:t>0.186</w:t>
            </w:r>
          </w:p>
        </w:tc>
        <w:tc>
          <w:tcPr>
            <w:tcW w:w="0" w:type="auto"/>
            <w:hideMark/>
          </w:tcPr>
          <w:p w14:paraId="03200ACB" w14:textId="77777777" w:rsidR="006C7965" w:rsidRPr="006C7965" w:rsidRDefault="006C7965" w:rsidP="006C7965">
            <w:r w:rsidRPr="006C7965">
              <w:t>0.000</w:t>
            </w:r>
          </w:p>
        </w:tc>
        <w:tc>
          <w:tcPr>
            <w:tcW w:w="0" w:type="auto"/>
            <w:hideMark/>
          </w:tcPr>
          <w:p w14:paraId="7F4AC8C9" w14:textId="77777777" w:rsidR="006C7965" w:rsidRPr="006C7965" w:rsidRDefault="006C7965" w:rsidP="006C7965">
            <w:r w:rsidRPr="006C7965">
              <w:t>1.000</w:t>
            </w:r>
          </w:p>
        </w:tc>
      </w:tr>
      <w:tr w:rsidR="006C7965" w:rsidRPr="006C7965" w14:paraId="21D6BD2E" w14:textId="77777777" w:rsidTr="00644598">
        <w:tc>
          <w:tcPr>
            <w:tcW w:w="0" w:type="auto"/>
            <w:hideMark/>
          </w:tcPr>
          <w:p w14:paraId="407C3597" w14:textId="77777777" w:rsidR="006C7965" w:rsidRPr="006C7965" w:rsidRDefault="006C7965" w:rsidP="006C7965">
            <w:r w:rsidRPr="006C7965">
              <w:t>Bond rating</w:t>
            </w:r>
          </w:p>
        </w:tc>
        <w:tc>
          <w:tcPr>
            <w:tcW w:w="0" w:type="auto"/>
            <w:hideMark/>
          </w:tcPr>
          <w:p w14:paraId="7820A690" w14:textId="77777777" w:rsidR="006C7965" w:rsidRPr="006C7965" w:rsidRDefault="006C7965" w:rsidP="006C7965">
            <w:r w:rsidRPr="006C7965">
              <w:t>2.576</w:t>
            </w:r>
          </w:p>
        </w:tc>
        <w:tc>
          <w:tcPr>
            <w:tcW w:w="0" w:type="auto"/>
            <w:hideMark/>
          </w:tcPr>
          <w:p w14:paraId="17A2D1CF" w14:textId="77777777" w:rsidR="006C7965" w:rsidRPr="006C7965" w:rsidRDefault="006C7965" w:rsidP="006C7965">
            <w:r w:rsidRPr="006C7965">
              <w:t>3.000</w:t>
            </w:r>
          </w:p>
        </w:tc>
        <w:tc>
          <w:tcPr>
            <w:tcW w:w="0" w:type="auto"/>
            <w:hideMark/>
          </w:tcPr>
          <w:p w14:paraId="5C57B077" w14:textId="77777777" w:rsidR="006C7965" w:rsidRPr="006C7965" w:rsidRDefault="006C7965" w:rsidP="006C7965">
            <w:r w:rsidRPr="006C7965">
              <w:t>1.366</w:t>
            </w:r>
          </w:p>
        </w:tc>
        <w:tc>
          <w:tcPr>
            <w:tcW w:w="0" w:type="auto"/>
            <w:hideMark/>
          </w:tcPr>
          <w:p w14:paraId="2B199CE6" w14:textId="77777777" w:rsidR="006C7965" w:rsidRPr="006C7965" w:rsidRDefault="006C7965" w:rsidP="006C7965">
            <w:r w:rsidRPr="006C7965">
              <w:t>1.000</w:t>
            </w:r>
          </w:p>
        </w:tc>
        <w:tc>
          <w:tcPr>
            <w:tcW w:w="0" w:type="auto"/>
            <w:hideMark/>
          </w:tcPr>
          <w:p w14:paraId="10A4EAF7" w14:textId="77777777" w:rsidR="006C7965" w:rsidRPr="006C7965" w:rsidRDefault="006C7965" w:rsidP="006C7965">
            <w:r w:rsidRPr="006C7965">
              <w:t>9.000</w:t>
            </w:r>
          </w:p>
        </w:tc>
      </w:tr>
      <w:tr w:rsidR="006C7965" w:rsidRPr="006C7965" w14:paraId="08BFD6E2" w14:textId="77777777" w:rsidTr="00644598">
        <w:tc>
          <w:tcPr>
            <w:tcW w:w="0" w:type="auto"/>
            <w:hideMark/>
          </w:tcPr>
          <w:p w14:paraId="46245112" w14:textId="77777777" w:rsidR="006C7965" w:rsidRPr="006C7965" w:rsidRDefault="006C7965" w:rsidP="006C7965">
            <w:r w:rsidRPr="006C7965">
              <w:t>Bond buyer index</w:t>
            </w:r>
          </w:p>
        </w:tc>
        <w:tc>
          <w:tcPr>
            <w:tcW w:w="0" w:type="auto"/>
            <w:hideMark/>
          </w:tcPr>
          <w:p w14:paraId="7A4704B0" w14:textId="77777777" w:rsidR="006C7965" w:rsidRPr="006C7965" w:rsidRDefault="006C7965" w:rsidP="006C7965">
            <w:r w:rsidRPr="006C7965">
              <w:t>4.136</w:t>
            </w:r>
          </w:p>
        </w:tc>
        <w:tc>
          <w:tcPr>
            <w:tcW w:w="0" w:type="auto"/>
            <w:hideMark/>
          </w:tcPr>
          <w:p w14:paraId="118BDC63" w14:textId="77777777" w:rsidR="006C7965" w:rsidRPr="006C7965" w:rsidRDefault="006C7965" w:rsidP="006C7965">
            <w:r w:rsidRPr="006C7965">
              <w:t>4.005</w:t>
            </w:r>
          </w:p>
        </w:tc>
        <w:tc>
          <w:tcPr>
            <w:tcW w:w="0" w:type="auto"/>
            <w:hideMark/>
          </w:tcPr>
          <w:p w14:paraId="3D926C99" w14:textId="77777777" w:rsidR="006C7965" w:rsidRPr="006C7965" w:rsidRDefault="006C7965" w:rsidP="006C7965">
            <w:r w:rsidRPr="006C7965">
              <w:t>0.495</w:t>
            </w:r>
          </w:p>
        </w:tc>
        <w:tc>
          <w:tcPr>
            <w:tcW w:w="0" w:type="auto"/>
            <w:hideMark/>
          </w:tcPr>
          <w:p w14:paraId="355D10FC" w14:textId="77777777" w:rsidR="006C7965" w:rsidRPr="006C7965" w:rsidRDefault="006C7965" w:rsidP="006C7965">
            <w:r w:rsidRPr="006C7965">
              <w:t>3.290</w:t>
            </w:r>
          </w:p>
        </w:tc>
        <w:tc>
          <w:tcPr>
            <w:tcW w:w="0" w:type="auto"/>
            <w:hideMark/>
          </w:tcPr>
          <w:p w14:paraId="4E61607F" w14:textId="77777777" w:rsidR="006C7965" w:rsidRPr="006C7965" w:rsidRDefault="006C7965" w:rsidP="006C7965">
            <w:r w:rsidRPr="006C7965">
              <w:t>5.510</w:t>
            </w:r>
          </w:p>
        </w:tc>
      </w:tr>
      <w:tr w:rsidR="006C7965" w:rsidRPr="006C7965" w14:paraId="170F2AC3" w14:textId="77777777" w:rsidTr="00644598">
        <w:tc>
          <w:tcPr>
            <w:tcW w:w="0" w:type="auto"/>
            <w:hideMark/>
          </w:tcPr>
          <w:p w14:paraId="42A36169" w14:textId="77777777" w:rsidR="006C7965" w:rsidRPr="006C7965" w:rsidRDefault="006C7965" w:rsidP="006C7965">
            <w:r w:rsidRPr="006C7965">
              <w:t>Population (000)</w:t>
            </w:r>
          </w:p>
        </w:tc>
        <w:tc>
          <w:tcPr>
            <w:tcW w:w="0" w:type="auto"/>
            <w:hideMark/>
          </w:tcPr>
          <w:p w14:paraId="10DCD3A9" w14:textId="77777777" w:rsidR="006C7965" w:rsidRPr="006C7965" w:rsidRDefault="006C7965" w:rsidP="006C7965">
            <w:r w:rsidRPr="006C7965">
              <w:t>156.175</w:t>
            </w:r>
          </w:p>
        </w:tc>
        <w:tc>
          <w:tcPr>
            <w:tcW w:w="0" w:type="auto"/>
            <w:hideMark/>
          </w:tcPr>
          <w:p w14:paraId="02B0BE0F" w14:textId="77777777" w:rsidR="006C7965" w:rsidRPr="006C7965" w:rsidRDefault="006C7965" w:rsidP="006C7965">
            <w:r w:rsidRPr="006C7965">
              <w:t>89.941</w:t>
            </w:r>
          </w:p>
        </w:tc>
        <w:tc>
          <w:tcPr>
            <w:tcW w:w="0" w:type="auto"/>
            <w:hideMark/>
          </w:tcPr>
          <w:p w14:paraId="5177F9C0" w14:textId="77777777" w:rsidR="006C7965" w:rsidRPr="006C7965" w:rsidRDefault="006C7965" w:rsidP="006C7965">
            <w:r w:rsidRPr="006C7965">
              <w:t>197.423</w:t>
            </w:r>
          </w:p>
        </w:tc>
        <w:tc>
          <w:tcPr>
            <w:tcW w:w="0" w:type="auto"/>
            <w:hideMark/>
          </w:tcPr>
          <w:p w14:paraId="02B50C5A" w14:textId="77777777" w:rsidR="006C7965" w:rsidRPr="006C7965" w:rsidRDefault="006C7965" w:rsidP="006C7965">
            <w:r w:rsidRPr="006C7965">
              <w:t>25.239</w:t>
            </w:r>
          </w:p>
        </w:tc>
        <w:tc>
          <w:tcPr>
            <w:tcW w:w="0" w:type="auto"/>
            <w:hideMark/>
          </w:tcPr>
          <w:p w14:paraId="76A79BC1" w14:textId="77777777" w:rsidR="006C7965" w:rsidRPr="006C7965" w:rsidRDefault="006C7965" w:rsidP="006C7965">
            <w:r w:rsidRPr="006C7965">
              <w:t>885.343</w:t>
            </w:r>
          </w:p>
        </w:tc>
      </w:tr>
      <w:tr w:rsidR="006C7965" w:rsidRPr="006C7965" w14:paraId="5B6FD17D" w14:textId="77777777" w:rsidTr="00644598">
        <w:tc>
          <w:tcPr>
            <w:tcW w:w="0" w:type="auto"/>
            <w:hideMark/>
          </w:tcPr>
          <w:p w14:paraId="3BE837C2" w14:textId="77777777" w:rsidR="006C7965" w:rsidRPr="006C7965" w:rsidRDefault="006C7965" w:rsidP="006C7965">
            <w:r w:rsidRPr="006C7965">
              <w:t>Median income (000)</w:t>
            </w:r>
          </w:p>
        </w:tc>
        <w:tc>
          <w:tcPr>
            <w:tcW w:w="0" w:type="auto"/>
            <w:hideMark/>
          </w:tcPr>
          <w:p w14:paraId="56AFDACD" w14:textId="77777777" w:rsidR="006C7965" w:rsidRPr="006C7965" w:rsidRDefault="006C7965" w:rsidP="006C7965">
            <w:r w:rsidRPr="006C7965">
              <w:t>48.443</w:t>
            </w:r>
          </w:p>
        </w:tc>
        <w:tc>
          <w:tcPr>
            <w:tcW w:w="0" w:type="auto"/>
            <w:hideMark/>
          </w:tcPr>
          <w:p w14:paraId="3369D5B2" w14:textId="77777777" w:rsidR="006C7965" w:rsidRPr="006C7965" w:rsidRDefault="006C7965" w:rsidP="006C7965">
            <w:r w:rsidRPr="006C7965">
              <w:t>45.479</w:t>
            </w:r>
          </w:p>
        </w:tc>
        <w:tc>
          <w:tcPr>
            <w:tcW w:w="0" w:type="auto"/>
            <w:hideMark/>
          </w:tcPr>
          <w:p w14:paraId="7E37E4BA" w14:textId="77777777" w:rsidR="006C7965" w:rsidRPr="006C7965" w:rsidRDefault="006C7965" w:rsidP="006C7965">
            <w:r w:rsidRPr="006C7965">
              <w:t>12.375</w:t>
            </w:r>
          </w:p>
        </w:tc>
        <w:tc>
          <w:tcPr>
            <w:tcW w:w="0" w:type="auto"/>
            <w:hideMark/>
          </w:tcPr>
          <w:p w14:paraId="414EB652" w14:textId="77777777" w:rsidR="006C7965" w:rsidRPr="006C7965" w:rsidRDefault="006C7965" w:rsidP="006C7965">
            <w:r w:rsidRPr="006C7965">
              <w:t>28.131</w:t>
            </w:r>
          </w:p>
        </w:tc>
        <w:tc>
          <w:tcPr>
            <w:tcW w:w="0" w:type="auto"/>
            <w:hideMark/>
          </w:tcPr>
          <w:p w14:paraId="03B54049" w14:textId="77777777" w:rsidR="006C7965" w:rsidRPr="006C7965" w:rsidRDefault="006C7965" w:rsidP="006C7965">
            <w:r w:rsidRPr="006C7965">
              <w:t>90.900</w:t>
            </w:r>
          </w:p>
        </w:tc>
      </w:tr>
      <w:tr w:rsidR="006C7965" w:rsidRPr="006C7965" w14:paraId="5C67B942" w14:textId="77777777" w:rsidTr="00644598">
        <w:tc>
          <w:tcPr>
            <w:tcW w:w="0" w:type="auto"/>
            <w:hideMark/>
          </w:tcPr>
          <w:p w14:paraId="6BC47F40" w14:textId="77777777" w:rsidR="006C7965" w:rsidRPr="006C7965" w:rsidRDefault="006C7965" w:rsidP="006C7965">
            <w:r w:rsidRPr="006C7965">
              <w:t>GFOA certificate</w:t>
            </w:r>
          </w:p>
        </w:tc>
        <w:tc>
          <w:tcPr>
            <w:tcW w:w="0" w:type="auto"/>
            <w:hideMark/>
          </w:tcPr>
          <w:p w14:paraId="6C52A818" w14:textId="77777777" w:rsidR="006C7965" w:rsidRPr="006C7965" w:rsidRDefault="006C7965" w:rsidP="006C7965">
            <w:r w:rsidRPr="006C7965">
              <w:t>0.854</w:t>
            </w:r>
          </w:p>
        </w:tc>
        <w:tc>
          <w:tcPr>
            <w:tcW w:w="0" w:type="auto"/>
            <w:hideMark/>
          </w:tcPr>
          <w:p w14:paraId="3A0785A6" w14:textId="77777777" w:rsidR="006C7965" w:rsidRPr="006C7965" w:rsidRDefault="006C7965" w:rsidP="006C7965">
            <w:r w:rsidRPr="006C7965">
              <w:t>1.000</w:t>
            </w:r>
          </w:p>
        </w:tc>
        <w:tc>
          <w:tcPr>
            <w:tcW w:w="0" w:type="auto"/>
            <w:hideMark/>
          </w:tcPr>
          <w:p w14:paraId="4D9EFE8E" w14:textId="77777777" w:rsidR="006C7965" w:rsidRPr="006C7965" w:rsidRDefault="006C7965" w:rsidP="006C7965">
            <w:r w:rsidRPr="006C7965">
              <w:t>0.353</w:t>
            </w:r>
          </w:p>
        </w:tc>
        <w:tc>
          <w:tcPr>
            <w:tcW w:w="0" w:type="auto"/>
            <w:hideMark/>
          </w:tcPr>
          <w:p w14:paraId="679871D7" w14:textId="77777777" w:rsidR="006C7965" w:rsidRPr="006C7965" w:rsidRDefault="006C7965" w:rsidP="006C7965">
            <w:r w:rsidRPr="006C7965">
              <w:t>0.000</w:t>
            </w:r>
          </w:p>
        </w:tc>
        <w:tc>
          <w:tcPr>
            <w:tcW w:w="0" w:type="auto"/>
            <w:hideMark/>
          </w:tcPr>
          <w:p w14:paraId="5E54204B" w14:textId="77777777" w:rsidR="006C7965" w:rsidRPr="006C7965" w:rsidRDefault="006C7965" w:rsidP="006C7965">
            <w:r w:rsidRPr="006C7965">
              <w:t>1.000</w:t>
            </w:r>
          </w:p>
        </w:tc>
      </w:tr>
      <w:tr w:rsidR="006C7965" w:rsidRPr="006C7965" w14:paraId="734B4D12" w14:textId="77777777" w:rsidTr="00644598">
        <w:tc>
          <w:tcPr>
            <w:tcW w:w="0" w:type="auto"/>
            <w:hideMark/>
          </w:tcPr>
          <w:p w14:paraId="123AF4EB" w14:textId="77777777" w:rsidR="006C7965" w:rsidRPr="006C7965" w:rsidRDefault="006C7965" w:rsidP="006C7965">
            <w:r w:rsidRPr="006C7965">
              <w:t>Staggered council</w:t>
            </w:r>
          </w:p>
        </w:tc>
        <w:tc>
          <w:tcPr>
            <w:tcW w:w="0" w:type="auto"/>
            <w:hideMark/>
          </w:tcPr>
          <w:p w14:paraId="7AD289F9" w14:textId="77777777" w:rsidR="006C7965" w:rsidRPr="006C7965" w:rsidRDefault="006C7965" w:rsidP="006C7965">
            <w:r w:rsidRPr="006C7965">
              <w:t>0.251</w:t>
            </w:r>
          </w:p>
        </w:tc>
        <w:tc>
          <w:tcPr>
            <w:tcW w:w="0" w:type="auto"/>
            <w:hideMark/>
          </w:tcPr>
          <w:p w14:paraId="7A0414E8" w14:textId="77777777" w:rsidR="006C7965" w:rsidRPr="006C7965" w:rsidRDefault="006C7965" w:rsidP="006C7965">
            <w:r w:rsidRPr="006C7965">
              <w:t>0.000</w:t>
            </w:r>
          </w:p>
        </w:tc>
        <w:tc>
          <w:tcPr>
            <w:tcW w:w="0" w:type="auto"/>
            <w:hideMark/>
          </w:tcPr>
          <w:p w14:paraId="09A30770" w14:textId="77777777" w:rsidR="006C7965" w:rsidRPr="006C7965" w:rsidRDefault="006C7965" w:rsidP="006C7965">
            <w:r w:rsidRPr="006C7965">
              <w:t>0.434</w:t>
            </w:r>
          </w:p>
        </w:tc>
        <w:tc>
          <w:tcPr>
            <w:tcW w:w="0" w:type="auto"/>
            <w:hideMark/>
          </w:tcPr>
          <w:p w14:paraId="4E61109B" w14:textId="77777777" w:rsidR="006C7965" w:rsidRPr="006C7965" w:rsidRDefault="006C7965" w:rsidP="006C7965">
            <w:r w:rsidRPr="006C7965">
              <w:t>0.000</w:t>
            </w:r>
          </w:p>
        </w:tc>
        <w:tc>
          <w:tcPr>
            <w:tcW w:w="0" w:type="auto"/>
            <w:hideMark/>
          </w:tcPr>
          <w:p w14:paraId="7CC6D7A2" w14:textId="77777777" w:rsidR="006C7965" w:rsidRPr="006C7965" w:rsidRDefault="006C7965" w:rsidP="006C7965">
            <w:r w:rsidRPr="006C7965">
              <w:t>1.000</w:t>
            </w:r>
          </w:p>
        </w:tc>
      </w:tr>
      <w:tr w:rsidR="006C7965" w:rsidRPr="006C7965" w14:paraId="01B76B26" w14:textId="77777777" w:rsidTr="00644598">
        <w:tc>
          <w:tcPr>
            <w:tcW w:w="0" w:type="auto"/>
            <w:hideMark/>
          </w:tcPr>
          <w:p w14:paraId="2AD8A90C" w14:textId="77777777" w:rsidR="006C7965" w:rsidRPr="006C7965" w:rsidRDefault="006C7965" w:rsidP="006C7965">
            <w:r w:rsidRPr="006C7965">
              <w:t>Council manager</w:t>
            </w:r>
          </w:p>
        </w:tc>
        <w:tc>
          <w:tcPr>
            <w:tcW w:w="0" w:type="auto"/>
            <w:hideMark/>
          </w:tcPr>
          <w:p w14:paraId="54D9EE6D" w14:textId="77777777" w:rsidR="006C7965" w:rsidRPr="006C7965" w:rsidRDefault="006C7965" w:rsidP="006C7965">
            <w:r w:rsidRPr="006C7965">
              <w:t>0.713</w:t>
            </w:r>
          </w:p>
        </w:tc>
        <w:tc>
          <w:tcPr>
            <w:tcW w:w="0" w:type="auto"/>
            <w:hideMark/>
          </w:tcPr>
          <w:p w14:paraId="479CA6DC" w14:textId="77777777" w:rsidR="006C7965" w:rsidRPr="006C7965" w:rsidRDefault="006C7965" w:rsidP="006C7965">
            <w:r w:rsidRPr="006C7965">
              <w:t>1.000</w:t>
            </w:r>
          </w:p>
        </w:tc>
        <w:tc>
          <w:tcPr>
            <w:tcW w:w="0" w:type="auto"/>
            <w:hideMark/>
          </w:tcPr>
          <w:p w14:paraId="5FBA28E7" w14:textId="77777777" w:rsidR="006C7965" w:rsidRPr="006C7965" w:rsidRDefault="006C7965" w:rsidP="006C7965">
            <w:r w:rsidRPr="006C7965">
              <w:t>0.453</w:t>
            </w:r>
          </w:p>
        </w:tc>
        <w:tc>
          <w:tcPr>
            <w:tcW w:w="0" w:type="auto"/>
            <w:hideMark/>
          </w:tcPr>
          <w:p w14:paraId="03BFFDBD" w14:textId="77777777" w:rsidR="006C7965" w:rsidRPr="006C7965" w:rsidRDefault="006C7965" w:rsidP="006C7965">
            <w:r w:rsidRPr="006C7965">
              <w:t>0.000</w:t>
            </w:r>
          </w:p>
        </w:tc>
        <w:tc>
          <w:tcPr>
            <w:tcW w:w="0" w:type="auto"/>
            <w:hideMark/>
          </w:tcPr>
          <w:p w14:paraId="7775EAA3" w14:textId="77777777" w:rsidR="006C7965" w:rsidRPr="006C7965" w:rsidRDefault="006C7965" w:rsidP="006C7965">
            <w:r w:rsidRPr="006C7965">
              <w:t>1.000</w:t>
            </w:r>
          </w:p>
        </w:tc>
      </w:tr>
      <w:tr w:rsidR="006C7965" w:rsidRPr="006C7965" w14:paraId="2B0D7387" w14:textId="77777777" w:rsidTr="00644598">
        <w:tc>
          <w:tcPr>
            <w:tcW w:w="0" w:type="auto"/>
            <w:hideMark/>
          </w:tcPr>
          <w:p w14:paraId="74965510" w14:textId="77777777" w:rsidR="006C7965" w:rsidRPr="006C7965" w:rsidRDefault="006C7965" w:rsidP="006C7965">
            <w:r w:rsidRPr="006C7965">
              <w:t>Govt fund surplus</w:t>
            </w:r>
          </w:p>
        </w:tc>
        <w:tc>
          <w:tcPr>
            <w:tcW w:w="0" w:type="auto"/>
            <w:hideMark/>
          </w:tcPr>
          <w:p w14:paraId="464A32DD" w14:textId="77777777" w:rsidR="006C7965" w:rsidRPr="006C7965" w:rsidRDefault="006C7965" w:rsidP="006C7965">
            <w:r w:rsidRPr="006C7965">
              <w:t>−0.169</w:t>
            </w:r>
          </w:p>
        </w:tc>
        <w:tc>
          <w:tcPr>
            <w:tcW w:w="0" w:type="auto"/>
            <w:hideMark/>
          </w:tcPr>
          <w:p w14:paraId="278E0FFE" w14:textId="77777777" w:rsidR="006C7965" w:rsidRPr="006C7965" w:rsidRDefault="006C7965" w:rsidP="006C7965">
            <w:r w:rsidRPr="006C7965">
              <w:t>−0.090</w:t>
            </w:r>
          </w:p>
        </w:tc>
        <w:tc>
          <w:tcPr>
            <w:tcW w:w="0" w:type="auto"/>
            <w:hideMark/>
          </w:tcPr>
          <w:p w14:paraId="10085699" w14:textId="77777777" w:rsidR="006C7965" w:rsidRPr="006C7965" w:rsidRDefault="006C7965" w:rsidP="006C7965">
            <w:r w:rsidRPr="006C7965">
              <w:t>0.267</w:t>
            </w:r>
          </w:p>
        </w:tc>
        <w:tc>
          <w:tcPr>
            <w:tcW w:w="0" w:type="auto"/>
            <w:hideMark/>
          </w:tcPr>
          <w:p w14:paraId="2AEEDE76" w14:textId="77777777" w:rsidR="006C7965" w:rsidRPr="006C7965" w:rsidRDefault="006C7965" w:rsidP="006C7965">
            <w:r w:rsidRPr="006C7965">
              <w:t>−1.763</w:t>
            </w:r>
          </w:p>
        </w:tc>
        <w:tc>
          <w:tcPr>
            <w:tcW w:w="0" w:type="auto"/>
            <w:hideMark/>
          </w:tcPr>
          <w:p w14:paraId="28D91528" w14:textId="77777777" w:rsidR="006C7965" w:rsidRPr="006C7965" w:rsidRDefault="006C7965" w:rsidP="006C7965">
            <w:r w:rsidRPr="006C7965">
              <w:t>0.412</w:t>
            </w:r>
          </w:p>
        </w:tc>
      </w:tr>
      <w:tr w:rsidR="006C7965" w:rsidRPr="006C7965" w14:paraId="1238C333" w14:textId="77777777" w:rsidTr="00644598">
        <w:tc>
          <w:tcPr>
            <w:tcW w:w="0" w:type="auto"/>
            <w:hideMark/>
          </w:tcPr>
          <w:p w14:paraId="3E15CD45" w14:textId="77777777" w:rsidR="006C7965" w:rsidRPr="006C7965" w:rsidRDefault="006C7965" w:rsidP="006C7965">
            <w:r w:rsidRPr="006C7965">
              <w:t>Govt fund expenses</w:t>
            </w:r>
          </w:p>
        </w:tc>
        <w:tc>
          <w:tcPr>
            <w:tcW w:w="0" w:type="auto"/>
            <w:hideMark/>
          </w:tcPr>
          <w:p w14:paraId="6570B7FD" w14:textId="77777777" w:rsidR="006C7965" w:rsidRPr="006C7965" w:rsidRDefault="006C7965" w:rsidP="006C7965">
            <w:r w:rsidRPr="006C7965">
              <w:t>2.031</w:t>
            </w:r>
          </w:p>
        </w:tc>
        <w:tc>
          <w:tcPr>
            <w:tcW w:w="0" w:type="auto"/>
            <w:hideMark/>
          </w:tcPr>
          <w:p w14:paraId="304F62A4" w14:textId="77777777" w:rsidR="006C7965" w:rsidRPr="006C7965" w:rsidRDefault="006C7965" w:rsidP="006C7965">
            <w:r w:rsidRPr="006C7965">
              <w:t>1.480</w:t>
            </w:r>
          </w:p>
        </w:tc>
        <w:tc>
          <w:tcPr>
            <w:tcW w:w="0" w:type="auto"/>
            <w:hideMark/>
          </w:tcPr>
          <w:p w14:paraId="7087FF79" w14:textId="77777777" w:rsidR="006C7965" w:rsidRPr="006C7965" w:rsidRDefault="006C7965" w:rsidP="006C7965">
            <w:r w:rsidRPr="006C7965">
              <w:t>1.281</w:t>
            </w:r>
          </w:p>
        </w:tc>
        <w:tc>
          <w:tcPr>
            <w:tcW w:w="0" w:type="auto"/>
            <w:hideMark/>
          </w:tcPr>
          <w:p w14:paraId="2C60B341" w14:textId="77777777" w:rsidR="006C7965" w:rsidRPr="006C7965" w:rsidRDefault="006C7965" w:rsidP="006C7965">
            <w:r w:rsidRPr="006C7965">
              <w:t>0.618</w:t>
            </w:r>
          </w:p>
        </w:tc>
        <w:tc>
          <w:tcPr>
            <w:tcW w:w="0" w:type="auto"/>
            <w:hideMark/>
          </w:tcPr>
          <w:p w14:paraId="14C9867A" w14:textId="77777777" w:rsidR="006C7965" w:rsidRPr="006C7965" w:rsidRDefault="006C7965" w:rsidP="006C7965">
            <w:r w:rsidRPr="006C7965">
              <w:t>7.421</w:t>
            </w:r>
          </w:p>
        </w:tc>
      </w:tr>
      <w:tr w:rsidR="006C7965" w:rsidRPr="006C7965" w14:paraId="4CBE0C12" w14:textId="77777777" w:rsidTr="00644598">
        <w:tc>
          <w:tcPr>
            <w:tcW w:w="0" w:type="auto"/>
            <w:hideMark/>
          </w:tcPr>
          <w:p w14:paraId="26A53CF1" w14:textId="77777777" w:rsidR="006C7965" w:rsidRPr="006C7965" w:rsidRDefault="006C7965" w:rsidP="006C7965">
            <w:r w:rsidRPr="006C7965">
              <w:t>Capital outlay</w:t>
            </w:r>
          </w:p>
        </w:tc>
        <w:tc>
          <w:tcPr>
            <w:tcW w:w="0" w:type="auto"/>
            <w:hideMark/>
          </w:tcPr>
          <w:p w14:paraId="2C1FB2FB" w14:textId="77777777" w:rsidR="006C7965" w:rsidRPr="006C7965" w:rsidRDefault="006C7965" w:rsidP="006C7965">
            <w:r w:rsidRPr="006C7965">
              <w:t>0.304</w:t>
            </w:r>
          </w:p>
        </w:tc>
        <w:tc>
          <w:tcPr>
            <w:tcW w:w="0" w:type="auto"/>
            <w:hideMark/>
          </w:tcPr>
          <w:p w14:paraId="57222152" w14:textId="77777777" w:rsidR="006C7965" w:rsidRPr="006C7965" w:rsidRDefault="006C7965" w:rsidP="006C7965">
            <w:r w:rsidRPr="006C7965">
              <w:t>0.197</w:t>
            </w:r>
          </w:p>
        </w:tc>
        <w:tc>
          <w:tcPr>
            <w:tcW w:w="0" w:type="auto"/>
            <w:hideMark/>
          </w:tcPr>
          <w:p w14:paraId="53653455" w14:textId="77777777" w:rsidR="006C7965" w:rsidRPr="006C7965" w:rsidRDefault="006C7965" w:rsidP="006C7965">
            <w:r w:rsidRPr="006C7965">
              <w:t>0.271</w:t>
            </w:r>
          </w:p>
        </w:tc>
        <w:tc>
          <w:tcPr>
            <w:tcW w:w="0" w:type="auto"/>
            <w:hideMark/>
          </w:tcPr>
          <w:p w14:paraId="6C959025" w14:textId="77777777" w:rsidR="006C7965" w:rsidRPr="006C7965" w:rsidRDefault="006C7965" w:rsidP="006C7965">
            <w:r w:rsidRPr="006C7965">
              <w:t>0.021</w:t>
            </w:r>
          </w:p>
        </w:tc>
        <w:tc>
          <w:tcPr>
            <w:tcW w:w="0" w:type="auto"/>
            <w:hideMark/>
          </w:tcPr>
          <w:p w14:paraId="40C7D187" w14:textId="77777777" w:rsidR="006C7965" w:rsidRPr="006C7965" w:rsidRDefault="006C7965" w:rsidP="006C7965">
            <w:r w:rsidRPr="006C7965">
              <w:t>1.810</w:t>
            </w:r>
          </w:p>
        </w:tc>
      </w:tr>
      <w:tr w:rsidR="006C7965" w:rsidRPr="006C7965" w14:paraId="4B6EF07D" w14:textId="77777777" w:rsidTr="00644598">
        <w:tc>
          <w:tcPr>
            <w:tcW w:w="0" w:type="auto"/>
            <w:hideMark/>
          </w:tcPr>
          <w:p w14:paraId="31E1FB30" w14:textId="77777777" w:rsidR="006C7965" w:rsidRPr="006C7965" w:rsidRDefault="006C7965" w:rsidP="006C7965">
            <w:proofErr w:type="spellStart"/>
            <w:r w:rsidRPr="006C7965">
              <w:t>Chg</w:t>
            </w:r>
            <w:proofErr w:type="spellEnd"/>
            <w:r w:rsidRPr="006C7965">
              <w:t xml:space="preserve"> fund </w:t>
            </w:r>
            <w:proofErr w:type="spellStart"/>
            <w:r w:rsidRPr="006C7965">
              <w:t>bal</w:t>
            </w:r>
            <w:proofErr w:type="spellEnd"/>
            <w:r w:rsidRPr="006C7965">
              <w:t xml:space="preserve"> govt funds</w:t>
            </w:r>
          </w:p>
        </w:tc>
        <w:tc>
          <w:tcPr>
            <w:tcW w:w="0" w:type="auto"/>
            <w:hideMark/>
          </w:tcPr>
          <w:p w14:paraId="456E2273" w14:textId="77777777" w:rsidR="006C7965" w:rsidRPr="006C7965" w:rsidRDefault="006C7965" w:rsidP="006C7965">
            <w:r w:rsidRPr="006C7965">
              <w:t>0.085</w:t>
            </w:r>
          </w:p>
        </w:tc>
        <w:tc>
          <w:tcPr>
            <w:tcW w:w="0" w:type="auto"/>
            <w:hideMark/>
          </w:tcPr>
          <w:p w14:paraId="2D2C7098" w14:textId="77777777" w:rsidR="006C7965" w:rsidRPr="006C7965" w:rsidRDefault="006C7965" w:rsidP="006C7965">
            <w:r w:rsidRPr="006C7965">
              <w:t>0.054</w:t>
            </w:r>
          </w:p>
        </w:tc>
        <w:tc>
          <w:tcPr>
            <w:tcW w:w="0" w:type="auto"/>
            <w:hideMark/>
          </w:tcPr>
          <w:p w14:paraId="1CE83064" w14:textId="77777777" w:rsidR="006C7965" w:rsidRPr="006C7965" w:rsidRDefault="006C7965" w:rsidP="006C7965">
            <w:r w:rsidRPr="006C7965">
              <w:t>0.214</w:t>
            </w:r>
          </w:p>
        </w:tc>
        <w:tc>
          <w:tcPr>
            <w:tcW w:w="0" w:type="auto"/>
            <w:hideMark/>
          </w:tcPr>
          <w:p w14:paraId="12953683" w14:textId="77777777" w:rsidR="006C7965" w:rsidRPr="006C7965" w:rsidRDefault="006C7965" w:rsidP="006C7965">
            <w:r w:rsidRPr="006C7965">
              <w:t>−0.863</w:t>
            </w:r>
          </w:p>
        </w:tc>
        <w:tc>
          <w:tcPr>
            <w:tcW w:w="0" w:type="auto"/>
            <w:hideMark/>
          </w:tcPr>
          <w:p w14:paraId="0158EC54" w14:textId="77777777" w:rsidR="006C7965" w:rsidRPr="006C7965" w:rsidRDefault="006C7965" w:rsidP="006C7965">
            <w:r w:rsidRPr="006C7965">
              <w:t>0.968</w:t>
            </w:r>
          </w:p>
        </w:tc>
      </w:tr>
      <w:tr w:rsidR="006C7965" w:rsidRPr="006C7965" w14:paraId="1F11045E" w14:textId="77777777" w:rsidTr="00644598">
        <w:tc>
          <w:tcPr>
            <w:tcW w:w="0" w:type="auto"/>
            <w:hideMark/>
          </w:tcPr>
          <w:p w14:paraId="7A0CB80F" w14:textId="77777777" w:rsidR="006C7965" w:rsidRPr="006C7965" w:rsidRDefault="006C7965" w:rsidP="006C7965">
            <w:r w:rsidRPr="006C7965">
              <w:t>ICW index</w:t>
            </w:r>
          </w:p>
        </w:tc>
        <w:tc>
          <w:tcPr>
            <w:tcW w:w="0" w:type="auto"/>
            <w:hideMark/>
          </w:tcPr>
          <w:p w14:paraId="54FE1C25" w14:textId="77777777" w:rsidR="006C7965" w:rsidRPr="006C7965" w:rsidRDefault="006C7965" w:rsidP="006C7965">
            <w:r w:rsidRPr="006C7965">
              <w:t>0.605</w:t>
            </w:r>
          </w:p>
        </w:tc>
        <w:tc>
          <w:tcPr>
            <w:tcW w:w="0" w:type="auto"/>
            <w:hideMark/>
          </w:tcPr>
          <w:p w14:paraId="338AABA8" w14:textId="77777777" w:rsidR="006C7965" w:rsidRPr="006C7965" w:rsidRDefault="006C7965" w:rsidP="006C7965">
            <w:r w:rsidRPr="006C7965">
              <w:t>0.00</w:t>
            </w:r>
          </w:p>
        </w:tc>
        <w:tc>
          <w:tcPr>
            <w:tcW w:w="0" w:type="auto"/>
            <w:hideMark/>
          </w:tcPr>
          <w:p w14:paraId="69E81B4E" w14:textId="77777777" w:rsidR="006C7965" w:rsidRPr="006C7965" w:rsidRDefault="006C7965" w:rsidP="006C7965">
            <w:r w:rsidRPr="006C7965">
              <w:t>0.827</w:t>
            </w:r>
          </w:p>
        </w:tc>
        <w:tc>
          <w:tcPr>
            <w:tcW w:w="0" w:type="auto"/>
            <w:hideMark/>
          </w:tcPr>
          <w:p w14:paraId="086C5FEC" w14:textId="77777777" w:rsidR="006C7965" w:rsidRPr="006C7965" w:rsidRDefault="006C7965" w:rsidP="006C7965">
            <w:r w:rsidRPr="006C7965">
              <w:t>0.000</w:t>
            </w:r>
          </w:p>
        </w:tc>
        <w:tc>
          <w:tcPr>
            <w:tcW w:w="0" w:type="auto"/>
            <w:hideMark/>
          </w:tcPr>
          <w:p w14:paraId="40A89961" w14:textId="77777777" w:rsidR="006C7965" w:rsidRPr="006C7965" w:rsidRDefault="006C7965" w:rsidP="006C7965">
            <w:r w:rsidRPr="006C7965">
              <w:t>2.000</w:t>
            </w:r>
          </w:p>
        </w:tc>
      </w:tr>
      <w:tr w:rsidR="006C7965" w:rsidRPr="006C7965" w14:paraId="7D9131AC" w14:textId="77777777" w:rsidTr="00644598">
        <w:tc>
          <w:tcPr>
            <w:tcW w:w="0" w:type="auto"/>
            <w:hideMark/>
          </w:tcPr>
          <w:p w14:paraId="6AE153BA" w14:textId="77777777" w:rsidR="006C7965" w:rsidRPr="006C7965" w:rsidRDefault="006C7965" w:rsidP="006C7965">
            <w:r w:rsidRPr="006C7965">
              <w:t>GAAP state</w:t>
            </w:r>
          </w:p>
        </w:tc>
        <w:tc>
          <w:tcPr>
            <w:tcW w:w="0" w:type="auto"/>
            <w:hideMark/>
          </w:tcPr>
          <w:p w14:paraId="6155EEA5" w14:textId="77777777" w:rsidR="006C7965" w:rsidRPr="006C7965" w:rsidRDefault="006C7965" w:rsidP="006C7965">
            <w:r w:rsidRPr="006C7965">
              <w:t>0.200</w:t>
            </w:r>
          </w:p>
        </w:tc>
        <w:tc>
          <w:tcPr>
            <w:tcW w:w="0" w:type="auto"/>
            <w:hideMark/>
          </w:tcPr>
          <w:p w14:paraId="38B11552" w14:textId="77777777" w:rsidR="006C7965" w:rsidRPr="006C7965" w:rsidRDefault="006C7965" w:rsidP="006C7965">
            <w:r w:rsidRPr="006C7965">
              <w:t>0.000</w:t>
            </w:r>
          </w:p>
        </w:tc>
        <w:tc>
          <w:tcPr>
            <w:tcW w:w="0" w:type="auto"/>
            <w:hideMark/>
          </w:tcPr>
          <w:p w14:paraId="7C8BBB69" w14:textId="77777777" w:rsidR="006C7965" w:rsidRPr="006C7965" w:rsidRDefault="006C7965" w:rsidP="006C7965">
            <w:r w:rsidRPr="006C7965">
              <w:t>0.400</w:t>
            </w:r>
          </w:p>
        </w:tc>
        <w:tc>
          <w:tcPr>
            <w:tcW w:w="0" w:type="auto"/>
            <w:hideMark/>
          </w:tcPr>
          <w:p w14:paraId="17A19612" w14:textId="77777777" w:rsidR="006C7965" w:rsidRPr="006C7965" w:rsidRDefault="006C7965" w:rsidP="006C7965">
            <w:r w:rsidRPr="006C7965">
              <w:t>0.000</w:t>
            </w:r>
          </w:p>
        </w:tc>
        <w:tc>
          <w:tcPr>
            <w:tcW w:w="0" w:type="auto"/>
            <w:hideMark/>
          </w:tcPr>
          <w:p w14:paraId="2D06EBCF" w14:textId="77777777" w:rsidR="006C7965" w:rsidRPr="006C7965" w:rsidRDefault="006C7965" w:rsidP="006C7965">
            <w:r w:rsidRPr="006C7965">
              <w:t>1.000</w:t>
            </w:r>
          </w:p>
        </w:tc>
      </w:tr>
    </w:tbl>
    <w:p w14:paraId="462B8CA5" w14:textId="34A4ACFD" w:rsidR="006C7965" w:rsidRDefault="006C7965" w:rsidP="00644598">
      <w:pPr>
        <w:pStyle w:val="NoSpacing"/>
      </w:pPr>
      <w:r w:rsidRPr="006C7965">
        <w:rPr>
          <w:b/>
          <w:bCs/>
        </w:rPr>
        <w:t>Note(s):</w:t>
      </w:r>
      <w:r w:rsidRPr="006C7965">
        <w:t> This table provides summary statistics for the key variables in our interest cost analysis, with variable descriptions as follows: </w:t>
      </w:r>
      <w:r w:rsidRPr="006C7965">
        <w:rPr>
          <w:i/>
          <w:iCs/>
        </w:rPr>
        <w:t>TIC</w:t>
      </w:r>
      <w:r w:rsidRPr="006C7965">
        <w:t> is true interest cost, which is computed as the discount rate that equates the present value of the bond principal and interest payments with proceeds; </w:t>
      </w:r>
      <w:r w:rsidRPr="006C7965">
        <w:rPr>
          <w:i/>
          <w:iCs/>
        </w:rPr>
        <w:t>positive</w:t>
      </w:r>
      <w:r w:rsidRPr="006C7965">
        <w:t> is the percentage of positive to total words in MD&amp;A disclosure based on the adjusted </w:t>
      </w:r>
      <w:r w:rsidRPr="007A181E">
        <w:t>Loughran and McDonald (2011)</w:t>
      </w:r>
      <w:r w:rsidRPr="006C7965">
        <w:t> dictionary; </w:t>
      </w:r>
      <w:r w:rsidRPr="006C7965">
        <w:rPr>
          <w:i/>
          <w:iCs/>
        </w:rPr>
        <w:t>negative</w:t>
      </w:r>
      <w:r w:rsidRPr="006C7965">
        <w:t> is the percentage of negative to total words in MD&amp;A disclosure based on the adjusted </w:t>
      </w:r>
      <w:r w:rsidRPr="007A181E">
        <w:t>Loughran and McDonald (2011)</w:t>
      </w:r>
      <w:r w:rsidRPr="006C7965">
        <w:t> dictionary; </w:t>
      </w:r>
      <w:r w:rsidRPr="006C7965">
        <w:rPr>
          <w:i/>
          <w:iCs/>
        </w:rPr>
        <w:t>GO bond</w:t>
      </w:r>
      <w:r w:rsidRPr="006C7965">
        <w:t> is an indicator set to one for general obligation issues (zero otherwise); </w:t>
      </w:r>
      <w:r w:rsidRPr="006C7965">
        <w:rPr>
          <w:i/>
          <w:iCs/>
        </w:rPr>
        <w:t>amount</w:t>
      </w:r>
      <w:r w:rsidRPr="006C7965">
        <w:t> is the natural log of the face value of the issue; </w:t>
      </w:r>
      <w:r w:rsidRPr="006C7965">
        <w:rPr>
          <w:i/>
          <w:iCs/>
        </w:rPr>
        <w:t>maturity</w:t>
      </w:r>
      <w:r w:rsidRPr="006C7965">
        <w:t> is the natural log of the years of maturity for a given issue; </w:t>
      </w:r>
      <w:r w:rsidRPr="006C7965">
        <w:rPr>
          <w:i/>
          <w:iCs/>
        </w:rPr>
        <w:t>competitive bid</w:t>
      </w:r>
      <w:r w:rsidRPr="006C7965">
        <w:t> is an indicator set to one for sales through a competitive bidding process (zero otherwise); </w:t>
      </w:r>
      <w:r w:rsidRPr="006C7965">
        <w:rPr>
          <w:i/>
          <w:iCs/>
        </w:rPr>
        <w:t>insured</w:t>
      </w:r>
      <w:r w:rsidRPr="006C7965">
        <w:t> is an indicator set to one for insured issues (zero otherwise); </w:t>
      </w:r>
      <w:r w:rsidRPr="006C7965">
        <w:rPr>
          <w:i/>
          <w:iCs/>
        </w:rPr>
        <w:t>bond rating</w:t>
      </w:r>
      <w:r w:rsidRPr="006C7965">
        <w:t xml:space="preserve"> is a numerical code representing Moody's credit rating for a debt issue. The scale codes </w:t>
      </w:r>
      <w:proofErr w:type="spellStart"/>
      <w:r w:rsidRPr="006C7965">
        <w:t>Aaa</w:t>
      </w:r>
      <w:proofErr w:type="spellEnd"/>
      <w:r w:rsidRPr="006C7965">
        <w:t xml:space="preserve"> as 1 and increases for lower quality ratings (Aa1 = 2, Aa2 = 3, etc.); </w:t>
      </w:r>
      <w:r w:rsidRPr="006C7965">
        <w:rPr>
          <w:i/>
          <w:iCs/>
        </w:rPr>
        <w:t>bond buyer index</w:t>
      </w:r>
      <w:r w:rsidRPr="006C7965">
        <w:t> is the market yield for municipal general obligation or revenue bonds; </w:t>
      </w:r>
      <w:r w:rsidRPr="006C7965">
        <w:rPr>
          <w:i/>
          <w:iCs/>
        </w:rPr>
        <w:t>population</w:t>
      </w:r>
      <w:r w:rsidRPr="006C7965">
        <w:t> is the number of citizens in thousands in a given municipality; </w:t>
      </w:r>
      <w:r w:rsidRPr="006C7965">
        <w:rPr>
          <w:i/>
          <w:iCs/>
        </w:rPr>
        <w:t>median income</w:t>
      </w:r>
      <w:r w:rsidRPr="006C7965">
        <w:t> is the median income in thousands at the county level; </w:t>
      </w:r>
      <w:r w:rsidRPr="006C7965">
        <w:rPr>
          <w:i/>
          <w:iCs/>
        </w:rPr>
        <w:t>GFOA certificate</w:t>
      </w:r>
      <w:r w:rsidRPr="006C7965">
        <w:t> is an indicator variable equal to one for municipalities receiving the Government Finance Officers Association Certificate of Excellence in Financial Reporting (zero otherwise); </w:t>
      </w:r>
      <w:r w:rsidRPr="006C7965">
        <w:rPr>
          <w:i/>
          <w:iCs/>
        </w:rPr>
        <w:t>staggered council</w:t>
      </w:r>
      <w:r w:rsidRPr="006C7965">
        <w:t> is an indicator variable equal to one for municipalities with staggered council elections (zero otherwise); </w:t>
      </w:r>
      <w:r w:rsidRPr="006C7965">
        <w:rPr>
          <w:i/>
          <w:iCs/>
        </w:rPr>
        <w:t>council manager</w:t>
      </w:r>
      <w:r w:rsidRPr="006C7965">
        <w:t> is an indicator variable equal to one for municipalities that employ a professional chief executive (zero otherwise); The financial variables (</w:t>
      </w:r>
      <w:r w:rsidRPr="006C7965">
        <w:rPr>
          <w:i/>
          <w:iCs/>
        </w:rPr>
        <w:t>govt fund surplus, govt fund expenses, capital outlay</w:t>
      </w:r>
      <w:r w:rsidRPr="006C7965">
        <w:t> and </w:t>
      </w:r>
      <w:proofErr w:type="spellStart"/>
      <w:r w:rsidRPr="006C7965">
        <w:rPr>
          <w:i/>
          <w:iCs/>
        </w:rPr>
        <w:t>chg</w:t>
      </w:r>
      <w:proofErr w:type="spellEnd"/>
      <w:r w:rsidRPr="006C7965">
        <w:rPr>
          <w:i/>
          <w:iCs/>
        </w:rPr>
        <w:t xml:space="preserve"> fund </w:t>
      </w:r>
      <w:proofErr w:type="spellStart"/>
      <w:r w:rsidRPr="006C7965">
        <w:rPr>
          <w:i/>
          <w:iCs/>
        </w:rPr>
        <w:t>bal</w:t>
      </w:r>
      <w:proofErr w:type="spellEnd"/>
      <w:r w:rsidRPr="006C7965">
        <w:rPr>
          <w:i/>
          <w:iCs/>
        </w:rPr>
        <w:t xml:space="preserve"> govt funds)</w:t>
      </w:r>
      <w:r w:rsidRPr="006C7965">
        <w:t> are in thousands and scaled by population; </w:t>
      </w:r>
      <w:r w:rsidRPr="006C7965">
        <w:rPr>
          <w:i/>
          <w:iCs/>
        </w:rPr>
        <w:t>GAAP state</w:t>
      </w:r>
      <w:r w:rsidRPr="006C7965">
        <w:t> is an indicator variable equal to one if a municipality is located within a GAAP mandated state (zero otherwise) based on </w:t>
      </w:r>
      <w:r w:rsidRPr="007A181E">
        <w:t>Baber and Gore (2008)</w:t>
      </w:r>
      <w:r w:rsidRPr="006C7965">
        <w:t> and </w:t>
      </w:r>
      <w:r w:rsidRPr="006C7965">
        <w:rPr>
          <w:i/>
          <w:iCs/>
        </w:rPr>
        <w:t>ICW index</w:t>
      </w:r>
      <w:r w:rsidRPr="006C7965">
        <w:t> is an index measuring the severity of internal control weaknesses that takes on a value of 2 for material weaknesses, 1 for significant deficiencies and 0 for no disclosed internal control weaknesses (</w:t>
      </w:r>
      <w:r w:rsidRPr="007A181E">
        <w:t>López and Peters, 2010</w:t>
      </w:r>
      <w:r w:rsidRPr="006C7965">
        <w:t>)</w:t>
      </w:r>
    </w:p>
    <w:p w14:paraId="3602D296" w14:textId="77777777" w:rsidR="00644598" w:rsidRPr="006C7965" w:rsidRDefault="00644598" w:rsidP="006C7965"/>
    <w:p w14:paraId="36723485" w14:textId="77777777" w:rsidR="00644598" w:rsidRDefault="00644598" w:rsidP="006C7965">
      <w:pPr>
        <w:sectPr w:rsidR="00644598" w:rsidSect="00013176">
          <w:pgSz w:w="12240" w:h="15840"/>
          <w:pgMar w:top="1080" w:right="1080" w:bottom="1080" w:left="1080" w:header="720" w:footer="720" w:gutter="0"/>
          <w:cols w:space="720"/>
          <w:docGrid w:linePitch="360"/>
        </w:sectPr>
      </w:pPr>
    </w:p>
    <w:p w14:paraId="3C8C7036" w14:textId="44AF005E" w:rsidR="006C7965" w:rsidRPr="006C7965" w:rsidRDefault="006C7965" w:rsidP="003942B2">
      <w:pPr>
        <w:spacing w:after="0"/>
      </w:pPr>
      <w:r w:rsidRPr="006C7965">
        <w:lastRenderedPageBreak/>
        <w:t>Table 3</w:t>
      </w:r>
      <w:r w:rsidR="00644598">
        <w:t xml:space="preserve"> </w:t>
      </w:r>
      <w:r w:rsidRPr="006C7965">
        <w:t>Pairwise correlations</w:t>
      </w:r>
    </w:p>
    <w:tbl>
      <w:tblPr>
        <w:tblStyle w:val="TableGrid"/>
        <w:tblW w:w="0" w:type="auto"/>
        <w:tblLook w:val="04A0" w:firstRow="1" w:lastRow="0" w:firstColumn="1" w:lastColumn="0" w:noHBand="0" w:noVBand="1"/>
      </w:tblPr>
      <w:tblGrid>
        <w:gridCol w:w="1907"/>
        <w:gridCol w:w="770"/>
        <w:gridCol w:w="770"/>
        <w:gridCol w:w="770"/>
        <w:gridCol w:w="770"/>
        <w:gridCol w:w="770"/>
        <w:gridCol w:w="671"/>
        <w:gridCol w:w="770"/>
        <w:gridCol w:w="770"/>
        <w:gridCol w:w="770"/>
        <w:gridCol w:w="770"/>
        <w:gridCol w:w="770"/>
        <w:gridCol w:w="770"/>
        <w:gridCol w:w="770"/>
        <w:gridCol w:w="770"/>
        <w:gridCol w:w="770"/>
        <w:gridCol w:w="770"/>
        <w:gridCol w:w="671"/>
        <w:gridCol w:w="671"/>
        <w:gridCol w:w="671"/>
        <w:gridCol w:w="770"/>
        <w:gridCol w:w="571"/>
      </w:tblGrid>
      <w:tr w:rsidR="006C7965" w:rsidRPr="00EE7583" w14:paraId="7060B9BB" w14:textId="77777777" w:rsidTr="00644598">
        <w:tc>
          <w:tcPr>
            <w:tcW w:w="0" w:type="auto"/>
            <w:hideMark/>
          </w:tcPr>
          <w:p w14:paraId="72B994DE" w14:textId="77777777" w:rsidR="006C7965" w:rsidRPr="00EE7583" w:rsidRDefault="006C7965" w:rsidP="00EE7583">
            <w:pPr>
              <w:pStyle w:val="NoSpacing"/>
              <w:rPr>
                <w:sz w:val="20"/>
                <w:szCs w:val="20"/>
              </w:rPr>
            </w:pPr>
          </w:p>
        </w:tc>
        <w:tc>
          <w:tcPr>
            <w:tcW w:w="0" w:type="auto"/>
            <w:hideMark/>
          </w:tcPr>
          <w:p w14:paraId="5490ECE7" w14:textId="77777777" w:rsidR="006C7965" w:rsidRPr="00EE7583" w:rsidRDefault="006C7965" w:rsidP="00EE7583">
            <w:pPr>
              <w:pStyle w:val="NoSpacing"/>
              <w:rPr>
                <w:b/>
                <w:bCs/>
                <w:sz w:val="20"/>
                <w:szCs w:val="20"/>
              </w:rPr>
            </w:pPr>
            <w:r w:rsidRPr="00EE7583">
              <w:rPr>
                <w:b/>
                <w:bCs/>
                <w:sz w:val="20"/>
                <w:szCs w:val="20"/>
              </w:rPr>
              <w:t>[1]</w:t>
            </w:r>
          </w:p>
        </w:tc>
        <w:tc>
          <w:tcPr>
            <w:tcW w:w="0" w:type="auto"/>
            <w:hideMark/>
          </w:tcPr>
          <w:p w14:paraId="56DD3541" w14:textId="77777777" w:rsidR="006C7965" w:rsidRPr="00EE7583" w:rsidRDefault="006C7965" w:rsidP="00EE7583">
            <w:pPr>
              <w:pStyle w:val="NoSpacing"/>
              <w:rPr>
                <w:b/>
                <w:bCs/>
                <w:sz w:val="20"/>
                <w:szCs w:val="20"/>
              </w:rPr>
            </w:pPr>
            <w:r w:rsidRPr="00EE7583">
              <w:rPr>
                <w:b/>
                <w:bCs/>
                <w:sz w:val="20"/>
                <w:szCs w:val="20"/>
              </w:rPr>
              <w:t>[2]</w:t>
            </w:r>
          </w:p>
        </w:tc>
        <w:tc>
          <w:tcPr>
            <w:tcW w:w="0" w:type="auto"/>
            <w:hideMark/>
          </w:tcPr>
          <w:p w14:paraId="7F50E88F" w14:textId="77777777" w:rsidR="006C7965" w:rsidRPr="00EE7583" w:rsidRDefault="006C7965" w:rsidP="00EE7583">
            <w:pPr>
              <w:pStyle w:val="NoSpacing"/>
              <w:rPr>
                <w:b/>
                <w:bCs/>
                <w:sz w:val="20"/>
                <w:szCs w:val="20"/>
              </w:rPr>
            </w:pPr>
            <w:r w:rsidRPr="00EE7583">
              <w:rPr>
                <w:b/>
                <w:bCs/>
                <w:sz w:val="20"/>
                <w:szCs w:val="20"/>
              </w:rPr>
              <w:t>[3]</w:t>
            </w:r>
          </w:p>
        </w:tc>
        <w:tc>
          <w:tcPr>
            <w:tcW w:w="0" w:type="auto"/>
            <w:hideMark/>
          </w:tcPr>
          <w:p w14:paraId="5DF6B002" w14:textId="77777777" w:rsidR="006C7965" w:rsidRPr="00EE7583" w:rsidRDefault="006C7965" w:rsidP="00EE7583">
            <w:pPr>
              <w:pStyle w:val="NoSpacing"/>
              <w:rPr>
                <w:b/>
                <w:bCs/>
                <w:sz w:val="20"/>
                <w:szCs w:val="20"/>
              </w:rPr>
            </w:pPr>
            <w:r w:rsidRPr="00EE7583">
              <w:rPr>
                <w:b/>
                <w:bCs/>
                <w:sz w:val="20"/>
                <w:szCs w:val="20"/>
              </w:rPr>
              <w:t>[4]</w:t>
            </w:r>
          </w:p>
        </w:tc>
        <w:tc>
          <w:tcPr>
            <w:tcW w:w="0" w:type="auto"/>
            <w:hideMark/>
          </w:tcPr>
          <w:p w14:paraId="5BCB1285" w14:textId="77777777" w:rsidR="006C7965" w:rsidRPr="00EE7583" w:rsidRDefault="006C7965" w:rsidP="00EE7583">
            <w:pPr>
              <w:pStyle w:val="NoSpacing"/>
              <w:rPr>
                <w:b/>
                <w:bCs/>
                <w:sz w:val="20"/>
                <w:szCs w:val="20"/>
              </w:rPr>
            </w:pPr>
            <w:r w:rsidRPr="00EE7583">
              <w:rPr>
                <w:b/>
                <w:bCs/>
                <w:sz w:val="20"/>
                <w:szCs w:val="20"/>
              </w:rPr>
              <w:t>[5]</w:t>
            </w:r>
          </w:p>
        </w:tc>
        <w:tc>
          <w:tcPr>
            <w:tcW w:w="0" w:type="auto"/>
            <w:hideMark/>
          </w:tcPr>
          <w:p w14:paraId="18925155" w14:textId="77777777" w:rsidR="006C7965" w:rsidRPr="00EE7583" w:rsidRDefault="006C7965" w:rsidP="00EE7583">
            <w:pPr>
              <w:pStyle w:val="NoSpacing"/>
              <w:rPr>
                <w:b/>
                <w:bCs/>
                <w:sz w:val="20"/>
                <w:szCs w:val="20"/>
              </w:rPr>
            </w:pPr>
            <w:r w:rsidRPr="00EE7583">
              <w:rPr>
                <w:b/>
                <w:bCs/>
                <w:sz w:val="20"/>
                <w:szCs w:val="20"/>
              </w:rPr>
              <w:t>[6]</w:t>
            </w:r>
          </w:p>
        </w:tc>
        <w:tc>
          <w:tcPr>
            <w:tcW w:w="0" w:type="auto"/>
            <w:hideMark/>
          </w:tcPr>
          <w:p w14:paraId="4046FBA0" w14:textId="77777777" w:rsidR="006C7965" w:rsidRPr="00EE7583" w:rsidRDefault="006C7965" w:rsidP="00EE7583">
            <w:pPr>
              <w:pStyle w:val="NoSpacing"/>
              <w:rPr>
                <w:b/>
                <w:bCs/>
                <w:sz w:val="20"/>
                <w:szCs w:val="20"/>
              </w:rPr>
            </w:pPr>
            <w:r w:rsidRPr="00EE7583">
              <w:rPr>
                <w:b/>
                <w:bCs/>
                <w:sz w:val="20"/>
                <w:szCs w:val="20"/>
              </w:rPr>
              <w:t>[7]</w:t>
            </w:r>
          </w:p>
        </w:tc>
        <w:tc>
          <w:tcPr>
            <w:tcW w:w="0" w:type="auto"/>
            <w:hideMark/>
          </w:tcPr>
          <w:p w14:paraId="7E30097B" w14:textId="77777777" w:rsidR="006C7965" w:rsidRPr="00EE7583" w:rsidRDefault="006C7965" w:rsidP="00EE7583">
            <w:pPr>
              <w:pStyle w:val="NoSpacing"/>
              <w:rPr>
                <w:b/>
                <w:bCs/>
                <w:sz w:val="20"/>
                <w:szCs w:val="20"/>
              </w:rPr>
            </w:pPr>
            <w:r w:rsidRPr="00EE7583">
              <w:rPr>
                <w:b/>
                <w:bCs/>
                <w:sz w:val="20"/>
                <w:szCs w:val="20"/>
              </w:rPr>
              <w:t>[8]</w:t>
            </w:r>
          </w:p>
        </w:tc>
        <w:tc>
          <w:tcPr>
            <w:tcW w:w="0" w:type="auto"/>
            <w:hideMark/>
          </w:tcPr>
          <w:p w14:paraId="13E8A427" w14:textId="77777777" w:rsidR="006C7965" w:rsidRPr="00EE7583" w:rsidRDefault="006C7965" w:rsidP="00EE7583">
            <w:pPr>
              <w:pStyle w:val="NoSpacing"/>
              <w:rPr>
                <w:b/>
                <w:bCs/>
                <w:sz w:val="20"/>
                <w:szCs w:val="20"/>
              </w:rPr>
            </w:pPr>
            <w:r w:rsidRPr="00EE7583">
              <w:rPr>
                <w:b/>
                <w:bCs/>
                <w:sz w:val="20"/>
                <w:szCs w:val="20"/>
              </w:rPr>
              <w:t>[9]</w:t>
            </w:r>
          </w:p>
        </w:tc>
        <w:tc>
          <w:tcPr>
            <w:tcW w:w="0" w:type="auto"/>
            <w:hideMark/>
          </w:tcPr>
          <w:p w14:paraId="5EEE385E" w14:textId="77777777" w:rsidR="006C7965" w:rsidRPr="00EE7583" w:rsidRDefault="006C7965" w:rsidP="00EE7583">
            <w:pPr>
              <w:pStyle w:val="NoSpacing"/>
              <w:rPr>
                <w:b/>
                <w:bCs/>
                <w:sz w:val="20"/>
                <w:szCs w:val="20"/>
              </w:rPr>
            </w:pPr>
            <w:r w:rsidRPr="00EE7583">
              <w:rPr>
                <w:b/>
                <w:bCs/>
                <w:sz w:val="20"/>
                <w:szCs w:val="20"/>
              </w:rPr>
              <w:t>[10]</w:t>
            </w:r>
          </w:p>
        </w:tc>
        <w:tc>
          <w:tcPr>
            <w:tcW w:w="0" w:type="auto"/>
            <w:hideMark/>
          </w:tcPr>
          <w:p w14:paraId="73F563EF" w14:textId="77777777" w:rsidR="006C7965" w:rsidRPr="00EE7583" w:rsidRDefault="006C7965" w:rsidP="00EE7583">
            <w:pPr>
              <w:pStyle w:val="NoSpacing"/>
              <w:rPr>
                <w:b/>
                <w:bCs/>
                <w:sz w:val="20"/>
                <w:szCs w:val="20"/>
              </w:rPr>
            </w:pPr>
            <w:r w:rsidRPr="00EE7583">
              <w:rPr>
                <w:b/>
                <w:bCs/>
                <w:sz w:val="20"/>
                <w:szCs w:val="20"/>
              </w:rPr>
              <w:t>[11]</w:t>
            </w:r>
          </w:p>
        </w:tc>
        <w:tc>
          <w:tcPr>
            <w:tcW w:w="0" w:type="auto"/>
            <w:hideMark/>
          </w:tcPr>
          <w:p w14:paraId="2807B658" w14:textId="77777777" w:rsidR="006C7965" w:rsidRPr="00EE7583" w:rsidRDefault="006C7965" w:rsidP="00EE7583">
            <w:pPr>
              <w:pStyle w:val="NoSpacing"/>
              <w:rPr>
                <w:b/>
                <w:bCs/>
                <w:sz w:val="20"/>
                <w:szCs w:val="20"/>
              </w:rPr>
            </w:pPr>
            <w:r w:rsidRPr="00EE7583">
              <w:rPr>
                <w:b/>
                <w:bCs/>
                <w:sz w:val="20"/>
                <w:szCs w:val="20"/>
              </w:rPr>
              <w:t>[12]</w:t>
            </w:r>
          </w:p>
        </w:tc>
        <w:tc>
          <w:tcPr>
            <w:tcW w:w="0" w:type="auto"/>
            <w:hideMark/>
          </w:tcPr>
          <w:p w14:paraId="4AEB24CF" w14:textId="77777777" w:rsidR="006C7965" w:rsidRPr="00EE7583" w:rsidRDefault="006C7965" w:rsidP="00EE7583">
            <w:pPr>
              <w:pStyle w:val="NoSpacing"/>
              <w:rPr>
                <w:b/>
                <w:bCs/>
                <w:sz w:val="20"/>
                <w:szCs w:val="20"/>
              </w:rPr>
            </w:pPr>
            <w:r w:rsidRPr="00EE7583">
              <w:rPr>
                <w:b/>
                <w:bCs/>
                <w:sz w:val="20"/>
                <w:szCs w:val="20"/>
              </w:rPr>
              <w:t>[13]</w:t>
            </w:r>
          </w:p>
        </w:tc>
        <w:tc>
          <w:tcPr>
            <w:tcW w:w="0" w:type="auto"/>
            <w:hideMark/>
          </w:tcPr>
          <w:p w14:paraId="39F0070B" w14:textId="77777777" w:rsidR="006C7965" w:rsidRPr="00EE7583" w:rsidRDefault="006C7965" w:rsidP="00EE7583">
            <w:pPr>
              <w:pStyle w:val="NoSpacing"/>
              <w:rPr>
                <w:b/>
                <w:bCs/>
                <w:sz w:val="20"/>
                <w:szCs w:val="20"/>
              </w:rPr>
            </w:pPr>
            <w:r w:rsidRPr="00EE7583">
              <w:rPr>
                <w:b/>
                <w:bCs/>
                <w:sz w:val="20"/>
                <w:szCs w:val="20"/>
              </w:rPr>
              <w:t>[14]</w:t>
            </w:r>
          </w:p>
        </w:tc>
        <w:tc>
          <w:tcPr>
            <w:tcW w:w="0" w:type="auto"/>
            <w:hideMark/>
          </w:tcPr>
          <w:p w14:paraId="484B15C6" w14:textId="77777777" w:rsidR="006C7965" w:rsidRPr="00EE7583" w:rsidRDefault="006C7965" w:rsidP="00EE7583">
            <w:pPr>
              <w:pStyle w:val="NoSpacing"/>
              <w:rPr>
                <w:b/>
                <w:bCs/>
                <w:sz w:val="20"/>
                <w:szCs w:val="20"/>
              </w:rPr>
            </w:pPr>
            <w:r w:rsidRPr="00EE7583">
              <w:rPr>
                <w:b/>
                <w:bCs/>
                <w:sz w:val="20"/>
                <w:szCs w:val="20"/>
              </w:rPr>
              <w:t>[15]</w:t>
            </w:r>
          </w:p>
        </w:tc>
        <w:tc>
          <w:tcPr>
            <w:tcW w:w="0" w:type="auto"/>
            <w:hideMark/>
          </w:tcPr>
          <w:p w14:paraId="038F3289" w14:textId="77777777" w:rsidR="006C7965" w:rsidRPr="00EE7583" w:rsidRDefault="006C7965" w:rsidP="00EE7583">
            <w:pPr>
              <w:pStyle w:val="NoSpacing"/>
              <w:rPr>
                <w:b/>
                <w:bCs/>
                <w:sz w:val="20"/>
                <w:szCs w:val="20"/>
              </w:rPr>
            </w:pPr>
            <w:r w:rsidRPr="00EE7583">
              <w:rPr>
                <w:b/>
                <w:bCs/>
                <w:sz w:val="20"/>
                <w:szCs w:val="20"/>
              </w:rPr>
              <w:t>[16]</w:t>
            </w:r>
          </w:p>
        </w:tc>
        <w:tc>
          <w:tcPr>
            <w:tcW w:w="0" w:type="auto"/>
            <w:hideMark/>
          </w:tcPr>
          <w:p w14:paraId="279270F0" w14:textId="77777777" w:rsidR="006C7965" w:rsidRPr="00EE7583" w:rsidRDefault="006C7965" w:rsidP="00EE7583">
            <w:pPr>
              <w:pStyle w:val="NoSpacing"/>
              <w:rPr>
                <w:b/>
                <w:bCs/>
                <w:sz w:val="20"/>
                <w:szCs w:val="20"/>
              </w:rPr>
            </w:pPr>
            <w:r w:rsidRPr="00EE7583">
              <w:rPr>
                <w:b/>
                <w:bCs/>
                <w:sz w:val="20"/>
                <w:szCs w:val="20"/>
              </w:rPr>
              <w:t>[17]</w:t>
            </w:r>
          </w:p>
        </w:tc>
        <w:tc>
          <w:tcPr>
            <w:tcW w:w="0" w:type="auto"/>
            <w:hideMark/>
          </w:tcPr>
          <w:p w14:paraId="38035F62" w14:textId="77777777" w:rsidR="006C7965" w:rsidRPr="00EE7583" w:rsidRDefault="006C7965" w:rsidP="00EE7583">
            <w:pPr>
              <w:pStyle w:val="NoSpacing"/>
              <w:rPr>
                <w:b/>
                <w:bCs/>
                <w:sz w:val="20"/>
                <w:szCs w:val="20"/>
              </w:rPr>
            </w:pPr>
            <w:r w:rsidRPr="00EE7583">
              <w:rPr>
                <w:b/>
                <w:bCs/>
                <w:sz w:val="20"/>
                <w:szCs w:val="20"/>
              </w:rPr>
              <w:t>[18]</w:t>
            </w:r>
          </w:p>
        </w:tc>
        <w:tc>
          <w:tcPr>
            <w:tcW w:w="0" w:type="auto"/>
            <w:hideMark/>
          </w:tcPr>
          <w:p w14:paraId="746F1547" w14:textId="77777777" w:rsidR="006C7965" w:rsidRPr="00EE7583" w:rsidRDefault="006C7965" w:rsidP="00EE7583">
            <w:pPr>
              <w:pStyle w:val="NoSpacing"/>
              <w:rPr>
                <w:b/>
                <w:bCs/>
                <w:sz w:val="20"/>
                <w:szCs w:val="20"/>
              </w:rPr>
            </w:pPr>
            <w:r w:rsidRPr="00EE7583">
              <w:rPr>
                <w:b/>
                <w:bCs/>
                <w:sz w:val="20"/>
                <w:szCs w:val="20"/>
              </w:rPr>
              <w:t>[19]</w:t>
            </w:r>
          </w:p>
        </w:tc>
        <w:tc>
          <w:tcPr>
            <w:tcW w:w="0" w:type="auto"/>
            <w:hideMark/>
          </w:tcPr>
          <w:p w14:paraId="64904D76" w14:textId="77777777" w:rsidR="006C7965" w:rsidRPr="00EE7583" w:rsidRDefault="006C7965" w:rsidP="00EE7583">
            <w:pPr>
              <w:pStyle w:val="NoSpacing"/>
              <w:rPr>
                <w:b/>
                <w:bCs/>
                <w:sz w:val="20"/>
                <w:szCs w:val="20"/>
              </w:rPr>
            </w:pPr>
            <w:r w:rsidRPr="00EE7583">
              <w:rPr>
                <w:b/>
                <w:bCs/>
                <w:sz w:val="20"/>
                <w:szCs w:val="20"/>
              </w:rPr>
              <w:t>[20]</w:t>
            </w:r>
          </w:p>
        </w:tc>
        <w:tc>
          <w:tcPr>
            <w:tcW w:w="0" w:type="auto"/>
            <w:hideMark/>
          </w:tcPr>
          <w:p w14:paraId="0EF88DB3" w14:textId="77777777" w:rsidR="006C7965" w:rsidRPr="00EE7583" w:rsidRDefault="006C7965" w:rsidP="00EE7583">
            <w:pPr>
              <w:pStyle w:val="NoSpacing"/>
              <w:rPr>
                <w:b/>
                <w:bCs/>
                <w:sz w:val="20"/>
                <w:szCs w:val="20"/>
              </w:rPr>
            </w:pPr>
            <w:r w:rsidRPr="00EE7583">
              <w:rPr>
                <w:b/>
                <w:bCs/>
                <w:sz w:val="20"/>
                <w:szCs w:val="20"/>
              </w:rPr>
              <w:t>[21]</w:t>
            </w:r>
          </w:p>
        </w:tc>
      </w:tr>
      <w:tr w:rsidR="00EE7583" w:rsidRPr="00EE7583" w14:paraId="3BC335F1" w14:textId="77777777" w:rsidTr="00644598">
        <w:tc>
          <w:tcPr>
            <w:tcW w:w="0" w:type="auto"/>
            <w:hideMark/>
          </w:tcPr>
          <w:p w14:paraId="49C2337E" w14:textId="77777777" w:rsidR="006C7965" w:rsidRPr="00EE7583" w:rsidRDefault="006C7965" w:rsidP="00EE7583">
            <w:pPr>
              <w:pStyle w:val="NoSpacing"/>
              <w:rPr>
                <w:sz w:val="20"/>
                <w:szCs w:val="20"/>
              </w:rPr>
            </w:pPr>
            <w:r w:rsidRPr="00EE7583">
              <w:rPr>
                <w:sz w:val="20"/>
                <w:szCs w:val="20"/>
              </w:rPr>
              <w:t>1 TIC</w:t>
            </w:r>
          </w:p>
        </w:tc>
        <w:tc>
          <w:tcPr>
            <w:tcW w:w="0" w:type="auto"/>
            <w:hideMark/>
          </w:tcPr>
          <w:p w14:paraId="3A3E4CA7" w14:textId="77777777" w:rsidR="006C7965" w:rsidRPr="00EE7583" w:rsidRDefault="006C7965" w:rsidP="00EE7583">
            <w:pPr>
              <w:pStyle w:val="NoSpacing"/>
              <w:rPr>
                <w:sz w:val="20"/>
                <w:szCs w:val="20"/>
              </w:rPr>
            </w:pPr>
            <w:r w:rsidRPr="00EE7583">
              <w:rPr>
                <w:sz w:val="20"/>
                <w:szCs w:val="20"/>
              </w:rPr>
              <w:t>1.00</w:t>
            </w:r>
          </w:p>
        </w:tc>
        <w:tc>
          <w:tcPr>
            <w:tcW w:w="0" w:type="auto"/>
            <w:hideMark/>
          </w:tcPr>
          <w:p w14:paraId="030F8162" w14:textId="77777777" w:rsidR="006C7965" w:rsidRPr="00EE7583" w:rsidRDefault="006C7965" w:rsidP="00EE7583">
            <w:pPr>
              <w:pStyle w:val="NoSpacing"/>
              <w:rPr>
                <w:sz w:val="20"/>
                <w:szCs w:val="20"/>
              </w:rPr>
            </w:pPr>
          </w:p>
        </w:tc>
        <w:tc>
          <w:tcPr>
            <w:tcW w:w="0" w:type="auto"/>
            <w:hideMark/>
          </w:tcPr>
          <w:p w14:paraId="04E3307F" w14:textId="77777777" w:rsidR="006C7965" w:rsidRPr="00EE7583" w:rsidRDefault="006C7965" w:rsidP="00EE7583">
            <w:pPr>
              <w:pStyle w:val="NoSpacing"/>
              <w:rPr>
                <w:sz w:val="20"/>
                <w:szCs w:val="20"/>
              </w:rPr>
            </w:pPr>
          </w:p>
        </w:tc>
        <w:tc>
          <w:tcPr>
            <w:tcW w:w="0" w:type="auto"/>
            <w:hideMark/>
          </w:tcPr>
          <w:p w14:paraId="1AC82BD8" w14:textId="77777777" w:rsidR="006C7965" w:rsidRPr="00EE7583" w:rsidRDefault="006C7965" w:rsidP="00EE7583">
            <w:pPr>
              <w:pStyle w:val="NoSpacing"/>
              <w:rPr>
                <w:sz w:val="20"/>
                <w:szCs w:val="20"/>
              </w:rPr>
            </w:pPr>
          </w:p>
        </w:tc>
        <w:tc>
          <w:tcPr>
            <w:tcW w:w="0" w:type="auto"/>
            <w:hideMark/>
          </w:tcPr>
          <w:p w14:paraId="0C46AE51" w14:textId="77777777" w:rsidR="006C7965" w:rsidRPr="00EE7583" w:rsidRDefault="006C7965" w:rsidP="00EE7583">
            <w:pPr>
              <w:pStyle w:val="NoSpacing"/>
              <w:rPr>
                <w:sz w:val="20"/>
                <w:szCs w:val="20"/>
              </w:rPr>
            </w:pPr>
          </w:p>
        </w:tc>
        <w:tc>
          <w:tcPr>
            <w:tcW w:w="0" w:type="auto"/>
            <w:hideMark/>
          </w:tcPr>
          <w:p w14:paraId="0E9A0E24" w14:textId="77777777" w:rsidR="006C7965" w:rsidRPr="00EE7583" w:rsidRDefault="006C7965" w:rsidP="00EE7583">
            <w:pPr>
              <w:pStyle w:val="NoSpacing"/>
              <w:rPr>
                <w:sz w:val="20"/>
                <w:szCs w:val="20"/>
              </w:rPr>
            </w:pPr>
          </w:p>
        </w:tc>
        <w:tc>
          <w:tcPr>
            <w:tcW w:w="0" w:type="auto"/>
            <w:hideMark/>
          </w:tcPr>
          <w:p w14:paraId="471D3975" w14:textId="77777777" w:rsidR="006C7965" w:rsidRPr="00EE7583" w:rsidRDefault="006C7965" w:rsidP="00EE7583">
            <w:pPr>
              <w:pStyle w:val="NoSpacing"/>
              <w:rPr>
                <w:sz w:val="20"/>
                <w:szCs w:val="20"/>
              </w:rPr>
            </w:pPr>
          </w:p>
        </w:tc>
        <w:tc>
          <w:tcPr>
            <w:tcW w:w="0" w:type="auto"/>
            <w:hideMark/>
          </w:tcPr>
          <w:p w14:paraId="47320C71" w14:textId="77777777" w:rsidR="006C7965" w:rsidRPr="00EE7583" w:rsidRDefault="006C7965" w:rsidP="00EE7583">
            <w:pPr>
              <w:pStyle w:val="NoSpacing"/>
              <w:rPr>
                <w:sz w:val="20"/>
                <w:szCs w:val="20"/>
              </w:rPr>
            </w:pPr>
          </w:p>
        </w:tc>
        <w:tc>
          <w:tcPr>
            <w:tcW w:w="0" w:type="auto"/>
            <w:hideMark/>
          </w:tcPr>
          <w:p w14:paraId="66141F6B" w14:textId="77777777" w:rsidR="006C7965" w:rsidRPr="00EE7583" w:rsidRDefault="006C7965" w:rsidP="00EE7583">
            <w:pPr>
              <w:pStyle w:val="NoSpacing"/>
              <w:rPr>
                <w:sz w:val="20"/>
                <w:szCs w:val="20"/>
              </w:rPr>
            </w:pPr>
          </w:p>
        </w:tc>
        <w:tc>
          <w:tcPr>
            <w:tcW w:w="0" w:type="auto"/>
            <w:hideMark/>
          </w:tcPr>
          <w:p w14:paraId="2D0639F1" w14:textId="77777777" w:rsidR="006C7965" w:rsidRPr="00EE7583" w:rsidRDefault="006C7965" w:rsidP="00EE7583">
            <w:pPr>
              <w:pStyle w:val="NoSpacing"/>
              <w:rPr>
                <w:sz w:val="20"/>
                <w:szCs w:val="20"/>
              </w:rPr>
            </w:pPr>
          </w:p>
        </w:tc>
        <w:tc>
          <w:tcPr>
            <w:tcW w:w="0" w:type="auto"/>
            <w:hideMark/>
          </w:tcPr>
          <w:p w14:paraId="62E9A5DF" w14:textId="77777777" w:rsidR="006C7965" w:rsidRPr="00EE7583" w:rsidRDefault="006C7965" w:rsidP="00EE7583">
            <w:pPr>
              <w:pStyle w:val="NoSpacing"/>
              <w:rPr>
                <w:sz w:val="20"/>
                <w:szCs w:val="20"/>
              </w:rPr>
            </w:pPr>
          </w:p>
        </w:tc>
        <w:tc>
          <w:tcPr>
            <w:tcW w:w="0" w:type="auto"/>
            <w:hideMark/>
          </w:tcPr>
          <w:p w14:paraId="388D3541" w14:textId="77777777" w:rsidR="006C7965" w:rsidRPr="00EE7583" w:rsidRDefault="006C7965" w:rsidP="00EE7583">
            <w:pPr>
              <w:pStyle w:val="NoSpacing"/>
              <w:rPr>
                <w:sz w:val="20"/>
                <w:szCs w:val="20"/>
              </w:rPr>
            </w:pPr>
          </w:p>
        </w:tc>
        <w:tc>
          <w:tcPr>
            <w:tcW w:w="0" w:type="auto"/>
            <w:hideMark/>
          </w:tcPr>
          <w:p w14:paraId="1C40BEE7" w14:textId="77777777" w:rsidR="006C7965" w:rsidRPr="00EE7583" w:rsidRDefault="006C7965" w:rsidP="00EE7583">
            <w:pPr>
              <w:pStyle w:val="NoSpacing"/>
              <w:rPr>
                <w:sz w:val="20"/>
                <w:szCs w:val="20"/>
              </w:rPr>
            </w:pPr>
          </w:p>
        </w:tc>
        <w:tc>
          <w:tcPr>
            <w:tcW w:w="0" w:type="auto"/>
            <w:hideMark/>
          </w:tcPr>
          <w:p w14:paraId="7AE877E9" w14:textId="77777777" w:rsidR="006C7965" w:rsidRPr="00EE7583" w:rsidRDefault="006C7965" w:rsidP="00EE7583">
            <w:pPr>
              <w:pStyle w:val="NoSpacing"/>
              <w:rPr>
                <w:sz w:val="20"/>
                <w:szCs w:val="20"/>
              </w:rPr>
            </w:pPr>
          </w:p>
        </w:tc>
        <w:tc>
          <w:tcPr>
            <w:tcW w:w="0" w:type="auto"/>
            <w:hideMark/>
          </w:tcPr>
          <w:p w14:paraId="434D173C" w14:textId="77777777" w:rsidR="006C7965" w:rsidRPr="00EE7583" w:rsidRDefault="006C7965" w:rsidP="00EE7583">
            <w:pPr>
              <w:pStyle w:val="NoSpacing"/>
              <w:rPr>
                <w:sz w:val="20"/>
                <w:szCs w:val="20"/>
              </w:rPr>
            </w:pPr>
          </w:p>
        </w:tc>
        <w:tc>
          <w:tcPr>
            <w:tcW w:w="0" w:type="auto"/>
            <w:hideMark/>
          </w:tcPr>
          <w:p w14:paraId="7F8140B8" w14:textId="77777777" w:rsidR="006C7965" w:rsidRPr="00EE7583" w:rsidRDefault="006C7965" w:rsidP="00EE7583">
            <w:pPr>
              <w:pStyle w:val="NoSpacing"/>
              <w:rPr>
                <w:sz w:val="20"/>
                <w:szCs w:val="20"/>
              </w:rPr>
            </w:pPr>
          </w:p>
        </w:tc>
        <w:tc>
          <w:tcPr>
            <w:tcW w:w="0" w:type="auto"/>
            <w:hideMark/>
          </w:tcPr>
          <w:p w14:paraId="1C9CD093" w14:textId="77777777" w:rsidR="006C7965" w:rsidRPr="00EE7583" w:rsidRDefault="006C7965" w:rsidP="00EE7583">
            <w:pPr>
              <w:pStyle w:val="NoSpacing"/>
              <w:rPr>
                <w:sz w:val="20"/>
                <w:szCs w:val="20"/>
              </w:rPr>
            </w:pPr>
          </w:p>
        </w:tc>
        <w:tc>
          <w:tcPr>
            <w:tcW w:w="0" w:type="auto"/>
            <w:hideMark/>
          </w:tcPr>
          <w:p w14:paraId="46FA6973" w14:textId="77777777" w:rsidR="006C7965" w:rsidRPr="00EE7583" w:rsidRDefault="006C7965" w:rsidP="00EE7583">
            <w:pPr>
              <w:pStyle w:val="NoSpacing"/>
              <w:rPr>
                <w:sz w:val="20"/>
                <w:szCs w:val="20"/>
              </w:rPr>
            </w:pPr>
          </w:p>
        </w:tc>
        <w:tc>
          <w:tcPr>
            <w:tcW w:w="0" w:type="auto"/>
            <w:hideMark/>
          </w:tcPr>
          <w:p w14:paraId="0FAC36A6" w14:textId="77777777" w:rsidR="006C7965" w:rsidRPr="00EE7583" w:rsidRDefault="006C7965" w:rsidP="00EE7583">
            <w:pPr>
              <w:pStyle w:val="NoSpacing"/>
              <w:rPr>
                <w:sz w:val="20"/>
                <w:szCs w:val="20"/>
              </w:rPr>
            </w:pPr>
          </w:p>
        </w:tc>
        <w:tc>
          <w:tcPr>
            <w:tcW w:w="0" w:type="auto"/>
            <w:hideMark/>
          </w:tcPr>
          <w:p w14:paraId="5CB937EC" w14:textId="77777777" w:rsidR="006C7965" w:rsidRPr="00EE7583" w:rsidRDefault="006C7965" w:rsidP="00EE7583">
            <w:pPr>
              <w:pStyle w:val="NoSpacing"/>
              <w:rPr>
                <w:sz w:val="20"/>
                <w:szCs w:val="20"/>
              </w:rPr>
            </w:pPr>
          </w:p>
        </w:tc>
        <w:tc>
          <w:tcPr>
            <w:tcW w:w="0" w:type="auto"/>
            <w:hideMark/>
          </w:tcPr>
          <w:p w14:paraId="48A34CB9" w14:textId="77777777" w:rsidR="006C7965" w:rsidRPr="00EE7583" w:rsidRDefault="006C7965" w:rsidP="00EE7583">
            <w:pPr>
              <w:pStyle w:val="NoSpacing"/>
              <w:rPr>
                <w:sz w:val="20"/>
                <w:szCs w:val="20"/>
              </w:rPr>
            </w:pPr>
          </w:p>
        </w:tc>
      </w:tr>
      <w:tr w:rsidR="006C7965" w:rsidRPr="00EE7583" w14:paraId="753426D3" w14:textId="77777777" w:rsidTr="00644598">
        <w:tc>
          <w:tcPr>
            <w:tcW w:w="0" w:type="auto"/>
            <w:hideMark/>
          </w:tcPr>
          <w:p w14:paraId="4AF92522" w14:textId="77777777" w:rsidR="006C7965" w:rsidRPr="00EE7583" w:rsidRDefault="006C7965" w:rsidP="00EE7583">
            <w:pPr>
              <w:pStyle w:val="NoSpacing"/>
              <w:rPr>
                <w:sz w:val="20"/>
                <w:szCs w:val="20"/>
              </w:rPr>
            </w:pPr>
            <w:r w:rsidRPr="00EE7583">
              <w:rPr>
                <w:sz w:val="20"/>
                <w:szCs w:val="20"/>
              </w:rPr>
              <w:t>2 Positive</w:t>
            </w:r>
          </w:p>
        </w:tc>
        <w:tc>
          <w:tcPr>
            <w:tcW w:w="0" w:type="auto"/>
            <w:hideMark/>
          </w:tcPr>
          <w:p w14:paraId="5312673C" w14:textId="77777777" w:rsidR="006C7965" w:rsidRPr="00EE7583" w:rsidRDefault="006C7965" w:rsidP="00EE7583">
            <w:pPr>
              <w:pStyle w:val="NoSpacing"/>
              <w:rPr>
                <w:sz w:val="20"/>
                <w:szCs w:val="20"/>
              </w:rPr>
            </w:pPr>
            <w:r w:rsidRPr="00EE7583">
              <w:rPr>
                <w:sz w:val="20"/>
                <w:szCs w:val="20"/>
              </w:rPr>
              <w:t>0.01</w:t>
            </w:r>
          </w:p>
        </w:tc>
        <w:tc>
          <w:tcPr>
            <w:tcW w:w="0" w:type="auto"/>
            <w:hideMark/>
          </w:tcPr>
          <w:p w14:paraId="040F597E" w14:textId="77777777" w:rsidR="006C7965" w:rsidRPr="00EE7583" w:rsidRDefault="006C7965" w:rsidP="00EE7583">
            <w:pPr>
              <w:pStyle w:val="NoSpacing"/>
              <w:rPr>
                <w:sz w:val="20"/>
                <w:szCs w:val="20"/>
              </w:rPr>
            </w:pPr>
            <w:r w:rsidRPr="00EE7583">
              <w:rPr>
                <w:sz w:val="20"/>
                <w:szCs w:val="20"/>
              </w:rPr>
              <w:t>1.00</w:t>
            </w:r>
          </w:p>
        </w:tc>
        <w:tc>
          <w:tcPr>
            <w:tcW w:w="0" w:type="auto"/>
            <w:hideMark/>
          </w:tcPr>
          <w:p w14:paraId="5BE8F171" w14:textId="77777777" w:rsidR="006C7965" w:rsidRPr="00EE7583" w:rsidRDefault="006C7965" w:rsidP="00EE7583">
            <w:pPr>
              <w:pStyle w:val="NoSpacing"/>
              <w:rPr>
                <w:sz w:val="20"/>
                <w:szCs w:val="20"/>
              </w:rPr>
            </w:pPr>
          </w:p>
        </w:tc>
        <w:tc>
          <w:tcPr>
            <w:tcW w:w="0" w:type="auto"/>
            <w:hideMark/>
          </w:tcPr>
          <w:p w14:paraId="12835E82" w14:textId="77777777" w:rsidR="006C7965" w:rsidRPr="00EE7583" w:rsidRDefault="006C7965" w:rsidP="00EE7583">
            <w:pPr>
              <w:pStyle w:val="NoSpacing"/>
              <w:rPr>
                <w:sz w:val="20"/>
                <w:szCs w:val="20"/>
              </w:rPr>
            </w:pPr>
          </w:p>
        </w:tc>
        <w:tc>
          <w:tcPr>
            <w:tcW w:w="0" w:type="auto"/>
            <w:hideMark/>
          </w:tcPr>
          <w:p w14:paraId="54CD6EA0" w14:textId="77777777" w:rsidR="006C7965" w:rsidRPr="00EE7583" w:rsidRDefault="006C7965" w:rsidP="00EE7583">
            <w:pPr>
              <w:pStyle w:val="NoSpacing"/>
              <w:rPr>
                <w:sz w:val="20"/>
                <w:szCs w:val="20"/>
              </w:rPr>
            </w:pPr>
          </w:p>
        </w:tc>
        <w:tc>
          <w:tcPr>
            <w:tcW w:w="0" w:type="auto"/>
            <w:hideMark/>
          </w:tcPr>
          <w:p w14:paraId="6819E250" w14:textId="77777777" w:rsidR="006C7965" w:rsidRPr="00EE7583" w:rsidRDefault="006C7965" w:rsidP="00EE7583">
            <w:pPr>
              <w:pStyle w:val="NoSpacing"/>
              <w:rPr>
                <w:sz w:val="20"/>
                <w:szCs w:val="20"/>
              </w:rPr>
            </w:pPr>
          </w:p>
        </w:tc>
        <w:tc>
          <w:tcPr>
            <w:tcW w:w="0" w:type="auto"/>
            <w:hideMark/>
          </w:tcPr>
          <w:p w14:paraId="440C105F" w14:textId="77777777" w:rsidR="006C7965" w:rsidRPr="00EE7583" w:rsidRDefault="006C7965" w:rsidP="00EE7583">
            <w:pPr>
              <w:pStyle w:val="NoSpacing"/>
              <w:rPr>
                <w:sz w:val="20"/>
                <w:szCs w:val="20"/>
              </w:rPr>
            </w:pPr>
          </w:p>
        </w:tc>
        <w:tc>
          <w:tcPr>
            <w:tcW w:w="0" w:type="auto"/>
            <w:hideMark/>
          </w:tcPr>
          <w:p w14:paraId="1DDCE946" w14:textId="77777777" w:rsidR="006C7965" w:rsidRPr="00EE7583" w:rsidRDefault="006C7965" w:rsidP="00EE7583">
            <w:pPr>
              <w:pStyle w:val="NoSpacing"/>
              <w:rPr>
                <w:sz w:val="20"/>
                <w:szCs w:val="20"/>
              </w:rPr>
            </w:pPr>
          </w:p>
        </w:tc>
        <w:tc>
          <w:tcPr>
            <w:tcW w:w="0" w:type="auto"/>
            <w:hideMark/>
          </w:tcPr>
          <w:p w14:paraId="3EEDF753" w14:textId="77777777" w:rsidR="006C7965" w:rsidRPr="00EE7583" w:rsidRDefault="006C7965" w:rsidP="00EE7583">
            <w:pPr>
              <w:pStyle w:val="NoSpacing"/>
              <w:rPr>
                <w:sz w:val="20"/>
                <w:szCs w:val="20"/>
              </w:rPr>
            </w:pPr>
          </w:p>
        </w:tc>
        <w:tc>
          <w:tcPr>
            <w:tcW w:w="0" w:type="auto"/>
            <w:hideMark/>
          </w:tcPr>
          <w:p w14:paraId="4A35FD46" w14:textId="77777777" w:rsidR="006C7965" w:rsidRPr="00EE7583" w:rsidRDefault="006C7965" w:rsidP="00EE7583">
            <w:pPr>
              <w:pStyle w:val="NoSpacing"/>
              <w:rPr>
                <w:sz w:val="20"/>
                <w:szCs w:val="20"/>
              </w:rPr>
            </w:pPr>
          </w:p>
        </w:tc>
        <w:tc>
          <w:tcPr>
            <w:tcW w:w="0" w:type="auto"/>
            <w:hideMark/>
          </w:tcPr>
          <w:p w14:paraId="14424345" w14:textId="77777777" w:rsidR="006C7965" w:rsidRPr="00EE7583" w:rsidRDefault="006C7965" w:rsidP="00EE7583">
            <w:pPr>
              <w:pStyle w:val="NoSpacing"/>
              <w:rPr>
                <w:sz w:val="20"/>
                <w:szCs w:val="20"/>
              </w:rPr>
            </w:pPr>
          </w:p>
        </w:tc>
        <w:tc>
          <w:tcPr>
            <w:tcW w:w="0" w:type="auto"/>
            <w:hideMark/>
          </w:tcPr>
          <w:p w14:paraId="4D1B6391" w14:textId="77777777" w:rsidR="006C7965" w:rsidRPr="00EE7583" w:rsidRDefault="006C7965" w:rsidP="00EE7583">
            <w:pPr>
              <w:pStyle w:val="NoSpacing"/>
              <w:rPr>
                <w:sz w:val="20"/>
                <w:szCs w:val="20"/>
              </w:rPr>
            </w:pPr>
          </w:p>
        </w:tc>
        <w:tc>
          <w:tcPr>
            <w:tcW w:w="0" w:type="auto"/>
            <w:hideMark/>
          </w:tcPr>
          <w:p w14:paraId="2EC77FAD" w14:textId="77777777" w:rsidR="006C7965" w:rsidRPr="00EE7583" w:rsidRDefault="006C7965" w:rsidP="00EE7583">
            <w:pPr>
              <w:pStyle w:val="NoSpacing"/>
              <w:rPr>
                <w:sz w:val="20"/>
                <w:szCs w:val="20"/>
              </w:rPr>
            </w:pPr>
          </w:p>
        </w:tc>
        <w:tc>
          <w:tcPr>
            <w:tcW w:w="0" w:type="auto"/>
            <w:hideMark/>
          </w:tcPr>
          <w:p w14:paraId="3679ED0F" w14:textId="77777777" w:rsidR="006C7965" w:rsidRPr="00EE7583" w:rsidRDefault="006C7965" w:rsidP="00EE7583">
            <w:pPr>
              <w:pStyle w:val="NoSpacing"/>
              <w:rPr>
                <w:sz w:val="20"/>
                <w:szCs w:val="20"/>
              </w:rPr>
            </w:pPr>
          </w:p>
        </w:tc>
        <w:tc>
          <w:tcPr>
            <w:tcW w:w="0" w:type="auto"/>
            <w:hideMark/>
          </w:tcPr>
          <w:p w14:paraId="7E8830C9" w14:textId="77777777" w:rsidR="006C7965" w:rsidRPr="00EE7583" w:rsidRDefault="006C7965" w:rsidP="00EE7583">
            <w:pPr>
              <w:pStyle w:val="NoSpacing"/>
              <w:rPr>
                <w:sz w:val="20"/>
                <w:szCs w:val="20"/>
              </w:rPr>
            </w:pPr>
          </w:p>
        </w:tc>
        <w:tc>
          <w:tcPr>
            <w:tcW w:w="0" w:type="auto"/>
            <w:hideMark/>
          </w:tcPr>
          <w:p w14:paraId="49C49524" w14:textId="77777777" w:rsidR="006C7965" w:rsidRPr="00EE7583" w:rsidRDefault="006C7965" w:rsidP="00EE7583">
            <w:pPr>
              <w:pStyle w:val="NoSpacing"/>
              <w:rPr>
                <w:sz w:val="20"/>
                <w:szCs w:val="20"/>
              </w:rPr>
            </w:pPr>
          </w:p>
        </w:tc>
        <w:tc>
          <w:tcPr>
            <w:tcW w:w="0" w:type="auto"/>
            <w:hideMark/>
          </w:tcPr>
          <w:p w14:paraId="159A6551" w14:textId="77777777" w:rsidR="006C7965" w:rsidRPr="00EE7583" w:rsidRDefault="006C7965" w:rsidP="00EE7583">
            <w:pPr>
              <w:pStyle w:val="NoSpacing"/>
              <w:rPr>
                <w:sz w:val="20"/>
                <w:szCs w:val="20"/>
              </w:rPr>
            </w:pPr>
          </w:p>
        </w:tc>
        <w:tc>
          <w:tcPr>
            <w:tcW w:w="0" w:type="auto"/>
            <w:hideMark/>
          </w:tcPr>
          <w:p w14:paraId="5F2D82BB" w14:textId="77777777" w:rsidR="006C7965" w:rsidRPr="00EE7583" w:rsidRDefault="006C7965" w:rsidP="00EE7583">
            <w:pPr>
              <w:pStyle w:val="NoSpacing"/>
              <w:rPr>
                <w:sz w:val="20"/>
                <w:szCs w:val="20"/>
              </w:rPr>
            </w:pPr>
          </w:p>
        </w:tc>
        <w:tc>
          <w:tcPr>
            <w:tcW w:w="0" w:type="auto"/>
            <w:hideMark/>
          </w:tcPr>
          <w:p w14:paraId="6FFD2383" w14:textId="77777777" w:rsidR="006C7965" w:rsidRPr="00EE7583" w:rsidRDefault="006C7965" w:rsidP="00EE7583">
            <w:pPr>
              <w:pStyle w:val="NoSpacing"/>
              <w:rPr>
                <w:sz w:val="20"/>
                <w:szCs w:val="20"/>
              </w:rPr>
            </w:pPr>
          </w:p>
        </w:tc>
        <w:tc>
          <w:tcPr>
            <w:tcW w:w="0" w:type="auto"/>
            <w:hideMark/>
          </w:tcPr>
          <w:p w14:paraId="5D4841CA" w14:textId="77777777" w:rsidR="006C7965" w:rsidRPr="00EE7583" w:rsidRDefault="006C7965" w:rsidP="00EE7583">
            <w:pPr>
              <w:pStyle w:val="NoSpacing"/>
              <w:rPr>
                <w:sz w:val="20"/>
                <w:szCs w:val="20"/>
              </w:rPr>
            </w:pPr>
          </w:p>
        </w:tc>
        <w:tc>
          <w:tcPr>
            <w:tcW w:w="0" w:type="auto"/>
            <w:hideMark/>
          </w:tcPr>
          <w:p w14:paraId="3810BD1F" w14:textId="77777777" w:rsidR="006C7965" w:rsidRPr="00EE7583" w:rsidRDefault="006C7965" w:rsidP="00EE7583">
            <w:pPr>
              <w:pStyle w:val="NoSpacing"/>
              <w:rPr>
                <w:sz w:val="20"/>
                <w:szCs w:val="20"/>
              </w:rPr>
            </w:pPr>
          </w:p>
        </w:tc>
      </w:tr>
      <w:tr w:rsidR="00EE7583" w:rsidRPr="00EE7583" w14:paraId="099AD5AE" w14:textId="77777777" w:rsidTr="00644598">
        <w:tc>
          <w:tcPr>
            <w:tcW w:w="0" w:type="auto"/>
            <w:hideMark/>
          </w:tcPr>
          <w:p w14:paraId="6CC26150" w14:textId="77777777" w:rsidR="006C7965" w:rsidRPr="00EE7583" w:rsidRDefault="006C7965" w:rsidP="00EE7583">
            <w:pPr>
              <w:pStyle w:val="NoSpacing"/>
              <w:rPr>
                <w:sz w:val="20"/>
                <w:szCs w:val="20"/>
              </w:rPr>
            </w:pPr>
            <w:r w:rsidRPr="00EE7583">
              <w:rPr>
                <w:sz w:val="20"/>
                <w:szCs w:val="20"/>
              </w:rPr>
              <w:t>3 Negative</w:t>
            </w:r>
          </w:p>
        </w:tc>
        <w:tc>
          <w:tcPr>
            <w:tcW w:w="0" w:type="auto"/>
            <w:hideMark/>
          </w:tcPr>
          <w:p w14:paraId="781C3338" w14:textId="77777777" w:rsidR="006C7965" w:rsidRPr="00EE7583" w:rsidRDefault="006C7965" w:rsidP="00EE7583">
            <w:pPr>
              <w:pStyle w:val="NoSpacing"/>
              <w:rPr>
                <w:sz w:val="20"/>
                <w:szCs w:val="20"/>
              </w:rPr>
            </w:pPr>
            <w:r w:rsidRPr="00EE7583">
              <w:rPr>
                <w:sz w:val="20"/>
                <w:szCs w:val="20"/>
              </w:rPr>
              <w:t>0.05</w:t>
            </w:r>
          </w:p>
        </w:tc>
        <w:tc>
          <w:tcPr>
            <w:tcW w:w="0" w:type="auto"/>
            <w:hideMark/>
          </w:tcPr>
          <w:p w14:paraId="6CE5E09B" w14:textId="77777777" w:rsidR="006C7965" w:rsidRPr="00EE7583" w:rsidRDefault="006C7965" w:rsidP="00EE7583">
            <w:pPr>
              <w:pStyle w:val="NoSpacing"/>
              <w:rPr>
                <w:sz w:val="20"/>
                <w:szCs w:val="20"/>
              </w:rPr>
            </w:pPr>
            <w:r w:rsidRPr="00EE7583">
              <w:rPr>
                <w:sz w:val="20"/>
                <w:szCs w:val="20"/>
              </w:rPr>
              <w:t>0.23*</w:t>
            </w:r>
          </w:p>
        </w:tc>
        <w:tc>
          <w:tcPr>
            <w:tcW w:w="0" w:type="auto"/>
            <w:hideMark/>
          </w:tcPr>
          <w:p w14:paraId="49E67E7D" w14:textId="77777777" w:rsidR="006C7965" w:rsidRPr="00EE7583" w:rsidRDefault="006C7965" w:rsidP="00EE7583">
            <w:pPr>
              <w:pStyle w:val="NoSpacing"/>
              <w:rPr>
                <w:sz w:val="20"/>
                <w:szCs w:val="20"/>
              </w:rPr>
            </w:pPr>
            <w:r w:rsidRPr="00EE7583">
              <w:rPr>
                <w:sz w:val="20"/>
                <w:szCs w:val="20"/>
              </w:rPr>
              <w:t>1.00</w:t>
            </w:r>
          </w:p>
        </w:tc>
        <w:tc>
          <w:tcPr>
            <w:tcW w:w="0" w:type="auto"/>
            <w:hideMark/>
          </w:tcPr>
          <w:p w14:paraId="2A8F55B5" w14:textId="77777777" w:rsidR="006C7965" w:rsidRPr="00EE7583" w:rsidRDefault="006C7965" w:rsidP="00EE7583">
            <w:pPr>
              <w:pStyle w:val="NoSpacing"/>
              <w:rPr>
                <w:sz w:val="20"/>
                <w:szCs w:val="20"/>
              </w:rPr>
            </w:pPr>
          </w:p>
        </w:tc>
        <w:tc>
          <w:tcPr>
            <w:tcW w:w="0" w:type="auto"/>
            <w:hideMark/>
          </w:tcPr>
          <w:p w14:paraId="57D7C17E" w14:textId="77777777" w:rsidR="006C7965" w:rsidRPr="00EE7583" w:rsidRDefault="006C7965" w:rsidP="00EE7583">
            <w:pPr>
              <w:pStyle w:val="NoSpacing"/>
              <w:rPr>
                <w:sz w:val="20"/>
                <w:szCs w:val="20"/>
              </w:rPr>
            </w:pPr>
          </w:p>
        </w:tc>
        <w:tc>
          <w:tcPr>
            <w:tcW w:w="0" w:type="auto"/>
            <w:hideMark/>
          </w:tcPr>
          <w:p w14:paraId="0B26D638" w14:textId="77777777" w:rsidR="006C7965" w:rsidRPr="00EE7583" w:rsidRDefault="006C7965" w:rsidP="00EE7583">
            <w:pPr>
              <w:pStyle w:val="NoSpacing"/>
              <w:rPr>
                <w:sz w:val="20"/>
                <w:szCs w:val="20"/>
              </w:rPr>
            </w:pPr>
          </w:p>
        </w:tc>
        <w:tc>
          <w:tcPr>
            <w:tcW w:w="0" w:type="auto"/>
            <w:hideMark/>
          </w:tcPr>
          <w:p w14:paraId="6BF4D4D8" w14:textId="77777777" w:rsidR="006C7965" w:rsidRPr="00EE7583" w:rsidRDefault="006C7965" w:rsidP="00EE7583">
            <w:pPr>
              <w:pStyle w:val="NoSpacing"/>
              <w:rPr>
                <w:sz w:val="20"/>
                <w:szCs w:val="20"/>
              </w:rPr>
            </w:pPr>
          </w:p>
        </w:tc>
        <w:tc>
          <w:tcPr>
            <w:tcW w:w="0" w:type="auto"/>
            <w:hideMark/>
          </w:tcPr>
          <w:p w14:paraId="2A964CA5" w14:textId="77777777" w:rsidR="006C7965" w:rsidRPr="00EE7583" w:rsidRDefault="006C7965" w:rsidP="00EE7583">
            <w:pPr>
              <w:pStyle w:val="NoSpacing"/>
              <w:rPr>
                <w:sz w:val="20"/>
                <w:szCs w:val="20"/>
              </w:rPr>
            </w:pPr>
          </w:p>
        </w:tc>
        <w:tc>
          <w:tcPr>
            <w:tcW w:w="0" w:type="auto"/>
            <w:hideMark/>
          </w:tcPr>
          <w:p w14:paraId="63071840" w14:textId="77777777" w:rsidR="006C7965" w:rsidRPr="00EE7583" w:rsidRDefault="006C7965" w:rsidP="00EE7583">
            <w:pPr>
              <w:pStyle w:val="NoSpacing"/>
              <w:rPr>
                <w:sz w:val="20"/>
                <w:szCs w:val="20"/>
              </w:rPr>
            </w:pPr>
          </w:p>
        </w:tc>
        <w:tc>
          <w:tcPr>
            <w:tcW w:w="0" w:type="auto"/>
            <w:hideMark/>
          </w:tcPr>
          <w:p w14:paraId="223A45F0" w14:textId="77777777" w:rsidR="006C7965" w:rsidRPr="00EE7583" w:rsidRDefault="006C7965" w:rsidP="00EE7583">
            <w:pPr>
              <w:pStyle w:val="NoSpacing"/>
              <w:rPr>
                <w:sz w:val="20"/>
                <w:szCs w:val="20"/>
              </w:rPr>
            </w:pPr>
          </w:p>
        </w:tc>
        <w:tc>
          <w:tcPr>
            <w:tcW w:w="0" w:type="auto"/>
            <w:hideMark/>
          </w:tcPr>
          <w:p w14:paraId="3099D73D" w14:textId="77777777" w:rsidR="006C7965" w:rsidRPr="00EE7583" w:rsidRDefault="006C7965" w:rsidP="00EE7583">
            <w:pPr>
              <w:pStyle w:val="NoSpacing"/>
              <w:rPr>
                <w:sz w:val="20"/>
                <w:szCs w:val="20"/>
              </w:rPr>
            </w:pPr>
          </w:p>
        </w:tc>
        <w:tc>
          <w:tcPr>
            <w:tcW w:w="0" w:type="auto"/>
            <w:hideMark/>
          </w:tcPr>
          <w:p w14:paraId="18E30AD7" w14:textId="77777777" w:rsidR="006C7965" w:rsidRPr="00EE7583" w:rsidRDefault="006C7965" w:rsidP="00EE7583">
            <w:pPr>
              <w:pStyle w:val="NoSpacing"/>
              <w:rPr>
                <w:sz w:val="20"/>
                <w:szCs w:val="20"/>
              </w:rPr>
            </w:pPr>
          </w:p>
        </w:tc>
        <w:tc>
          <w:tcPr>
            <w:tcW w:w="0" w:type="auto"/>
            <w:hideMark/>
          </w:tcPr>
          <w:p w14:paraId="59239F1D" w14:textId="77777777" w:rsidR="006C7965" w:rsidRPr="00EE7583" w:rsidRDefault="006C7965" w:rsidP="00EE7583">
            <w:pPr>
              <w:pStyle w:val="NoSpacing"/>
              <w:rPr>
                <w:sz w:val="20"/>
                <w:szCs w:val="20"/>
              </w:rPr>
            </w:pPr>
          </w:p>
        </w:tc>
        <w:tc>
          <w:tcPr>
            <w:tcW w:w="0" w:type="auto"/>
            <w:hideMark/>
          </w:tcPr>
          <w:p w14:paraId="469C008A" w14:textId="77777777" w:rsidR="006C7965" w:rsidRPr="00EE7583" w:rsidRDefault="006C7965" w:rsidP="00EE7583">
            <w:pPr>
              <w:pStyle w:val="NoSpacing"/>
              <w:rPr>
                <w:sz w:val="20"/>
                <w:szCs w:val="20"/>
              </w:rPr>
            </w:pPr>
          </w:p>
        </w:tc>
        <w:tc>
          <w:tcPr>
            <w:tcW w:w="0" w:type="auto"/>
            <w:hideMark/>
          </w:tcPr>
          <w:p w14:paraId="69CD8246" w14:textId="77777777" w:rsidR="006C7965" w:rsidRPr="00EE7583" w:rsidRDefault="006C7965" w:rsidP="00EE7583">
            <w:pPr>
              <w:pStyle w:val="NoSpacing"/>
              <w:rPr>
                <w:sz w:val="20"/>
                <w:szCs w:val="20"/>
              </w:rPr>
            </w:pPr>
          </w:p>
        </w:tc>
        <w:tc>
          <w:tcPr>
            <w:tcW w:w="0" w:type="auto"/>
            <w:hideMark/>
          </w:tcPr>
          <w:p w14:paraId="0C0BB6F6" w14:textId="77777777" w:rsidR="006C7965" w:rsidRPr="00EE7583" w:rsidRDefault="006C7965" w:rsidP="00EE7583">
            <w:pPr>
              <w:pStyle w:val="NoSpacing"/>
              <w:rPr>
                <w:sz w:val="20"/>
                <w:szCs w:val="20"/>
              </w:rPr>
            </w:pPr>
          </w:p>
        </w:tc>
        <w:tc>
          <w:tcPr>
            <w:tcW w:w="0" w:type="auto"/>
            <w:hideMark/>
          </w:tcPr>
          <w:p w14:paraId="3876B4B0" w14:textId="77777777" w:rsidR="006C7965" w:rsidRPr="00EE7583" w:rsidRDefault="006C7965" w:rsidP="00EE7583">
            <w:pPr>
              <w:pStyle w:val="NoSpacing"/>
              <w:rPr>
                <w:sz w:val="20"/>
                <w:szCs w:val="20"/>
              </w:rPr>
            </w:pPr>
          </w:p>
        </w:tc>
        <w:tc>
          <w:tcPr>
            <w:tcW w:w="0" w:type="auto"/>
            <w:hideMark/>
          </w:tcPr>
          <w:p w14:paraId="3CFE9C0E" w14:textId="77777777" w:rsidR="006C7965" w:rsidRPr="00EE7583" w:rsidRDefault="006C7965" w:rsidP="00EE7583">
            <w:pPr>
              <w:pStyle w:val="NoSpacing"/>
              <w:rPr>
                <w:sz w:val="20"/>
                <w:szCs w:val="20"/>
              </w:rPr>
            </w:pPr>
          </w:p>
        </w:tc>
        <w:tc>
          <w:tcPr>
            <w:tcW w:w="0" w:type="auto"/>
            <w:hideMark/>
          </w:tcPr>
          <w:p w14:paraId="0EB58FF1" w14:textId="77777777" w:rsidR="006C7965" w:rsidRPr="00EE7583" w:rsidRDefault="006C7965" w:rsidP="00EE7583">
            <w:pPr>
              <w:pStyle w:val="NoSpacing"/>
              <w:rPr>
                <w:sz w:val="20"/>
                <w:szCs w:val="20"/>
              </w:rPr>
            </w:pPr>
          </w:p>
        </w:tc>
        <w:tc>
          <w:tcPr>
            <w:tcW w:w="0" w:type="auto"/>
            <w:hideMark/>
          </w:tcPr>
          <w:p w14:paraId="665FD5A2" w14:textId="77777777" w:rsidR="006C7965" w:rsidRPr="00EE7583" w:rsidRDefault="006C7965" w:rsidP="00EE7583">
            <w:pPr>
              <w:pStyle w:val="NoSpacing"/>
              <w:rPr>
                <w:sz w:val="20"/>
                <w:szCs w:val="20"/>
              </w:rPr>
            </w:pPr>
          </w:p>
        </w:tc>
        <w:tc>
          <w:tcPr>
            <w:tcW w:w="0" w:type="auto"/>
            <w:hideMark/>
          </w:tcPr>
          <w:p w14:paraId="059393D4" w14:textId="77777777" w:rsidR="006C7965" w:rsidRPr="00EE7583" w:rsidRDefault="006C7965" w:rsidP="00EE7583">
            <w:pPr>
              <w:pStyle w:val="NoSpacing"/>
              <w:rPr>
                <w:sz w:val="20"/>
                <w:szCs w:val="20"/>
              </w:rPr>
            </w:pPr>
          </w:p>
        </w:tc>
      </w:tr>
      <w:tr w:rsidR="006C7965" w:rsidRPr="00EE7583" w14:paraId="45E264FA" w14:textId="77777777" w:rsidTr="00644598">
        <w:tc>
          <w:tcPr>
            <w:tcW w:w="0" w:type="auto"/>
            <w:hideMark/>
          </w:tcPr>
          <w:p w14:paraId="14042764" w14:textId="77777777" w:rsidR="006C7965" w:rsidRPr="00EE7583" w:rsidRDefault="006C7965" w:rsidP="00EE7583">
            <w:pPr>
              <w:pStyle w:val="NoSpacing"/>
              <w:rPr>
                <w:sz w:val="20"/>
                <w:szCs w:val="20"/>
              </w:rPr>
            </w:pPr>
            <w:r w:rsidRPr="00EE7583">
              <w:rPr>
                <w:sz w:val="20"/>
                <w:szCs w:val="20"/>
              </w:rPr>
              <w:t>4 GO bond</w:t>
            </w:r>
          </w:p>
        </w:tc>
        <w:tc>
          <w:tcPr>
            <w:tcW w:w="0" w:type="auto"/>
            <w:hideMark/>
          </w:tcPr>
          <w:p w14:paraId="7E67DD20" w14:textId="77777777" w:rsidR="006C7965" w:rsidRPr="00EE7583" w:rsidRDefault="006C7965" w:rsidP="00EE7583">
            <w:pPr>
              <w:pStyle w:val="NoSpacing"/>
              <w:rPr>
                <w:sz w:val="20"/>
                <w:szCs w:val="20"/>
              </w:rPr>
            </w:pPr>
            <w:r w:rsidRPr="00EE7583">
              <w:rPr>
                <w:sz w:val="20"/>
                <w:szCs w:val="20"/>
              </w:rPr>
              <w:t>−0.15*</w:t>
            </w:r>
          </w:p>
        </w:tc>
        <w:tc>
          <w:tcPr>
            <w:tcW w:w="0" w:type="auto"/>
            <w:hideMark/>
          </w:tcPr>
          <w:p w14:paraId="719AFE7F" w14:textId="77777777" w:rsidR="006C7965" w:rsidRPr="00EE7583" w:rsidRDefault="006C7965" w:rsidP="00EE7583">
            <w:pPr>
              <w:pStyle w:val="NoSpacing"/>
              <w:rPr>
                <w:sz w:val="20"/>
                <w:szCs w:val="20"/>
              </w:rPr>
            </w:pPr>
            <w:r w:rsidRPr="00EE7583">
              <w:rPr>
                <w:sz w:val="20"/>
                <w:szCs w:val="20"/>
              </w:rPr>
              <w:t>0.14*</w:t>
            </w:r>
          </w:p>
        </w:tc>
        <w:tc>
          <w:tcPr>
            <w:tcW w:w="0" w:type="auto"/>
            <w:hideMark/>
          </w:tcPr>
          <w:p w14:paraId="6222414D" w14:textId="77777777" w:rsidR="006C7965" w:rsidRPr="00EE7583" w:rsidRDefault="006C7965" w:rsidP="00EE7583">
            <w:pPr>
              <w:pStyle w:val="NoSpacing"/>
              <w:rPr>
                <w:sz w:val="20"/>
                <w:szCs w:val="20"/>
              </w:rPr>
            </w:pPr>
            <w:r w:rsidRPr="00EE7583">
              <w:rPr>
                <w:sz w:val="20"/>
                <w:szCs w:val="20"/>
              </w:rPr>
              <w:t>0.09</w:t>
            </w:r>
          </w:p>
        </w:tc>
        <w:tc>
          <w:tcPr>
            <w:tcW w:w="0" w:type="auto"/>
            <w:hideMark/>
          </w:tcPr>
          <w:p w14:paraId="573007DB" w14:textId="77777777" w:rsidR="006C7965" w:rsidRPr="00EE7583" w:rsidRDefault="006C7965" w:rsidP="00EE7583">
            <w:pPr>
              <w:pStyle w:val="NoSpacing"/>
              <w:rPr>
                <w:sz w:val="20"/>
                <w:szCs w:val="20"/>
              </w:rPr>
            </w:pPr>
            <w:r w:rsidRPr="00EE7583">
              <w:rPr>
                <w:sz w:val="20"/>
                <w:szCs w:val="20"/>
              </w:rPr>
              <w:t>1.00</w:t>
            </w:r>
          </w:p>
        </w:tc>
        <w:tc>
          <w:tcPr>
            <w:tcW w:w="0" w:type="auto"/>
            <w:hideMark/>
          </w:tcPr>
          <w:p w14:paraId="68AA3113" w14:textId="77777777" w:rsidR="006C7965" w:rsidRPr="00EE7583" w:rsidRDefault="006C7965" w:rsidP="00EE7583">
            <w:pPr>
              <w:pStyle w:val="NoSpacing"/>
              <w:rPr>
                <w:sz w:val="20"/>
                <w:szCs w:val="20"/>
              </w:rPr>
            </w:pPr>
          </w:p>
        </w:tc>
        <w:tc>
          <w:tcPr>
            <w:tcW w:w="0" w:type="auto"/>
            <w:hideMark/>
          </w:tcPr>
          <w:p w14:paraId="6429A1E8" w14:textId="77777777" w:rsidR="006C7965" w:rsidRPr="00EE7583" w:rsidRDefault="006C7965" w:rsidP="00EE7583">
            <w:pPr>
              <w:pStyle w:val="NoSpacing"/>
              <w:rPr>
                <w:sz w:val="20"/>
                <w:szCs w:val="20"/>
              </w:rPr>
            </w:pPr>
          </w:p>
        </w:tc>
        <w:tc>
          <w:tcPr>
            <w:tcW w:w="0" w:type="auto"/>
            <w:hideMark/>
          </w:tcPr>
          <w:p w14:paraId="2C3532B9" w14:textId="77777777" w:rsidR="006C7965" w:rsidRPr="00EE7583" w:rsidRDefault="006C7965" w:rsidP="00EE7583">
            <w:pPr>
              <w:pStyle w:val="NoSpacing"/>
              <w:rPr>
                <w:sz w:val="20"/>
                <w:szCs w:val="20"/>
              </w:rPr>
            </w:pPr>
          </w:p>
        </w:tc>
        <w:tc>
          <w:tcPr>
            <w:tcW w:w="0" w:type="auto"/>
            <w:hideMark/>
          </w:tcPr>
          <w:p w14:paraId="0FE7BD33" w14:textId="77777777" w:rsidR="006C7965" w:rsidRPr="00EE7583" w:rsidRDefault="006C7965" w:rsidP="00EE7583">
            <w:pPr>
              <w:pStyle w:val="NoSpacing"/>
              <w:rPr>
                <w:sz w:val="20"/>
                <w:szCs w:val="20"/>
              </w:rPr>
            </w:pPr>
          </w:p>
        </w:tc>
        <w:tc>
          <w:tcPr>
            <w:tcW w:w="0" w:type="auto"/>
            <w:hideMark/>
          </w:tcPr>
          <w:p w14:paraId="485206C6" w14:textId="77777777" w:rsidR="006C7965" w:rsidRPr="00EE7583" w:rsidRDefault="006C7965" w:rsidP="00EE7583">
            <w:pPr>
              <w:pStyle w:val="NoSpacing"/>
              <w:rPr>
                <w:sz w:val="20"/>
                <w:szCs w:val="20"/>
              </w:rPr>
            </w:pPr>
          </w:p>
        </w:tc>
        <w:tc>
          <w:tcPr>
            <w:tcW w:w="0" w:type="auto"/>
            <w:hideMark/>
          </w:tcPr>
          <w:p w14:paraId="0DDAAB15" w14:textId="77777777" w:rsidR="006C7965" w:rsidRPr="00EE7583" w:rsidRDefault="006C7965" w:rsidP="00EE7583">
            <w:pPr>
              <w:pStyle w:val="NoSpacing"/>
              <w:rPr>
                <w:sz w:val="20"/>
                <w:szCs w:val="20"/>
              </w:rPr>
            </w:pPr>
          </w:p>
        </w:tc>
        <w:tc>
          <w:tcPr>
            <w:tcW w:w="0" w:type="auto"/>
            <w:hideMark/>
          </w:tcPr>
          <w:p w14:paraId="18E1ED3E" w14:textId="77777777" w:rsidR="006C7965" w:rsidRPr="00EE7583" w:rsidRDefault="006C7965" w:rsidP="00EE7583">
            <w:pPr>
              <w:pStyle w:val="NoSpacing"/>
              <w:rPr>
                <w:sz w:val="20"/>
                <w:szCs w:val="20"/>
              </w:rPr>
            </w:pPr>
          </w:p>
        </w:tc>
        <w:tc>
          <w:tcPr>
            <w:tcW w:w="0" w:type="auto"/>
            <w:hideMark/>
          </w:tcPr>
          <w:p w14:paraId="2E57283C" w14:textId="77777777" w:rsidR="006C7965" w:rsidRPr="00EE7583" w:rsidRDefault="006C7965" w:rsidP="00EE7583">
            <w:pPr>
              <w:pStyle w:val="NoSpacing"/>
              <w:rPr>
                <w:sz w:val="20"/>
                <w:szCs w:val="20"/>
              </w:rPr>
            </w:pPr>
          </w:p>
        </w:tc>
        <w:tc>
          <w:tcPr>
            <w:tcW w:w="0" w:type="auto"/>
            <w:hideMark/>
          </w:tcPr>
          <w:p w14:paraId="60AF4EED" w14:textId="77777777" w:rsidR="006C7965" w:rsidRPr="00EE7583" w:rsidRDefault="006C7965" w:rsidP="00EE7583">
            <w:pPr>
              <w:pStyle w:val="NoSpacing"/>
              <w:rPr>
                <w:sz w:val="20"/>
                <w:szCs w:val="20"/>
              </w:rPr>
            </w:pPr>
          </w:p>
        </w:tc>
        <w:tc>
          <w:tcPr>
            <w:tcW w:w="0" w:type="auto"/>
            <w:hideMark/>
          </w:tcPr>
          <w:p w14:paraId="4073BEBA" w14:textId="77777777" w:rsidR="006C7965" w:rsidRPr="00EE7583" w:rsidRDefault="006C7965" w:rsidP="00EE7583">
            <w:pPr>
              <w:pStyle w:val="NoSpacing"/>
              <w:rPr>
                <w:sz w:val="20"/>
                <w:szCs w:val="20"/>
              </w:rPr>
            </w:pPr>
          </w:p>
        </w:tc>
        <w:tc>
          <w:tcPr>
            <w:tcW w:w="0" w:type="auto"/>
            <w:hideMark/>
          </w:tcPr>
          <w:p w14:paraId="3368BD3D" w14:textId="77777777" w:rsidR="006C7965" w:rsidRPr="00EE7583" w:rsidRDefault="006C7965" w:rsidP="00EE7583">
            <w:pPr>
              <w:pStyle w:val="NoSpacing"/>
              <w:rPr>
                <w:sz w:val="20"/>
                <w:szCs w:val="20"/>
              </w:rPr>
            </w:pPr>
          </w:p>
        </w:tc>
        <w:tc>
          <w:tcPr>
            <w:tcW w:w="0" w:type="auto"/>
            <w:hideMark/>
          </w:tcPr>
          <w:p w14:paraId="54309491" w14:textId="77777777" w:rsidR="006C7965" w:rsidRPr="00EE7583" w:rsidRDefault="006C7965" w:rsidP="00EE7583">
            <w:pPr>
              <w:pStyle w:val="NoSpacing"/>
              <w:rPr>
                <w:sz w:val="20"/>
                <w:szCs w:val="20"/>
              </w:rPr>
            </w:pPr>
          </w:p>
        </w:tc>
        <w:tc>
          <w:tcPr>
            <w:tcW w:w="0" w:type="auto"/>
            <w:hideMark/>
          </w:tcPr>
          <w:p w14:paraId="66C05C7C" w14:textId="77777777" w:rsidR="006C7965" w:rsidRPr="00EE7583" w:rsidRDefault="006C7965" w:rsidP="00EE7583">
            <w:pPr>
              <w:pStyle w:val="NoSpacing"/>
              <w:rPr>
                <w:sz w:val="20"/>
                <w:szCs w:val="20"/>
              </w:rPr>
            </w:pPr>
          </w:p>
        </w:tc>
        <w:tc>
          <w:tcPr>
            <w:tcW w:w="0" w:type="auto"/>
            <w:hideMark/>
          </w:tcPr>
          <w:p w14:paraId="7CA8EAC4" w14:textId="77777777" w:rsidR="006C7965" w:rsidRPr="00EE7583" w:rsidRDefault="006C7965" w:rsidP="00EE7583">
            <w:pPr>
              <w:pStyle w:val="NoSpacing"/>
              <w:rPr>
                <w:sz w:val="20"/>
                <w:szCs w:val="20"/>
              </w:rPr>
            </w:pPr>
          </w:p>
        </w:tc>
        <w:tc>
          <w:tcPr>
            <w:tcW w:w="0" w:type="auto"/>
            <w:hideMark/>
          </w:tcPr>
          <w:p w14:paraId="77436CB7" w14:textId="77777777" w:rsidR="006C7965" w:rsidRPr="00EE7583" w:rsidRDefault="006C7965" w:rsidP="00EE7583">
            <w:pPr>
              <w:pStyle w:val="NoSpacing"/>
              <w:rPr>
                <w:sz w:val="20"/>
                <w:szCs w:val="20"/>
              </w:rPr>
            </w:pPr>
          </w:p>
        </w:tc>
        <w:tc>
          <w:tcPr>
            <w:tcW w:w="0" w:type="auto"/>
            <w:hideMark/>
          </w:tcPr>
          <w:p w14:paraId="70AEB112" w14:textId="77777777" w:rsidR="006C7965" w:rsidRPr="00EE7583" w:rsidRDefault="006C7965" w:rsidP="00EE7583">
            <w:pPr>
              <w:pStyle w:val="NoSpacing"/>
              <w:rPr>
                <w:sz w:val="20"/>
                <w:szCs w:val="20"/>
              </w:rPr>
            </w:pPr>
          </w:p>
        </w:tc>
        <w:tc>
          <w:tcPr>
            <w:tcW w:w="0" w:type="auto"/>
            <w:hideMark/>
          </w:tcPr>
          <w:p w14:paraId="78CC04D5" w14:textId="77777777" w:rsidR="006C7965" w:rsidRPr="00EE7583" w:rsidRDefault="006C7965" w:rsidP="00EE7583">
            <w:pPr>
              <w:pStyle w:val="NoSpacing"/>
              <w:rPr>
                <w:sz w:val="20"/>
                <w:szCs w:val="20"/>
              </w:rPr>
            </w:pPr>
          </w:p>
        </w:tc>
      </w:tr>
      <w:tr w:rsidR="00EE7583" w:rsidRPr="00EE7583" w14:paraId="7609F22A" w14:textId="77777777" w:rsidTr="00644598">
        <w:tc>
          <w:tcPr>
            <w:tcW w:w="0" w:type="auto"/>
            <w:hideMark/>
          </w:tcPr>
          <w:p w14:paraId="19489F91" w14:textId="77777777" w:rsidR="006C7965" w:rsidRPr="00EE7583" w:rsidRDefault="006C7965" w:rsidP="00EE7583">
            <w:pPr>
              <w:pStyle w:val="NoSpacing"/>
              <w:rPr>
                <w:sz w:val="20"/>
                <w:szCs w:val="20"/>
              </w:rPr>
            </w:pPr>
            <w:r w:rsidRPr="00EE7583">
              <w:rPr>
                <w:sz w:val="20"/>
                <w:szCs w:val="20"/>
              </w:rPr>
              <w:t>5 Amount</w:t>
            </w:r>
          </w:p>
        </w:tc>
        <w:tc>
          <w:tcPr>
            <w:tcW w:w="0" w:type="auto"/>
            <w:hideMark/>
          </w:tcPr>
          <w:p w14:paraId="121E41DD" w14:textId="77777777" w:rsidR="006C7965" w:rsidRPr="00EE7583" w:rsidRDefault="006C7965" w:rsidP="00EE7583">
            <w:pPr>
              <w:pStyle w:val="NoSpacing"/>
              <w:rPr>
                <w:sz w:val="20"/>
                <w:szCs w:val="20"/>
              </w:rPr>
            </w:pPr>
            <w:r w:rsidRPr="00EE7583">
              <w:rPr>
                <w:sz w:val="20"/>
                <w:szCs w:val="20"/>
              </w:rPr>
              <w:t>0.28*</w:t>
            </w:r>
          </w:p>
        </w:tc>
        <w:tc>
          <w:tcPr>
            <w:tcW w:w="0" w:type="auto"/>
            <w:hideMark/>
          </w:tcPr>
          <w:p w14:paraId="2DD17A00" w14:textId="77777777" w:rsidR="006C7965" w:rsidRPr="00EE7583" w:rsidRDefault="006C7965" w:rsidP="00EE7583">
            <w:pPr>
              <w:pStyle w:val="NoSpacing"/>
              <w:rPr>
                <w:sz w:val="20"/>
                <w:szCs w:val="20"/>
              </w:rPr>
            </w:pPr>
            <w:r w:rsidRPr="00EE7583">
              <w:rPr>
                <w:sz w:val="20"/>
                <w:szCs w:val="20"/>
              </w:rPr>
              <w:t>−0.05</w:t>
            </w:r>
          </w:p>
        </w:tc>
        <w:tc>
          <w:tcPr>
            <w:tcW w:w="0" w:type="auto"/>
            <w:hideMark/>
          </w:tcPr>
          <w:p w14:paraId="58422D1D" w14:textId="77777777" w:rsidR="006C7965" w:rsidRPr="00EE7583" w:rsidRDefault="006C7965" w:rsidP="00EE7583">
            <w:pPr>
              <w:pStyle w:val="NoSpacing"/>
              <w:rPr>
                <w:sz w:val="20"/>
                <w:szCs w:val="20"/>
              </w:rPr>
            </w:pPr>
            <w:r w:rsidRPr="00EE7583">
              <w:rPr>
                <w:sz w:val="20"/>
                <w:szCs w:val="20"/>
              </w:rPr>
              <w:t>0.04</w:t>
            </w:r>
          </w:p>
        </w:tc>
        <w:tc>
          <w:tcPr>
            <w:tcW w:w="0" w:type="auto"/>
            <w:hideMark/>
          </w:tcPr>
          <w:p w14:paraId="7DC98693" w14:textId="77777777" w:rsidR="006C7965" w:rsidRPr="00EE7583" w:rsidRDefault="006C7965" w:rsidP="00EE7583">
            <w:pPr>
              <w:pStyle w:val="NoSpacing"/>
              <w:rPr>
                <w:sz w:val="20"/>
                <w:szCs w:val="20"/>
              </w:rPr>
            </w:pPr>
            <w:r w:rsidRPr="00EE7583">
              <w:rPr>
                <w:sz w:val="20"/>
                <w:szCs w:val="20"/>
              </w:rPr>
              <w:t>−0.08</w:t>
            </w:r>
          </w:p>
        </w:tc>
        <w:tc>
          <w:tcPr>
            <w:tcW w:w="0" w:type="auto"/>
            <w:hideMark/>
          </w:tcPr>
          <w:p w14:paraId="373CBBD3" w14:textId="77777777" w:rsidR="006C7965" w:rsidRPr="00EE7583" w:rsidRDefault="006C7965" w:rsidP="00EE7583">
            <w:pPr>
              <w:pStyle w:val="NoSpacing"/>
              <w:rPr>
                <w:sz w:val="20"/>
                <w:szCs w:val="20"/>
              </w:rPr>
            </w:pPr>
            <w:r w:rsidRPr="00EE7583">
              <w:rPr>
                <w:sz w:val="20"/>
                <w:szCs w:val="20"/>
              </w:rPr>
              <w:t>1.00</w:t>
            </w:r>
          </w:p>
        </w:tc>
        <w:tc>
          <w:tcPr>
            <w:tcW w:w="0" w:type="auto"/>
            <w:hideMark/>
          </w:tcPr>
          <w:p w14:paraId="2FFE6266" w14:textId="77777777" w:rsidR="006C7965" w:rsidRPr="00EE7583" w:rsidRDefault="006C7965" w:rsidP="00EE7583">
            <w:pPr>
              <w:pStyle w:val="NoSpacing"/>
              <w:rPr>
                <w:sz w:val="20"/>
                <w:szCs w:val="20"/>
              </w:rPr>
            </w:pPr>
          </w:p>
        </w:tc>
        <w:tc>
          <w:tcPr>
            <w:tcW w:w="0" w:type="auto"/>
            <w:hideMark/>
          </w:tcPr>
          <w:p w14:paraId="4D11A73D" w14:textId="77777777" w:rsidR="006C7965" w:rsidRPr="00EE7583" w:rsidRDefault="006C7965" w:rsidP="00EE7583">
            <w:pPr>
              <w:pStyle w:val="NoSpacing"/>
              <w:rPr>
                <w:sz w:val="20"/>
                <w:szCs w:val="20"/>
              </w:rPr>
            </w:pPr>
          </w:p>
        </w:tc>
        <w:tc>
          <w:tcPr>
            <w:tcW w:w="0" w:type="auto"/>
            <w:hideMark/>
          </w:tcPr>
          <w:p w14:paraId="3949B43D" w14:textId="77777777" w:rsidR="006C7965" w:rsidRPr="00EE7583" w:rsidRDefault="006C7965" w:rsidP="00EE7583">
            <w:pPr>
              <w:pStyle w:val="NoSpacing"/>
              <w:rPr>
                <w:sz w:val="20"/>
                <w:szCs w:val="20"/>
              </w:rPr>
            </w:pPr>
          </w:p>
        </w:tc>
        <w:tc>
          <w:tcPr>
            <w:tcW w:w="0" w:type="auto"/>
            <w:hideMark/>
          </w:tcPr>
          <w:p w14:paraId="5B946346" w14:textId="77777777" w:rsidR="006C7965" w:rsidRPr="00EE7583" w:rsidRDefault="006C7965" w:rsidP="00EE7583">
            <w:pPr>
              <w:pStyle w:val="NoSpacing"/>
              <w:rPr>
                <w:sz w:val="20"/>
                <w:szCs w:val="20"/>
              </w:rPr>
            </w:pPr>
          </w:p>
        </w:tc>
        <w:tc>
          <w:tcPr>
            <w:tcW w:w="0" w:type="auto"/>
            <w:hideMark/>
          </w:tcPr>
          <w:p w14:paraId="66B14979" w14:textId="77777777" w:rsidR="006C7965" w:rsidRPr="00EE7583" w:rsidRDefault="006C7965" w:rsidP="00EE7583">
            <w:pPr>
              <w:pStyle w:val="NoSpacing"/>
              <w:rPr>
                <w:sz w:val="20"/>
                <w:szCs w:val="20"/>
              </w:rPr>
            </w:pPr>
          </w:p>
        </w:tc>
        <w:tc>
          <w:tcPr>
            <w:tcW w:w="0" w:type="auto"/>
            <w:hideMark/>
          </w:tcPr>
          <w:p w14:paraId="3A5C8704" w14:textId="77777777" w:rsidR="006C7965" w:rsidRPr="00EE7583" w:rsidRDefault="006C7965" w:rsidP="00EE7583">
            <w:pPr>
              <w:pStyle w:val="NoSpacing"/>
              <w:rPr>
                <w:sz w:val="20"/>
                <w:szCs w:val="20"/>
              </w:rPr>
            </w:pPr>
          </w:p>
        </w:tc>
        <w:tc>
          <w:tcPr>
            <w:tcW w:w="0" w:type="auto"/>
            <w:hideMark/>
          </w:tcPr>
          <w:p w14:paraId="0AB4790D" w14:textId="77777777" w:rsidR="006C7965" w:rsidRPr="00EE7583" w:rsidRDefault="006C7965" w:rsidP="00EE7583">
            <w:pPr>
              <w:pStyle w:val="NoSpacing"/>
              <w:rPr>
                <w:sz w:val="20"/>
                <w:szCs w:val="20"/>
              </w:rPr>
            </w:pPr>
          </w:p>
        </w:tc>
        <w:tc>
          <w:tcPr>
            <w:tcW w:w="0" w:type="auto"/>
            <w:hideMark/>
          </w:tcPr>
          <w:p w14:paraId="48949DF8" w14:textId="77777777" w:rsidR="006C7965" w:rsidRPr="00EE7583" w:rsidRDefault="006C7965" w:rsidP="00EE7583">
            <w:pPr>
              <w:pStyle w:val="NoSpacing"/>
              <w:rPr>
                <w:sz w:val="20"/>
                <w:szCs w:val="20"/>
              </w:rPr>
            </w:pPr>
          </w:p>
        </w:tc>
        <w:tc>
          <w:tcPr>
            <w:tcW w:w="0" w:type="auto"/>
            <w:hideMark/>
          </w:tcPr>
          <w:p w14:paraId="087D206B" w14:textId="77777777" w:rsidR="006C7965" w:rsidRPr="00EE7583" w:rsidRDefault="006C7965" w:rsidP="00EE7583">
            <w:pPr>
              <w:pStyle w:val="NoSpacing"/>
              <w:rPr>
                <w:sz w:val="20"/>
                <w:szCs w:val="20"/>
              </w:rPr>
            </w:pPr>
          </w:p>
        </w:tc>
        <w:tc>
          <w:tcPr>
            <w:tcW w:w="0" w:type="auto"/>
            <w:hideMark/>
          </w:tcPr>
          <w:p w14:paraId="43515CDF" w14:textId="77777777" w:rsidR="006C7965" w:rsidRPr="00EE7583" w:rsidRDefault="006C7965" w:rsidP="00EE7583">
            <w:pPr>
              <w:pStyle w:val="NoSpacing"/>
              <w:rPr>
                <w:sz w:val="20"/>
                <w:szCs w:val="20"/>
              </w:rPr>
            </w:pPr>
          </w:p>
        </w:tc>
        <w:tc>
          <w:tcPr>
            <w:tcW w:w="0" w:type="auto"/>
            <w:hideMark/>
          </w:tcPr>
          <w:p w14:paraId="2364B31A" w14:textId="77777777" w:rsidR="006C7965" w:rsidRPr="00EE7583" w:rsidRDefault="006C7965" w:rsidP="00EE7583">
            <w:pPr>
              <w:pStyle w:val="NoSpacing"/>
              <w:rPr>
                <w:sz w:val="20"/>
                <w:szCs w:val="20"/>
              </w:rPr>
            </w:pPr>
          </w:p>
        </w:tc>
        <w:tc>
          <w:tcPr>
            <w:tcW w:w="0" w:type="auto"/>
            <w:hideMark/>
          </w:tcPr>
          <w:p w14:paraId="6937A8FC" w14:textId="77777777" w:rsidR="006C7965" w:rsidRPr="00EE7583" w:rsidRDefault="006C7965" w:rsidP="00EE7583">
            <w:pPr>
              <w:pStyle w:val="NoSpacing"/>
              <w:rPr>
                <w:sz w:val="20"/>
                <w:szCs w:val="20"/>
              </w:rPr>
            </w:pPr>
          </w:p>
        </w:tc>
        <w:tc>
          <w:tcPr>
            <w:tcW w:w="0" w:type="auto"/>
            <w:hideMark/>
          </w:tcPr>
          <w:p w14:paraId="175AC2C3" w14:textId="77777777" w:rsidR="006C7965" w:rsidRPr="00EE7583" w:rsidRDefault="006C7965" w:rsidP="00EE7583">
            <w:pPr>
              <w:pStyle w:val="NoSpacing"/>
              <w:rPr>
                <w:sz w:val="20"/>
                <w:szCs w:val="20"/>
              </w:rPr>
            </w:pPr>
          </w:p>
        </w:tc>
        <w:tc>
          <w:tcPr>
            <w:tcW w:w="0" w:type="auto"/>
            <w:hideMark/>
          </w:tcPr>
          <w:p w14:paraId="0FEE65F2" w14:textId="77777777" w:rsidR="006C7965" w:rsidRPr="00EE7583" w:rsidRDefault="006C7965" w:rsidP="00EE7583">
            <w:pPr>
              <w:pStyle w:val="NoSpacing"/>
              <w:rPr>
                <w:sz w:val="20"/>
                <w:szCs w:val="20"/>
              </w:rPr>
            </w:pPr>
          </w:p>
        </w:tc>
        <w:tc>
          <w:tcPr>
            <w:tcW w:w="0" w:type="auto"/>
            <w:hideMark/>
          </w:tcPr>
          <w:p w14:paraId="47C9A3BE" w14:textId="77777777" w:rsidR="006C7965" w:rsidRPr="00EE7583" w:rsidRDefault="006C7965" w:rsidP="00EE7583">
            <w:pPr>
              <w:pStyle w:val="NoSpacing"/>
              <w:rPr>
                <w:sz w:val="20"/>
                <w:szCs w:val="20"/>
              </w:rPr>
            </w:pPr>
          </w:p>
        </w:tc>
        <w:tc>
          <w:tcPr>
            <w:tcW w:w="0" w:type="auto"/>
            <w:hideMark/>
          </w:tcPr>
          <w:p w14:paraId="1D9B9E05" w14:textId="77777777" w:rsidR="006C7965" w:rsidRPr="00EE7583" w:rsidRDefault="006C7965" w:rsidP="00EE7583">
            <w:pPr>
              <w:pStyle w:val="NoSpacing"/>
              <w:rPr>
                <w:sz w:val="20"/>
                <w:szCs w:val="20"/>
              </w:rPr>
            </w:pPr>
          </w:p>
        </w:tc>
      </w:tr>
      <w:tr w:rsidR="006C7965" w:rsidRPr="00EE7583" w14:paraId="16C8FE2B" w14:textId="77777777" w:rsidTr="00644598">
        <w:tc>
          <w:tcPr>
            <w:tcW w:w="0" w:type="auto"/>
            <w:hideMark/>
          </w:tcPr>
          <w:p w14:paraId="769C38FB" w14:textId="77777777" w:rsidR="006C7965" w:rsidRPr="00EE7583" w:rsidRDefault="006C7965" w:rsidP="00EE7583">
            <w:pPr>
              <w:pStyle w:val="NoSpacing"/>
              <w:rPr>
                <w:sz w:val="20"/>
                <w:szCs w:val="20"/>
              </w:rPr>
            </w:pPr>
            <w:r w:rsidRPr="00EE7583">
              <w:rPr>
                <w:sz w:val="20"/>
                <w:szCs w:val="20"/>
              </w:rPr>
              <w:t>6 Maturity</w:t>
            </w:r>
          </w:p>
        </w:tc>
        <w:tc>
          <w:tcPr>
            <w:tcW w:w="0" w:type="auto"/>
            <w:hideMark/>
          </w:tcPr>
          <w:p w14:paraId="6242DB9C" w14:textId="77777777" w:rsidR="006C7965" w:rsidRPr="00EE7583" w:rsidRDefault="006C7965" w:rsidP="00EE7583">
            <w:pPr>
              <w:pStyle w:val="NoSpacing"/>
              <w:rPr>
                <w:sz w:val="20"/>
                <w:szCs w:val="20"/>
              </w:rPr>
            </w:pPr>
            <w:r w:rsidRPr="00EE7583">
              <w:rPr>
                <w:sz w:val="20"/>
                <w:szCs w:val="20"/>
              </w:rPr>
              <w:t>−0.57*</w:t>
            </w:r>
          </w:p>
        </w:tc>
        <w:tc>
          <w:tcPr>
            <w:tcW w:w="0" w:type="auto"/>
            <w:hideMark/>
          </w:tcPr>
          <w:p w14:paraId="39EFD533" w14:textId="77777777" w:rsidR="006C7965" w:rsidRPr="00EE7583" w:rsidRDefault="006C7965" w:rsidP="00EE7583">
            <w:pPr>
              <w:pStyle w:val="NoSpacing"/>
              <w:rPr>
                <w:sz w:val="20"/>
                <w:szCs w:val="20"/>
              </w:rPr>
            </w:pPr>
            <w:r w:rsidRPr="00EE7583">
              <w:rPr>
                <w:sz w:val="20"/>
                <w:szCs w:val="20"/>
              </w:rPr>
              <w:t>0.03</w:t>
            </w:r>
          </w:p>
        </w:tc>
        <w:tc>
          <w:tcPr>
            <w:tcW w:w="0" w:type="auto"/>
            <w:hideMark/>
          </w:tcPr>
          <w:p w14:paraId="40D2E416" w14:textId="77777777" w:rsidR="006C7965" w:rsidRPr="00EE7583" w:rsidRDefault="006C7965" w:rsidP="00EE7583">
            <w:pPr>
              <w:pStyle w:val="NoSpacing"/>
              <w:rPr>
                <w:sz w:val="20"/>
                <w:szCs w:val="20"/>
              </w:rPr>
            </w:pPr>
            <w:r w:rsidRPr="00EE7583">
              <w:rPr>
                <w:sz w:val="20"/>
                <w:szCs w:val="20"/>
              </w:rPr>
              <w:t>−0.02</w:t>
            </w:r>
          </w:p>
        </w:tc>
        <w:tc>
          <w:tcPr>
            <w:tcW w:w="0" w:type="auto"/>
            <w:hideMark/>
          </w:tcPr>
          <w:p w14:paraId="758502AB" w14:textId="77777777" w:rsidR="006C7965" w:rsidRPr="00EE7583" w:rsidRDefault="006C7965" w:rsidP="00EE7583">
            <w:pPr>
              <w:pStyle w:val="NoSpacing"/>
              <w:rPr>
                <w:sz w:val="20"/>
                <w:szCs w:val="20"/>
              </w:rPr>
            </w:pPr>
            <w:r w:rsidRPr="00EE7583">
              <w:rPr>
                <w:sz w:val="20"/>
                <w:szCs w:val="20"/>
              </w:rPr>
              <w:t>−0.07</w:t>
            </w:r>
          </w:p>
        </w:tc>
        <w:tc>
          <w:tcPr>
            <w:tcW w:w="0" w:type="auto"/>
            <w:hideMark/>
          </w:tcPr>
          <w:p w14:paraId="0AC462CB" w14:textId="77777777" w:rsidR="006C7965" w:rsidRPr="00EE7583" w:rsidRDefault="006C7965" w:rsidP="00EE7583">
            <w:pPr>
              <w:pStyle w:val="NoSpacing"/>
              <w:rPr>
                <w:sz w:val="20"/>
                <w:szCs w:val="20"/>
              </w:rPr>
            </w:pPr>
            <w:r w:rsidRPr="00EE7583">
              <w:rPr>
                <w:sz w:val="20"/>
                <w:szCs w:val="20"/>
              </w:rPr>
              <w:t>−0.41*</w:t>
            </w:r>
          </w:p>
        </w:tc>
        <w:tc>
          <w:tcPr>
            <w:tcW w:w="0" w:type="auto"/>
            <w:hideMark/>
          </w:tcPr>
          <w:p w14:paraId="2B0EC536" w14:textId="77777777" w:rsidR="006C7965" w:rsidRPr="00EE7583" w:rsidRDefault="006C7965" w:rsidP="00EE7583">
            <w:pPr>
              <w:pStyle w:val="NoSpacing"/>
              <w:rPr>
                <w:sz w:val="20"/>
                <w:szCs w:val="20"/>
              </w:rPr>
            </w:pPr>
            <w:r w:rsidRPr="00EE7583">
              <w:rPr>
                <w:sz w:val="20"/>
                <w:szCs w:val="20"/>
              </w:rPr>
              <w:t>1.00</w:t>
            </w:r>
          </w:p>
        </w:tc>
        <w:tc>
          <w:tcPr>
            <w:tcW w:w="0" w:type="auto"/>
            <w:hideMark/>
          </w:tcPr>
          <w:p w14:paraId="70B07CAF" w14:textId="77777777" w:rsidR="006C7965" w:rsidRPr="00EE7583" w:rsidRDefault="006C7965" w:rsidP="00EE7583">
            <w:pPr>
              <w:pStyle w:val="NoSpacing"/>
              <w:rPr>
                <w:sz w:val="20"/>
                <w:szCs w:val="20"/>
              </w:rPr>
            </w:pPr>
          </w:p>
        </w:tc>
        <w:tc>
          <w:tcPr>
            <w:tcW w:w="0" w:type="auto"/>
            <w:hideMark/>
          </w:tcPr>
          <w:p w14:paraId="3DAC3E22" w14:textId="77777777" w:rsidR="006C7965" w:rsidRPr="00EE7583" w:rsidRDefault="006C7965" w:rsidP="00EE7583">
            <w:pPr>
              <w:pStyle w:val="NoSpacing"/>
              <w:rPr>
                <w:sz w:val="20"/>
                <w:szCs w:val="20"/>
              </w:rPr>
            </w:pPr>
          </w:p>
        </w:tc>
        <w:tc>
          <w:tcPr>
            <w:tcW w:w="0" w:type="auto"/>
            <w:hideMark/>
          </w:tcPr>
          <w:p w14:paraId="13D8823C" w14:textId="77777777" w:rsidR="006C7965" w:rsidRPr="00EE7583" w:rsidRDefault="006C7965" w:rsidP="00EE7583">
            <w:pPr>
              <w:pStyle w:val="NoSpacing"/>
              <w:rPr>
                <w:sz w:val="20"/>
                <w:szCs w:val="20"/>
              </w:rPr>
            </w:pPr>
          </w:p>
        </w:tc>
        <w:tc>
          <w:tcPr>
            <w:tcW w:w="0" w:type="auto"/>
            <w:hideMark/>
          </w:tcPr>
          <w:p w14:paraId="7408F024" w14:textId="77777777" w:rsidR="006C7965" w:rsidRPr="00EE7583" w:rsidRDefault="006C7965" w:rsidP="00EE7583">
            <w:pPr>
              <w:pStyle w:val="NoSpacing"/>
              <w:rPr>
                <w:sz w:val="20"/>
                <w:szCs w:val="20"/>
              </w:rPr>
            </w:pPr>
          </w:p>
        </w:tc>
        <w:tc>
          <w:tcPr>
            <w:tcW w:w="0" w:type="auto"/>
            <w:hideMark/>
          </w:tcPr>
          <w:p w14:paraId="15F185B3" w14:textId="77777777" w:rsidR="006C7965" w:rsidRPr="00EE7583" w:rsidRDefault="006C7965" w:rsidP="00EE7583">
            <w:pPr>
              <w:pStyle w:val="NoSpacing"/>
              <w:rPr>
                <w:sz w:val="20"/>
                <w:szCs w:val="20"/>
              </w:rPr>
            </w:pPr>
          </w:p>
        </w:tc>
        <w:tc>
          <w:tcPr>
            <w:tcW w:w="0" w:type="auto"/>
            <w:hideMark/>
          </w:tcPr>
          <w:p w14:paraId="6DA2D7CD" w14:textId="77777777" w:rsidR="006C7965" w:rsidRPr="00EE7583" w:rsidRDefault="006C7965" w:rsidP="00EE7583">
            <w:pPr>
              <w:pStyle w:val="NoSpacing"/>
              <w:rPr>
                <w:sz w:val="20"/>
                <w:szCs w:val="20"/>
              </w:rPr>
            </w:pPr>
          </w:p>
        </w:tc>
        <w:tc>
          <w:tcPr>
            <w:tcW w:w="0" w:type="auto"/>
            <w:hideMark/>
          </w:tcPr>
          <w:p w14:paraId="1B3DC105" w14:textId="77777777" w:rsidR="006C7965" w:rsidRPr="00EE7583" w:rsidRDefault="006C7965" w:rsidP="00EE7583">
            <w:pPr>
              <w:pStyle w:val="NoSpacing"/>
              <w:rPr>
                <w:sz w:val="20"/>
                <w:szCs w:val="20"/>
              </w:rPr>
            </w:pPr>
          </w:p>
        </w:tc>
        <w:tc>
          <w:tcPr>
            <w:tcW w:w="0" w:type="auto"/>
            <w:hideMark/>
          </w:tcPr>
          <w:p w14:paraId="2B22A5E0" w14:textId="77777777" w:rsidR="006C7965" w:rsidRPr="00EE7583" w:rsidRDefault="006C7965" w:rsidP="00EE7583">
            <w:pPr>
              <w:pStyle w:val="NoSpacing"/>
              <w:rPr>
                <w:sz w:val="20"/>
                <w:szCs w:val="20"/>
              </w:rPr>
            </w:pPr>
          </w:p>
        </w:tc>
        <w:tc>
          <w:tcPr>
            <w:tcW w:w="0" w:type="auto"/>
            <w:hideMark/>
          </w:tcPr>
          <w:p w14:paraId="6B4239AB" w14:textId="77777777" w:rsidR="006C7965" w:rsidRPr="00EE7583" w:rsidRDefault="006C7965" w:rsidP="00EE7583">
            <w:pPr>
              <w:pStyle w:val="NoSpacing"/>
              <w:rPr>
                <w:sz w:val="20"/>
                <w:szCs w:val="20"/>
              </w:rPr>
            </w:pPr>
          </w:p>
        </w:tc>
        <w:tc>
          <w:tcPr>
            <w:tcW w:w="0" w:type="auto"/>
            <w:hideMark/>
          </w:tcPr>
          <w:p w14:paraId="66AB5745" w14:textId="77777777" w:rsidR="006C7965" w:rsidRPr="00EE7583" w:rsidRDefault="006C7965" w:rsidP="00EE7583">
            <w:pPr>
              <w:pStyle w:val="NoSpacing"/>
              <w:rPr>
                <w:sz w:val="20"/>
                <w:szCs w:val="20"/>
              </w:rPr>
            </w:pPr>
          </w:p>
        </w:tc>
        <w:tc>
          <w:tcPr>
            <w:tcW w:w="0" w:type="auto"/>
            <w:hideMark/>
          </w:tcPr>
          <w:p w14:paraId="563FDF89" w14:textId="77777777" w:rsidR="006C7965" w:rsidRPr="00EE7583" w:rsidRDefault="006C7965" w:rsidP="00EE7583">
            <w:pPr>
              <w:pStyle w:val="NoSpacing"/>
              <w:rPr>
                <w:sz w:val="20"/>
                <w:szCs w:val="20"/>
              </w:rPr>
            </w:pPr>
          </w:p>
        </w:tc>
        <w:tc>
          <w:tcPr>
            <w:tcW w:w="0" w:type="auto"/>
            <w:hideMark/>
          </w:tcPr>
          <w:p w14:paraId="6B6F7311" w14:textId="77777777" w:rsidR="006C7965" w:rsidRPr="00EE7583" w:rsidRDefault="006C7965" w:rsidP="00EE7583">
            <w:pPr>
              <w:pStyle w:val="NoSpacing"/>
              <w:rPr>
                <w:sz w:val="20"/>
                <w:szCs w:val="20"/>
              </w:rPr>
            </w:pPr>
          </w:p>
        </w:tc>
        <w:tc>
          <w:tcPr>
            <w:tcW w:w="0" w:type="auto"/>
            <w:hideMark/>
          </w:tcPr>
          <w:p w14:paraId="2D9E4D63" w14:textId="77777777" w:rsidR="006C7965" w:rsidRPr="00EE7583" w:rsidRDefault="006C7965" w:rsidP="00EE7583">
            <w:pPr>
              <w:pStyle w:val="NoSpacing"/>
              <w:rPr>
                <w:sz w:val="20"/>
                <w:szCs w:val="20"/>
              </w:rPr>
            </w:pPr>
          </w:p>
        </w:tc>
        <w:tc>
          <w:tcPr>
            <w:tcW w:w="0" w:type="auto"/>
            <w:hideMark/>
          </w:tcPr>
          <w:p w14:paraId="2D0B8C55" w14:textId="77777777" w:rsidR="006C7965" w:rsidRPr="00EE7583" w:rsidRDefault="006C7965" w:rsidP="00EE7583">
            <w:pPr>
              <w:pStyle w:val="NoSpacing"/>
              <w:rPr>
                <w:sz w:val="20"/>
                <w:szCs w:val="20"/>
              </w:rPr>
            </w:pPr>
          </w:p>
        </w:tc>
        <w:tc>
          <w:tcPr>
            <w:tcW w:w="0" w:type="auto"/>
            <w:hideMark/>
          </w:tcPr>
          <w:p w14:paraId="2F1369A7" w14:textId="77777777" w:rsidR="006C7965" w:rsidRPr="00EE7583" w:rsidRDefault="006C7965" w:rsidP="00EE7583">
            <w:pPr>
              <w:pStyle w:val="NoSpacing"/>
              <w:rPr>
                <w:sz w:val="20"/>
                <w:szCs w:val="20"/>
              </w:rPr>
            </w:pPr>
          </w:p>
        </w:tc>
      </w:tr>
      <w:tr w:rsidR="00EE7583" w:rsidRPr="00EE7583" w14:paraId="1BCAB734" w14:textId="77777777" w:rsidTr="00644598">
        <w:tc>
          <w:tcPr>
            <w:tcW w:w="0" w:type="auto"/>
            <w:hideMark/>
          </w:tcPr>
          <w:p w14:paraId="37CB6A93" w14:textId="77777777" w:rsidR="006C7965" w:rsidRPr="00EE7583" w:rsidRDefault="006C7965" w:rsidP="00EE7583">
            <w:pPr>
              <w:pStyle w:val="NoSpacing"/>
              <w:rPr>
                <w:sz w:val="20"/>
                <w:szCs w:val="20"/>
              </w:rPr>
            </w:pPr>
            <w:r w:rsidRPr="00EE7583">
              <w:rPr>
                <w:sz w:val="20"/>
                <w:szCs w:val="20"/>
              </w:rPr>
              <w:t xml:space="preserve">7 Competitive </w:t>
            </w:r>
            <w:proofErr w:type="gramStart"/>
            <w:r w:rsidRPr="00EE7583">
              <w:rPr>
                <w:sz w:val="20"/>
                <w:szCs w:val="20"/>
              </w:rPr>
              <w:t>bid</w:t>
            </w:r>
            <w:proofErr w:type="gramEnd"/>
          </w:p>
        </w:tc>
        <w:tc>
          <w:tcPr>
            <w:tcW w:w="0" w:type="auto"/>
            <w:hideMark/>
          </w:tcPr>
          <w:p w14:paraId="11C450AA" w14:textId="77777777" w:rsidR="006C7965" w:rsidRPr="00EE7583" w:rsidRDefault="006C7965" w:rsidP="00EE7583">
            <w:pPr>
              <w:pStyle w:val="NoSpacing"/>
              <w:rPr>
                <w:sz w:val="20"/>
                <w:szCs w:val="20"/>
              </w:rPr>
            </w:pPr>
            <w:r w:rsidRPr="00EE7583">
              <w:rPr>
                <w:sz w:val="20"/>
                <w:szCs w:val="20"/>
              </w:rPr>
              <w:t>−0.02</w:t>
            </w:r>
          </w:p>
        </w:tc>
        <w:tc>
          <w:tcPr>
            <w:tcW w:w="0" w:type="auto"/>
            <w:hideMark/>
          </w:tcPr>
          <w:p w14:paraId="33573345" w14:textId="77777777" w:rsidR="006C7965" w:rsidRPr="00EE7583" w:rsidRDefault="006C7965" w:rsidP="00EE7583">
            <w:pPr>
              <w:pStyle w:val="NoSpacing"/>
              <w:rPr>
                <w:sz w:val="20"/>
                <w:szCs w:val="20"/>
              </w:rPr>
            </w:pPr>
            <w:r w:rsidRPr="00EE7583">
              <w:rPr>
                <w:sz w:val="20"/>
                <w:szCs w:val="20"/>
              </w:rPr>
              <w:t>−0.01</w:t>
            </w:r>
          </w:p>
        </w:tc>
        <w:tc>
          <w:tcPr>
            <w:tcW w:w="0" w:type="auto"/>
            <w:hideMark/>
          </w:tcPr>
          <w:p w14:paraId="3356A9AC" w14:textId="77777777" w:rsidR="006C7965" w:rsidRPr="00EE7583" w:rsidRDefault="006C7965" w:rsidP="00EE7583">
            <w:pPr>
              <w:pStyle w:val="NoSpacing"/>
              <w:rPr>
                <w:sz w:val="20"/>
                <w:szCs w:val="20"/>
              </w:rPr>
            </w:pPr>
            <w:r w:rsidRPr="00EE7583">
              <w:rPr>
                <w:sz w:val="20"/>
                <w:szCs w:val="20"/>
              </w:rPr>
              <w:t>−0.19*</w:t>
            </w:r>
          </w:p>
        </w:tc>
        <w:tc>
          <w:tcPr>
            <w:tcW w:w="0" w:type="auto"/>
            <w:hideMark/>
          </w:tcPr>
          <w:p w14:paraId="1EB7E987" w14:textId="77777777" w:rsidR="006C7965" w:rsidRPr="00EE7583" w:rsidRDefault="006C7965" w:rsidP="00EE7583">
            <w:pPr>
              <w:pStyle w:val="NoSpacing"/>
              <w:rPr>
                <w:sz w:val="20"/>
                <w:szCs w:val="20"/>
              </w:rPr>
            </w:pPr>
            <w:r w:rsidRPr="00EE7583">
              <w:rPr>
                <w:sz w:val="20"/>
                <w:szCs w:val="20"/>
              </w:rPr>
              <w:t>0.02</w:t>
            </w:r>
          </w:p>
        </w:tc>
        <w:tc>
          <w:tcPr>
            <w:tcW w:w="0" w:type="auto"/>
            <w:hideMark/>
          </w:tcPr>
          <w:p w14:paraId="1086A2CF" w14:textId="77777777" w:rsidR="006C7965" w:rsidRPr="00EE7583" w:rsidRDefault="006C7965" w:rsidP="00EE7583">
            <w:pPr>
              <w:pStyle w:val="NoSpacing"/>
              <w:rPr>
                <w:sz w:val="20"/>
                <w:szCs w:val="20"/>
              </w:rPr>
            </w:pPr>
            <w:r w:rsidRPr="00EE7583">
              <w:rPr>
                <w:sz w:val="20"/>
                <w:szCs w:val="20"/>
              </w:rPr>
              <w:t>−0.07</w:t>
            </w:r>
          </w:p>
        </w:tc>
        <w:tc>
          <w:tcPr>
            <w:tcW w:w="0" w:type="auto"/>
            <w:hideMark/>
          </w:tcPr>
          <w:p w14:paraId="18208C9C" w14:textId="77777777" w:rsidR="006C7965" w:rsidRPr="00EE7583" w:rsidRDefault="006C7965" w:rsidP="00EE7583">
            <w:pPr>
              <w:pStyle w:val="NoSpacing"/>
              <w:rPr>
                <w:sz w:val="20"/>
                <w:szCs w:val="20"/>
              </w:rPr>
            </w:pPr>
            <w:r w:rsidRPr="00EE7583">
              <w:rPr>
                <w:sz w:val="20"/>
                <w:szCs w:val="20"/>
              </w:rPr>
              <w:t>0.03</w:t>
            </w:r>
          </w:p>
        </w:tc>
        <w:tc>
          <w:tcPr>
            <w:tcW w:w="0" w:type="auto"/>
            <w:hideMark/>
          </w:tcPr>
          <w:p w14:paraId="33BEF2FF" w14:textId="77777777" w:rsidR="006C7965" w:rsidRPr="00EE7583" w:rsidRDefault="006C7965" w:rsidP="00EE7583">
            <w:pPr>
              <w:pStyle w:val="NoSpacing"/>
              <w:rPr>
                <w:sz w:val="20"/>
                <w:szCs w:val="20"/>
              </w:rPr>
            </w:pPr>
            <w:r w:rsidRPr="00EE7583">
              <w:rPr>
                <w:sz w:val="20"/>
                <w:szCs w:val="20"/>
              </w:rPr>
              <w:t>1.00</w:t>
            </w:r>
          </w:p>
        </w:tc>
        <w:tc>
          <w:tcPr>
            <w:tcW w:w="0" w:type="auto"/>
            <w:hideMark/>
          </w:tcPr>
          <w:p w14:paraId="3F7CEE90" w14:textId="77777777" w:rsidR="006C7965" w:rsidRPr="00EE7583" w:rsidRDefault="006C7965" w:rsidP="00EE7583">
            <w:pPr>
              <w:pStyle w:val="NoSpacing"/>
              <w:rPr>
                <w:sz w:val="20"/>
                <w:szCs w:val="20"/>
              </w:rPr>
            </w:pPr>
          </w:p>
        </w:tc>
        <w:tc>
          <w:tcPr>
            <w:tcW w:w="0" w:type="auto"/>
            <w:hideMark/>
          </w:tcPr>
          <w:p w14:paraId="36D8E08E" w14:textId="77777777" w:rsidR="006C7965" w:rsidRPr="00EE7583" w:rsidRDefault="006C7965" w:rsidP="00EE7583">
            <w:pPr>
              <w:pStyle w:val="NoSpacing"/>
              <w:rPr>
                <w:sz w:val="20"/>
                <w:szCs w:val="20"/>
              </w:rPr>
            </w:pPr>
          </w:p>
        </w:tc>
        <w:tc>
          <w:tcPr>
            <w:tcW w:w="0" w:type="auto"/>
            <w:hideMark/>
          </w:tcPr>
          <w:p w14:paraId="392B840C" w14:textId="77777777" w:rsidR="006C7965" w:rsidRPr="00EE7583" w:rsidRDefault="006C7965" w:rsidP="00EE7583">
            <w:pPr>
              <w:pStyle w:val="NoSpacing"/>
              <w:rPr>
                <w:sz w:val="20"/>
                <w:szCs w:val="20"/>
              </w:rPr>
            </w:pPr>
          </w:p>
        </w:tc>
        <w:tc>
          <w:tcPr>
            <w:tcW w:w="0" w:type="auto"/>
            <w:hideMark/>
          </w:tcPr>
          <w:p w14:paraId="55759FBE" w14:textId="77777777" w:rsidR="006C7965" w:rsidRPr="00EE7583" w:rsidRDefault="006C7965" w:rsidP="00EE7583">
            <w:pPr>
              <w:pStyle w:val="NoSpacing"/>
              <w:rPr>
                <w:sz w:val="20"/>
                <w:szCs w:val="20"/>
              </w:rPr>
            </w:pPr>
          </w:p>
        </w:tc>
        <w:tc>
          <w:tcPr>
            <w:tcW w:w="0" w:type="auto"/>
            <w:hideMark/>
          </w:tcPr>
          <w:p w14:paraId="1C7E1EA2" w14:textId="77777777" w:rsidR="006C7965" w:rsidRPr="00EE7583" w:rsidRDefault="006C7965" w:rsidP="00EE7583">
            <w:pPr>
              <w:pStyle w:val="NoSpacing"/>
              <w:rPr>
                <w:sz w:val="20"/>
                <w:szCs w:val="20"/>
              </w:rPr>
            </w:pPr>
          </w:p>
        </w:tc>
        <w:tc>
          <w:tcPr>
            <w:tcW w:w="0" w:type="auto"/>
            <w:hideMark/>
          </w:tcPr>
          <w:p w14:paraId="2D69E1D4" w14:textId="77777777" w:rsidR="006C7965" w:rsidRPr="00EE7583" w:rsidRDefault="006C7965" w:rsidP="00EE7583">
            <w:pPr>
              <w:pStyle w:val="NoSpacing"/>
              <w:rPr>
                <w:sz w:val="20"/>
                <w:szCs w:val="20"/>
              </w:rPr>
            </w:pPr>
          </w:p>
        </w:tc>
        <w:tc>
          <w:tcPr>
            <w:tcW w:w="0" w:type="auto"/>
            <w:hideMark/>
          </w:tcPr>
          <w:p w14:paraId="5209459A" w14:textId="77777777" w:rsidR="006C7965" w:rsidRPr="00EE7583" w:rsidRDefault="006C7965" w:rsidP="00EE7583">
            <w:pPr>
              <w:pStyle w:val="NoSpacing"/>
              <w:rPr>
                <w:sz w:val="20"/>
                <w:szCs w:val="20"/>
              </w:rPr>
            </w:pPr>
          </w:p>
        </w:tc>
        <w:tc>
          <w:tcPr>
            <w:tcW w:w="0" w:type="auto"/>
            <w:hideMark/>
          </w:tcPr>
          <w:p w14:paraId="48BFF8A4" w14:textId="77777777" w:rsidR="006C7965" w:rsidRPr="00EE7583" w:rsidRDefault="006C7965" w:rsidP="00EE7583">
            <w:pPr>
              <w:pStyle w:val="NoSpacing"/>
              <w:rPr>
                <w:sz w:val="20"/>
                <w:szCs w:val="20"/>
              </w:rPr>
            </w:pPr>
          </w:p>
        </w:tc>
        <w:tc>
          <w:tcPr>
            <w:tcW w:w="0" w:type="auto"/>
            <w:hideMark/>
          </w:tcPr>
          <w:p w14:paraId="07B2814D" w14:textId="77777777" w:rsidR="006C7965" w:rsidRPr="00EE7583" w:rsidRDefault="006C7965" w:rsidP="00EE7583">
            <w:pPr>
              <w:pStyle w:val="NoSpacing"/>
              <w:rPr>
                <w:sz w:val="20"/>
                <w:szCs w:val="20"/>
              </w:rPr>
            </w:pPr>
          </w:p>
        </w:tc>
        <w:tc>
          <w:tcPr>
            <w:tcW w:w="0" w:type="auto"/>
            <w:hideMark/>
          </w:tcPr>
          <w:p w14:paraId="661712A7" w14:textId="77777777" w:rsidR="006C7965" w:rsidRPr="00EE7583" w:rsidRDefault="006C7965" w:rsidP="00EE7583">
            <w:pPr>
              <w:pStyle w:val="NoSpacing"/>
              <w:rPr>
                <w:sz w:val="20"/>
                <w:szCs w:val="20"/>
              </w:rPr>
            </w:pPr>
          </w:p>
        </w:tc>
        <w:tc>
          <w:tcPr>
            <w:tcW w:w="0" w:type="auto"/>
            <w:hideMark/>
          </w:tcPr>
          <w:p w14:paraId="1E338CE7" w14:textId="77777777" w:rsidR="006C7965" w:rsidRPr="00EE7583" w:rsidRDefault="006C7965" w:rsidP="00EE7583">
            <w:pPr>
              <w:pStyle w:val="NoSpacing"/>
              <w:rPr>
                <w:sz w:val="20"/>
                <w:szCs w:val="20"/>
              </w:rPr>
            </w:pPr>
          </w:p>
        </w:tc>
        <w:tc>
          <w:tcPr>
            <w:tcW w:w="0" w:type="auto"/>
            <w:hideMark/>
          </w:tcPr>
          <w:p w14:paraId="3AB1338A" w14:textId="77777777" w:rsidR="006C7965" w:rsidRPr="00EE7583" w:rsidRDefault="006C7965" w:rsidP="00EE7583">
            <w:pPr>
              <w:pStyle w:val="NoSpacing"/>
              <w:rPr>
                <w:sz w:val="20"/>
                <w:szCs w:val="20"/>
              </w:rPr>
            </w:pPr>
          </w:p>
        </w:tc>
        <w:tc>
          <w:tcPr>
            <w:tcW w:w="0" w:type="auto"/>
            <w:hideMark/>
          </w:tcPr>
          <w:p w14:paraId="3B1302C2" w14:textId="77777777" w:rsidR="006C7965" w:rsidRPr="00EE7583" w:rsidRDefault="006C7965" w:rsidP="00EE7583">
            <w:pPr>
              <w:pStyle w:val="NoSpacing"/>
              <w:rPr>
                <w:sz w:val="20"/>
                <w:szCs w:val="20"/>
              </w:rPr>
            </w:pPr>
          </w:p>
        </w:tc>
        <w:tc>
          <w:tcPr>
            <w:tcW w:w="0" w:type="auto"/>
            <w:hideMark/>
          </w:tcPr>
          <w:p w14:paraId="635DAD35" w14:textId="77777777" w:rsidR="006C7965" w:rsidRPr="00EE7583" w:rsidRDefault="006C7965" w:rsidP="00EE7583">
            <w:pPr>
              <w:pStyle w:val="NoSpacing"/>
              <w:rPr>
                <w:sz w:val="20"/>
                <w:szCs w:val="20"/>
              </w:rPr>
            </w:pPr>
          </w:p>
        </w:tc>
      </w:tr>
      <w:tr w:rsidR="006C7965" w:rsidRPr="00EE7583" w14:paraId="21724E79" w14:textId="77777777" w:rsidTr="00644598">
        <w:tc>
          <w:tcPr>
            <w:tcW w:w="0" w:type="auto"/>
            <w:hideMark/>
          </w:tcPr>
          <w:p w14:paraId="4AE2FD6A" w14:textId="77777777" w:rsidR="006C7965" w:rsidRPr="00EE7583" w:rsidRDefault="006C7965" w:rsidP="00EE7583">
            <w:pPr>
              <w:pStyle w:val="NoSpacing"/>
              <w:rPr>
                <w:sz w:val="20"/>
                <w:szCs w:val="20"/>
              </w:rPr>
            </w:pPr>
            <w:r w:rsidRPr="00EE7583">
              <w:rPr>
                <w:sz w:val="20"/>
                <w:szCs w:val="20"/>
              </w:rPr>
              <w:t>8 Insured</w:t>
            </w:r>
          </w:p>
        </w:tc>
        <w:tc>
          <w:tcPr>
            <w:tcW w:w="0" w:type="auto"/>
            <w:hideMark/>
          </w:tcPr>
          <w:p w14:paraId="012095D7" w14:textId="77777777" w:rsidR="006C7965" w:rsidRPr="00EE7583" w:rsidRDefault="006C7965" w:rsidP="00EE7583">
            <w:pPr>
              <w:pStyle w:val="NoSpacing"/>
              <w:rPr>
                <w:sz w:val="20"/>
                <w:szCs w:val="20"/>
              </w:rPr>
            </w:pPr>
            <w:r w:rsidRPr="00EE7583">
              <w:rPr>
                <w:sz w:val="20"/>
                <w:szCs w:val="20"/>
              </w:rPr>
              <w:t>0.04</w:t>
            </w:r>
          </w:p>
        </w:tc>
        <w:tc>
          <w:tcPr>
            <w:tcW w:w="0" w:type="auto"/>
            <w:hideMark/>
          </w:tcPr>
          <w:p w14:paraId="5A2113C6" w14:textId="77777777" w:rsidR="006C7965" w:rsidRPr="00EE7583" w:rsidRDefault="006C7965" w:rsidP="00EE7583">
            <w:pPr>
              <w:pStyle w:val="NoSpacing"/>
              <w:rPr>
                <w:sz w:val="20"/>
                <w:szCs w:val="20"/>
              </w:rPr>
            </w:pPr>
            <w:r w:rsidRPr="00EE7583">
              <w:rPr>
                <w:sz w:val="20"/>
                <w:szCs w:val="20"/>
              </w:rPr>
              <w:t>−0.01</w:t>
            </w:r>
          </w:p>
        </w:tc>
        <w:tc>
          <w:tcPr>
            <w:tcW w:w="0" w:type="auto"/>
            <w:hideMark/>
          </w:tcPr>
          <w:p w14:paraId="42007563" w14:textId="77777777" w:rsidR="006C7965" w:rsidRPr="00EE7583" w:rsidRDefault="006C7965" w:rsidP="00EE7583">
            <w:pPr>
              <w:pStyle w:val="NoSpacing"/>
              <w:rPr>
                <w:sz w:val="20"/>
                <w:szCs w:val="20"/>
              </w:rPr>
            </w:pPr>
            <w:r w:rsidRPr="00EE7583">
              <w:rPr>
                <w:sz w:val="20"/>
                <w:szCs w:val="20"/>
              </w:rPr>
              <w:t>0.11*</w:t>
            </w:r>
          </w:p>
        </w:tc>
        <w:tc>
          <w:tcPr>
            <w:tcW w:w="0" w:type="auto"/>
            <w:hideMark/>
          </w:tcPr>
          <w:p w14:paraId="26A42FD5" w14:textId="77777777" w:rsidR="006C7965" w:rsidRPr="00EE7583" w:rsidRDefault="006C7965" w:rsidP="00EE7583">
            <w:pPr>
              <w:pStyle w:val="NoSpacing"/>
              <w:rPr>
                <w:sz w:val="20"/>
                <w:szCs w:val="20"/>
              </w:rPr>
            </w:pPr>
            <w:r w:rsidRPr="00EE7583">
              <w:rPr>
                <w:sz w:val="20"/>
                <w:szCs w:val="20"/>
              </w:rPr>
              <w:t>−0.02</w:t>
            </w:r>
          </w:p>
        </w:tc>
        <w:tc>
          <w:tcPr>
            <w:tcW w:w="0" w:type="auto"/>
            <w:hideMark/>
          </w:tcPr>
          <w:p w14:paraId="03CBC231" w14:textId="77777777" w:rsidR="006C7965" w:rsidRPr="00EE7583" w:rsidRDefault="006C7965" w:rsidP="00EE7583">
            <w:pPr>
              <w:pStyle w:val="NoSpacing"/>
              <w:rPr>
                <w:sz w:val="20"/>
                <w:szCs w:val="20"/>
              </w:rPr>
            </w:pPr>
            <w:r w:rsidRPr="00EE7583">
              <w:rPr>
                <w:sz w:val="20"/>
                <w:szCs w:val="20"/>
              </w:rPr>
              <w:t>0.05</w:t>
            </w:r>
          </w:p>
        </w:tc>
        <w:tc>
          <w:tcPr>
            <w:tcW w:w="0" w:type="auto"/>
            <w:hideMark/>
          </w:tcPr>
          <w:p w14:paraId="3AE5940A" w14:textId="77777777" w:rsidR="006C7965" w:rsidRPr="00EE7583" w:rsidRDefault="006C7965" w:rsidP="00EE7583">
            <w:pPr>
              <w:pStyle w:val="NoSpacing"/>
              <w:rPr>
                <w:sz w:val="20"/>
                <w:szCs w:val="20"/>
              </w:rPr>
            </w:pPr>
            <w:r w:rsidRPr="00EE7583">
              <w:rPr>
                <w:sz w:val="20"/>
                <w:szCs w:val="20"/>
              </w:rPr>
              <w:t>0.01</w:t>
            </w:r>
          </w:p>
        </w:tc>
        <w:tc>
          <w:tcPr>
            <w:tcW w:w="0" w:type="auto"/>
            <w:hideMark/>
          </w:tcPr>
          <w:p w14:paraId="146D0CFE" w14:textId="77777777" w:rsidR="006C7965" w:rsidRPr="00EE7583" w:rsidRDefault="006C7965" w:rsidP="00EE7583">
            <w:pPr>
              <w:pStyle w:val="NoSpacing"/>
              <w:rPr>
                <w:sz w:val="20"/>
                <w:szCs w:val="20"/>
              </w:rPr>
            </w:pPr>
            <w:r w:rsidRPr="00EE7583">
              <w:rPr>
                <w:sz w:val="20"/>
                <w:szCs w:val="20"/>
              </w:rPr>
              <w:t>−0.05</w:t>
            </w:r>
          </w:p>
        </w:tc>
        <w:tc>
          <w:tcPr>
            <w:tcW w:w="0" w:type="auto"/>
            <w:hideMark/>
          </w:tcPr>
          <w:p w14:paraId="36981915" w14:textId="77777777" w:rsidR="006C7965" w:rsidRPr="00EE7583" w:rsidRDefault="006C7965" w:rsidP="00EE7583">
            <w:pPr>
              <w:pStyle w:val="NoSpacing"/>
              <w:rPr>
                <w:sz w:val="20"/>
                <w:szCs w:val="20"/>
              </w:rPr>
            </w:pPr>
            <w:r w:rsidRPr="00EE7583">
              <w:rPr>
                <w:sz w:val="20"/>
                <w:szCs w:val="20"/>
              </w:rPr>
              <w:t>1.00</w:t>
            </w:r>
          </w:p>
        </w:tc>
        <w:tc>
          <w:tcPr>
            <w:tcW w:w="0" w:type="auto"/>
            <w:hideMark/>
          </w:tcPr>
          <w:p w14:paraId="040705F0" w14:textId="77777777" w:rsidR="006C7965" w:rsidRPr="00EE7583" w:rsidRDefault="006C7965" w:rsidP="00EE7583">
            <w:pPr>
              <w:pStyle w:val="NoSpacing"/>
              <w:rPr>
                <w:sz w:val="20"/>
                <w:szCs w:val="20"/>
              </w:rPr>
            </w:pPr>
          </w:p>
        </w:tc>
        <w:tc>
          <w:tcPr>
            <w:tcW w:w="0" w:type="auto"/>
            <w:hideMark/>
          </w:tcPr>
          <w:p w14:paraId="1C7B6A5B" w14:textId="77777777" w:rsidR="006C7965" w:rsidRPr="00EE7583" w:rsidRDefault="006C7965" w:rsidP="00EE7583">
            <w:pPr>
              <w:pStyle w:val="NoSpacing"/>
              <w:rPr>
                <w:sz w:val="20"/>
                <w:szCs w:val="20"/>
              </w:rPr>
            </w:pPr>
          </w:p>
        </w:tc>
        <w:tc>
          <w:tcPr>
            <w:tcW w:w="0" w:type="auto"/>
            <w:hideMark/>
          </w:tcPr>
          <w:p w14:paraId="45ABF84E" w14:textId="77777777" w:rsidR="006C7965" w:rsidRPr="00EE7583" w:rsidRDefault="006C7965" w:rsidP="00EE7583">
            <w:pPr>
              <w:pStyle w:val="NoSpacing"/>
              <w:rPr>
                <w:sz w:val="20"/>
                <w:szCs w:val="20"/>
              </w:rPr>
            </w:pPr>
          </w:p>
        </w:tc>
        <w:tc>
          <w:tcPr>
            <w:tcW w:w="0" w:type="auto"/>
            <w:hideMark/>
          </w:tcPr>
          <w:p w14:paraId="71619A9B" w14:textId="77777777" w:rsidR="006C7965" w:rsidRPr="00EE7583" w:rsidRDefault="006C7965" w:rsidP="00EE7583">
            <w:pPr>
              <w:pStyle w:val="NoSpacing"/>
              <w:rPr>
                <w:sz w:val="20"/>
                <w:szCs w:val="20"/>
              </w:rPr>
            </w:pPr>
          </w:p>
        </w:tc>
        <w:tc>
          <w:tcPr>
            <w:tcW w:w="0" w:type="auto"/>
            <w:hideMark/>
          </w:tcPr>
          <w:p w14:paraId="48751715" w14:textId="77777777" w:rsidR="006C7965" w:rsidRPr="00EE7583" w:rsidRDefault="006C7965" w:rsidP="00EE7583">
            <w:pPr>
              <w:pStyle w:val="NoSpacing"/>
              <w:rPr>
                <w:sz w:val="20"/>
                <w:szCs w:val="20"/>
              </w:rPr>
            </w:pPr>
          </w:p>
        </w:tc>
        <w:tc>
          <w:tcPr>
            <w:tcW w:w="0" w:type="auto"/>
            <w:hideMark/>
          </w:tcPr>
          <w:p w14:paraId="4F035453" w14:textId="77777777" w:rsidR="006C7965" w:rsidRPr="00EE7583" w:rsidRDefault="006C7965" w:rsidP="00EE7583">
            <w:pPr>
              <w:pStyle w:val="NoSpacing"/>
              <w:rPr>
                <w:sz w:val="20"/>
                <w:szCs w:val="20"/>
              </w:rPr>
            </w:pPr>
          </w:p>
        </w:tc>
        <w:tc>
          <w:tcPr>
            <w:tcW w:w="0" w:type="auto"/>
            <w:hideMark/>
          </w:tcPr>
          <w:p w14:paraId="4DC6C9DF" w14:textId="77777777" w:rsidR="006C7965" w:rsidRPr="00EE7583" w:rsidRDefault="006C7965" w:rsidP="00EE7583">
            <w:pPr>
              <w:pStyle w:val="NoSpacing"/>
              <w:rPr>
                <w:sz w:val="20"/>
                <w:szCs w:val="20"/>
              </w:rPr>
            </w:pPr>
          </w:p>
        </w:tc>
        <w:tc>
          <w:tcPr>
            <w:tcW w:w="0" w:type="auto"/>
            <w:hideMark/>
          </w:tcPr>
          <w:p w14:paraId="5E3B420F" w14:textId="77777777" w:rsidR="006C7965" w:rsidRPr="00EE7583" w:rsidRDefault="006C7965" w:rsidP="00EE7583">
            <w:pPr>
              <w:pStyle w:val="NoSpacing"/>
              <w:rPr>
                <w:sz w:val="20"/>
                <w:szCs w:val="20"/>
              </w:rPr>
            </w:pPr>
          </w:p>
        </w:tc>
        <w:tc>
          <w:tcPr>
            <w:tcW w:w="0" w:type="auto"/>
            <w:hideMark/>
          </w:tcPr>
          <w:p w14:paraId="22620F52" w14:textId="77777777" w:rsidR="006C7965" w:rsidRPr="00EE7583" w:rsidRDefault="006C7965" w:rsidP="00EE7583">
            <w:pPr>
              <w:pStyle w:val="NoSpacing"/>
              <w:rPr>
                <w:sz w:val="20"/>
                <w:szCs w:val="20"/>
              </w:rPr>
            </w:pPr>
          </w:p>
        </w:tc>
        <w:tc>
          <w:tcPr>
            <w:tcW w:w="0" w:type="auto"/>
            <w:hideMark/>
          </w:tcPr>
          <w:p w14:paraId="26F27669" w14:textId="77777777" w:rsidR="006C7965" w:rsidRPr="00EE7583" w:rsidRDefault="006C7965" w:rsidP="00EE7583">
            <w:pPr>
              <w:pStyle w:val="NoSpacing"/>
              <w:rPr>
                <w:sz w:val="20"/>
                <w:szCs w:val="20"/>
              </w:rPr>
            </w:pPr>
          </w:p>
        </w:tc>
        <w:tc>
          <w:tcPr>
            <w:tcW w:w="0" w:type="auto"/>
            <w:hideMark/>
          </w:tcPr>
          <w:p w14:paraId="3EB567C5" w14:textId="77777777" w:rsidR="006C7965" w:rsidRPr="00EE7583" w:rsidRDefault="006C7965" w:rsidP="00EE7583">
            <w:pPr>
              <w:pStyle w:val="NoSpacing"/>
              <w:rPr>
                <w:sz w:val="20"/>
                <w:szCs w:val="20"/>
              </w:rPr>
            </w:pPr>
          </w:p>
        </w:tc>
        <w:tc>
          <w:tcPr>
            <w:tcW w:w="0" w:type="auto"/>
            <w:hideMark/>
          </w:tcPr>
          <w:p w14:paraId="505AD14C" w14:textId="77777777" w:rsidR="006C7965" w:rsidRPr="00EE7583" w:rsidRDefault="006C7965" w:rsidP="00EE7583">
            <w:pPr>
              <w:pStyle w:val="NoSpacing"/>
              <w:rPr>
                <w:sz w:val="20"/>
                <w:szCs w:val="20"/>
              </w:rPr>
            </w:pPr>
          </w:p>
        </w:tc>
        <w:tc>
          <w:tcPr>
            <w:tcW w:w="0" w:type="auto"/>
            <w:hideMark/>
          </w:tcPr>
          <w:p w14:paraId="471C3D8E" w14:textId="77777777" w:rsidR="006C7965" w:rsidRPr="00EE7583" w:rsidRDefault="006C7965" w:rsidP="00EE7583">
            <w:pPr>
              <w:pStyle w:val="NoSpacing"/>
              <w:rPr>
                <w:sz w:val="20"/>
                <w:szCs w:val="20"/>
              </w:rPr>
            </w:pPr>
          </w:p>
        </w:tc>
      </w:tr>
      <w:tr w:rsidR="00EE7583" w:rsidRPr="00EE7583" w14:paraId="78AC1A54" w14:textId="77777777" w:rsidTr="00644598">
        <w:tc>
          <w:tcPr>
            <w:tcW w:w="0" w:type="auto"/>
            <w:hideMark/>
          </w:tcPr>
          <w:p w14:paraId="39394249" w14:textId="77777777" w:rsidR="006C7965" w:rsidRPr="00EE7583" w:rsidRDefault="006C7965" w:rsidP="00EE7583">
            <w:pPr>
              <w:pStyle w:val="NoSpacing"/>
              <w:rPr>
                <w:sz w:val="20"/>
                <w:szCs w:val="20"/>
              </w:rPr>
            </w:pPr>
            <w:r w:rsidRPr="00EE7583">
              <w:rPr>
                <w:sz w:val="20"/>
                <w:szCs w:val="20"/>
              </w:rPr>
              <w:t>9 Bond rating</w:t>
            </w:r>
          </w:p>
        </w:tc>
        <w:tc>
          <w:tcPr>
            <w:tcW w:w="0" w:type="auto"/>
            <w:hideMark/>
          </w:tcPr>
          <w:p w14:paraId="64B0CB8D" w14:textId="77777777" w:rsidR="006C7965" w:rsidRPr="00EE7583" w:rsidRDefault="006C7965" w:rsidP="00EE7583">
            <w:pPr>
              <w:pStyle w:val="NoSpacing"/>
              <w:rPr>
                <w:sz w:val="20"/>
                <w:szCs w:val="20"/>
              </w:rPr>
            </w:pPr>
            <w:r w:rsidRPr="00EE7583">
              <w:rPr>
                <w:sz w:val="20"/>
                <w:szCs w:val="20"/>
              </w:rPr>
              <w:t>0.16*</w:t>
            </w:r>
          </w:p>
        </w:tc>
        <w:tc>
          <w:tcPr>
            <w:tcW w:w="0" w:type="auto"/>
            <w:hideMark/>
          </w:tcPr>
          <w:p w14:paraId="6D7DC2AD" w14:textId="77777777" w:rsidR="006C7965" w:rsidRPr="00EE7583" w:rsidRDefault="006C7965" w:rsidP="00EE7583">
            <w:pPr>
              <w:pStyle w:val="NoSpacing"/>
              <w:rPr>
                <w:sz w:val="20"/>
                <w:szCs w:val="20"/>
              </w:rPr>
            </w:pPr>
            <w:r w:rsidRPr="00EE7583">
              <w:rPr>
                <w:sz w:val="20"/>
                <w:szCs w:val="20"/>
              </w:rPr>
              <w:t>−0.15*</w:t>
            </w:r>
          </w:p>
        </w:tc>
        <w:tc>
          <w:tcPr>
            <w:tcW w:w="0" w:type="auto"/>
            <w:hideMark/>
          </w:tcPr>
          <w:p w14:paraId="0CA25A9E" w14:textId="77777777" w:rsidR="006C7965" w:rsidRPr="00EE7583" w:rsidRDefault="006C7965" w:rsidP="00EE7583">
            <w:pPr>
              <w:pStyle w:val="NoSpacing"/>
              <w:rPr>
                <w:sz w:val="20"/>
                <w:szCs w:val="20"/>
              </w:rPr>
            </w:pPr>
            <w:r w:rsidRPr="00EE7583">
              <w:rPr>
                <w:sz w:val="20"/>
                <w:szCs w:val="20"/>
              </w:rPr>
              <w:t>0.13*</w:t>
            </w:r>
          </w:p>
        </w:tc>
        <w:tc>
          <w:tcPr>
            <w:tcW w:w="0" w:type="auto"/>
            <w:hideMark/>
          </w:tcPr>
          <w:p w14:paraId="4B7B04F0" w14:textId="77777777" w:rsidR="006C7965" w:rsidRPr="00EE7583" w:rsidRDefault="006C7965" w:rsidP="00EE7583">
            <w:pPr>
              <w:pStyle w:val="NoSpacing"/>
              <w:rPr>
                <w:sz w:val="20"/>
                <w:szCs w:val="20"/>
              </w:rPr>
            </w:pPr>
            <w:r w:rsidRPr="00EE7583">
              <w:rPr>
                <w:sz w:val="20"/>
                <w:szCs w:val="20"/>
              </w:rPr>
              <w:t>−0.27*</w:t>
            </w:r>
          </w:p>
        </w:tc>
        <w:tc>
          <w:tcPr>
            <w:tcW w:w="0" w:type="auto"/>
            <w:hideMark/>
          </w:tcPr>
          <w:p w14:paraId="4979451A" w14:textId="77777777" w:rsidR="006C7965" w:rsidRPr="00EE7583" w:rsidRDefault="006C7965" w:rsidP="00EE7583">
            <w:pPr>
              <w:pStyle w:val="NoSpacing"/>
              <w:rPr>
                <w:sz w:val="20"/>
                <w:szCs w:val="20"/>
              </w:rPr>
            </w:pPr>
            <w:r w:rsidRPr="00EE7583">
              <w:rPr>
                <w:sz w:val="20"/>
                <w:szCs w:val="20"/>
              </w:rPr>
              <w:t>−0.04</w:t>
            </w:r>
          </w:p>
        </w:tc>
        <w:tc>
          <w:tcPr>
            <w:tcW w:w="0" w:type="auto"/>
            <w:hideMark/>
          </w:tcPr>
          <w:p w14:paraId="4C5CCF16" w14:textId="77777777" w:rsidR="006C7965" w:rsidRPr="00EE7583" w:rsidRDefault="006C7965" w:rsidP="00EE7583">
            <w:pPr>
              <w:pStyle w:val="NoSpacing"/>
              <w:rPr>
                <w:sz w:val="20"/>
                <w:szCs w:val="20"/>
              </w:rPr>
            </w:pPr>
            <w:r w:rsidRPr="00EE7583">
              <w:rPr>
                <w:sz w:val="20"/>
                <w:szCs w:val="20"/>
              </w:rPr>
              <w:t>0.06</w:t>
            </w:r>
          </w:p>
        </w:tc>
        <w:tc>
          <w:tcPr>
            <w:tcW w:w="0" w:type="auto"/>
            <w:hideMark/>
          </w:tcPr>
          <w:p w14:paraId="1F815443" w14:textId="77777777" w:rsidR="006C7965" w:rsidRPr="00EE7583" w:rsidRDefault="006C7965" w:rsidP="00EE7583">
            <w:pPr>
              <w:pStyle w:val="NoSpacing"/>
              <w:rPr>
                <w:sz w:val="20"/>
                <w:szCs w:val="20"/>
              </w:rPr>
            </w:pPr>
            <w:r w:rsidRPr="00EE7583">
              <w:rPr>
                <w:sz w:val="20"/>
                <w:szCs w:val="20"/>
              </w:rPr>
              <w:t>−0.12</w:t>
            </w:r>
          </w:p>
        </w:tc>
        <w:tc>
          <w:tcPr>
            <w:tcW w:w="0" w:type="auto"/>
            <w:hideMark/>
          </w:tcPr>
          <w:p w14:paraId="3F8A5CF1" w14:textId="77777777" w:rsidR="006C7965" w:rsidRPr="00EE7583" w:rsidRDefault="006C7965" w:rsidP="00EE7583">
            <w:pPr>
              <w:pStyle w:val="NoSpacing"/>
              <w:rPr>
                <w:sz w:val="20"/>
                <w:szCs w:val="20"/>
              </w:rPr>
            </w:pPr>
            <w:r w:rsidRPr="00EE7583">
              <w:rPr>
                <w:sz w:val="20"/>
                <w:szCs w:val="20"/>
              </w:rPr>
              <w:t>0.39*</w:t>
            </w:r>
          </w:p>
        </w:tc>
        <w:tc>
          <w:tcPr>
            <w:tcW w:w="0" w:type="auto"/>
            <w:hideMark/>
          </w:tcPr>
          <w:p w14:paraId="3A1C51C8" w14:textId="77777777" w:rsidR="006C7965" w:rsidRPr="00EE7583" w:rsidRDefault="006C7965" w:rsidP="00EE7583">
            <w:pPr>
              <w:pStyle w:val="NoSpacing"/>
              <w:rPr>
                <w:sz w:val="20"/>
                <w:szCs w:val="20"/>
              </w:rPr>
            </w:pPr>
            <w:r w:rsidRPr="00EE7583">
              <w:rPr>
                <w:sz w:val="20"/>
                <w:szCs w:val="20"/>
              </w:rPr>
              <w:t>1.00</w:t>
            </w:r>
          </w:p>
        </w:tc>
        <w:tc>
          <w:tcPr>
            <w:tcW w:w="0" w:type="auto"/>
            <w:hideMark/>
          </w:tcPr>
          <w:p w14:paraId="6B7A4364" w14:textId="77777777" w:rsidR="006C7965" w:rsidRPr="00EE7583" w:rsidRDefault="006C7965" w:rsidP="00EE7583">
            <w:pPr>
              <w:pStyle w:val="NoSpacing"/>
              <w:rPr>
                <w:sz w:val="20"/>
                <w:szCs w:val="20"/>
              </w:rPr>
            </w:pPr>
          </w:p>
        </w:tc>
        <w:tc>
          <w:tcPr>
            <w:tcW w:w="0" w:type="auto"/>
            <w:hideMark/>
          </w:tcPr>
          <w:p w14:paraId="4C783615" w14:textId="77777777" w:rsidR="006C7965" w:rsidRPr="00EE7583" w:rsidRDefault="006C7965" w:rsidP="00EE7583">
            <w:pPr>
              <w:pStyle w:val="NoSpacing"/>
              <w:rPr>
                <w:sz w:val="20"/>
                <w:szCs w:val="20"/>
              </w:rPr>
            </w:pPr>
          </w:p>
        </w:tc>
        <w:tc>
          <w:tcPr>
            <w:tcW w:w="0" w:type="auto"/>
            <w:hideMark/>
          </w:tcPr>
          <w:p w14:paraId="3ABFAD0E" w14:textId="77777777" w:rsidR="006C7965" w:rsidRPr="00EE7583" w:rsidRDefault="006C7965" w:rsidP="00EE7583">
            <w:pPr>
              <w:pStyle w:val="NoSpacing"/>
              <w:rPr>
                <w:sz w:val="20"/>
                <w:szCs w:val="20"/>
              </w:rPr>
            </w:pPr>
          </w:p>
        </w:tc>
        <w:tc>
          <w:tcPr>
            <w:tcW w:w="0" w:type="auto"/>
            <w:hideMark/>
          </w:tcPr>
          <w:p w14:paraId="665EBB5D" w14:textId="77777777" w:rsidR="006C7965" w:rsidRPr="00EE7583" w:rsidRDefault="006C7965" w:rsidP="00EE7583">
            <w:pPr>
              <w:pStyle w:val="NoSpacing"/>
              <w:rPr>
                <w:sz w:val="20"/>
                <w:szCs w:val="20"/>
              </w:rPr>
            </w:pPr>
          </w:p>
        </w:tc>
        <w:tc>
          <w:tcPr>
            <w:tcW w:w="0" w:type="auto"/>
            <w:hideMark/>
          </w:tcPr>
          <w:p w14:paraId="5B46D159" w14:textId="77777777" w:rsidR="006C7965" w:rsidRPr="00EE7583" w:rsidRDefault="006C7965" w:rsidP="00EE7583">
            <w:pPr>
              <w:pStyle w:val="NoSpacing"/>
              <w:rPr>
                <w:sz w:val="20"/>
                <w:szCs w:val="20"/>
              </w:rPr>
            </w:pPr>
          </w:p>
        </w:tc>
        <w:tc>
          <w:tcPr>
            <w:tcW w:w="0" w:type="auto"/>
            <w:hideMark/>
          </w:tcPr>
          <w:p w14:paraId="46DA391F" w14:textId="77777777" w:rsidR="006C7965" w:rsidRPr="00EE7583" w:rsidRDefault="006C7965" w:rsidP="00EE7583">
            <w:pPr>
              <w:pStyle w:val="NoSpacing"/>
              <w:rPr>
                <w:sz w:val="20"/>
                <w:szCs w:val="20"/>
              </w:rPr>
            </w:pPr>
          </w:p>
        </w:tc>
        <w:tc>
          <w:tcPr>
            <w:tcW w:w="0" w:type="auto"/>
            <w:hideMark/>
          </w:tcPr>
          <w:p w14:paraId="3CCE226B" w14:textId="77777777" w:rsidR="006C7965" w:rsidRPr="00EE7583" w:rsidRDefault="006C7965" w:rsidP="00EE7583">
            <w:pPr>
              <w:pStyle w:val="NoSpacing"/>
              <w:rPr>
                <w:sz w:val="20"/>
                <w:szCs w:val="20"/>
              </w:rPr>
            </w:pPr>
          </w:p>
        </w:tc>
        <w:tc>
          <w:tcPr>
            <w:tcW w:w="0" w:type="auto"/>
            <w:hideMark/>
          </w:tcPr>
          <w:p w14:paraId="4B0B39A3" w14:textId="77777777" w:rsidR="006C7965" w:rsidRPr="00EE7583" w:rsidRDefault="006C7965" w:rsidP="00EE7583">
            <w:pPr>
              <w:pStyle w:val="NoSpacing"/>
              <w:rPr>
                <w:sz w:val="20"/>
                <w:szCs w:val="20"/>
              </w:rPr>
            </w:pPr>
          </w:p>
        </w:tc>
        <w:tc>
          <w:tcPr>
            <w:tcW w:w="0" w:type="auto"/>
            <w:hideMark/>
          </w:tcPr>
          <w:p w14:paraId="08AF0918" w14:textId="77777777" w:rsidR="006C7965" w:rsidRPr="00EE7583" w:rsidRDefault="006C7965" w:rsidP="00EE7583">
            <w:pPr>
              <w:pStyle w:val="NoSpacing"/>
              <w:rPr>
                <w:sz w:val="20"/>
                <w:szCs w:val="20"/>
              </w:rPr>
            </w:pPr>
          </w:p>
        </w:tc>
        <w:tc>
          <w:tcPr>
            <w:tcW w:w="0" w:type="auto"/>
            <w:hideMark/>
          </w:tcPr>
          <w:p w14:paraId="3DFCA041" w14:textId="77777777" w:rsidR="006C7965" w:rsidRPr="00EE7583" w:rsidRDefault="006C7965" w:rsidP="00EE7583">
            <w:pPr>
              <w:pStyle w:val="NoSpacing"/>
              <w:rPr>
                <w:sz w:val="20"/>
                <w:szCs w:val="20"/>
              </w:rPr>
            </w:pPr>
          </w:p>
        </w:tc>
        <w:tc>
          <w:tcPr>
            <w:tcW w:w="0" w:type="auto"/>
            <w:hideMark/>
          </w:tcPr>
          <w:p w14:paraId="1F9CC2D8" w14:textId="77777777" w:rsidR="006C7965" w:rsidRPr="00EE7583" w:rsidRDefault="006C7965" w:rsidP="00EE7583">
            <w:pPr>
              <w:pStyle w:val="NoSpacing"/>
              <w:rPr>
                <w:sz w:val="20"/>
                <w:szCs w:val="20"/>
              </w:rPr>
            </w:pPr>
          </w:p>
        </w:tc>
        <w:tc>
          <w:tcPr>
            <w:tcW w:w="0" w:type="auto"/>
            <w:hideMark/>
          </w:tcPr>
          <w:p w14:paraId="5BEB9B27" w14:textId="77777777" w:rsidR="006C7965" w:rsidRPr="00EE7583" w:rsidRDefault="006C7965" w:rsidP="00EE7583">
            <w:pPr>
              <w:pStyle w:val="NoSpacing"/>
              <w:rPr>
                <w:sz w:val="20"/>
                <w:szCs w:val="20"/>
              </w:rPr>
            </w:pPr>
          </w:p>
        </w:tc>
      </w:tr>
      <w:tr w:rsidR="006C7965" w:rsidRPr="00EE7583" w14:paraId="1D650104" w14:textId="77777777" w:rsidTr="00644598">
        <w:tc>
          <w:tcPr>
            <w:tcW w:w="0" w:type="auto"/>
            <w:hideMark/>
          </w:tcPr>
          <w:p w14:paraId="7D7B0FAF" w14:textId="77777777" w:rsidR="006C7965" w:rsidRPr="00EE7583" w:rsidRDefault="006C7965" w:rsidP="00EE7583">
            <w:pPr>
              <w:pStyle w:val="NoSpacing"/>
              <w:rPr>
                <w:sz w:val="20"/>
                <w:szCs w:val="20"/>
              </w:rPr>
            </w:pPr>
            <w:r w:rsidRPr="00EE7583">
              <w:rPr>
                <w:sz w:val="20"/>
                <w:szCs w:val="20"/>
              </w:rPr>
              <w:t>10 Bond buyer index</w:t>
            </w:r>
          </w:p>
        </w:tc>
        <w:tc>
          <w:tcPr>
            <w:tcW w:w="0" w:type="auto"/>
            <w:hideMark/>
          </w:tcPr>
          <w:p w14:paraId="7515A07C" w14:textId="77777777" w:rsidR="006C7965" w:rsidRPr="00EE7583" w:rsidRDefault="006C7965" w:rsidP="00EE7583">
            <w:pPr>
              <w:pStyle w:val="NoSpacing"/>
              <w:rPr>
                <w:sz w:val="20"/>
                <w:szCs w:val="20"/>
              </w:rPr>
            </w:pPr>
            <w:r w:rsidRPr="00EE7583">
              <w:rPr>
                <w:sz w:val="20"/>
                <w:szCs w:val="20"/>
              </w:rPr>
              <w:t>0.41*</w:t>
            </w:r>
          </w:p>
        </w:tc>
        <w:tc>
          <w:tcPr>
            <w:tcW w:w="0" w:type="auto"/>
            <w:hideMark/>
          </w:tcPr>
          <w:p w14:paraId="59BAB53F" w14:textId="77777777" w:rsidR="006C7965" w:rsidRPr="00EE7583" w:rsidRDefault="006C7965" w:rsidP="00EE7583">
            <w:pPr>
              <w:pStyle w:val="NoSpacing"/>
              <w:rPr>
                <w:sz w:val="20"/>
                <w:szCs w:val="20"/>
              </w:rPr>
            </w:pPr>
            <w:r w:rsidRPr="00EE7583">
              <w:rPr>
                <w:sz w:val="20"/>
                <w:szCs w:val="20"/>
              </w:rPr>
              <w:t>−0.02</w:t>
            </w:r>
          </w:p>
        </w:tc>
        <w:tc>
          <w:tcPr>
            <w:tcW w:w="0" w:type="auto"/>
            <w:hideMark/>
          </w:tcPr>
          <w:p w14:paraId="6AC829FF" w14:textId="77777777" w:rsidR="006C7965" w:rsidRPr="00EE7583" w:rsidRDefault="006C7965" w:rsidP="00EE7583">
            <w:pPr>
              <w:pStyle w:val="NoSpacing"/>
              <w:rPr>
                <w:sz w:val="20"/>
                <w:szCs w:val="20"/>
              </w:rPr>
            </w:pPr>
            <w:r w:rsidRPr="00EE7583">
              <w:rPr>
                <w:sz w:val="20"/>
                <w:szCs w:val="20"/>
              </w:rPr>
              <w:t>−0.16*</w:t>
            </w:r>
          </w:p>
        </w:tc>
        <w:tc>
          <w:tcPr>
            <w:tcW w:w="0" w:type="auto"/>
            <w:hideMark/>
          </w:tcPr>
          <w:p w14:paraId="1BFFFBFF" w14:textId="77777777" w:rsidR="006C7965" w:rsidRPr="00EE7583" w:rsidRDefault="006C7965" w:rsidP="00EE7583">
            <w:pPr>
              <w:pStyle w:val="NoSpacing"/>
              <w:rPr>
                <w:sz w:val="20"/>
                <w:szCs w:val="20"/>
              </w:rPr>
            </w:pPr>
            <w:r w:rsidRPr="00EE7583">
              <w:rPr>
                <w:sz w:val="20"/>
                <w:szCs w:val="20"/>
              </w:rPr>
              <w:t>−0.45*</w:t>
            </w:r>
          </w:p>
        </w:tc>
        <w:tc>
          <w:tcPr>
            <w:tcW w:w="0" w:type="auto"/>
            <w:hideMark/>
          </w:tcPr>
          <w:p w14:paraId="46732FE4" w14:textId="77777777" w:rsidR="006C7965" w:rsidRPr="00EE7583" w:rsidRDefault="006C7965" w:rsidP="00EE7583">
            <w:pPr>
              <w:pStyle w:val="NoSpacing"/>
              <w:rPr>
                <w:sz w:val="20"/>
                <w:szCs w:val="20"/>
              </w:rPr>
            </w:pPr>
            <w:r w:rsidRPr="00EE7583">
              <w:rPr>
                <w:sz w:val="20"/>
                <w:szCs w:val="20"/>
              </w:rPr>
              <w:t>0.04</w:t>
            </w:r>
          </w:p>
        </w:tc>
        <w:tc>
          <w:tcPr>
            <w:tcW w:w="0" w:type="auto"/>
            <w:hideMark/>
          </w:tcPr>
          <w:p w14:paraId="4C0117E4" w14:textId="77777777" w:rsidR="006C7965" w:rsidRPr="00EE7583" w:rsidRDefault="006C7965" w:rsidP="00EE7583">
            <w:pPr>
              <w:pStyle w:val="NoSpacing"/>
              <w:rPr>
                <w:sz w:val="20"/>
                <w:szCs w:val="20"/>
              </w:rPr>
            </w:pPr>
            <w:r w:rsidRPr="00EE7583">
              <w:rPr>
                <w:sz w:val="20"/>
                <w:szCs w:val="20"/>
              </w:rPr>
              <w:t>0.05</w:t>
            </w:r>
          </w:p>
        </w:tc>
        <w:tc>
          <w:tcPr>
            <w:tcW w:w="0" w:type="auto"/>
            <w:hideMark/>
          </w:tcPr>
          <w:p w14:paraId="60FE6C67" w14:textId="77777777" w:rsidR="006C7965" w:rsidRPr="00EE7583" w:rsidRDefault="006C7965" w:rsidP="00EE7583">
            <w:pPr>
              <w:pStyle w:val="NoSpacing"/>
              <w:rPr>
                <w:sz w:val="20"/>
                <w:szCs w:val="20"/>
              </w:rPr>
            </w:pPr>
            <w:r w:rsidRPr="00EE7583">
              <w:rPr>
                <w:sz w:val="20"/>
                <w:szCs w:val="20"/>
              </w:rPr>
              <w:t>0.02*</w:t>
            </w:r>
          </w:p>
        </w:tc>
        <w:tc>
          <w:tcPr>
            <w:tcW w:w="0" w:type="auto"/>
            <w:hideMark/>
          </w:tcPr>
          <w:p w14:paraId="1B919ECF" w14:textId="77777777" w:rsidR="006C7965" w:rsidRPr="00EE7583" w:rsidRDefault="006C7965" w:rsidP="00EE7583">
            <w:pPr>
              <w:pStyle w:val="NoSpacing"/>
              <w:rPr>
                <w:sz w:val="20"/>
                <w:szCs w:val="20"/>
              </w:rPr>
            </w:pPr>
            <w:r w:rsidRPr="00EE7583">
              <w:rPr>
                <w:sz w:val="20"/>
                <w:szCs w:val="20"/>
              </w:rPr>
              <w:t>−0.02</w:t>
            </w:r>
          </w:p>
        </w:tc>
        <w:tc>
          <w:tcPr>
            <w:tcW w:w="0" w:type="auto"/>
            <w:hideMark/>
          </w:tcPr>
          <w:p w14:paraId="3C863A8C" w14:textId="77777777" w:rsidR="006C7965" w:rsidRPr="00EE7583" w:rsidRDefault="006C7965" w:rsidP="00EE7583">
            <w:pPr>
              <w:pStyle w:val="NoSpacing"/>
              <w:rPr>
                <w:sz w:val="20"/>
                <w:szCs w:val="20"/>
              </w:rPr>
            </w:pPr>
            <w:r w:rsidRPr="00EE7583">
              <w:rPr>
                <w:sz w:val="20"/>
                <w:szCs w:val="20"/>
              </w:rPr>
              <w:t>0.06</w:t>
            </w:r>
          </w:p>
        </w:tc>
        <w:tc>
          <w:tcPr>
            <w:tcW w:w="0" w:type="auto"/>
            <w:hideMark/>
          </w:tcPr>
          <w:p w14:paraId="0480F46A" w14:textId="77777777" w:rsidR="006C7965" w:rsidRPr="00EE7583" w:rsidRDefault="006C7965" w:rsidP="00EE7583">
            <w:pPr>
              <w:pStyle w:val="NoSpacing"/>
              <w:rPr>
                <w:sz w:val="20"/>
                <w:szCs w:val="20"/>
              </w:rPr>
            </w:pPr>
            <w:r w:rsidRPr="00EE7583">
              <w:rPr>
                <w:sz w:val="20"/>
                <w:szCs w:val="20"/>
              </w:rPr>
              <w:t>1.00</w:t>
            </w:r>
          </w:p>
        </w:tc>
        <w:tc>
          <w:tcPr>
            <w:tcW w:w="0" w:type="auto"/>
            <w:hideMark/>
          </w:tcPr>
          <w:p w14:paraId="622D3B08" w14:textId="77777777" w:rsidR="006C7965" w:rsidRPr="00EE7583" w:rsidRDefault="006C7965" w:rsidP="00EE7583">
            <w:pPr>
              <w:pStyle w:val="NoSpacing"/>
              <w:rPr>
                <w:sz w:val="20"/>
                <w:szCs w:val="20"/>
              </w:rPr>
            </w:pPr>
          </w:p>
        </w:tc>
        <w:tc>
          <w:tcPr>
            <w:tcW w:w="0" w:type="auto"/>
            <w:hideMark/>
          </w:tcPr>
          <w:p w14:paraId="7C3E8868" w14:textId="77777777" w:rsidR="006C7965" w:rsidRPr="00EE7583" w:rsidRDefault="006C7965" w:rsidP="00EE7583">
            <w:pPr>
              <w:pStyle w:val="NoSpacing"/>
              <w:rPr>
                <w:sz w:val="20"/>
                <w:szCs w:val="20"/>
              </w:rPr>
            </w:pPr>
          </w:p>
        </w:tc>
        <w:tc>
          <w:tcPr>
            <w:tcW w:w="0" w:type="auto"/>
            <w:hideMark/>
          </w:tcPr>
          <w:p w14:paraId="0603EA35" w14:textId="77777777" w:rsidR="006C7965" w:rsidRPr="00EE7583" w:rsidRDefault="006C7965" w:rsidP="00EE7583">
            <w:pPr>
              <w:pStyle w:val="NoSpacing"/>
              <w:rPr>
                <w:sz w:val="20"/>
                <w:szCs w:val="20"/>
              </w:rPr>
            </w:pPr>
          </w:p>
        </w:tc>
        <w:tc>
          <w:tcPr>
            <w:tcW w:w="0" w:type="auto"/>
            <w:hideMark/>
          </w:tcPr>
          <w:p w14:paraId="5F3CA06F" w14:textId="77777777" w:rsidR="006C7965" w:rsidRPr="00EE7583" w:rsidRDefault="006C7965" w:rsidP="00EE7583">
            <w:pPr>
              <w:pStyle w:val="NoSpacing"/>
              <w:rPr>
                <w:sz w:val="20"/>
                <w:szCs w:val="20"/>
              </w:rPr>
            </w:pPr>
          </w:p>
        </w:tc>
        <w:tc>
          <w:tcPr>
            <w:tcW w:w="0" w:type="auto"/>
            <w:hideMark/>
          </w:tcPr>
          <w:p w14:paraId="33E3B078" w14:textId="77777777" w:rsidR="006C7965" w:rsidRPr="00EE7583" w:rsidRDefault="006C7965" w:rsidP="00EE7583">
            <w:pPr>
              <w:pStyle w:val="NoSpacing"/>
              <w:rPr>
                <w:sz w:val="20"/>
                <w:szCs w:val="20"/>
              </w:rPr>
            </w:pPr>
          </w:p>
        </w:tc>
        <w:tc>
          <w:tcPr>
            <w:tcW w:w="0" w:type="auto"/>
            <w:hideMark/>
          </w:tcPr>
          <w:p w14:paraId="40F5C5E2" w14:textId="77777777" w:rsidR="006C7965" w:rsidRPr="00EE7583" w:rsidRDefault="006C7965" w:rsidP="00EE7583">
            <w:pPr>
              <w:pStyle w:val="NoSpacing"/>
              <w:rPr>
                <w:sz w:val="20"/>
                <w:szCs w:val="20"/>
              </w:rPr>
            </w:pPr>
          </w:p>
        </w:tc>
        <w:tc>
          <w:tcPr>
            <w:tcW w:w="0" w:type="auto"/>
            <w:hideMark/>
          </w:tcPr>
          <w:p w14:paraId="2FB54439" w14:textId="77777777" w:rsidR="006C7965" w:rsidRPr="00EE7583" w:rsidRDefault="006C7965" w:rsidP="00EE7583">
            <w:pPr>
              <w:pStyle w:val="NoSpacing"/>
              <w:rPr>
                <w:sz w:val="20"/>
                <w:szCs w:val="20"/>
              </w:rPr>
            </w:pPr>
          </w:p>
        </w:tc>
        <w:tc>
          <w:tcPr>
            <w:tcW w:w="0" w:type="auto"/>
            <w:hideMark/>
          </w:tcPr>
          <w:p w14:paraId="5806FF5E" w14:textId="77777777" w:rsidR="006C7965" w:rsidRPr="00EE7583" w:rsidRDefault="006C7965" w:rsidP="00EE7583">
            <w:pPr>
              <w:pStyle w:val="NoSpacing"/>
              <w:rPr>
                <w:sz w:val="20"/>
                <w:szCs w:val="20"/>
              </w:rPr>
            </w:pPr>
          </w:p>
        </w:tc>
        <w:tc>
          <w:tcPr>
            <w:tcW w:w="0" w:type="auto"/>
            <w:hideMark/>
          </w:tcPr>
          <w:p w14:paraId="1F7FAFFD" w14:textId="77777777" w:rsidR="006C7965" w:rsidRPr="00EE7583" w:rsidRDefault="006C7965" w:rsidP="00EE7583">
            <w:pPr>
              <w:pStyle w:val="NoSpacing"/>
              <w:rPr>
                <w:sz w:val="20"/>
                <w:szCs w:val="20"/>
              </w:rPr>
            </w:pPr>
          </w:p>
        </w:tc>
        <w:tc>
          <w:tcPr>
            <w:tcW w:w="0" w:type="auto"/>
            <w:hideMark/>
          </w:tcPr>
          <w:p w14:paraId="008F3389" w14:textId="77777777" w:rsidR="006C7965" w:rsidRPr="00EE7583" w:rsidRDefault="006C7965" w:rsidP="00EE7583">
            <w:pPr>
              <w:pStyle w:val="NoSpacing"/>
              <w:rPr>
                <w:sz w:val="20"/>
                <w:szCs w:val="20"/>
              </w:rPr>
            </w:pPr>
          </w:p>
        </w:tc>
        <w:tc>
          <w:tcPr>
            <w:tcW w:w="0" w:type="auto"/>
            <w:hideMark/>
          </w:tcPr>
          <w:p w14:paraId="10B8D235" w14:textId="77777777" w:rsidR="006C7965" w:rsidRPr="00EE7583" w:rsidRDefault="006C7965" w:rsidP="00EE7583">
            <w:pPr>
              <w:pStyle w:val="NoSpacing"/>
              <w:rPr>
                <w:sz w:val="20"/>
                <w:szCs w:val="20"/>
              </w:rPr>
            </w:pPr>
          </w:p>
        </w:tc>
      </w:tr>
      <w:tr w:rsidR="00EE7583" w:rsidRPr="00EE7583" w14:paraId="0A911103" w14:textId="77777777" w:rsidTr="00644598">
        <w:tc>
          <w:tcPr>
            <w:tcW w:w="0" w:type="auto"/>
            <w:hideMark/>
          </w:tcPr>
          <w:p w14:paraId="46E4B98D" w14:textId="77777777" w:rsidR="006C7965" w:rsidRPr="00EE7583" w:rsidRDefault="006C7965" w:rsidP="00EE7583">
            <w:pPr>
              <w:pStyle w:val="NoSpacing"/>
              <w:rPr>
                <w:sz w:val="20"/>
                <w:szCs w:val="20"/>
              </w:rPr>
            </w:pPr>
            <w:r w:rsidRPr="00EE7583">
              <w:rPr>
                <w:sz w:val="20"/>
                <w:szCs w:val="20"/>
              </w:rPr>
              <w:t>11 Population</w:t>
            </w:r>
          </w:p>
        </w:tc>
        <w:tc>
          <w:tcPr>
            <w:tcW w:w="0" w:type="auto"/>
            <w:hideMark/>
          </w:tcPr>
          <w:p w14:paraId="4FAF362B" w14:textId="77777777" w:rsidR="006C7965" w:rsidRPr="00EE7583" w:rsidRDefault="006C7965" w:rsidP="00EE7583">
            <w:pPr>
              <w:pStyle w:val="NoSpacing"/>
              <w:rPr>
                <w:sz w:val="20"/>
                <w:szCs w:val="20"/>
              </w:rPr>
            </w:pPr>
            <w:r w:rsidRPr="00EE7583">
              <w:rPr>
                <w:sz w:val="20"/>
                <w:szCs w:val="20"/>
              </w:rPr>
              <w:t>0.14*</w:t>
            </w:r>
          </w:p>
        </w:tc>
        <w:tc>
          <w:tcPr>
            <w:tcW w:w="0" w:type="auto"/>
            <w:hideMark/>
          </w:tcPr>
          <w:p w14:paraId="0FBDECFC" w14:textId="77777777" w:rsidR="006C7965" w:rsidRPr="00EE7583" w:rsidRDefault="006C7965" w:rsidP="00EE7583">
            <w:pPr>
              <w:pStyle w:val="NoSpacing"/>
              <w:rPr>
                <w:sz w:val="20"/>
                <w:szCs w:val="20"/>
              </w:rPr>
            </w:pPr>
            <w:r w:rsidRPr="00EE7583">
              <w:rPr>
                <w:sz w:val="20"/>
                <w:szCs w:val="20"/>
              </w:rPr>
              <w:t>−0.04</w:t>
            </w:r>
          </w:p>
        </w:tc>
        <w:tc>
          <w:tcPr>
            <w:tcW w:w="0" w:type="auto"/>
            <w:hideMark/>
          </w:tcPr>
          <w:p w14:paraId="04393F77" w14:textId="77777777" w:rsidR="006C7965" w:rsidRPr="00EE7583" w:rsidRDefault="006C7965" w:rsidP="00EE7583">
            <w:pPr>
              <w:pStyle w:val="NoSpacing"/>
              <w:rPr>
                <w:sz w:val="20"/>
                <w:szCs w:val="20"/>
              </w:rPr>
            </w:pPr>
            <w:r w:rsidRPr="00EE7583">
              <w:rPr>
                <w:sz w:val="20"/>
                <w:szCs w:val="20"/>
              </w:rPr>
              <w:t>0.04</w:t>
            </w:r>
          </w:p>
        </w:tc>
        <w:tc>
          <w:tcPr>
            <w:tcW w:w="0" w:type="auto"/>
            <w:hideMark/>
          </w:tcPr>
          <w:p w14:paraId="23446963" w14:textId="77777777" w:rsidR="006C7965" w:rsidRPr="00EE7583" w:rsidRDefault="006C7965" w:rsidP="00EE7583">
            <w:pPr>
              <w:pStyle w:val="NoSpacing"/>
              <w:rPr>
                <w:sz w:val="20"/>
                <w:szCs w:val="20"/>
              </w:rPr>
            </w:pPr>
            <w:r w:rsidRPr="00EE7583">
              <w:rPr>
                <w:sz w:val="20"/>
                <w:szCs w:val="20"/>
              </w:rPr>
              <w:t>−0.08</w:t>
            </w:r>
          </w:p>
        </w:tc>
        <w:tc>
          <w:tcPr>
            <w:tcW w:w="0" w:type="auto"/>
            <w:hideMark/>
          </w:tcPr>
          <w:p w14:paraId="128BB470" w14:textId="77777777" w:rsidR="006C7965" w:rsidRPr="00EE7583" w:rsidRDefault="006C7965" w:rsidP="00EE7583">
            <w:pPr>
              <w:pStyle w:val="NoSpacing"/>
              <w:rPr>
                <w:sz w:val="20"/>
                <w:szCs w:val="20"/>
              </w:rPr>
            </w:pPr>
            <w:r w:rsidRPr="00EE7583">
              <w:rPr>
                <w:sz w:val="20"/>
                <w:szCs w:val="20"/>
              </w:rPr>
              <w:t>0.50*</w:t>
            </w:r>
          </w:p>
        </w:tc>
        <w:tc>
          <w:tcPr>
            <w:tcW w:w="0" w:type="auto"/>
            <w:hideMark/>
          </w:tcPr>
          <w:p w14:paraId="1495EC61" w14:textId="77777777" w:rsidR="006C7965" w:rsidRPr="00EE7583" w:rsidRDefault="006C7965" w:rsidP="00EE7583">
            <w:pPr>
              <w:pStyle w:val="NoSpacing"/>
              <w:rPr>
                <w:sz w:val="20"/>
                <w:szCs w:val="20"/>
              </w:rPr>
            </w:pPr>
            <w:r w:rsidRPr="00EE7583">
              <w:rPr>
                <w:sz w:val="20"/>
                <w:szCs w:val="20"/>
              </w:rPr>
              <w:t>0.08</w:t>
            </w:r>
          </w:p>
        </w:tc>
        <w:tc>
          <w:tcPr>
            <w:tcW w:w="0" w:type="auto"/>
            <w:hideMark/>
          </w:tcPr>
          <w:p w14:paraId="569A07D9" w14:textId="77777777" w:rsidR="006C7965" w:rsidRPr="00EE7583" w:rsidRDefault="006C7965" w:rsidP="00EE7583">
            <w:pPr>
              <w:pStyle w:val="NoSpacing"/>
              <w:rPr>
                <w:sz w:val="20"/>
                <w:szCs w:val="20"/>
              </w:rPr>
            </w:pPr>
            <w:r w:rsidRPr="00EE7583">
              <w:rPr>
                <w:sz w:val="20"/>
                <w:szCs w:val="20"/>
              </w:rPr>
              <w:t>−0.01*</w:t>
            </w:r>
          </w:p>
        </w:tc>
        <w:tc>
          <w:tcPr>
            <w:tcW w:w="0" w:type="auto"/>
            <w:hideMark/>
          </w:tcPr>
          <w:p w14:paraId="6E2BFC07" w14:textId="77777777" w:rsidR="006C7965" w:rsidRPr="00EE7583" w:rsidRDefault="006C7965" w:rsidP="00EE7583">
            <w:pPr>
              <w:pStyle w:val="NoSpacing"/>
              <w:rPr>
                <w:sz w:val="20"/>
                <w:szCs w:val="20"/>
              </w:rPr>
            </w:pPr>
            <w:r w:rsidRPr="00EE7583">
              <w:rPr>
                <w:sz w:val="20"/>
                <w:szCs w:val="20"/>
              </w:rPr>
              <w:t>−0.03</w:t>
            </w:r>
          </w:p>
        </w:tc>
        <w:tc>
          <w:tcPr>
            <w:tcW w:w="0" w:type="auto"/>
            <w:hideMark/>
          </w:tcPr>
          <w:p w14:paraId="28707D79" w14:textId="77777777" w:rsidR="006C7965" w:rsidRPr="00EE7583" w:rsidRDefault="006C7965" w:rsidP="00EE7583">
            <w:pPr>
              <w:pStyle w:val="NoSpacing"/>
              <w:rPr>
                <w:sz w:val="20"/>
                <w:szCs w:val="20"/>
              </w:rPr>
            </w:pPr>
            <w:r w:rsidRPr="00EE7583">
              <w:rPr>
                <w:sz w:val="20"/>
                <w:szCs w:val="20"/>
              </w:rPr>
              <w:t>−0.19</w:t>
            </w:r>
          </w:p>
        </w:tc>
        <w:tc>
          <w:tcPr>
            <w:tcW w:w="0" w:type="auto"/>
            <w:hideMark/>
          </w:tcPr>
          <w:p w14:paraId="7E8A5834" w14:textId="77777777" w:rsidR="006C7965" w:rsidRPr="00EE7583" w:rsidRDefault="006C7965" w:rsidP="00EE7583">
            <w:pPr>
              <w:pStyle w:val="NoSpacing"/>
              <w:rPr>
                <w:sz w:val="20"/>
                <w:szCs w:val="20"/>
              </w:rPr>
            </w:pPr>
            <w:r w:rsidRPr="00EE7583">
              <w:rPr>
                <w:sz w:val="20"/>
                <w:szCs w:val="20"/>
              </w:rPr>
              <w:t>0.08</w:t>
            </w:r>
          </w:p>
        </w:tc>
        <w:tc>
          <w:tcPr>
            <w:tcW w:w="0" w:type="auto"/>
            <w:hideMark/>
          </w:tcPr>
          <w:p w14:paraId="1C66CD83" w14:textId="77777777" w:rsidR="006C7965" w:rsidRPr="00EE7583" w:rsidRDefault="006C7965" w:rsidP="00EE7583">
            <w:pPr>
              <w:pStyle w:val="NoSpacing"/>
              <w:rPr>
                <w:sz w:val="20"/>
                <w:szCs w:val="20"/>
              </w:rPr>
            </w:pPr>
            <w:r w:rsidRPr="00EE7583">
              <w:rPr>
                <w:sz w:val="20"/>
                <w:szCs w:val="20"/>
              </w:rPr>
              <w:t>1.00</w:t>
            </w:r>
          </w:p>
        </w:tc>
        <w:tc>
          <w:tcPr>
            <w:tcW w:w="0" w:type="auto"/>
            <w:hideMark/>
          </w:tcPr>
          <w:p w14:paraId="2EE6CF91" w14:textId="77777777" w:rsidR="006C7965" w:rsidRPr="00EE7583" w:rsidRDefault="006C7965" w:rsidP="00EE7583">
            <w:pPr>
              <w:pStyle w:val="NoSpacing"/>
              <w:rPr>
                <w:sz w:val="20"/>
                <w:szCs w:val="20"/>
              </w:rPr>
            </w:pPr>
          </w:p>
        </w:tc>
        <w:tc>
          <w:tcPr>
            <w:tcW w:w="0" w:type="auto"/>
            <w:hideMark/>
          </w:tcPr>
          <w:p w14:paraId="67B5B142" w14:textId="77777777" w:rsidR="006C7965" w:rsidRPr="00EE7583" w:rsidRDefault="006C7965" w:rsidP="00EE7583">
            <w:pPr>
              <w:pStyle w:val="NoSpacing"/>
              <w:rPr>
                <w:sz w:val="20"/>
                <w:szCs w:val="20"/>
              </w:rPr>
            </w:pPr>
          </w:p>
        </w:tc>
        <w:tc>
          <w:tcPr>
            <w:tcW w:w="0" w:type="auto"/>
            <w:hideMark/>
          </w:tcPr>
          <w:p w14:paraId="405E2B09" w14:textId="77777777" w:rsidR="006C7965" w:rsidRPr="00EE7583" w:rsidRDefault="006C7965" w:rsidP="00EE7583">
            <w:pPr>
              <w:pStyle w:val="NoSpacing"/>
              <w:rPr>
                <w:sz w:val="20"/>
                <w:szCs w:val="20"/>
              </w:rPr>
            </w:pPr>
          </w:p>
        </w:tc>
        <w:tc>
          <w:tcPr>
            <w:tcW w:w="0" w:type="auto"/>
            <w:hideMark/>
          </w:tcPr>
          <w:p w14:paraId="77A5CDFC" w14:textId="77777777" w:rsidR="006C7965" w:rsidRPr="00EE7583" w:rsidRDefault="006C7965" w:rsidP="00EE7583">
            <w:pPr>
              <w:pStyle w:val="NoSpacing"/>
              <w:rPr>
                <w:sz w:val="20"/>
                <w:szCs w:val="20"/>
              </w:rPr>
            </w:pPr>
          </w:p>
        </w:tc>
        <w:tc>
          <w:tcPr>
            <w:tcW w:w="0" w:type="auto"/>
            <w:hideMark/>
          </w:tcPr>
          <w:p w14:paraId="2EDC34F5" w14:textId="77777777" w:rsidR="006C7965" w:rsidRPr="00EE7583" w:rsidRDefault="006C7965" w:rsidP="00EE7583">
            <w:pPr>
              <w:pStyle w:val="NoSpacing"/>
              <w:rPr>
                <w:sz w:val="20"/>
                <w:szCs w:val="20"/>
              </w:rPr>
            </w:pPr>
          </w:p>
        </w:tc>
        <w:tc>
          <w:tcPr>
            <w:tcW w:w="0" w:type="auto"/>
            <w:hideMark/>
          </w:tcPr>
          <w:p w14:paraId="50E870F2" w14:textId="77777777" w:rsidR="006C7965" w:rsidRPr="00EE7583" w:rsidRDefault="006C7965" w:rsidP="00EE7583">
            <w:pPr>
              <w:pStyle w:val="NoSpacing"/>
              <w:rPr>
                <w:sz w:val="20"/>
                <w:szCs w:val="20"/>
              </w:rPr>
            </w:pPr>
          </w:p>
        </w:tc>
        <w:tc>
          <w:tcPr>
            <w:tcW w:w="0" w:type="auto"/>
            <w:hideMark/>
          </w:tcPr>
          <w:p w14:paraId="0041DADF" w14:textId="77777777" w:rsidR="006C7965" w:rsidRPr="00EE7583" w:rsidRDefault="006C7965" w:rsidP="00EE7583">
            <w:pPr>
              <w:pStyle w:val="NoSpacing"/>
              <w:rPr>
                <w:sz w:val="20"/>
                <w:szCs w:val="20"/>
              </w:rPr>
            </w:pPr>
          </w:p>
        </w:tc>
        <w:tc>
          <w:tcPr>
            <w:tcW w:w="0" w:type="auto"/>
            <w:hideMark/>
          </w:tcPr>
          <w:p w14:paraId="79764026" w14:textId="77777777" w:rsidR="006C7965" w:rsidRPr="00EE7583" w:rsidRDefault="006C7965" w:rsidP="00EE7583">
            <w:pPr>
              <w:pStyle w:val="NoSpacing"/>
              <w:rPr>
                <w:sz w:val="20"/>
                <w:szCs w:val="20"/>
              </w:rPr>
            </w:pPr>
          </w:p>
        </w:tc>
        <w:tc>
          <w:tcPr>
            <w:tcW w:w="0" w:type="auto"/>
            <w:hideMark/>
          </w:tcPr>
          <w:p w14:paraId="4887F947" w14:textId="77777777" w:rsidR="006C7965" w:rsidRPr="00EE7583" w:rsidRDefault="006C7965" w:rsidP="00EE7583">
            <w:pPr>
              <w:pStyle w:val="NoSpacing"/>
              <w:rPr>
                <w:sz w:val="20"/>
                <w:szCs w:val="20"/>
              </w:rPr>
            </w:pPr>
          </w:p>
        </w:tc>
        <w:tc>
          <w:tcPr>
            <w:tcW w:w="0" w:type="auto"/>
            <w:hideMark/>
          </w:tcPr>
          <w:p w14:paraId="2372EA3E" w14:textId="77777777" w:rsidR="006C7965" w:rsidRPr="00EE7583" w:rsidRDefault="006C7965" w:rsidP="00EE7583">
            <w:pPr>
              <w:pStyle w:val="NoSpacing"/>
              <w:rPr>
                <w:sz w:val="20"/>
                <w:szCs w:val="20"/>
              </w:rPr>
            </w:pPr>
          </w:p>
        </w:tc>
      </w:tr>
      <w:tr w:rsidR="006C7965" w:rsidRPr="00EE7583" w14:paraId="4A9B00FB" w14:textId="77777777" w:rsidTr="00644598">
        <w:tc>
          <w:tcPr>
            <w:tcW w:w="0" w:type="auto"/>
            <w:hideMark/>
          </w:tcPr>
          <w:p w14:paraId="7A465450" w14:textId="77777777" w:rsidR="006C7965" w:rsidRPr="00EE7583" w:rsidRDefault="006C7965" w:rsidP="00EE7583">
            <w:pPr>
              <w:pStyle w:val="NoSpacing"/>
              <w:rPr>
                <w:sz w:val="20"/>
                <w:szCs w:val="20"/>
              </w:rPr>
            </w:pPr>
            <w:r w:rsidRPr="00EE7583">
              <w:rPr>
                <w:sz w:val="20"/>
                <w:szCs w:val="20"/>
              </w:rPr>
              <w:t>12 Median income</w:t>
            </w:r>
          </w:p>
        </w:tc>
        <w:tc>
          <w:tcPr>
            <w:tcW w:w="0" w:type="auto"/>
            <w:hideMark/>
          </w:tcPr>
          <w:p w14:paraId="771D720D" w14:textId="77777777" w:rsidR="006C7965" w:rsidRPr="00EE7583" w:rsidRDefault="006C7965" w:rsidP="00EE7583">
            <w:pPr>
              <w:pStyle w:val="NoSpacing"/>
              <w:rPr>
                <w:sz w:val="20"/>
                <w:szCs w:val="20"/>
              </w:rPr>
            </w:pPr>
            <w:r w:rsidRPr="00EE7583">
              <w:rPr>
                <w:sz w:val="20"/>
                <w:szCs w:val="20"/>
              </w:rPr>
              <w:t>0.06</w:t>
            </w:r>
          </w:p>
        </w:tc>
        <w:tc>
          <w:tcPr>
            <w:tcW w:w="0" w:type="auto"/>
            <w:hideMark/>
          </w:tcPr>
          <w:p w14:paraId="3FAD59A1" w14:textId="77777777" w:rsidR="006C7965" w:rsidRPr="00EE7583" w:rsidRDefault="006C7965" w:rsidP="00EE7583">
            <w:pPr>
              <w:pStyle w:val="NoSpacing"/>
              <w:rPr>
                <w:sz w:val="20"/>
                <w:szCs w:val="20"/>
              </w:rPr>
            </w:pPr>
            <w:r w:rsidRPr="00EE7583">
              <w:rPr>
                <w:sz w:val="20"/>
                <w:szCs w:val="20"/>
              </w:rPr>
              <w:t>0.14*</w:t>
            </w:r>
          </w:p>
        </w:tc>
        <w:tc>
          <w:tcPr>
            <w:tcW w:w="0" w:type="auto"/>
            <w:hideMark/>
          </w:tcPr>
          <w:p w14:paraId="78544788" w14:textId="77777777" w:rsidR="006C7965" w:rsidRPr="00EE7583" w:rsidRDefault="006C7965" w:rsidP="00EE7583">
            <w:pPr>
              <w:pStyle w:val="NoSpacing"/>
              <w:rPr>
                <w:sz w:val="20"/>
                <w:szCs w:val="20"/>
              </w:rPr>
            </w:pPr>
            <w:r w:rsidRPr="00EE7583">
              <w:rPr>
                <w:sz w:val="20"/>
                <w:szCs w:val="20"/>
              </w:rPr>
              <w:t>0.17*</w:t>
            </w:r>
          </w:p>
        </w:tc>
        <w:tc>
          <w:tcPr>
            <w:tcW w:w="0" w:type="auto"/>
            <w:hideMark/>
          </w:tcPr>
          <w:p w14:paraId="544928A3" w14:textId="77777777" w:rsidR="006C7965" w:rsidRPr="00EE7583" w:rsidRDefault="006C7965" w:rsidP="00EE7583">
            <w:pPr>
              <w:pStyle w:val="NoSpacing"/>
              <w:rPr>
                <w:sz w:val="20"/>
                <w:szCs w:val="20"/>
              </w:rPr>
            </w:pPr>
            <w:r w:rsidRPr="00EE7583">
              <w:rPr>
                <w:sz w:val="20"/>
                <w:szCs w:val="20"/>
              </w:rPr>
              <w:t>0.16*</w:t>
            </w:r>
          </w:p>
        </w:tc>
        <w:tc>
          <w:tcPr>
            <w:tcW w:w="0" w:type="auto"/>
            <w:hideMark/>
          </w:tcPr>
          <w:p w14:paraId="15A8D55A" w14:textId="77777777" w:rsidR="006C7965" w:rsidRPr="00EE7583" w:rsidRDefault="006C7965" w:rsidP="00EE7583">
            <w:pPr>
              <w:pStyle w:val="NoSpacing"/>
              <w:rPr>
                <w:sz w:val="20"/>
                <w:szCs w:val="20"/>
              </w:rPr>
            </w:pPr>
            <w:r w:rsidRPr="00EE7583">
              <w:rPr>
                <w:sz w:val="20"/>
                <w:szCs w:val="20"/>
              </w:rPr>
              <w:t>0.14*</w:t>
            </w:r>
          </w:p>
        </w:tc>
        <w:tc>
          <w:tcPr>
            <w:tcW w:w="0" w:type="auto"/>
            <w:hideMark/>
          </w:tcPr>
          <w:p w14:paraId="090D92E6" w14:textId="77777777" w:rsidR="006C7965" w:rsidRPr="00EE7583" w:rsidRDefault="006C7965" w:rsidP="00EE7583">
            <w:pPr>
              <w:pStyle w:val="NoSpacing"/>
              <w:rPr>
                <w:sz w:val="20"/>
                <w:szCs w:val="20"/>
              </w:rPr>
            </w:pPr>
            <w:r w:rsidRPr="00EE7583">
              <w:rPr>
                <w:sz w:val="20"/>
                <w:szCs w:val="20"/>
              </w:rPr>
              <w:t>0.16*</w:t>
            </w:r>
          </w:p>
        </w:tc>
        <w:tc>
          <w:tcPr>
            <w:tcW w:w="0" w:type="auto"/>
            <w:hideMark/>
          </w:tcPr>
          <w:p w14:paraId="68C933AE" w14:textId="77777777" w:rsidR="006C7965" w:rsidRPr="00EE7583" w:rsidRDefault="006C7965" w:rsidP="00EE7583">
            <w:pPr>
              <w:pStyle w:val="NoSpacing"/>
              <w:rPr>
                <w:sz w:val="20"/>
                <w:szCs w:val="20"/>
              </w:rPr>
            </w:pPr>
            <w:r w:rsidRPr="00EE7583">
              <w:rPr>
                <w:sz w:val="20"/>
                <w:szCs w:val="20"/>
              </w:rPr>
              <w:t>0.04*</w:t>
            </w:r>
          </w:p>
        </w:tc>
        <w:tc>
          <w:tcPr>
            <w:tcW w:w="0" w:type="auto"/>
            <w:hideMark/>
          </w:tcPr>
          <w:p w14:paraId="09D087E9" w14:textId="77777777" w:rsidR="006C7965" w:rsidRPr="00EE7583" w:rsidRDefault="006C7965" w:rsidP="00EE7583">
            <w:pPr>
              <w:pStyle w:val="NoSpacing"/>
              <w:rPr>
                <w:sz w:val="20"/>
                <w:szCs w:val="20"/>
              </w:rPr>
            </w:pPr>
            <w:r w:rsidRPr="00EE7583">
              <w:rPr>
                <w:sz w:val="20"/>
                <w:szCs w:val="20"/>
              </w:rPr>
              <w:t>0.09</w:t>
            </w:r>
          </w:p>
        </w:tc>
        <w:tc>
          <w:tcPr>
            <w:tcW w:w="0" w:type="auto"/>
            <w:hideMark/>
          </w:tcPr>
          <w:p w14:paraId="1FFAA620" w14:textId="77777777" w:rsidR="006C7965" w:rsidRPr="00EE7583" w:rsidRDefault="006C7965" w:rsidP="00EE7583">
            <w:pPr>
              <w:pStyle w:val="NoSpacing"/>
              <w:rPr>
                <w:sz w:val="20"/>
                <w:szCs w:val="20"/>
              </w:rPr>
            </w:pPr>
            <w:r w:rsidRPr="00EE7583">
              <w:rPr>
                <w:sz w:val="20"/>
                <w:szCs w:val="20"/>
              </w:rPr>
              <w:t>−0.22*</w:t>
            </w:r>
          </w:p>
        </w:tc>
        <w:tc>
          <w:tcPr>
            <w:tcW w:w="0" w:type="auto"/>
            <w:hideMark/>
          </w:tcPr>
          <w:p w14:paraId="6DC3E11B" w14:textId="77777777" w:rsidR="006C7965" w:rsidRPr="00EE7583" w:rsidRDefault="006C7965" w:rsidP="00EE7583">
            <w:pPr>
              <w:pStyle w:val="NoSpacing"/>
              <w:rPr>
                <w:sz w:val="20"/>
                <w:szCs w:val="20"/>
              </w:rPr>
            </w:pPr>
            <w:r w:rsidRPr="00EE7583">
              <w:rPr>
                <w:sz w:val="20"/>
                <w:szCs w:val="20"/>
              </w:rPr>
              <w:t>−0.12*</w:t>
            </w:r>
          </w:p>
        </w:tc>
        <w:tc>
          <w:tcPr>
            <w:tcW w:w="0" w:type="auto"/>
            <w:hideMark/>
          </w:tcPr>
          <w:p w14:paraId="0E9FAD97" w14:textId="77777777" w:rsidR="006C7965" w:rsidRPr="00EE7583" w:rsidRDefault="006C7965" w:rsidP="00EE7583">
            <w:pPr>
              <w:pStyle w:val="NoSpacing"/>
              <w:rPr>
                <w:sz w:val="20"/>
                <w:szCs w:val="20"/>
              </w:rPr>
            </w:pPr>
            <w:r w:rsidRPr="00EE7583">
              <w:rPr>
                <w:sz w:val="20"/>
                <w:szCs w:val="20"/>
              </w:rPr>
              <w:t>−0.02</w:t>
            </w:r>
          </w:p>
        </w:tc>
        <w:tc>
          <w:tcPr>
            <w:tcW w:w="0" w:type="auto"/>
            <w:hideMark/>
          </w:tcPr>
          <w:p w14:paraId="1ED3392C" w14:textId="77777777" w:rsidR="006C7965" w:rsidRPr="00EE7583" w:rsidRDefault="006C7965" w:rsidP="00EE7583">
            <w:pPr>
              <w:pStyle w:val="NoSpacing"/>
              <w:rPr>
                <w:sz w:val="20"/>
                <w:szCs w:val="20"/>
              </w:rPr>
            </w:pPr>
            <w:r w:rsidRPr="00EE7583">
              <w:rPr>
                <w:sz w:val="20"/>
                <w:szCs w:val="20"/>
              </w:rPr>
              <w:t>1.00</w:t>
            </w:r>
          </w:p>
        </w:tc>
        <w:tc>
          <w:tcPr>
            <w:tcW w:w="0" w:type="auto"/>
            <w:hideMark/>
          </w:tcPr>
          <w:p w14:paraId="2845131E" w14:textId="77777777" w:rsidR="006C7965" w:rsidRPr="00EE7583" w:rsidRDefault="006C7965" w:rsidP="00EE7583">
            <w:pPr>
              <w:pStyle w:val="NoSpacing"/>
              <w:rPr>
                <w:sz w:val="20"/>
                <w:szCs w:val="20"/>
              </w:rPr>
            </w:pPr>
          </w:p>
        </w:tc>
        <w:tc>
          <w:tcPr>
            <w:tcW w:w="0" w:type="auto"/>
            <w:hideMark/>
          </w:tcPr>
          <w:p w14:paraId="7CFB4055" w14:textId="77777777" w:rsidR="006C7965" w:rsidRPr="00EE7583" w:rsidRDefault="006C7965" w:rsidP="00EE7583">
            <w:pPr>
              <w:pStyle w:val="NoSpacing"/>
              <w:rPr>
                <w:sz w:val="20"/>
                <w:szCs w:val="20"/>
              </w:rPr>
            </w:pPr>
          </w:p>
        </w:tc>
        <w:tc>
          <w:tcPr>
            <w:tcW w:w="0" w:type="auto"/>
            <w:hideMark/>
          </w:tcPr>
          <w:p w14:paraId="4DE0064C" w14:textId="77777777" w:rsidR="006C7965" w:rsidRPr="00EE7583" w:rsidRDefault="006C7965" w:rsidP="00EE7583">
            <w:pPr>
              <w:pStyle w:val="NoSpacing"/>
              <w:rPr>
                <w:sz w:val="20"/>
                <w:szCs w:val="20"/>
              </w:rPr>
            </w:pPr>
          </w:p>
        </w:tc>
        <w:tc>
          <w:tcPr>
            <w:tcW w:w="0" w:type="auto"/>
            <w:hideMark/>
          </w:tcPr>
          <w:p w14:paraId="265E708C" w14:textId="77777777" w:rsidR="006C7965" w:rsidRPr="00EE7583" w:rsidRDefault="006C7965" w:rsidP="00EE7583">
            <w:pPr>
              <w:pStyle w:val="NoSpacing"/>
              <w:rPr>
                <w:sz w:val="20"/>
                <w:szCs w:val="20"/>
              </w:rPr>
            </w:pPr>
          </w:p>
        </w:tc>
        <w:tc>
          <w:tcPr>
            <w:tcW w:w="0" w:type="auto"/>
            <w:hideMark/>
          </w:tcPr>
          <w:p w14:paraId="101063A9" w14:textId="77777777" w:rsidR="006C7965" w:rsidRPr="00EE7583" w:rsidRDefault="006C7965" w:rsidP="00EE7583">
            <w:pPr>
              <w:pStyle w:val="NoSpacing"/>
              <w:rPr>
                <w:sz w:val="20"/>
                <w:szCs w:val="20"/>
              </w:rPr>
            </w:pPr>
          </w:p>
        </w:tc>
        <w:tc>
          <w:tcPr>
            <w:tcW w:w="0" w:type="auto"/>
            <w:hideMark/>
          </w:tcPr>
          <w:p w14:paraId="5FCBF1BB" w14:textId="77777777" w:rsidR="006C7965" w:rsidRPr="00EE7583" w:rsidRDefault="006C7965" w:rsidP="00EE7583">
            <w:pPr>
              <w:pStyle w:val="NoSpacing"/>
              <w:rPr>
                <w:sz w:val="20"/>
                <w:szCs w:val="20"/>
              </w:rPr>
            </w:pPr>
          </w:p>
        </w:tc>
        <w:tc>
          <w:tcPr>
            <w:tcW w:w="0" w:type="auto"/>
            <w:hideMark/>
          </w:tcPr>
          <w:p w14:paraId="2E057AA3" w14:textId="77777777" w:rsidR="006C7965" w:rsidRPr="00EE7583" w:rsidRDefault="006C7965" w:rsidP="00EE7583">
            <w:pPr>
              <w:pStyle w:val="NoSpacing"/>
              <w:rPr>
                <w:sz w:val="20"/>
                <w:szCs w:val="20"/>
              </w:rPr>
            </w:pPr>
          </w:p>
        </w:tc>
        <w:tc>
          <w:tcPr>
            <w:tcW w:w="0" w:type="auto"/>
            <w:hideMark/>
          </w:tcPr>
          <w:p w14:paraId="233E81AE" w14:textId="77777777" w:rsidR="006C7965" w:rsidRPr="00EE7583" w:rsidRDefault="006C7965" w:rsidP="00EE7583">
            <w:pPr>
              <w:pStyle w:val="NoSpacing"/>
              <w:rPr>
                <w:sz w:val="20"/>
                <w:szCs w:val="20"/>
              </w:rPr>
            </w:pPr>
          </w:p>
        </w:tc>
        <w:tc>
          <w:tcPr>
            <w:tcW w:w="0" w:type="auto"/>
            <w:hideMark/>
          </w:tcPr>
          <w:p w14:paraId="3001A81C" w14:textId="77777777" w:rsidR="006C7965" w:rsidRPr="00EE7583" w:rsidRDefault="006C7965" w:rsidP="00EE7583">
            <w:pPr>
              <w:pStyle w:val="NoSpacing"/>
              <w:rPr>
                <w:sz w:val="20"/>
                <w:szCs w:val="20"/>
              </w:rPr>
            </w:pPr>
          </w:p>
        </w:tc>
      </w:tr>
      <w:tr w:rsidR="00EE7583" w:rsidRPr="00EE7583" w14:paraId="1FA6A3B8" w14:textId="77777777" w:rsidTr="00644598">
        <w:tc>
          <w:tcPr>
            <w:tcW w:w="0" w:type="auto"/>
            <w:hideMark/>
          </w:tcPr>
          <w:p w14:paraId="3781699C" w14:textId="77777777" w:rsidR="006C7965" w:rsidRPr="00EE7583" w:rsidRDefault="006C7965" w:rsidP="00EE7583">
            <w:pPr>
              <w:pStyle w:val="NoSpacing"/>
              <w:rPr>
                <w:sz w:val="20"/>
                <w:szCs w:val="20"/>
              </w:rPr>
            </w:pPr>
            <w:r w:rsidRPr="00EE7583">
              <w:rPr>
                <w:sz w:val="20"/>
                <w:szCs w:val="20"/>
              </w:rPr>
              <w:t>13 GFOA</w:t>
            </w:r>
          </w:p>
        </w:tc>
        <w:tc>
          <w:tcPr>
            <w:tcW w:w="0" w:type="auto"/>
            <w:hideMark/>
          </w:tcPr>
          <w:p w14:paraId="7ABD69FF" w14:textId="77777777" w:rsidR="006C7965" w:rsidRPr="00EE7583" w:rsidRDefault="006C7965" w:rsidP="00EE7583">
            <w:pPr>
              <w:pStyle w:val="NoSpacing"/>
              <w:rPr>
                <w:sz w:val="20"/>
                <w:szCs w:val="20"/>
              </w:rPr>
            </w:pPr>
            <w:r w:rsidRPr="00EE7583">
              <w:rPr>
                <w:sz w:val="20"/>
                <w:szCs w:val="20"/>
              </w:rPr>
              <w:t>−0.09</w:t>
            </w:r>
          </w:p>
        </w:tc>
        <w:tc>
          <w:tcPr>
            <w:tcW w:w="0" w:type="auto"/>
            <w:hideMark/>
          </w:tcPr>
          <w:p w14:paraId="4F986428" w14:textId="77777777" w:rsidR="006C7965" w:rsidRPr="00EE7583" w:rsidRDefault="006C7965" w:rsidP="00EE7583">
            <w:pPr>
              <w:pStyle w:val="NoSpacing"/>
              <w:rPr>
                <w:sz w:val="20"/>
                <w:szCs w:val="20"/>
              </w:rPr>
            </w:pPr>
            <w:r w:rsidRPr="00EE7583">
              <w:rPr>
                <w:sz w:val="20"/>
                <w:szCs w:val="20"/>
              </w:rPr>
              <w:t>0.04</w:t>
            </w:r>
          </w:p>
        </w:tc>
        <w:tc>
          <w:tcPr>
            <w:tcW w:w="0" w:type="auto"/>
            <w:hideMark/>
          </w:tcPr>
          <w:p w14:paraId="24472A93" w14:textId="77777777" w:rsidR="006C7965" w:rsidRPr="00EE7583" w:rsidRDefault="006C7965" w:rsidP="00EE7583">
            <w:pPr>
              <w:pStyle w:val="NoSpacing"/>
              <w:rPr>
                <w:sz w:val="20"/>
                <w:szCs w:val="20"/>
              </w:rPr>
            </w:pPr>
            <w:r w:rsidRPr="00EE7583">
              <w:rPr>
                <w:sz w:val="20"/>
                <w:szCs w:val="20"/>
              </w:rPr>
              <w:t>0.01</w:t>
            </w:r>
          </w:p>
        </w:tc>
        <w:tc>
          <w:tcPr>
            <w:tcW w:w="0" w:type="auto"/>
            <w:hideMark/>
          </w:tcPr>
          <w:p w14:paraId="59390D49" w14:textId="77777777" w:rsidR="006C7965" w:rsidRPr="00EE7583" w:rsidRDefault="006C7965" w:rsidP="00EE7583">
            <w:pPr>
              <w:pStyle w:val="NoSpacing"/>
              <w:rPr>
                <w:sz w:val="20"/>
                <w:szCs w:val="20"/>
              </w:rPr>
            </w:pPr>
            <w:r w:rsidRPr="00EE7583">
              <w:rPr>
                <w:sz w:val="20"/>
                <w:szCs w:val="20"/>
              </w:rPr>
              <w:t>−0.03</w:t>
            </w:r>
          </w:p>
        </w:tc>
        <w:tc>
          <w:tcPr>
            <w:tcW w:w="0" w:type="auto"/>
            <w:hideMark/>
          </w:tcPr>
          <w:p w14:paraId="7CBF9916" w14:textId="77777777" w:rsidR="006C7965" w:rsidRPr="00EE7583" w:rsidRDefault="006C7965" w:rsidP="00EE7583">
            <w:pPr>
              <w:pStyle w:val="NoSpacing"/>
              <w:rPr>
                <w:sz w:val="20"/>
                <w:szCs w:val="20"/>
              </w:rPr>
            </w:pPr>
            <w:r w:rsidRPr="00EE7583">
              <w:rPr>
                <w:sz w:val="20"/>
                <w:szCs w:val="20"/>
              </w:rPr>
              <w:t>−0.05</w:t>
            </w:r>
          </w:p>
        </w:tc>
        <w:tc>
          <w:tcPr>
            <w:tcW w:w="0" w:type="auto"/>
            <w:hideMark/>
          </w:tcPr>
          <w:p w14:paraId="5D60CC96" w14:textId="77777777" w:rsidR="006C7965" w:rsidRPr="00EE7583" w:rsidRDefault="006C7965" w:rsidP="00EE7583">
            <w:pPr>
              <w:pStyle w:val="NoSpacing"/>
              <w:rPr>
                <w:sz w:val="20"/>
                <w:szCs w:val="20"/>
              </w:rPr>
            </w:pPr>
            <w:r w:rsidRPr="00EE7583">
              <w:rPr>
                <w:sz w:val="20"/>
                <w:szCs w:val="20"/>
              </w:rPr>
              <w:t>−0.09</w:t>
            </w:r>
          </w:p>
        </w:tc>
        <w:tc>
          <w:tcPr>
            <w:tcW w:w="0" w:type="auto"/>
            <w:hideMark/>
          </w:tcPr>
          <w:p w14:paraId="65959066" w14:textId="77777777" w:rsidR="006C7965" w:rsidRPr="00EE7583" w:rsidRDefault="006C7965" w:rsidP="00EE7583">
            <w:pPr>
              <w:pStyle w:val="NoSpacing"/>
              <w:rPr>
                <w:sz w:val="20"/>
                <w:szCs w:val="20"/>
              </w:rPr>
            </w:pPr>
            <w:r w:rsidRPr="00EE7583">
              <w:rPr>
                <w:sz w:val="20"/>
                <w:szCs w:val="20"/>
              </w:rPr>
              <w:t>0.02</w:t>
            </w:r>
          </w:p>
        </w:tc>
        <w:tc>
          <w:tcPr>
            <w:tcW w:w="0" w:type="auto"/>
            <w:hideMark/>
          </w:tcPr>
          <w:p w14:paraId="35D18733" w14:textId="77777777" w:rsidR="006C7965" w:rsidRPr="00EE7583" w:rsidRDefault="006C7965" w:rsidP="00EE7583">
            <w:pPr>
              <w:pStyle w:val="NoSpacing"/>
              <w:rPr>
                <w:sz w:val="20"/>
                <w:szCs w:val="20"/>
              </w:rPr>
            </w:pPr>
            <w:r w:rsidRPr="00EE7583">
              <w:rPr>
                <w:sz w:val="20"/>
                <w:szCs w:val="20"/>
              </w:rPr>
              <w:t>−0.06</w:t>
            </w:r>
          </w:p>
        </w:tc>
        <w:tc>
          <w:tcPr>
            <w:tcW w:w="0" w:type="auto"/>
            <w:hideMark/>
          </w:tcPr>
          <w:p w14:paraId="423C89D1" w14:textId="77777777" w:rsidR="006C7965" w:rsidRPr="00EE7583" w:rsidRDefault="006C7965" w:rsidP="00EE7583">
            <w:pPr>
              <w:pStyle w:val="NoSpacing"/>
              <w:rPr>
                <w:sz w:val="20"/>
                <w:szCs w:val="20"/>
              </w:rPr>
            </w:pPr>
            <w:r w:rsidRPr="00EE7583">
              <w:rPr>
                <w:sz w:val="20"/>
                <w:szCs w:val="20"/>
              </w:rPr>
              <w:t>−0.26*</w:t>
            </w:r>
          </w:p>
        </w:tc>
        <w:tc>
          <w:tcPr>
            <w:tcW w:w="0" w:type="auto"/>
            <w:hideMark/>
          </w:tcPr>
          <w:p w14:paraId="277FEC0C" w14:textId="77777777" w:rsidR="006C7965" w:rsidRPr="00EE7583" w:rsidRDefault="006C7965" w:rsidP="00EE7583">
            <w:pPr>
              <w:pStyle w:val="NoSpacing"/>
              <w:rPr>
                <w:sz w:val="20"/>
                <w:szCs w:val="20"/>
              </w:rPr>
            </w:pPr>
            <w:r w:rsidRPr="00EE7583">
              <w:rPr>
                <w:sz w:val="20"/>
                <w:szCs w:val="20"/>
              </w:rPr>
              <w:t>−0.03</w:t>
            </w:r>
          </w:p>
        </w:tc>
        <w:tc>
          <w:tcPr>
            <w:tcW w:w="0" w:type="auto"/>
            <w:hideMark/>
          </w:tcPr>
          <w:p w14:paraId="718F4905" w14:textId="77777777" w:rsidR="006C7965" w:rsidRPr="00EE7583" w:rsidRDefault="006C7965" w:rsidP="00EE7583">
            <w:pPr>
              <w:pStyle w:val="NoSpacing"/>
              <w:rPr>
                <w:sz w:val="20"/>
                <w:szCs w:val="20"/>
              </w:rPr>
            </w:pPr>
            <w:r w:rsidRPr="00EE7583">
              <w:rPr>
                <w:sz w:val="20"/>
                <w:szCs w:val="20"/>
              </w:rPr>
              <w:t>−0.01</w:t>
            </w:r>
          </w:p>
        </w:tc>
        <w:tc>
          <w:tcPr>
            <w:tcW w:w="0" w:type="auto"/>
            <w:hideMark/>
          </w:tcPr>
          <w:p w14:paraId="20F13BA8" w14:textId="77777777" w:rsidR="006C7965" w:rsidRPr="00EE7583" w:rsidRDefault="006C7965" w:rsidP="00EE7583">
            <w:pPr>
              <w:pStyle w:val="NoSpacing"/>
              <w:rPr>
                <w:sz w:val="20"/>
                <w:szCs w:val="20"/>
              </w:rPr>
            </w:pPr>
            <w:r w:rsidRPr="00EE7583">
              <w:rPr>
                <w:sz w:val="20"/>
                <w:szCs w:val="20"/>
              </w:rPr>
              <w:t>−0.21*</w:t>
            </w:r>
          </w:p>
        </w:tc>
        <w:tc>
          <w:tcPr>
            <w:tcW w:w="0" w:type="auto"/>
            <w:hideMark/>
          </w:tcPr>
          <w:p w14:paraId="618A52CD" w14:textId="77777777" w:rsidR="006C7965" w:rsidRPr="00EE7583" w:rsidRDefault="006C7965" w:rsidP="00EE7583">
            <w:pPr>
              <w:pStyle w:val="NoSpacing"/>
              <w:rPr>
                <w:sz w:val="20"/>
                <w:szCs w:val="20"/>
              </w:rPr>
            </w:pPr>
            <w:r w:rsidRPr="00EE7583">
              <w:rPr>
                <w:sz w:val="20"/>
                <w:szCs w:val="20"/>
              </w:rPr>
              <w:t>1.00</w:t>
            </w:r>
          </w:p>
        </w:tc>
        <w:tc>
          <w:tcPr>
            <w:tcW w:w="0" w:type="auto"/>
            <w:hideMark/>
          </w:tcPr>
          <w:p w14:paraId="12977A36" w14:textId="77777777" w:rsidR="006C7965" w:rsidRPr="00EE7583" w:rsidRDefault="006C7965" w:rsidP="00EE7583">
            <w:pPr>
              <w:pStyle w:val="NoSpacing"/>
              <w:rPr>
                <w:sz w:val="20"/>
                <w:szCs w:val="20"/>
              </w:rPr>
            </w:pPr>
          </w:p>
        </w:tc>
        <w:tc>
          <w:tcPr>
            <w:tcW w:w="0" w:type="auto"/>
            <w:hideMark/>
          </w:tcPr>
          <w:p w14:paraId="58382722" w14:textId="77777777" w:rsidR="006C7965" w:rsidRPr="00EE7583" w:rsidRDefault="006C7965" w:rsidP="00EE7583">
            <w:pPr>
              <w:pStyle w:val="NoSpacing"/>
              <w:rPr>
                <w:sz w:val="20"/>
                <w:szCs w:val="20"/>
              </w:rPr>
            </w:pPr>
          </w:p>
        </w:tc>
        <w:tc>
          <w:tcPr>
            <w:tcW w:w="0" w:type="auto"/>
            <w:hideMark/>
          </w:tcPr>
          <w:p w14:paraId="7D42220F" w14:textId="77777777" w:rsidR="006C7965" w:rsidRPr="00EE7583" w:rsidRDefault="006C7965" w:rsidP="00EE7583">
            <w:pPr>
              <w:pStyle w:val="NoSpacing"/>
              <w:rPr>
                <w:sz w:val="20"/>
                <w:szCs w:val="20"/>
              </w:rPr>
            </w:pPr>
          </w:p>
        </w:tc>
        <w:tc>
          <w:tcPr>
            <w:tcW w:w="0" w:type="auto"/>
            <w:hideMark/>
          </w:tcPr>
          <w:p w14:paraId="6D218A10" w14:textId="77777777" w:rsidR="006C7965" w:rsidRPr="00EE7583" w:rsidRDefault="006C7965" w:rsidP="00EE7583">
            <w:pPr>
              <w:pStyle w:val="NoSpacing"/>
              <w:rPr>
                <w:sz w:val="20"/>
                <w:szCs w:val="20"/>
              </w:rPr>
            </w:pPr>
          </w:p>
        </w:tc>
        <w:tc>
          <w:tcPr>
            <w:tcW w:w="0" w:type="auto"/>
            <w:hideMark/>
          </w:tcPr>
          <w:p w14:paraId="3ABA8851" w14:textId="77777777" w:rsidR="006C7965" w:rsidRPr="00EE7583" w:rsidRDefault="006C7965" w:rsidP="00EE7583">
            <w:pPr>
              <w:pStyle w:val="NoSpacing"/>
              <w:rPr>
                <w:sz w:val="20"/>
                <w:szCs w:val="20"/>
              </w:rPr>
            </w:pPr>
          </w:p>
        </w:tc>
        <w:tc>
          <w:tcPr>
            <w:tcW w:w="0" w:type="auto"/>
            <w:hideMark/>
          </w:tcPr>
          <w:p w14:paraId="210C52AF" w14:textId="77777777" w:rsidR="006C7965" w:rsidRPr="00EE7583" w:rsidRDefault="006C7965" w:rsidP="00EE7583">
            <w:pPr>
              <w:pStyle w:val="NoSpacing"/>
              <w:rPr>
                <w:sz w:val="20"/>
                <w:szCs w:val="20"/>
              </w:rPr>
            </w:pPr>
          </w:p>
        </w:tc>
        <w:tc>
          <w:tcPr>
            <w:tcW w:w="0" w:type="auto"/>
            <w:hideMark/>
          </w:tcPr>
          <w:p w14:paraId="70CCD372" w14:textId="77777777" w:rsidR="006C7965" w:rsidRPr="00EE7583" w:rsidRDefault="006C7965" w:rsidP="00EE7583">
            <w:pPr>
              <w:pStyle w:val="NoSpacing"/>
              <w:rPr>
                <w:sz w:val="20"/>
                <w:szCs w:val="20"/>
              </w:rPr>
            </w:pPr>
          </w:p>
        </w:tc>
        <w:tc>
          <w:tcPr>
            <w:tcW w:w="0" w:type="auto"/>
            <w:hideMark/>
          </w:tcPr>
          <w:p w14:paraId="7CD8AE60" w14:textId="77777777" w:rsidR="006C7965" w:rsidRPr="00EE7583" w:rsidRDefault="006C7965" w:rsidP="00EE7583">
            <w:pPr>
              <w:pStyle w:val="NoSpacing"/>
              <w:rPr>
                <w:sz w:val="20"/>
                <w:szCs w:val="20"/>
              </w:rPr>
            </w:pPr>
          </w:p>
        </w:tc>
      </w:tr>
      <w:tr w:rsidR="006C7965" w:rsidRPr="00EE7583" w14:paraId="0E48DBE4" w14:textId="77777777" w:rsidTr="00644598">
        <w:tc>
          <w:tcPr>
            <w:tcW w:w="0" w:type="auto"/>
            <w:hideMark/>
          </w:tcPr>
          <w:p w14:paraId="56E393A6" w14:textId="77777777" w:rsidR="006C7965" w:rsidRPr="00EE7583" w:rsidRDefault="006C7965" w:rsidP="00EE7583">
            <w:pPr>
              <w:pStyle w:val="NoSpacing"/>
              <w:rPr>
                <w:sz w:val="20"/>
                <w:szCs w:val="20"/>
              </w:rPr>
            </w:pPr>
            <w:r w:rsidRPr="00EE7583">
              <w:rPr>
                <w:sz w:val="20"/>
                <w:szCs w:val="20"/>
              </w:rPr>
              <w:t>14 Staggered council</w:t>
            </w:r>
          </w:p>
        </w:tc>
        <w:tc>
          <w:tcPr>
            <w:tcW w:w="0" w:type="auto"/>
            <w:hideMark/>
          </w:tcPr>
          <w:p w14:paraId="73A41DEB" w14:textId="77777777" w:rsidR="006C7965" w:rsidRPr="00EE7583" w:rsidRDefault="006C7965" w:rsidP="00EE7583">
            <w:pPr>
              <w:pStyle w:val="NoSpacing"/>
              <w:rPr>
                <w:sz w:val="20"/>
                <w:szCs w:val="20"/>
              </w:rPr>
            </w:pPr>
            <w:r w:rsidRPr="00EE7583">
              <w:rPr>
                <w:sz w:val="20"/>
                <w:szCs w:val="20"/>
              </w:rPr>
              <w:t>−0.04</w:t>
            </w:r>
          </w:p>
        </w:tc>
        <w:tc>
          <w:tcPr>
            <w:tcW w:w="0" w:type="auto"/>
            <w:hideMark/>
          </w:tcPr>
          <w:p w14:paraId="7A1CBFAC" w14:textId="77777777" w:rsidR="006C7965" w:rsidRPr="00EE7583" w:rsidRDefault="006C7965" w:rsidP="00EE7583">
            <w:pPr>
              <w:pStyle w:val="NoSpacing"/>
              <w:rPr>
                <w:sz w:val="20"/>
                <w:szCs w:val="20"/>
              </w:rPr>
            </w:pPr>
            <w:r w:rsidRPr="00EE7583">
              <w:rPr>
                <w:sz w:val="20"/>
                <w:szCs w:val="20"/>
              </w:rPr>
              <w:t>−0.18*</w:t>
            </w:r>
          </w:p>
        </w:tc>
        <w:tc>
          <w:tcPr>
            <w:tcW w:w="0" w:type="auto"/>
            <w:hideMark/>
          </w:tcPr>
          <w:p w14:paraId="3BF21AB4" w14:textId="77777777" w:rsidR="006C7965" w:rsidRPr="00EE7583" w:rsidRDefault="006C7965" w:rsidP="00EE7583">
            <w:pPr>
              <w:pStyle w:val="NoSpacing"/>
              <w:rPr>
                <w:sz w:val="20"/>
                <w:szCs w:val="20"/>
              </w:rPr>
            </w:pPr>
            <w:r w:rsidRPr="00EE7583">
              <w:rPr>
                <w:sz w:val="20"/>
                <w:szCs w:val="20"/>
              </w:rPr>
              <w:t>0.18*</w:t>
            </w:r>
          </w:p>
        </w:tc>
        <w:tc>
          <w:tcPr>
            <w:tcW w:w="0" w:type="auto"/>
            <w:hideMark/>
          </w:tcPr>
          <w:p w14:paraId="51F7308C" w14:textId="77777777" w:rsidR="006C7965" w:rsidRPr="00EE7583" w:rsidRDefault="006C7965" w:rsidP="00EE7583">
            <w:pPr>
              <w:pStyle w:val="NoSpacing"/>
              <w:rPr>
                <w:sz w:val="20"/>
                <w:szCs w:val="20"/>
              </w:rPr>
            </w:pPr>
            <w:r w:rsidRPr="00EE7583">
              <w:rPr>
                <w:sz w:val="20"/>
                <w:szCs w:val="20"/>
              </w:rPr>
              <w:t>0.12*</w:t>
            </w:r>
          </w:p>
        </w:tc>
        <w:tc>
          <w:tcPr>
            <w:tcW w:w="0" w:type="auto"/>
            <w:hideMark/>
          </w:tcPr>
          <w:p w14:paraId="130E5DCD" w14:textId="77777777" w:rsidR="006C7965" w:rsidRPr="00EE7583" w:rsidRDefault="006C7965" w:rsidP="00EE7583">
            <w:pPr>
              <w:pStyle w:val="NoSpacing"/>
              <w:rPr>
                <w:sz w:val="20"/>
                <w:szCs w:val="20"/>
              </w:rPr>
            </w:pPr>
            <w:r w:rsidRPr="00EE7583">
              <w:rPr>
                <w:sz w:val="20"/>
                <w:szCs w:val="20"/>
              </w:rPr>
              <w:t>0.21*</w:t>
            </w:r>
          </w:p>
        </w:tc>
        <w:tc>
          <w:tcPr>
            <w:tcW w:w="0" w:type="auto"/>
            <w:hideMark/>
          </w:tcPr>
          <w:p w14:paraId="29314D60" w14:textId="77777777" w:rsidR="006C7965" w:rsidRPr="00EE7583" w:rsidRDefault="006C7965" w:rsidP="00EE7583">
            <w:pPr>
              <w:pStyle w:val="NoSpacing"/>
              <w:rPr>
                <w:sz w:val="20"/>
                <w:szCs w:val="20"/>
              </w:rPr>
            </w:pPr>
            <w:r w:rsidRPr="00EE7583">
              <w:rPr>
                <w:sz w:val="20"/>
                <w:szCs w:val="20"/>
              </w:rPr>
              <w:t>0.03</w:t>
            </w:r>
          </w:p>
        </w:tc>
        <w:tc>
          <w:tcPr>
            <w:tcW w:w="0" w:type="auto"/>
            <w:hideMark/>
          </w:tcPr>
          <w:p w14:paraId="637235CA" w14:textId="77777777" w:rsidR="006C7965" w:rsidRPr="00EE7583" w:rsidRDefault="006C7965" w:rsidP="00EE7583">
            <w:pPr>
              <w:pStyle w:val="NoSpacing"/>
              <w:rPr>
                <w:sz w:val="20"/>
                <w:szCs w:val="20"/>
              </w:rPr>
            </w:pPr>
            <w:r w:rsidRPr="00EE7583">
              <w:rPr>
                <w:sz w:val="20"/>
                <w:szCs w:val="20"/>
              </w:rPr>
              <w:t>−0.05</w:t>
            </w:r>
          </w:p>
        </w:tc>
        <w:tc>
          <w:tcPr>
            <w:tcW w:w="0" w:type="auto"/>
            <w:hideMark/>
          </w:tcPr>
          <w:p w14:paraId="2F865F06" w14:textId="77777777" w:rsidR="006C7965" w:rsidRPr="00EE7583" w:rsidRDefault="006C7965" w:rsidP="00EE7583">
            <w:pPr>
              <w:pStyle w:val="NoSpacing"/>
              <w:rPr>
                <w:sz w:val="20"/>
                <w:szCs w:val="20"/>
              </w:rPr>
            </w:pPr>
            <w:r w:rsidRPr="00EE7583">
              <w:rPr>
                <w:sz w:val="20"/>
                <w:szCs w:val="20"/>
              </w:rPr>
              <w:t>0.08</w:t>
            </w:r>
          </w:p>
        </w:tc>
        <w:tc>
          <w:tcPr>
            <w:tcW w:w="0" w:type="auto"/>
            <w:hideMark/>
          </w:tcPr>
          <w:p w14:paraId="50F83E73" w14:textId="77777777" w:rsidR="006C7965" w:rsidRPr="00EE7583" w:rsidRDefault="006C7965" w:rsidP="00EE7583">
            <w:pPr>
              <w:pStyle w:val="NoSpacing"/>
              <w:rPr>
                <w:sz w:val="20"/>
                <w:szCs w:val="20"/>
              </w:rPr>
            </w:pPr>
            <w:r w:rsidRPr="00EE7583">
              <w:rPr>
                <w:sz w:val="20"/>
                <w:szCs w:val="20"/>
              </w:rPr>
              <w:t>0.04</w:t>
            </w:r>
          </w:p>
        </w:tc>
        <w:tc>
          <w:tcPr>
            <w:tcW w:w="0" w:type="auto"/>
            <w:hideMark/>
          </w:tcPr>
          <w:p w14:paraId="5E809060" w14:textId="77777777" w:rsidR="006C7965" w:rsidRPr="00EE7583" w:rsidRDefault="006C7965" w:rsidP="00EE7583">
            <w:pPr>
              <w:pStyle w:val="NoSpacing"/>
              <w:rPr>
                <w:sz w:val="20"/>
                <w:szCs w:val="20"/>
              </w:rPr>
            </w:pPr>
            <w:r w:rsidRPr="00EE7583">
              <w:rPr>
                <w:sz w:val="20"/>
                <w:szCs w:val="20"/>
              </w:rPr>
              <w:t>−0.08</w:t>
            </w:r>
          </w:p>
        </w:tc>
        <w:tc>
          <w:tcPr>
            <w:tcW w:w="0" w:type="auto"/>
            <w:hideMark/>
          </w:tcPr>
          <w:p w14:paraId="052FA179" w14:textId="77777777" w:rsidR="006C7965" w:rsidRPr="00EE7583" w:rsidRDefault="006C7965" w:rsidP="00EE7583">
            <w:pPr>
              <w:pStyle w:val="NoSpacing"/>
              <w:rPr>
                <w:sz w:val="20"/>
                <w:szCs w:val="20"/>
              </w:rPr>
            </w:pPr>
            <w:r w:rsidRPr="00EE7583">
              <w:rPr>
                <w:sz w:val="20"/>
                <w:szCs w:val="20"/>
              </w:rPr>
              <w:t>0.19*</w:t>
            </w:r>
          </w:p>
        </w:tc>
        <w:tc>
          <w:tcPr>
            <w:tcW w:w="0" w:type="auto"/>
            <w:hideMark/>
          </w:tcPr>
          <w:p w14:paraId="0F525655" w14:textId="77777777" w:rsidR="006C7965" w:rsidRPr="00EE7583" w:rsidRDefault="006C7965" w:rsidP="00EE7583">
            <w:pPr>
              <w:pStyle w:val="NoSpacing"/>
              <w:rPr>
                <w:sz w:val="20"/>
                <w:szCs w:val="20"/>
              </w:rPr>
            </w:pPr>
            <w:r w:rsidRPr="00EE7583">
              <w:rPr>
                <w:sz w:val="20"/>
                <w:szCs w:val="20"/>
              </w:rPr>
              <w:t>0.21*</w:t>
            </w:r>
          </w:p>
        </w:tc>
        <w:tc>
          <w:tcPr>
            <w:tcW w:w="0" w:type="auto"/>
            <w:hideMark/>
          </w:tcPr>
          <w:p w14:paraId="64C6B745" w14:textId="77777777" w:rsidR="006C7965" w:rsidRPr="00EE7583" w:rsidRDefault="006C7965" w:rsidP="00EE7583">
            <w:pPr>
              <w:pStyle w:val="NoSpacing"/>
              <w:rPr>
                <w:sz w:val="20"/>
                <w:szCs w:val="20"/>
              </w:rPr>
            </w:pPr>
            <w:r w:rsidRPr="00EE7583">
              <w:rPr>
                <w:sz w:val="20"/>
                <w:szCs w:val="20"/>
              </w:rPr>
              <w:t>−0.30*</w:t>
            </w:r>
          </w:p>
        </w:tc>
        <w:tc>
          <w:tcPr>
            <w:tcW w:w="0" w:type="auto"/>
            <w:hideMark/>
          </w:tcPr>
          <w:p w14:paraId="3671BB57" w14:textId="77777777" w:rsidR="006C7965" w:rsidRPr="00EE7583" w:rsidRDefault="006C7965" w:rsidP="00EE7583">
            <w:pPr>
              <w:pStyle w:val="NoSpacing"/>
              <w:rPr>
                <w:sz w:val="20"/>
                <w:szCs w:val="20"/>
              </w:rPr>
            </w:pPr>
            <w:r w:rsidRPr="00EE7583">
              <w:rPr>
                <w:sz w:val="20"/>
                <w:szCs w:val="20"/>
              </w:rPr>
              <w:t>1.00</w:t>
            </w:r>
          </w:p>
        </w:tc>
        <w:tc>
          <w:tcPr>
            <w:tcW w:w="0" w:type="auto"/>
            <w:hideMark/>
          </w:tcPr>
          <w:p w14:paraId="442CDA50" w14:textId="77777777" w:rsidR="006C7965" w:rsidRPr="00EE7583" w:rsidRDefault="006C7965" w:rsidP="00EE7583">
            <w:pPr>
              <w:pStyle w:val="NoSpacing"/>
              <w:rPr>
                <w:sz w:val="20"/>
                <w:szCs w:val="20"/>
              </w:rPr>
            </w:pPr>
          </w:p>
        </w:tc>
        <w:tc>
          <w:tcPr>
            <w:tcW w:w="0" w:type="auto"/>
            <w:hideMark/>
          </w:tcPr>
          <w:p w14:paraId="07C00383" w14:textId="77777777" w:rsidR="006C7965" w:rsidRPr="00EE7583" w:rsidRDefault="006C7965" w:rsidP="00EE7583">
            <w:pPr>
              <w:pStyle w:val="NoSpacing"/>
              <w:rPr>
                <w:sz w:val="20"/>
                <w:szCs w:val="20"/>
              </w:rPr>
            </w:pPr>
          </w:p>
        </w:tc>
        <w:tc>
          <w:tcPr>
            <w:tcW w:w="0" w:type="auto"/>
            <w:hideMark/>
          </w:tcPr>
          <w:p w14:paraId="6C5360E6" w14:textId="77777777" w:rsidR="006C7965" w:rsidRPr="00EE7583" w:rsidRDefault="006C7965" w:rsidP="00EE7583">
            <w:pPr>
              <w:pStyle w:val="NoSpacing"/>
              <w:rPr>
                <w:sz w:val="20"/>
                <w:szCs w:val="20"/>
              </w:rPr>
            </w:pPr>
          </w:p>
        </w:tc>
        <w:tc>
          <w:tcPr>
            <w:tcW w:w="0" w:type="auto"/>
            <w:hideMark/>
          </w:tcPr>
          <w:p w14:paraId="55B94D1E" w14:textId="77777777" w:rsidR="006C7965" w:rsidRPr="00EE7583" w:rsidRDefault="006C7965" w:rsidP="00EE7583">
            <w:pPr>
              <w:pStyle w:val="NoSpacing"/>
              <w:rPr>
                <w:sz w:val="20"/>
                <w:szCs w:val="20"/>
              </w:rPr>
            </w:pPr>
          </w:p>
        </w:tc>
        <w:tc>
          <w:tcPr>
            <w:tcW w:w="0" w:type="auto"/>
            <w:hideMark/>
          </w:tcPr>
          <w:p w14:paraId="40D05196" w14:textId="77777777" w:rsidR="006C7965" w:rsidRPr="00EE7583" w:rsidRDefault="006C7965" w:rsidP="00EE7583">
            <w:pPr>
              <w:pStyle w:val="NoSpacing"/>
              <w:rPr>
                <w:sz w:val="20"/>
                <w:szCs w:val="20"/>
              </w:rPr>
            </w:pPr>
          </w:p>
        </w:tc>
        <w:tc>
          <w:tcPr>
            <w:tcW w:w="0" w:type="auto"/>
            <w:hideMark/>
          </w:tcPr>
          <w:p w14:paraId="12D6D198" w14:textId="77777777" w:rsidR="006C7965" w:rsidRPr="00EE7583" w:rsidRDefault="006C7965" w:rsidP="00EE7583">
            <w:pPr>
              <w:pStyle w:val="NoSpacing"/>
              <w:rPr>
                <w:sz w:val="20"/>
                <w:szCs w:val="20"/>
              </w:rPr>
            </w:pPr>
          </w:p>
        </w:tc>
        <w:tc>
          <w:tcPr>
            <w:tcW w:w="0" w:type="auto"/>
            <w:hideMark/>
          </w:tcPr>
          <w:p w14:paraId="56336F7C" w14:textId="77777777" w:rsidR="006C7965" w:rsidRPr="00EE7583" w:rsidRDefault="006C7965" w:rsidP="00EE7583">
            <w:pPr>
              <w:pStyle w:val="NoSpacing"/>
              <w:rPr>
                <w:sz w:val="20"/>
                <w:szCs w:val="20"/>
              </w:rPr>
            </w:pPr>
          </w:p>
        </w:tc>
      </w:tr>
      <w:tr w:rsidR="00EE7583" w:rsidRPr="00EE7583" w14:paraId="7BC3DF57" w14:textId="77777777" w:rsidTr="00644598">
        <w:tc>
          <w:tcPr>
            <w:tcW w:w="0" w:type="auto"/>
            <w:hideMark/>
          </w:tcPr>
          <w:p w14:paraId="1C286643" w14:textId="77777777" w:rsidR="006C7965" w:rsidRPr="00EE7583" w:rsidRDefault="006C7965" w:rsidP="00EE7583">
            <w:pPr>
              <w:pStyle w:val="NoSpacing"/>
              <w:rPr>
                <w:sz w:val="20"/>
                <w:szCs w:val="20"/>
              </w:rPr>
            </w:pPr>
            <w:r w:rsidRPr="00EE7583">
              <w:rPr>
                <w:sz w:val="20"/>
                <w:szCs w:val="20"/>
              </w:rPr>
              <w:t>15 Council manager</w:t>
            </w:r>
          </w:p>
        </w:tc>
        <w:tc>
          <w:tcPr>
            <w:tcW w:w="0" w:type="auto"/>
            <w:hideMark/>
          </w:tcPr>
          <w:p w14:paraId="54E7E72A" w14:textId="77777777" w:rsidR="006C7965" w:rsidRPr="00EE7583" w:rsidRDefault="006C7965" w:rsidP="00EE7583">
            <w:pPr>
              <w:pStyle w:val="NoSpacing"/>
              <w:rPr>
                <w:sz w:val="20"/>
                <w:szCs w:val="20"/>
              </w:rPr>
            </w:pPr>
            <w:r w:rsidRPr="00EE7583">
              <w:rPr>
                <w:sz w:val="20"/>
                <w:szCs w:val="20"/>
              </w:rPr>
              <w:t>−0.09</w:t>
            </w:r>
          </w:p>
        </w:tc>
        <w:tc>
          <w:tcPr>
            <w:tcW w:w="0" w:type="auto"/>
            <w:hideMark/>
          </w:tcPr>
          <w:p w14:paraId="5F9C1364" w14:textId="77777777" w:rsidR="006C7965" w:rsidRPr="00EE7583" w:rsidRDefault="006C7965" w:rsidP="00EE7583">
            <w:pPr>
              <w:pStyle w:val="NoSpacing"/>
              <w:rPr>
                <w:sz w:val="20"/>
                <w:szCs w:val="20"/>
              </w:rPr>
            </w:pPr>
            <w:r w:rsidRPr="00EE7583">
              <w:rPr>
                <w:sz w:val="20"/>
                <w:szCs w:val="20"/>
              </w:rPr>
              <w:t>0.10*</w:t>
            </w:r>
          </w:p>
        </w:tc>
        <w:tc>
          <w:tcPr>
            <w:tcW w:w="0" w:type="auto"/>
            <w:hideMark/>
          </w:tcPr>
          <w:p w14:paraId="01A0DB11" w14:textId="77777777" w:rsidR="006C7965" w:rsidRPr="00EE7583" w:rsidRDefault="006C7965" w:rsidP="00EE7583">
            <w:pPr>
              <w:pStyle w:val="NoSpacing"/>
              <w:rPr>
                <w:sz w:val="20"/>
                <w:szCs w:val="20"/>
              </w:rPr>
            </w:pPr>
            <w:r w:rsidRPr="00EE7583">
              <w:rPr>
                <w:sz w:val="20"/>
                <w:szCs w:val="20"/>
              </w:rPr>
              <w:t>−0.16*</w:t>
            </w:r>
          </w:p>
        </w:tc>
        <w:tc>
          <w:tcPr>
            <w:tcW w:w="0" w:type="auto"/>
            <w:hideMark/>
          </w:tcPr>
          <w:p w14:paraId="1300D8B2" w14:textId="77777777" w:rsidR="006C7965" w:rsidRPr="00EE7583" w:rsidRDefault="006C7965" w:rsidP="00EE7583">
            <w:pPr>
              <w:pStyle w:val="NoSpacing"/>
              <w:rPr>
                <w:sz w:val="20"/>
                <w:szCs w:val="20"/>
              </w:rPr>
            </w:pPr>
            <w:r w:rsidRPr="00EE7583">
              <w:rPr>
                <w:sz w:val="20"/>
                <w:szCs w:val="20"/>
              </w:rPr>
              <w:t>−0.10*</w:t>
            </w:r>
          </w:p>
        </w:tc>
        <w:tc>
          <w:tcPr>
            <w:tcW w:w="0" w:type="auto"/>
            <w:hideMark/>
          </w:tcPr>
          <w:p w14:paraId="2285DD03" w14:textId="77777777" w:rsidR="006C7965" w:rsidRPr="00EE7583" w:rsidRDefault="006C7965" w:rsidP="00EE7583">
            <w:pPr>
              <w:pStyle w:val="NoSpacing"/>
              <w:rPr>
                <w:sz w:val="20"/>
                <w:szCs w:val="20"/>
              </w:rPr>
            </w:pPr>
            <w:r w:rsidRPr="00EE7583">
              <w:rPr>
                <w:sz w:val="20"/>
                <w:szCs w:val="20"/>
              </w:rPr>
              <w:t>−0.14*</w:t>
            </w:r>
          </w:p>
        </w:tc>
        <w:tc>
          <w:tcPr>
            <w:tcW w:w="0" w:type="auto"/>
            <w:hideMark/>
          </w:tcPr>
          <w:p w14:paraId="047C91D9" w14:textId="77777777" w:rsidR="006C7965" w:rsidRPr="00EE7583" w:rsidRDefault="006C7965" w:rsidP="00EE7583">
            <w:pPr>
              <w:pStyle w:val="NoSpacing"/>
              <w:rPr>
                <w:sz w:val="20"/>
                <w:szCs w:val="20"/>
              </w:rPr>
            </w:pPr>
            <w:r w:rsidRPr="00EE7583">
              <w:rPr>
                <w:sz w:val="20"/>
                <w:szCs w:val="20"/>
              </w:rPr>
              <w:t>−0.09</w:t>
            </w:r>
          </w:p>
        </w:tc>
        <w:tc>
          <w:tcPr>
            <w:tcW w:w="0" w:type="auto"/>
            <w:hideMark/>
          </w:tcPr>
          <w:p w14:paraId="39F3F42F" w14:textId="77777777" w:rsidR="006C7965" w:rsidRPr="00EE7583" w:rsidRDefault="006C7965" w:rsidP="00EE7583">
            <w:pPr>
              <w:pStyle w:val="NoSpacing"/>
              <w:rPr>
                <w:sz w:val="20"/>
                <w:szCs w:val="20"/>
              </w:rPr>
            </w:pPr>
            <w:r w:rsidRPr="00EE7583">
              <w:rPr>
                <w:sz w:val="20"/>
                <w:szCs w:val="20"/>
              </w:rPr>
              <w:t>0.07</w:t>
            </w:r>
          </w:p>
        </w:tc>
        <w:tc>
          <w:tcPr>
            <w:tcW w:w="0" w:type="auto"/>
            <w:hideMark/>
          </w:tcPr>
          <w:p w14:paraId="5EEB6FB3" w14:textId="77777777" w:rsidR="006C7965" w:rsidRPr="00EE7583" w:rsidRDefault="006C7965" w:rsidP="00EE7583">
            <w:pPr>
              <w:pStyle w:val="NoSpacing"/>
              <w:rPr>
                <w:sz w:val="20"/>
                <w:szCs w:val="20"/>
              </w:rPr>
            </w:pPr>
            <w:r w:rsidRPr="00EE7583">
              <w:rPr>
                <w:sz w:val="20"/>
                <w:szCs w:val="20"/>
              </w:rPr>
              <w:t>−0.17*</w:t>
            </w:r>
          </w:p>
        </w:tc>
        <w:tc>
          <w:tcPr>
            <w:tcW w:w="0" w:type="auto"/>
            <w:hideMark/>
          </w:tcPr>
          <w:p w14:paraId="0929063D" w14:textId="77777777" w:rsidR="006C7965" w:rsidRPr="00EE7583" w:rsidRDefault="006C7965" w:rsidP="00EE7583">
            <w:pPr>
              <w:pStyle w:val="NoSpacing"/>
              <w:rPr>
                <w:sz w:val="20"/>
                <w:szCs w:val="20"/>
              </w:rPr>
            </w:pPr>
            <w:r w:rsidRPr="00EE7583">
              <w:rPr>
                <w:sz w:val="20"/>
                <w:szCs w:val="20"/>
              </w:rPr>
              <w:t>−0.23*</w:t>
            </w:r>
          </w:p>
        </w:tc>
        <w:tc>
          <w:tcPr>
            <w:tcW w:w="0" w:type="auto"/>
            <w:hideMark/>
          </w:tcPr>
          <w:p w14:paraId="05E10E55" w14:textId="77777777" w:rsidR="006C7965" w:rsidRPr="00EE7583" w:rsidRDefault="006C7965" w:rsidP="00EE7583">
            <w:pPr>
              <w:pStyle w:val="NoSpacing"/>
              <w:rPr>
                <w:sz w:val="20"/>
                <w:szCs w:val="20"/>
              </w:rPr>
            </w:pPr>
            <w:r w:rsidRPr="00EE7583">
              <w:rPr>
                <w:sz w:val="20"/>
                <w:szCs w:val="20"/>
              </w:rPr>
              <w:t>0.06</w:t>
            </w:r>
          </w:p>
        </w:tc>
        <w:tc>
          <w:tcPr>
            <w:tcW w:w="0" w:type="auto"/>
            <w:hideMark/>
          </w:tcPr>
          <w:p w14:paraId="25EF80E3" w14:textId="77777777" w:rsidR="006C7965" w:rsidRPr="00EE7583" w:rsidRDefault="006C7965" w:rsidP="00EE7583">
            <w:pPr>
              <w:pStyle w:val="NoSpacing"/>
              <w:rPr>
                <w:sz w:val="20"/>
                <w:szCs w:val="20"/>
              </w:rPr>
            </w:pPr>
            <w:r w:rsidRPr="00EE7583">
              <w:rPr>
                <w:sz w:val="20"/>
                <w:szCs w:val="20"/>
              </w:rPr>
              <w:t>−0.01</w:t>
            </w:r>
          </w:p>
        </w:tc>
        <w:tc>
          <w:tcPr>
            <w:tcW w:w="0" w:type="auto"/>
            <w:hideMark/>
          </w:tcPr>
          <w:p w14:paraId="70304C2B" w14:textId="77777777" w:rsidR="006C7965" w:rsidRPr="00EE7583" w:rsidRDefault="006C7965" w:rsidP="00EE7583">
            <w:pPr>
              <w:pStyle w:val="NoSpacing"/>
              <w:rPr>
                <w:sz w:val="20"/>
                <w:szCs w:val="20"/>
              </w:rPr>
            </w:pPr>
            <w:r w:rsidRPr="00EE7583">
              <w:rPr>
                <w:sz w:val="20"/>
                <w:szCs w:val="20"/>
              </w:rPr>
              <w:t>−0.29*</w:t>
            </w:r>
          </w:p>
        </w:tc>
        <w:tc>
          <w:tcPr>
            <w:tcW w:w="0" w:type="auto"/>
            <w:hideMark/>
          </w:tcPr>
          <w:p w14:paraId="07E7074F" w14:textId="77777777" w:rsidR="006C7965" w:rsidRPr="00EE7583" w:rsidRDefault="006C7965" w:rsidP="00EE7583">
            <w:pPr>
              <w:pStyle w:val="NoSpacing"/>
              <w:rPr>
                <w:sz w:val="20"/>
                <w:szCs w:val="20"/>
              </w:rPr>
            </w:pPr>
            <w:r w:rsidRPr="00EE7583">
              <w:rPr>
                <w:sz w:val="20"/>
                <w:szCs w:val="20"/>
              </w:rPr>
              <w:t>0.50*</w:t>
            </w:r>
          </w:p>
        </w:tc>
        <w:tc>
          <w:tcPr>
            <w:tcW w:w="0" w:type="auto"/>
            <w:hideMark/>
          </w:tcPr>
          <w:p w14:paraId="45101493" w14:textId="77777777" w:rsidR="006C7965" w:rsidRPr="00EE7583" w:rsidRDefault="006C7965" w:rsidP="00EE7583">
            <w:pPr>
              <w:pStyle w:val="NoSpacing"/>
              <w:rPr>
                <w:sz w:val="20"/>
                <w:szCs w:val="20"/>
              </w:rPr>
            </w:pPr>
            <w:r w:rsidRPr="00EE7583">
              <w:rPr>
                <w:sz w:val="20"/>
                <w:szCs w:val="20"/>
              </w:rPr>
              <w:t>−0.43*</w:t>
            </w:r>
          </w:p>
        </w:tc>
        <w:tc>
          <w:tcPr>
            <w:tcW w:w="0" w:type="auto"/>
            <w:hideMark/>
          </w:tcPr>
          <w:p w14:paraId="14F2320F" w14:textId="77777777" w:rsidR="006C7965" w:rsidRPr="00EE7583" w:rsidRDefault="006C7965" w:rsidP="00EE7583">
            <w:pPr>
              <w:pStyle w:val="NoSpacing"/>
              <w:rPr>
                <w:sz w:val="20"/>
                <w:szCs w:val="20"/>
              </w:rPr>
            </w:pPr>
            <w:r w:rsidRPr="00EE7583">
              <w:rPr>
                <w:sz w:val="20"/>
                <w:szCs w:val="20"/>
              </w:rPr>
              <w:t>1.00</w:t>
            </w:r>
          </w:p>
        </w:tc>
        <w:tc>
          <w:tcPr>
            <w:tcW w:w="0" w:type="auto"/>
            <w:hideMark/>
          </w:tcPr>
          <w:p w14:paraId="2A771715" w14:textId="77777777" w:rsidR="006C7965" w:rsidRPr="00EE7583" w:rsidRDefault="006C7965" w:rsidP="00EE7583">
            <w:pPr>
              <w:pStyle w:val="NoSpacing"/>
              <w:rPr>
                <w:sz w:val="20"/>
                <w:szCs w:val="20"/>
              </w:rPr>
            </w:pPr>
          </w:p>
        </w:tc>
        <w:tc>
          <w:tcPr>
            <w:tcW w:w="0" w:type="auto"/>
            <w:hideMark/>
          </w:tcPr>
          <w:p w14:paraId="35BD4BDC" w14:textId="77777777" w:rsidR="006C7965" w:rsidRPr="00EE7583" w:rsidRDefault="006C7965" w:rsidP="00EE7583">
            <w:pPr>
              <w:pStyle w:val="NoSpacing"/>
              <w:rPr>
                <w:sz w:val="20"/>
                <w:szCs w:val="20"/>
              </w:rPr>
            </w:pPr>
          </w:p>
        </w:tc>
        <w:tc>
          <w:tcPr>
            <w:tcW w:w="0" w:type="auto"/>
            <w:hideMark/>
          </w:tcPr>
          <w:p w14:paraId="3A13F87C" w14:textId="77777777" w:rsidR="006C7965" w:rsidRPr="00EE7583" w:rsidRDefault="006C7965" w:rsidP="00EE7583">
            <w:pPr>
              <w:pStyle w:val="NoSpacing"/>
              <w:rPr>
                <w:sz w:val="20"/>
                <w:szCs w:val="20"/>
              </w:rPr>
            </w:pPr>
          </w:p>
        </w:tc>
        <w:tc>
          <w:tcPr>
            <w:tcW w:w="0" w:type="auto"/>
            <w:hideMark/>
          </w:tcPr>
          <w:p w14:paraId="2B30846A" w14:textId="77777777" w:rsidR="006C7965" w:rsidRPr="00EE7583" w:rsidRDefault="006C7965" w:rsidP="00EE7583">
            <w:pPr>
              <w:pStyle w:val="NoSpacing"/>
              <w:rPr>
                <w:sz w:val="20"/>
                <w:szCs w:val="20"/>
              </w:rPr>
            </w:pPr>
          </w:p>
        </w:tc>
        <w:tc>
          <w:tcPr>
            <w:tcW w:w="0" w:type="auto"/>
            <w:hideMark/>
          </w:tcPr>
          <w:p w14:paraId="7F54A867" w14:textId="77777777" w:rsidR="006C7965" w:rsidRPr="00EE7583" w:rsidRDefault="006C7965" w:rsidP="00EE7583">
            <w:pPr>
              <w:pStyle w:val="NoSpacing"/>
              <w:rPr>
                <w:sz w:val="20"/>
                <w:szCs w:val="20"/>
              </w:rPr>
            </w:pPr>
          </w:p>
        </w:tc>
        <w:tc>
          <w:tcPr>
            <w:tcW w:w="0" w:type="auto"/>
            <w:hideMark/>
          </w:tcPr>
          <w:p w14:paraId="6DCD65B6" w14:textId="77777777" w:rsidR="006C7965" w:rsidRPr="00EE7583" w:rsidRDefault="006C7965" w:rsidP="00EE7583">
            <w:pPr>
              <w:pStyle w:val="NoSpacing"/>
              <w:rPr>
                <w:sz w:val="20"/>
                <w:szCs w:val="20"/>
              </w:rPr>
            </w:pPr>
          </w:p>
        </w:tc>
      </w:tr>
      <w:tr w:rsidR="006C7965" w:rsidRPr="00EE7583" w14:paraId="3CCD6931" w14:textId="77777777" w:rsidTr="00644598">
        <w:tc>
          <w:tcPr>
            <w:tcW w:w="0" w:type="auto"/>
            <w:hideMark/>
          </w:tcPr>
          <w:p w14:paraId="245BFFEC" w14:textId="77777777" w:rsidR="006C7965" w:rsidRPr="00EE7583" w:rsidRDefault="006C7965" w:rsidP="00EE7583">
            <w:pPr>
              <w:pStyle w:val="NoSpacing"/>
              <w:rPr>
                <w:sz w:val="20"/>
                <w:szCs w:val="20"/>
              </w:rPr>
            </w:pPr>
            <w:r w:rsidRPr="00EE7583">
              <w:rPr>
                <w:sz w:val="20"/>
                <w:szCs w:val="20"/>
              </w:rPr>
              <w:t>16 Govt fund surplus</w:t>
            </w:r>
          </w:p>
        </w:tc>
        <w:tc>
          <w:tcPr>
            <w:tcW w:w="0" w:type="auto"/>
            <w:hideMark/>
          </w:tcPr>
          <w:p w14:paraId="7875C930" w14:textId="77777777" w:rsidR="006C7965" w:rsidRPr="00EE7583" w:rsidRDefault="006C7965" w:rsidP="00EE7583">
            <w:pPr>
              <w:pStyle w:val="NoSpacing"/>
              <w:rPr>
                <w:sz w:val="20"/>
                <w:szCs w:val="20"/>
              </w:rPr>
            </w:pPr>
            <w:r w:rsidRPr="00EE7583">
              <w:rPr>
                <w:sz w:val="20"/>
                <w:szCs w:val="20"/>
              </w:rPr>
              <w:t>−0.24*</w:t>
            </w:r>
          </w:p>
        </w:tc>
        <w:tc>
          <w:tcPr>
            <w:tcW w:w="0" w:type="auto"/>
            <w:hideMark/>
          </w:tcPr>
          <w:p w14:paraId="59B42914" w14:textId="77777777" w:rsidR="006C7965" w:rsidRPr="00EE7583" w:rsidRDefault="006C7965" w:rsidP="00EE7583">
            <w:pPr>
              <w:pStyle w:val="NoSpacing"/>
              <w:rPr>
                <w:sz w:val="20"/>
                <w:szCs w:val="20"/>
              </w:rPr>
            </w:pPr>
            <w:r w:rsidRPr="00EE7583">
              <w:rPr>
                <w:sz w:val="20"/>
                <w:szCs w:val="20"/>
              </w:rPr>
              <w:t>0.02</w:t>
            </w:r>
          </w:p>
        </w:tc>
        <w:tc>
          <w:tcPr>
            <w:tcW w:w="0" w:type="auto"/>
            <w:hideMark/>
          </w:tcPr>
          <w:p w14:paraId="6F98BACE" w14:textId="77777777" w:rsidR="006C7965" w:rsidRPr="00EE7583" w:rsidRDefault="006C7965" w:rsidP="00EE7583">
            <w:pPr>
              <w:pStyle w:val="NoSpacing"/>
              <w:rPr>
                <w:sz w:val="20"/>
                <w:szCs w:val="20"/>
              </w:rPr>
            </w:pPr>
            <w:r w:rsidRPr="00EE7583">
              <w:rPr>
                <w:sz w:val="20"/>
                <w:szCs w:val="20"/>
              </w:rPr>
              <w:t>−0.10*</w:t>
            </w:r>
          </w:p>
        </w:tc>
        <w:tc>
          <w:tcPr>
            <w:tcW w:w="0" w:type="auto"/>
            <w:hideMark/>
          </w:tcPr>
          <w:p w14:paraId="5143692C" w14:textId="77777777" w:rsidR="006C7965" w:rsidRPr="00EE7583" w:rsidRDefault="006C7965" w:rsidP="00EE7583">
            <w:pPr>
              <w:pStyle w:val="NoSpacing"/>
              <w:rPr>
                <w:sz w:val="20"/>
                <w:szCs w:val="20"/>
              </w:rPr>
            </w:pPr>
            <w:r w:rsidRPr="00EE7583">
              <w:rPr>
                <w:sz w:val="20"/>
                <w:szCs w:val="20"/>
              </w:rPr>
              <w:t>−0.13</w:t>
            </w:r>
          </w:p>
        </w:tc>
        <w:tc>
          <w:tcPr>
            <w:tcW w:w="0" w:type="auto"/>
            <w:hideMark/>
          </w:tcPr>
          <w:p w14:paraId="22268C09" w14:textId="77777777" w:rsidR="006C7965" w:rsidRPr="00EE7583" w:rsidRDefault="006C7965" w:rsidP="00EE7583">
            <w:pPr>
              <w:pStyle w:val="NoSpacing"/>
              <w:rPr>
                <w:sz w:val="20"/>
                <w:szCs w:val="20"/>
              </w:rPr>
            </w:pPr>
            <w:r w:rsidRPr="00EE7583">
              <w:rPr>
                <w:sz w:val="20"/>
                <w:szCs w:val="20"/>
              </w:rPr>
              <w:t>−0.24*</w:t>
            </w:r>
          </w:p>
        </w:tc>
        <w:tc>
          <w:tcPr>
            <w:tcW w:w="0" w:type="auto"/>
            <w:hideMark/>
          </w:tcPr>
          <w:p w14:paraId="3BD700F3" w14:textId="77777777" w:rsidR="006C7965" w:rsidRPr="00EE7583" w:rsidRDefault="006C7965" w:rsidP="00EE7583">
            <w:pPr>
              <w:pStyle w:val="NoSpacing"/>
              <w:rPr>
                <w:sz w:val="20"/>
                <w:szCs w:val="20"/>
              </w:rPr>
            </w:pPr>
            <w:r w:rsidRPr="00EE7583">
              <w:rPr>
                <w:sz w:val="20"/>
                <w:szCs w:val="20"/>
              </w:rPr>
              <w:t>−0.18</w:t>
            </w:r>
          </w:p>
        </w:tc>
        <w:tc>
          <w:tcPr>
            <w:tcW w:w="0" w:type="auto"/>
            <w:hideMark/>
          </w:tcPr>
          <w:p w14:paraId="424C2F49" w14:textId="77777777" w:rsidR="006C7965" w:rsidRPr="00EE7583" w:rsidRDefault="006C7965" w:rsidP="00EE7583">
            <w:pPr>
              <w:pStyle w:val="NoSpacing"/>
              <w:rPr>
                <w:sz w:val="20"/>
                <w:szCs w:val="20"/>
              </w:rPr>
            </w:pPr>
            <w:r w:rsidRPr="00EE7583">
              <w:rPr>
                <w:sz w:val="20"/>
                <w:szCs w:val="20"/>
              </w:rPr>
              <w:t>0.10</w:t>
            </w:r>
          </w:p>
        </w:tc>
        <w:tc>
          <w:tcPr>
            <w:tcW w:w="0" w:type="auto"/>
            <w:hideMark/>
          </w:tcPr>
          <w:p w14:paraId="7FBEE885" w14:textId="77777777" w:rsidR="006C7965" w:rsidRPr="00EE7583" w:rsidRDefault="006C7965" w:rsidP="00EE7583">
            <w:pPr>
              <w:pStyle w:val="NoSpacing"/>
              <w:rPr>
                <w:sz w:val="20"/>
                <w:szCs w:val="20"/>
              </w:rPr>
            </w:pPr>
            <w:r w:rsidRPr="00EE7583">
              <w:rPr>
                <w:sz w:val="20"/>
                <w:szCs w:val="20"/>
              </w:rPr>
              <w:t>−0.01</w:t>
            </w:r>
          </w:p>
        </w:tc>
        <w:tc>
          <w:tcPr>
            <w:tcW w:w="0" w:type="auto"/>
            <w:hideMark/>
          </w:tcPr>
          <w:p w14:paraId="59EB30D3" w14:textId="77777777" w:rsidR="006C7965" w:rsidRPr="00EE7583" w:rsidRDefault="006C7965" w:rsidP="00EE7583">
            <w:pPr>
              <w:pStyle w:val="NoSpacing"/>
              <w:rPr>
                <w:sz w:val="20"/>
                <w:szCs w:val="20"/>
              </w:rPr>
            </w:pPr>
            <w:r w:rsidRPr="00EE7583">
              <w:rPr>
                <w:sz w:val="20"/>
                <w:szCs w:val="20"/>
              </w:rPr>
              <w:t>−0.03</w:t>
            </w:r>
          </w:p>
        </w:tc>
        <w:tc>
          <w:tcPr>
            <w:tcW w:w="0" w:type="auto"/>
            <w:hideMark/>
          </w:tcPr>
          <w:p w14:paraId="2EBCE7E5" w14:textId="77777777" w:rsidR="006C7965" w:rsidRPr="00EE7583" w:rsidRDefault="006C7965" w:rsidP="00EE7583">
            <w:pPr>
              <w:pStyle w:val="NoSpacing"/>
              <w:rPr>
                <w:sz w:val="20"/>
                <w:szCs w:val="20"/>
              </w:rPr>
            </w:pPr>
            <w:r w:rsidRPr="00EE7583">
              <w:rPr>
                <w:sz w:val="20"/>
                <w:szCs w:val="20"/>
              </w:rPr>
              <w:t>0.03</w:t>
            </w:r>
          </w:p>
        </w:tc>
        <w:tc>
          <w:tcPr>
            <w:tcW w:w="0" w:type="auto"/>
            <w:hideMark/>
          </w:tcPr>
          <w:p w14:paraId="2018FC7B" w14:textId="77777777" w:rsidR="006C7965" w:rsidRPr="00EE7583" w:rsidRDefault="006C7965" w:rsidP="00EE7583">
            <w:pPr>
              <w:pStyle w:val="NoSpacing"/>
              <w:rPr>
                <w:sz w:val="20"/>
                <w:szCs w:val="20"/>
              </w:rPr>
            </w:pPr>
            <w:r w:rsidRPr="00EE7583">
              <w:rPr>
                <w:sz w:val="20"/>
                <w:szCs w:val="20"/>
              </w:rPr>
              <w:t>−0.08</w:t>
            </w:r>
          </w:p>
        </w:tc>
        <w:tc>
          <w:tcPr>
            <w:tcW w:w="0" w:type="auto"/>
            <w:hideMark/>
          </w:tcPr>
          <w:p w14:paraId="799ACEAD" w14:textId="77777777" w:rsidR="006C7965" w:rsidRPr="00EE7583" w:rsidRDefault="006C7965" w:rsidP="00EE7583">
            <w:pPr>
              <w:pStyle w:val="NoSpacing"/>
              <w:rPr>
                <w:sz w:val="20"/>
                <w:szCs w:val="20"/>
              </w:rPr>
            </w:pPr>
            <w:r w:rsidRPr="00EE7583">
              <w:rPr>
                <w:sz w:val="20"/>
                <w:szCs w:val="20"/>
              </w:rPr>
              <w:t>−0.07</w:t>
            </w:r>
          </w:p>
        </w:tc>
        <w:tc>
          <w:tcPr>
            <w:tcW w:w="0" w:type="auto"/>
            <w:hideMark/>
          </w:tcPr>
          <w:p w14:paraId="42F7B470" w14:textId="77777777" w:rsidR="006C7965" w:rsidRPr="00EE7583" w:rsidRDefault="006C7965" w:rsidP="00EE7583">
            <w:pPr>
              <w:pStyle w:val="NoSpacing"/>
              <w:rPr>
                <w:sz w:val="20"/>
                <w:szCs w:val="20"/>
              </w:rPr>
            </w:pPr>
            <w:r w:rsidRPr="00EE7583">
              <w:rPr>
                <w:sz w:val="20"/>
                <w:szCs w:val="20"/>
              </w:rPr>
              <w:t>0.13*</w:t>
            </w:r>
          </w:p>
        </w:tc>
        <w:tc>
          <w:tcPr>
            <w:tcW w:w="0" w:type="auto"/>
            <w:hideMark/>
          </w:tcPr>
          <w:p w14:paraId="33D2149D" w14:textId="77777777" w:rsidR="006C7965" w:rsidRPr="00EE7583" w:rsidRDefault="006C7965" w:rsidP="00EE7583">
            <w:pPr>
              <w:pStyle w:val="NoSpacing"/>
              <w:rPr>
                <w:sz w:val="20"/>
                <w:szCs w:val="20"/>
              </w:rPr>
            </w:pPr>
            <w:r w:rsidRPr="00EE7583">
              <w:rPr>
                <w:sz w:val="20"/>
                <w:szCs w:val="20"/>
              </w:rPr>
              <w:t>−0.07</w:t>
            </w:r>
          </w:p>
        </w:tc>
        <w:tc>
          <w:tcPr>
            <w:tcW w:w="0" w:type="auto"/>
            <w:hideMark/>
          </w:tcPr>
          <w:p w14:paraId="1D6DA267" w14:textId="77777777" w:rsidR="006C7965" w:rsidRPr="00EE7583" w:rsidRDefault="006C7965" w:rsidP="00EE7583">
            <w:pPr>
              <w:pStyle w:val="NoSpacing"/>
              <w:rPr>
                <w:sz w:val="20"/>
                <w:szCs w:val="20"/>
              </w:rPr>
            </w:pPr>
            <w:r w:rsidRPr="00EE7583">
              <w:rPr>
                <w:sz w:val="20"/>
                <w:szCs w:val="20"/>
              </w:rPr>
              <w:t>0.29*</w:t>
            </w:r>
          </w:p>
        </w:tc>
        <w:tc>
          <w:tcPr>
            <w:tcW w:w="0" w:type="auto"/>
            <w:hideMark/>
          </w:tcPr>
          <w:p w14:paraId="11FC1B51" w14:textId="77777777" w:rsidR="006C7965" w:rsidRPr="00EE7583" w:rsidRDefault="006C7965" w:rsidP="00EE7583">
            <w:pPr>
              <w:pStyle w:val="NoSpacing"/>
              <w:rPr>
                <w:sz w:val="20"/>
                <w:szCs w:val="20"/>
              </w:rPr>
            </w:pPr>
            <w:r w:rsidRPr="00EE7583">
              <w:rPr>
                <w:sz w:val="20"/>
                <w:szCs w:val="20"/>
              </w:rPr>
              <w:t>1.00</w:t>
            </w:r>
          </w:p>
        </w:tc>
        <w:tc>
          <w:tcPr>
            <w:tcW w:w="0" w:type="auto"/>
            <w:hideMark/>
          </w:tcPr>
          <w:p w14:paraId="0FB0BA5C" w14:textId="77777777" w:rsidR="006C7965" w:rsidRPr="00EE7583" w:rsidRDefault="006C7965" w:rsidP="00EE7583">
            <w:pPr>
              <w:pStyle w:val="NoSpacing"/>
              <w:rPr>
                <w:sz w:val="20"/>
                <w:szCs w:val="20"/>
              </w:rPr>
            </w:pPr>
          </w:p>
        </w:tc>
        <w:tc>
          <w:tcPr>
            <w:tcW w:w="0" w:type="auto"/>
            <w:hideMark/>
          </w:tcPr>
          <w:p w14:paraId="09EA1D4A" w14:textId="77777777" w:rsidR="006C7965" w:rsidRPr="00EE7583" w:rsidRDefault="006C7965" w:rsidP="00EE7583">
            <w:pPr>
              <w:pStyle w:val="NoSpacing"/>
              <w:rPr>
                <w:sz w:val="20"/>
                <w:szCs w:val="20"/>
              </w:rPr>
            </w:pPr>
          </w:p>
        </w:tc>
        <w:tc>
          <w:tcPr>
            <w:tcW w:w="0" w:type="auto"/>
            <w:hideMark/>
          </w:tcPr>
          <w:p w14:paraId="75724665" w14:textId="77777777" w:rsidR="006C7965" w:rsidRPr="00EE7583" w:rsidRDefault="006C7965" w:rsidP="00EE7583">
            <w:pPr>
              <w:pStyle w:val="NoSpacing"/>
              <w:rPr>
                <w:sz w:val="20"/>
                <w:szCs w:val="20"/>
              </w:rPr>
            </w:pPr>
          </w:p>
        </w:tc>
        <w:tc>
          <w:tcPr>
            <w:tcW w:w="0" w:type="auto"/>
            <w:hideMark/>
          </w:tcPr>
          <w:p w14:paraId="3C037878" w14:textId="77777777" w:rsidR="006C7965" w:rsidRPr="00EE7583" w:rsidRDefault="006C7965" w:rsidP="00EE7583">
            <w:pPr>
              <w:pStyle w:val="NoSpacing"/>
              <w:rPr>
                <w:sz w:val="20"/>
                <w:szCs w:val="20"/>
              </w:rPr>
            </w:pPr>
          </w:p>
        </w:tc>
        <w:tc>
          <w:tcPr>
            <w:tcW w:w="0" w:type="auto"/>
            <w:hideMark/>
          </w:tcPr>
          <w:p w14:paraId="6C315D19" w14:textId="77777777" w:rsidR="006C7965" w:rsidRPr="00EE7583" w:rsidRDefault="006C7965" w:rsidP="00EE7583">
            <w:pPr>
              <w:pStyle w:val="NoSpacing"/>
              <w:rPr>
                <w:sz w:val="20"/>
                <w:szCs w:val="20"/>
              </w:rPr>
            </w:pPr>
          </w:p>
        </w:tc>
      </w:tr>
      <w:tr w:rsidR="00EE7583" w:rsidRPr="00EE7583" w14:paraId="38CDEB33" w14:textId="77777777" w:rsidTr="00644598">
        <w:tc>
          <w:tcPr>
            <w:tcW w:w="0" w:type="auto"/>
            <w:hideMark/>
          </w:tcPr>
          <w:p w14:paraId="2F493FDD" w14:textId="77777777" w:rsidR="006C7965" w:rsidRPr="00EE7583" w:rsidRDefault="006C7965" w:rsidP="00EE7583">
            <w:pPr>
              <w:pStyle w:val="NoSpacing"/>
              <w:rPr>
                <w:sz w:val="20"/>
                <w:szCs w:val="20"/>
              </w:rPr>
            </w:pPr>
            <w:r w:rsidRPr="00EE7583">
              <w:rPr>
                <w:sz w:val="20"/>
                <w:szCs w:val="20"/>
              </w:rPr>
              <w:t>17 Govt funds exp</w:t>
            </w:r>
          </w:p>
        </w:tc>
        <w:tc>
          <w:tcPr>
            <w:tcW w:w="0" w:type="auto"/>
            <w:hideMark/>
          </w:tcPr>
          <w:p w14:paraId="2823CA91" w14:textId="77777777" w:rsidR="006C7965" w:rsidRPr="00EE7583" w:rsidRDefault="006C7965" w:rsidP="00EE7583">
            <w:pPr>
              <w:pStyle w:val="NoSpacing"/>
              <w:rPr>
                <w:sz w:val="20"/>
                <w:szCs w:val="20"/>
              </w:rPr>
            </w:pPr>
            <w:r w:rsidRPr="00EE7583">
              <w:rPr>
                <w:sz w:val="20"/>
                <w:szCs w:val="20"/>
              </w:rPr>
              <w:t>0.16*</w:t>
            </w:r>
          </w:p>
        </w:tc>
        <w:tc>
          <w:tcPr>
            <w:tcW w:w="0" w:type="auto"/>
            <w:hideMark/>
          </w:tcPr>
          <w:p w14:paraId="001EE8E2" w14:textId="77777777" w:rsidR="006C7965" w:rsidRPr="00EE7583" w:rsidRDefault="006C7965" w:rsidP="00EE7583">
            <w:pPr>
              <w:pStyle w:val="NoSpacing"/>
              <w:rPr>
                <w:sz w:val="20"/>
                <w:szCs w:val="20"/>
              </w:rPr>
            </w:pPr>
            <w:r w:rsidRPr="00EE7583">
              <w:rPr>
                <w:sz w:val="20"/>
                <w:szCs w:val="20"/>
              </w:rPr>
              <w:t>−0.10*</w:t>
            </w:r>
          </w:p>
        </w:tc>
        <w:tc>
          <w:tcPr>
            <w:tcW w:w="0" w:type="auto"/>
            <w:hideMark/>
          </w:tcPr>
          <w:p w14:paraId="3CD8CF2A" w14:textId="77777777" w:rsidR="006C7965" w:rsidRPr="00EE7583" w:rsidRDefault="006C7965" w:rsidP="00EE7583">
            <w:pPr>
              <w:pStyle w:val="NoSpacing"/>
              <w:rPr>
                <w:sz w:val="20"/>
                <w:szCs w:val="20"/>
              </w:rPr>
            </w:pPr>
            <w:r w:rsidRPr="00EE7583">
              <w:rPr>
                <w:sz w:val="20"/>
                <w:szCs w:val="20"/>
              </w:rPr>
              <w:t>0.21*</w:t>
            </w:r>
          </w:p>
        </w:tc>
        <w:tc>
          <w:tcPr>
            <w:tcW w:w="0" w:type="auto"/>
            <w:hideMark/>
          </w:tcPr>
          <w:p w14:paraId="6490466A" w14:textId="77777777" w:rsidR="006C7965" w:rsidRPr="00EE7583" w:rsidRDefault="006C7965" w:rsidP="00EE7583">
            <w:pPr>
              <w:pStyle w:val="NoSpacing"/>
              <w:rPr>
                <w:sz w:val="20"/>
                <w:szCs w:val="20"/>
              </w:rPr>
            </w:pPr>
            <w:r w:rsidRPr="00EE7583">
              <w:rPr>
                <w:sz w:val="20"/>
                <w:szCs w:val="20"/>
              </w:rPr>
              <w:t>0.14</w:t>
            </w:r>
          </w:p>
        </w:tc>
        <w:tc>
          <w:tcPr>
            <w:tcW w:w="0" w:type="auto"/>
            <w:hideMark/>
          </w:tcPr>
          <w:p w14:paraId="0DEA35AA" w14:textId="77777777" w:rsidR="006C7965" w:rsidRPr="00EE7583" w:rsidRDefault="006C7965" w:rsidP="00EE7583">
            <w:pPr>
              <w:pStyle w:val="NoSpacing"/>
              <w:rPr>
                <w:sz w:val="20"/>
                <w:szCs w:val="20"/>
              </w:rPr>
            </w:pPr>
            <w:r w:rsidRPr="00EE7583">
              <w:rPr>
                <w:sz w:val="20"/>
                <w:szCs w:val="20"/>
              </w:rPr>
              <w:t>0.18*</w:t>
            </w:r>
          </w:p>
        </w:tc>
        <w:tc>
          <w:tcPr>
            <w:tcW w:w="0" w:type="auto"/>
            <w:hideMark/>
          </w:tcPr>
          <w:p w14:paraId="6D197679" w14:textId="77777777" w:rsidR="006C7965" w:rsidRPr="00EE7583" w:rsidRDefault="006C7965" w:rsidP="00EE7583">
            <w:pPr>
              <w:pStyle w:val="NoSpacing"/>
              <w:rPr>
                <w:sz w:val="20"/>
                <w:szCs w:val="20"/>
              </w:rPr>
            </w:pPr>
            <w:r w:rsidRPr="00EE7583">
              <w:rPr>
                <w:sz w:val="20"/>
                <w:szCs w:val="20"/>
              </w:rPr>
              <w:t>0.19*</w:t>
            </w:r>
          </w:p>
        </w:tc>
        <w:tc>
          <w:tcPr>
            <w:tcW w:w="0" w:type="auto"/>
            <w:hideMark/>
          </w:tcPr>
          <w:p w14:paraId="04E2F73F" w14:textId="77777777" w:rsidR="006C7965" w:rsidRPr="00EE7583" w:rsidRDefault="006C7965" w:rsidP="00EE7583">
            <w:pPr>
              <w:pStyle w:val="NoSpacing"/>
              <w:rPr>
                <w:sz w:val="20"/>
                <w:szCs w:val="20"/>
              </w:rPr>
            </w:pPr>
            <w:r w:rsidRPr="00EE7583">
              <w:rPr>
                <w:sz w:val="20"/>
                <w:szCs w:val="20"/>
              </w:rPr>
              <w:t>−0.12*</w:t>
            </w:r>
          </w:p>
        </w:tc>
        <w:tc>
          <w:tcPr>
            <w:tcW w:w="0" w:type="auto"/>
            <w:hideMark/>
          </w:tcPr>
          <w:p w14:paraId="1233E5F6" w14:textId="77777777" w:rsidR="006C7965" w:rsidRPr="00EE7583" w:rsidRDefault="006C7965" w:rsidP="00EE7583">
            <w:pPr>
              <w:pStyle w:val="NoSpacing"/>
              <w:rPr>
                <w:sz w:val="20"/>
                <w:szCs w:val="20"/>
              </w:rPr>
            </w:pPr>
            <w:r w:rsidRPr="00EE7583">
              <w:rPr>
                <w:sz w:val="20"/>
                <w:szCs w:val="20"/>
              </w:rPr>
              <w:t>0.16*</w:t>
            </w:r>
          </w:p>
        </w:tc>
        <w:tc>
          <w:tcPr>
            <w:tcW w:w="0" w:type="auto"/>
            <w:hideMark/>
          </w:tcPr>
          <w:p w14:paraId="6C09B913" w14:textId="77777777" w:rsidR="006C7965" w:rsidRPr="00EE7583" w:rsidRDefault="006C7965" w:rsidP="00EE7583">
            <w:pPr>
              <w:pStyle w:val="NoSpacing"/>
              <w:rPr>
                <w:sz w:val="20"/>
                <w:szCs w:val="20"/>
              </w:rPr>
            </w:pPr>
            <w:r w:rsidRPr="00EE7583">
              <w:rPr>
                <w:sz w:val="20"/>
                <w:szCs w:val="20"/>
              </w:rPr>
              <w:t>0.03</w:t>
            </w:r>
          </w:p>
        </w:tc>
        <w:tc>
          <w:tcPr>
            <w:tcW w:w="0" w:type="auto"/>
            <w:hideMark/>
          </w:tcPr>
          <w:p w14:paraId="4C0DFC45" w14:textId="77777777" w:rsidR="006C7965" w:rsidRPr="00EE7583" w:rsidRDefault="006C7965" w:rsidP="00EE7583">
            <w:pPr>
              <w:pStyle w:val="NoSpacing"/>
              <w:rPr>
                <w:sz w:val="20"/>
                <w:szCs w:val="20"/>
              </w:rPr>
            </w:pPr>
            <w:r w:rsidRPr="00EE7583">
              <w:rPr>
                <w:sz w:val="20"/>
                <w:szCs w:val="20"/>
              </w:rPr>
              <w:t>−0.10</w:t>
            </w:r>
          </w:p>
        </w:tc>
        <w:tc>
          <w:tcPr>
            <w:tcW w:w="0" w:type="auto"/>
            <w:hideMark/>
          </w:tcPr>
          <w:p w14:paraId="4F93D256" w14:textId="77777777" w:rsidR="006C7965" w:rsidRPr="00EE7583" w:rsidRDefault="006C7965" w:rsidP="00EE7583">
            <w:pPr>
              <w:pStyle w:val="NoSpacing"/>
              <w:rPr>
                <w:sz w:val="20"/>
                <w:szCs w:val="20"/>
              </w:rPr>
            </w:pPr>
            <w:r w:rsidRPr="00EE7583">
              <w:rPr>
                <w:sz w:val="20"/>
                <w:szCs w:val="20"/>
              </w:rPr>
              <w:t>−0.10</w:t>
            </w:r>
          </w:p>
        </w:tc>
        <w:tc>
          <w:tcPr>
            <w:tcW w:w="0" w:type="auto"/>
            <w:hideMark/>
          </w:tcPr>
          <w:p w14:paraId="74F8FCF7" w14:textId="77777777" w:rsidR="006C7965" w:rsidRPr="00EE7583" w:rsidRDefault="006C7965" w:rsidP="00EE7583">
            <w:pPr>
              <w:pStyle w:val="NoSpacing"/>
              <w:rPr>
                <w:sz w:val="20"/>
                <w:szCs w:val="20"/>
              </w:rPr>
            </w:pPr>
            <w:r w:rsidRPr="00EE7583">
              <w:rPr>
                <w:sz w:val="20"/>
                <w:szCs w:val="20"/>
              </w:rPr>
              <w:t>0.45*</w:t>
            </w:r>
          </w:p>
        </w:tc>
        <w:tc>
          <w:tcPr>
            <w:tcW w:w="0" w:type="auto"/>
            <w:hideMark/>
          </w:tcPr>
          <w:p w14:paraId="0F0D73C3" w14:textId="77777777" w:rsidR="006C7965" w:rsidRPr="00EE7583" w:rsidRDefault="006C7965" w:rsidP="00EE7583">
            <w:pPr>
              <w:pStyle w:val="NoSpacing"/>
              <w:rPr>
                <w:sz w:val="20"/>
                <w:szCs w:val="20"/>
              </w:rPr>
            </w:pPr>
            <w:r w:rsidRPr="00EE7583">
              <w:rPr>
                <w:sz w:val="20"/>
                <w:szCs w:val="20"/>
              </w:rPr>
              <w:t>−0.21*</w:t>
            </w:r>
          </w:p>
        </w:tc>
        <w:tc>
          <w:tcPr>
            <w:tcW w:w="0" w:type="auto"/>
            <w:hideMark/>
          </w:tcPr>
          <w:p w14:paraId="121EC633" w14:textId="77777777" w:rsidR="006C7965" w:rsidRPr="00EE7583" w:rsidRDefault="006C7965" w:rsidP="00EE7583">
            <w:pPr>
              <w:pStyle w:val="NoSpacing"/>
              <w:rPr>
                <w:sz w:val="20"/>
                <w:szCs w:val="20"/>
              </w:rPr>
            </w:pPr>
            <w:r w:rsidRPr="00EE7583">
              <w:rPr>
                <w:sz w:val="20"/>
                <w:szCs w:val="20"/>
              </w:rPr>
              <w:t>−0.38*</w:t>
            </w:r>
          </w:p>
        </w:tc>
        <w:tc>
          <w:tcPr>
            <w:tcW w:w="0" w:type="auto"/>
            <w:hideMark/>
          </w:tcPr>
          <w:p w14:paraId="41A65B82" w14:textId="77777777" w:rsidR="006C7965" w:rsidRPr="00EE7583" w:rsidRDefault="006C7965" w:rsidP="00EE7583">
            <w:pPr>
              <w:pStyle w:val="NoSpacing"/>
              <w:rPr>
                <w:sz w:val="20"/>
                <w:szCs w:val="20"/>
              </w:rPr>
            </w:pPr>
            <w:r w:rsidRPr="00EE7583">
              <w:rPr>
                <w:sz w:val="20"/>
                <w:szCs w:val="20"/>
              </w:rPr>
              <w:t>−0.40*</w:t>
            </w:r>
          </w:p>
        </w:tc>
        <w:tc>
          <w:tcPr>
            <w:tcW w:w="0" w:type="auto"/>
            <w:hideMark/>
          </w:tcPr>
          <w:p w14:paraId="261160EC" w14:textId="77777777" w:rsidR="006C7965" w:rsidRPr="00EE7583" w:rsidRDefault="006C7965" w:rsidP="00EE7583">
            <w:pPr>
              <w:pStyle w:val="NoSpacing"/>
              <w:rPr>
                <w:sz w:val="20"/>
                <w:szCs w:val="20"/>
              </w:rPr>
            </w:pPr>
            <w:r w:rsidRPr="00EE7583">
              <w:rPr>
                <w:sz w:val="20"/>
                <w:szCs w:val="20"/>
              </w:rPr>
              <w:t>−0.40*</w:t>
            </w:r>
          </w:p>
        </w:tc>
        <w:tc>
          <w:tcPr>
            <w:tcW w:w="0" w:type="auto"/>
            <w:hideMark/>
          </w:tcPr>
          <w:p w14:paraId="03BFF749" w14:textId="77777777" w:rsidR="006C7965" w:rsidRPr="00EE7583" w:rsidRDefault="006C7965" w:rsidP="00EE7583">
            <w:pPr>
              <w:pStyle w:val="NoSpacing"/>
              <w:rPr>
                <w:sz w:val="20"/>
                <w:szCs w:val="20"/>
              </w:rPr>
            </w:pPr>
            <w:r w:rsidRPr="00EE7583">
              <w:rPr>
                <w:sz w:val="20"/>
                <w:szCs w:val="20"/>
              </w:rPr>
              <w:t>1.00</w:t>
            </w:r>
          </w:p>
        </w:tc>
        <w:tc>
          <w:tcPr>
            <w:tcW w:w="0" w:type="auto"/>
            <w:hideMark/>
          </w:tcPr>
          <w:p w14:paraId="767E4BD0" w14:textId="77777777" w:rsidR="006C7965" w:rsidRPr="00EE7583" w:rsidRDefault="006C7965" w:rsidP="00EE7583">
            <w:pPr>
              <w:pStyle w:val="NoSpacing"/>
              <w:rPr>
                <w:sz w:val="20"/>
                <w:szCs w:val="20"/>
              </w:rPr>
            </w:pPr>
          </w:p>
        </w:tc>
        <w:tc>
          <w:tcPr>
            <w:tcW w:w="0" w:type="auto"/>
            <w:hideMark/>
          </w:tcPr>
          <w:p w14:paraId="662F4F6A" w14:textId="77777777" w:rsidR="006C7965" w:rsidRPr="00EE7583" w:rsidRDefault="006C7965" w:rsidP="00EE7583">
            <w:pPr>
              <w:pStyle w:val="NoSpacing"/>
              <w:rPr>
                <w:sz w:val="20"/>
                <w:szCs w:val="20"/>
              </w:rPr>
            </w:pPr>
          </w:p>
        </w:tc>
        <w:tc>
          <w:tcPr>
            <w:tcW w:w="0" w:type="auto"/>
            <w:hideMark/>
          </w:tcPr>
          <w:p w14:paraId="4006823B" w14:textId="77777777" w:rsidR="006C7965" w:rsidRPr="00EE7583" w:rsidRDefault="006C7965" w:rsidP="00EE7583">
            <w:pPr>
              <w:pStyle w:val="NoSpacing"/>
              <w:rPr>
                <w:sz w:val="20"/>
                <w:szCs w:val="20"/>
              </w:rPr>
            </w:pPr>
          </w:p>
        </w:tc>
        <w:tc>
          <w:tcPr>
            <w:tcW w:w="0" w:type="auto"/>
            <w:hideMark/>
          </w:tcPr>
          <w:p w14:paraId="54BEDA6A" w14:textId="77777777" w:rsidR="006C7965" w:rsidRPr="00EE7583" w:rsidRDefault="006C7965" w:rsidP="00EE7583">
            <w:pPr>
              <w:pStyle w:val="NoSpacing"/>
              <w:rPr>
                <w:sz w:val="20"/>
                <w:szCs w:val="20"/>
              </w:rPr>
            </w:pPr>
          </w:p>
        </w:tc>
      </w:tr>
      <w:tr w:rsidR="006C7965" w:rsidRPr="00EE7583" w14:paraId="429EA1A7" w14:textId="77777777" w:rsidTr="00644598">
        <w:tc>
          <w:tcPr>
            <w:tcW w:w="0" w:type="auto"/>
            <w:hideMark/>
          </w:tcPr>
          <w:p w14:paraId="4EC4E36F" w14:textId="77777777" w:rsidR="006C7965" w:rsidRPr="00EE7583" w:rsidRDefault="006C7965" w:rsidP="00EE7583">
            <w:pPr>
              <w:pStyle w:val="NoSpacing"/>
              <w:rPr>
                <w:sz w:val="20"/>
                <w:szCs w:val="20"/>
              </w:rPr>
            </w:pPr>
            <w:r w:rsidRPr="00EE7583">
              <w:rPr>
                <w:sz w:val="20"/>
                <w:szCs w:val="20"/>
              </w:rPr>
              <w:t>18 Capital outlay</w:t>
            </w:r>
          </w:p>
        </w:tc>
        <w:tc>
          <w:tcPr>
            <w:tcW w:w="0" w:type="auto"/>
            <w:hideMark/>
          </w:tcPr>
          <w:p w14:paraId="72560658" w14:textId="77777777" w:rsidR="006C7965" w:rsidRPr="00EE7583" w:rsidRDefault="006C7965" w:rsidP="00EE7583">
            <w:pPr>
              <w:pStyle w:val="NoSpacing"/>
              <w:rPr>
                <w:sz w:val="20"/>
                <w:szCs w:val="20"/>
              </w:rPr>
            </w:pPr>
            <w:r w:rsidRPr="00EE7583">
              <w:rPr>
                <w:sz w:val="20"/>
                <w:szCs w:val="20"/>
              </w:rPr>
              <w:t>0.23*</w:t>
            </w:r>
          </w:p>
        </w:tc>
        <w:tc>
          <w:tcPr>
            <w:tcW w:w="0" w:type="auto"/>
            <w:hideMark/>
          </w:tcPr>
          <w:p w14:paraId="693E42D2" w14:textId="77777777" w:rsidR="006C7965" w:rsidRPr="00EE7583" w:rsidRDefault="006C7965" w:rsidP="00EE7583">
            <w:pPr>
              <w:pStyle w:val="NoSpacing"/>
              <w:rPr>
                <w:sz w:val="20"/>
                <w:szCs w:val="20"/>
              </w:rPr>
            </w:pPr>
            <w:r w:rsidRPr="00EE7583">
              <w:rPr>
                <w:sz w:val="20"/>
                <w:szCs w:val="20"/>
              </w:rPr>
              <w:t>−0.10*</w:t>
            </w:r>
          </w:p>
        </w:tc>
        <w:tc>
          <w:tcPr>
            <w:tcW w:w="0" w:type="auto"/>
            <w:hideMark/>
          </w:tcPr>
          <w:p w14:paraId="14965F03" w14:textId="77777777" w:rsidR="006C7965" w:rsidRPr="00EE7583" w:rsidRDefault="006C7965" w:rsidP="00EE7583">
            <w:pPr>
              <w:pStyle w:val="NoSpacing"/>
              <w:rPr>
                <w:sz w:val="20"/>
                <w:szCs w:val="20"/>
              </w:rPr>
            </w:pPr>
            <w:r w:rsidRPr="00EE7583">
              <w:rPr>
                <w:sz w:val="20"/>
                <w:szCs w:val="20"/>
              </w:rPr>
              <w:t>−0.09</w:t>
            </w:r>
          </w:p>
        </w:tc>
        <w:tc>
          <w:tcPr>
            <w:tcW w:w="0" w:type="auto"/>
            <w:hideMark/>
          </w:tcPr>
          <w:p w14:paraId="67C7BF11" w14:textId="77777777" w:rsidR="006C7965" w:rsidRPr="00EE7583" w:rsidRDefault="006C7965" w:rsidP="00EE7583">
            <w:pPr>
              <w:pStyle w:val="NoSpacing"/>
              <w:rPr>
                <w:sz w:val="20"/>
                <w:szCs w:val="20"/>
              </w:rPr>
            </w:pPr>
            <w:r w:rsidRPr="00EE7583">
              <w:rPr>
                <w:sz w:val="20"/>
                <w:szCs w:val="20"/>
              </w:rPr>
              <w:t>0.00</w:t>
            </w:r>
          </w:p>
        </w:tc>
        <w:tc>
          <w:tcPr>
            <w:tcW w:w="0" w:type="auto"/>
            <w:hideMark/>
          </w:tcPr>
          <w:p w14:paraId="74F9EC3A" w14:textId="77777777" w:rsidR="006C7965" w:rsidRPr="00EE7583" w:rsidRDefault="006C7965" w:rsidP="00EE7583">
            <w:pPr>
              <w:pStyle w:val="NoSpacing"/>
              <w:rPr>
                <w:sz w:val="20"/>
                <w:szCs w:val="20"/>
              </w:rPr>
            </w:pPr>
            <w:r w:rsidRPr="00EE7583">
              <w:rPr>
                <w:sz w:val="20"/>
                <w:szCs w:val="20"/>
              </w:rPr>
              <w:t>0.03</w:t>
            </w:r>
          </w:p>
        </w:tc>
        <w:tc>
          <w:tcPr>
            <w:tcW w:w="0" w:type="auto"/>
            <w:hideMark/>
          </w:tcPr>
          <w:p w14:paraId="32E87358" w14:textId="77777777" w:rsidR="006C7965" w:rsidRPr="00EE7583" w:rsidRDefault="006C7965" w:rsidP="00EE7583">
            <w:pPr>
              <w:pStyle w:val="NoSpacing"/>
              <w:rPr>
                <w:sz w:val="20"/>
                <w:szCs w:val="20"/>
              </w:rPr>
            </w:pPr>
            <w:r w:rsidRPr="00EE7583">
              <w:rPr>
                <w:sz w:val="20"/>
                <w:szCs w:val="20"/>
              </w:rPr>
              <w:t>0.20</w:t>
            </w:r>
          </w:p>
        </w:tc>
        <w:tc>
          <w:tcPr>
            <w:tcW w:w="0" w:type="auto"/>
            <w:hideMark/>
          </w:tcPr>
          <w:p w14:paraId="1A9DBDA1" w14:textId="77777777" w:rsidR="006C7965" w:rsidRPr="00EE7583" w:rsidRDefault="006C7965" w:rsidP="00EE7583">
            <w:pPr>
              <w:pStyle w:val="NoSpacing"/>
              <w:rPr>
                <w:sz w:val="20"/>
                <w:szCs w:val="20"/>
              </w:rPr>
            </w:pPr>
            <w:r w:rsidRPr="00EE7583">
              <w:rPr>
                <w:sz w:val="20"/>
                <w:szCs w:val="20"/>
              </w:rPr>
              <w:t>0.03</w:t>
            </w:r>
          </w:p>
        </w:tc>
        <w:tc>
          <w:tcPr>
            <w:tcW w:w="0" w:type="auto"/>
            <w:hideMark/>
          </w:tcPr>
          <w:p w14:paraId="308087FB" w14:textId="77777777" w:rsidR="006C7965" w:rsidRPr="00EE7583" w:rsidRDefault="006C7965" w:rsidP="00EE7583">
            <w:pPr>
              <w:pStyle w:val="NoSpacing"/>
              <w:rPr>
                <w:sz w:val="20"/>
                <w:szCs w:val="20"/>
              </w:rPr>
            </w:pPr>
            <w:r w:rsidRPr="00EE7583">
              <w:rPr>
                <w:sz w:val="20"/>
                <w:szCs w:val="20"/>
              </w:rPr>
              <w:t>−0.06*</w:t>
            </w:r>
          </w:p>
        </w:tc>
        <w:tc>
          <w:tcPr>
            <w:tcW w:w="0" w:type="auto"/>
            <w:hideMark/>
          </w:tcPr>
          <w:p w14:paraId="4DED6E64" w14:textId="77777777" w:rsidR="006C7965" w:rsidRPr="00EE7583" w:rsidRDefault="006C7965" w:rsidP="00EE7583">
            <w:pPr>
              <w:pStyle w:val="NoSpacing"/>
              <w:rPr>
                <w:sz w:val="20"/>
                <w:szCs w:val="20"/>
              </w:rPr>
            </w:pPr>
            <w:r w:rsidRPr="00EE7583">
              <w:rPr>
                <w:sz w:val="20"/>
                <w:szCs w:val="20"/>
              </w:rPr>
              <w:t>−0.06</w:t>
            </w:r>
          </w:p>
        </w:tc>
        <w:tc>
          <w:tcPr>
            <w:tcW w:w="0" w:type="auto"/>
            <w:hideMark/>
          </w:tcPr>
          <w:p w14:paraId="28B0D3BD" w14:textId="77777777" w:rsidR="006C7965" w:rsidRPr="00EE7583" w:rsidRDefault="006C7965" w:rsidP="00EE7583">
            <w:pPr>
              <w:pStyle w:val="NoSpacing"/>
              <w:rPr>
                <w:sz w:val="20"/>
                <w:szCs w:val="20"/>
              </w:rPr>
            </w:pPr>
            <w:r w:rsidRPr="00EE7583">
              <w:rPr>
                <w:sz w:val="20"/>
                <w:szCs w:val="20"/>
              </w:rPr>
              <w:t>−0.04</w:t>
            </w:r>
          </w:p>
        </w:tc>
        <w:tc>
          <w:tcPr>
            <w:tcW w:w="0" w:type="auto"/>
            <w:hideMark/>
          </w:tcPr>
          <w:p w14:paraId="22B7B23C" w14:textId="77777777" w:rsidR="006C7965" w:rsidRPr="00EE7583" w:rsidRDefault="006C7965" w:rsidP="00EE7583">
            <w:pPr>
              <w:pStyle w:val="NoSpacing"/>
              <w:rPr>
                <w:sz w:val="20"/>
                <w:szCs w:val="20"/>
              </w:rPr>
            </w:pPr>
            <w:r w:rsidRPr="00EE7583">
              <w:rPr>
                <w:sz w:val="20"/>
                <w:szCs w:val="20"/>
              </w:rPr>
              <w:t>−0.13</w:t>
            </w:r>
          </w:p>
        </w:tc>
        <w:tc>
          <w:tcPr>
            <w:tcW w:w="0" w:type="auto"/>
            <w:hideMark/>
          </w:tcPr>
          <w:p w14:paraId="7C3D6097" w14:textId="77777777" w:rsidR="006C7965" w:rsidRPr="00EE7583" w:rsidRDefault="006C7965" w:rsidP="00EE7583">
            <w:pPr>
              <w:pStyle w:val="NoSpacing"/>
              <w:rPr>
                <w:sz w:val="20"/>
                <w:szCs w:val="20"/>
              </w:rPr>
            </w:pPr>
            <w:r w:rsidRPr="00EE7583">
              <w:rPr>
                <w:sz w:val="20"/>
                <w:szCs w:val="20"/>
              </w:rPr>
              <w:t>0.17*</w:t>
            </w:r>
          </w:p>
        </w:tc>
        <w:tc>
          <w:tcPr>
            <w:tcW w:w="0" w:type="auto"/>
            <w:hideMark/>
          </w:tcPr>
          <w:p w14:paraId="59AF74EB" w14:textId="77777777" w:rsidR="006C7965" w:rsidRPr="00EE7583" w:rsidRDefault="006C7965" w:rsidP="00EE7583">
            <w:pPr>
              <w:pStyle w:val="NoSpacing"/>
              <w:rPr>
                <w:sz w:val="20"/>
                <w:szCs w:val="20"/>
              </w:rPr>
            </w:pPr>
            <w:r w:rsidRPr="00EE7583">
              <w:rPr>
                <w:sz w:val="20"/>
                <w:szCs w:val="20"/>
              </w:rPr>
              <w:t>0.11*</w:t>
            </w:r>
          </w:p>
        </w:tc>
        <w:tc>
          <w:tcPr>
            <w:tcW w:w="0" w:type="auto"/>
            <w:hideMark/>
          </w:tcPr>
          <w:p w14:paraId="3B254326" w14:textId="77777777" w:rsidR="006C7965" w:rsidRPr="00EE7583" w:rsidRDefault="006C7965" w:rsidP="00EE7583">
            <w:pPr>
              <w:pStyle w:val="NoSpacing"/>
              <w:rPr>
                <w:sz w:val="20"/>
                <w:szCs w:val="20"/>
              </w:rPr>
            </w:pPr>
            <w:r w:rsidRPr="00EE7583">
              <w:rPr>
                <w:sz w:val="20"/>
                <w:szCs w:val="20"/>
              </w:rPr>
              <w:t>−0.08*</w:t>
            </w:r>
          </w:p>
        </w:tc>
        <w:tc>
          <w:tcPr>
            <w:tcW w:w="0" w:type="auto"/>
            <w:hideMark/>
          </w:tcPr>
          <w:p w14:paraId="1F8DD23D" w14:textId="77777777" w:rsidR="006C7965" w:rsidRPr="00EE7583" w:rsidRDefault="006C7965" w:rsidP="00EE7583">
            <w:pPr>
              <w:pStyle w:val="NoSpacing"/>
              <w:rPr>
                <w:sz w:val="20"/>
                <w:szCs w:val="20"/>
              </w:rPr>
            </w:pPr>
            <w:r w:rsidRPr="00EE7583">
              <w:rPr>
                <w:sz w:val="20"/>
                <w:szCs w:val="20"/>
              </w:rPr>
              <w:t>−0.07</w:t>
            </w:r>
          </w:p>
        </w:tc>
        <w:tc>
          <w:tcPr>
            <w:tcW w:w="0" w:type="auto"/>
            <w:hideMark/>
          </w:tcPr>
          <w:p w14:paraId="1EC721F0" w14:textId="77777777" w:rsidR="006C7965" w:rsidRPr="00EE7583" w:rsidRDefault="006C7965" w:rsidP="00EE7583">
            <w:pPr>
              <w:pStyle w:val="NoSpacing"/>
              <w:rPr>
                <w:sz w:val="20"/>
                <w:szCs w:val="20"/>
              </w:rPr>
            </w:pPr>
            <w:r w:rsidRPr="00EE7583">
              <w:rPr>
                <w:sz w:val="20"/>
                <w:szCs w:val="20"/>
              </w:rPr>
              <w:t>−0.55*</w:t>
            </w:r>
          </w:p>
        </w:tc>
        <w:tc>
          <w:tcPr>
            <w:tcW w:w="0" w:type="auto"/>
            <w:hideMark/>
          </w:tcPr>
          <w:p w14:paraId="586DBB5E" w14:textId="77777777" w:rsidR="006C7965" w:rsidRPr="00EE7583" w:rsidRDefault="006C7965" w:rsidP="00EE7583">
            <w:pPr>
              <w:pStyle w:val="NoSpacing"/>
              <w:rPr>
                <w:sz w:val="20"/>
                <w:szCs w:val="20"/>
              </w:rPr>
            </w:pPr>
            <w:r w:rsidRPr="00EE7583">
              <w:rPr>
                <w:sz w:val="20"/>
                <w:szCs w:val="20"/>
              </w:rPr>
              <w:t>0.54*</w:t>
            </w:r>
          </w:p>
        </w:tc>
        <w:tc>
          <w:tcPr>
            <w:tcW w:w="0" w:type="auto"/>
            <w:hideMark/>
          </w:tcPr>
          <w:p w14:paraId="04B9F46C" w14:textId="77777777" w:rsidR="006C7965" w:rsidRPr="00EE7583" w:rsidRDefault="006C7965" w:rsidP="00EE7583">
            <w:pPr>
              <w:pStyle w:val="NoSpacing"/>
              <w:rPr>
                <w:sz w:val="20"/>
                <w:szCs w:val="20"/>
              </w:rPr>
            </w:pPr>
            <w:r w:rsidRPr="00EE7583">
              <w:rPr>
                <w:sz w:val="20"/>
                <w:szCs w:val="20"/>
              </w:rPr>
              <w:t>1.00</w:t>
            </w:r>
          </w:p>
        </w:tc>
        <w:tc>
          <w:tcPr>
            <w:tcW w:w="0" w:type="auto"/>
            <w:hideMark/>
          </w:tcPr>
          <w:p w14:paraId="6CE27C98" w14:textId="77777777" w:rsidR="006C7965" w:rsidRPr="00EE7583" w:rsidRDefault="006C7965" w:rsidP="00EE7583">
            <w:pPr>
              <w:pStyle w:val="NoSpacing"/>
              <w:rPr>
                <w:sz w:val="20"/>
                <w:szCs w:val="20"/>
              </w:rPr>
            </w:pPr>
          </w:p>
        </w:tc>
        <w:tc>
          <w:tcPr>
            <w:tcW w:w="0" w:type="auto"/>
            <w:hideMark/>
          </w:tcPr>
          <w:p w14:paraId="47D2B73F" w14:textId="77777777" w:rsidR="006C7965" w:rsidRPr="00EE7583" w:rsidRDefault="006C7965" w:rsidP="00EE7583">
            <w:pPr>
              <w:pStyle w:val="NoSpacing"/>
              <w:rPr>
                <w:sz w:val="20"/>
                <w:szCs w:val="20"/>
              </w:rPr>
            </w:pPr>
          </w:p>
        </w:tc>
        <w:tc>
          <w:tcPr>
            <w:tcW w:w="0" w:type="auto"/>
            <w:hideMark/>
          </w:tcPr>
          <w:p w14:paraId="79CCD89B" w14:textId="77777777" w:rsidR="006C7965" w:rsidRPr="00EE7583" w:rsidRDefault="006C7965" w:rsidP="00EE7583">
            <w:pPr>
              <w:pStyle w:val="NoSpacing"/>
              <w:rPr>
                <w:sz w:val="20"/>
                <w:szCs w:val="20"/>
              </w:rPr>
            </w:pPr>
          </w:p>
        </w:tc>
      </w:tr>
      <w:tr w:rsidR="00EE7583" w:rsidRPr="00EE7583" w14:paraId="12DDB1AE" w14:textId="77777777" w:rsidTr="00644598">
        <w:tc>
          <w:tcPr>
            <w:tcW w:w="0" w:type="auto"/>
            <w:hideMark/>
          </w:tcPr>
          <w:p w14:paraId="5AAC5A82" w14:textId="77777777" w:rsidR="006C7965" w:rsidRPr="00EE7583" w:rsidRDefault="006C7965" w:rsidP="00EE7583">
            <w:pPr>
              <w:pStyle w:val="NoSpacing"/>
              <w:rPr>
                <w:sz w:val="20"/>
                <w:szCs w:val="20"/>
              </w:rPr>
            </w:pPr>
            <w:r w:rsidRPr="00EE7583">
              <w:rPr>
                <w:sz w:val="20"/>
                <w:szCs w:val="20"/>
              </w:rPr>
              <w:t xml:space="preserve">19 </w:t>
            </w:r>
            <w:proofErr w:type="spellStart"/>
            <w:r w:rsidRPr="00EE7583">
              <w:rPr>
                <w:sz w:val="20"/>
                <w:szCs w:val="20"/>
              </w:rPr>
              <w:t>Chg</w:t>
            </w:r>
            <w:proofErr w:type="spellEnd"/>
            <w:r w:rsidRPr="00EE7583">
              <w:rPr>
                <w:sz w:val="20"/>
                <w:szCs w:val="20"/>
              </w:rPr>
              <w:t xml:space="preserve"> fund </w:t>
            </w:r>
            <w:proofErr w:type="spellStart"/>
            <w:r w:rsidRPr="00EE7583">
              <w:rPr>
                <w:sz w:val="20"/>
                <w:szCs w:val="20"/>
              </w:rPr>
              <w:t>bal</w:t>
            </w:r>
            <w:proofErr w:type="spellEnd"/>
            <w:r w:rsidRPr="00EE7583">
              <w:rPr>
                <w:sz w:val="20"/>
                <w:szCs w:val="20"/>
              </w:rPr>
              <w:t xml:space="preserve"> GF</w:t>
            </w:r>
          </w:p>
        </w:tc>
        <w:tc>
          <w:tcPr>
            <w:tcW w:w="0" w:type="auto"/>
            <w:hideMark/>
          </w:tcPr>
          <w:p w14:paraId="21191B13" w14:textId="77777777" w:rsidR="006C7965" w:rsidRPr="00EE7583" w:rsidRDefault="006C7965" w:rsidP="00EE7583">
            <w:pPr>
              <w:pStyle w:val="NoSpacing"/>
              <w:rPr>
                <w:sz w:val="20"/>
                <w:szCs w:val="20"/>
              </w:rPr>
            </w:pPr>
            <w:r w:rsidRPr="00EE7583">
              <w:rPr>
                <w:sz w:val="20"/>
                <w:szCs w:val="20"/>
              </w:rPr>
              <w:t>0.03</w:t>
            </w:r>
          </w:p>
        </w:tc>
        <w:tc>
          <w:tcPr>
            <w:tcW w:w="0" w:type="auto"/>
            <w:hideMark/>
          </w:tcPr>
          <w:p w14:paraId="5B306651" w14:textId="77777777" w:rsidR="006C7965" w:rsidRPr="00EE7583" w:rsidRDefault="006C7965" w:rsidP="00EE7583">
            <w:pPr>
              <w:pStyle w:val="NoSpacing"/>
              <w:rPr>
                <w:sz w:val="20"/>
                <w:szCs w:val="20"/>
              </w:rPr>
            </w:pPr>
            <w:r w:rsidRPr="00EE7583">
              <w:rPr>
                <w:sz w:val="20"/>
                <w:szCs w:val="20"/>
              </w:rPr>
              <w:t>0.09*</w:t>
            </w:r>
          </w:p>
        </w:tc>
        <w:tc>
          <w:tcPr>
            <w:tcW w:w="0" w:type="auto"/>
            <w:hideMark/>
          </w:tcPr>
          <w:p w14:paraId="6AD21707" w14:textId="77777777" w:rsidR="006C7965" w:rsidRPr="00EE7583" w:rsidRDefault="006C7965" w:rsidP="00EE7583">
            <w:pPr>
              <w:pStyle w:val="NoSpacing"/>
              <w:rPr>
                <w:sz w:val="20"/>
                <w:szCs w:val="20"/>
              </w:rPr>
            </w:pPr>
            <w:r w:rsidRPr="00EE7583">
              <w:rPr>
                <w:sz w:val="20"/>
                <w:szCs w:val="20"/>
              </w:rPr>
              <w:t>−0.12*</w:t>
            </w:r>
          </w:p>
        </w:tc>
        <w:tc>
          <w:tcPr>
            <w:tcW w:w="0" w:type="auto"/>
            <w:hideMark/>
          </w:tcPr>
          <w:p w14:paraId="18CA4D13" w14:textId="77777777" w:rsidR="006C7965" w:rsidRPr="00EE7583" w:rsidRDefault="006C7965" w:rsidP="00EE7583">
            <w:pPr>
              <w:pStyle w:val="NoSpacing"/>
              <w:rPr>
                <w:sz w:val="20"/>
                <w:szCs w:val="20"/>
              </w:rPr>
            </w:pPr>
            <w:r w:rsidRPr="00EE7583">
              <w:rPr>
                <w:sz w:val="20"/>
                <w:szCs w:val="20"/>
              </w:rPr>
              <w:t>−0.06</w:t>
            </w:r>
          </w:p>
        </w:tc>
        <w:tc>
          <w:tcPr>
            <w:tcW w:w="0" w:type="auto"/>
            <w:hideMark/>
          </w:tcPr>
          <w:p w14:paraId="23FB8A2D" w14:textId="77777777" w:rsidR="006C7965" w:rsidRPr="00EE7583" w:rsidRDefault="006C7965" w:rsidP="00EE7583">
            <w:pPr>
              <w:pStyle w:val="NoSpacing"/>
              <w:rPr>
                <w:sz w:val="20"/>
                <w:szCs w:val="20"/>
              </w:rPr>
            </w:pPr>
            <w:r w:rsidRPr="00EE7583">
              <w:rPr>
                <w:sz w:val="20"/>
                <w:szCs w:val="20"/>
              </w:rPr>
              <w:t>−0.01</w:t>
            </w:r>
          </w:p>
        </w:tc>
        <w:tc>
          <w:tcPr>
            <w:tcW w:w="0" w:type="auto"/>
            <w:hideMark/>
          </w:tcPr>
          <w:p w14:paraId="03F0A3A3" w14:textId="77777777" w:rsidR="006C7965" w:rsidRPr="00EE7583" w:rsidRDefault="006C7965" w:rsidP="00EE7583">
            <w:pPr>
              <w:pStyle w:val="NoSpacing"/>
              <w:rPr>
                <w:sz w:val="20"/>
                <w:szCs w:val="20"/>
              </w:rPr>
            </w:pPr>
            <w:r w:rsidRPr="00EE7583">
              <w:rPr>
                <w:sz w:val="20"/>
                <w:szCs w:val="20"/>
              </w:rPr>
              <w:t>0.07</w:t>
            </w:r>
          </w:p>
        </w:tc>
        <w:tc>
          <w:tcPr>
            <w:tcW w:w="0" w:type="auto"/>
            <w:hideMark/>
          </w:tcPr>
          <w:p w14:paraId="41C25C09" w14:textId="77777777" w:rsidR="006C7965" w:rsidRPr="00EE7583" w:rsidRDefault="006C7965" w:rsidP="00EE7583">
            <w:pPr>
              <w:pStyle w:val="NoSpacing"/>
              <w:rPr>
                <w:sz w:val="20"/>
                <w:szCs w:val="20"/>
              </w:rPr>
            </w:pPr>
            <w:r w:rsidRPr="00EE7583">
              <w:rPr>
                <w:sz w:val="20"/>
                <w:szCs w:val="20"/>
              </w:rPr>
              <w:t>0.22*</w:t>
            </w:r>
          </w:p>
        </w:tc>
        <w:tc>
          <w:tcPr>
            <w:tcW w:w="0" w:type="auto"/>
            <w:hideMark/>
          </w:tcPr>
          <w:p w14:paraId="5851AB78" w14:textId="77777777" w:rsidR="006C7965" w:rsidRPr="00EE7583" w:rsidRDefault="006C7965" w:rsidP="00EE7583">
            <w:pPr>
              <w:pStyle w:val="NoSpacing"/>
              <w:rPr>
                <w:sz w:val="20"/>
                <w:szCs w:val="20"/>
              </w:rPr>
            </w:pPr>
            <w:r w:rsidRPr="00EE7583">
              <w:rPr>
                <w:sz w:val="20"/>
                <w:szCs w:val="20"/>
              </w:rPr>
              <w:t>−0.17*</w:t>
            </w:r>
          </w:p>
        </w:tc>
        <w:tc>
          <w:tcPr>
            <w:tcW w:w="0" w:type="auto"/>
            <w:hideMark/>
          </w:tcPr>
          <w:p w14:paraId="502C1181" w14:textId="77777777" w:rsidR="006C7965" w:rsidRPr="00EE7583" w:rsidRDefault="006C7965" w:rsidP="00EE7583">
            <w:pPr>
              <w:pStyle w:val="NoSpacing"/>
              <w:rPr>
                <w:sz w:val="20"/>
                <w:szCs w:val="20"/>
              </w:rPr>
            </w:pPr>
            <w:r w:rsidRPr="00EE7583">
              <w:rPr>
                <w:sz w:val="20"/>
                <w:szCs w:val="20"/>
              </w:rPr>
              <w:t>−0.12*</w:t>
            </w:r>
          </w:p>
        </w:tc>
        <w:tc>
          <w:tcPr>
            <w:tcW w:w="0" w:type="auto"/>
            <w:hideMark/>
          </w:tcPr>
          <w:p w14:paraId="45A865D1" w14:textId="77777777" w:rsidR="006C7965" w:rsidRPr="00EE7583" w:rsidRDefault="006C7965" w:rsidP="00EE7583">
            <w:pPr>
              <w:pStyle w:val="NoSpacing"/>
              <w:rPr>
                <w:sz w:val="20"/>
                <w:szCs w:val="20"/>
              </w:rPr>
            </w:pPr>
            <w:r w:rsidRPr="00EE7583">
              <w:rPr>
                <w:sz w:val="20"/>
                <w:szCs w:val="20"/>
              </w:rPr>
              <w:t>−0.04</w:t>
            </w:r>
          </w:p>
        </w:tc>
        <w:tc>
          <w:tcPr>
            <w:tcW w:w="0" w:type="auto"/>
            <w:hideMark/>
          </w:tcPr>
          <w:p w14:paraId="6856E89A" w14:textId="77777777" w:rsidR="006C7965" w:rsidRPr="00EE7583" w:rsidRDefault="006C7965" w:rsidP="00EE7583">
            <w:pPr>
              <w:pStyle w:val="NoSpacing"/>
              <w:rPr>
                <w:sz w:val="20"/>
                <w:szCs w:val="20"/>
              </w:rPr>
            </w:pPr>
            <w:r w:rsidRPr="00EE7583">
              <w:rPr>
                <w:sz w:val="20"/>
                <w:szCs w:val="20"/>
              </w:rPr>
              <w:t>−0.13*</w:t>
            </w:r>
          </w:p>
        </w:tc>
        <w:tc>
          <w:tcPr>
            <w:tcW w:w="0" w:type="auto"/>
            <w:hideMark/>
          </w:tcPr>
          <w:p w14:paraId="69264870" w14:textId="77777777" w:rsidR="006C7965" w:rsidRPr="00EE7583" w:rsidRDefault="006C7965" w:rsidP="00EE7583">
            <w:pPr>
              <w:pStyle w:val="NoSpacing"/>
              <w:rPr>
                <w:sz w:val="20"/>
                <w:szCs w:val="20"/>
              </w:rPr>
            </w:pPr>
            <w:r w:rsidRPr="00EE7583">
              <w:rPr>
                <w:sz w:val="20"/>
                <w:szCs w:val="20"/>
              </w:rPr>
              <w:t>0.09</w:t>
            </w:r>
          </w:p>
        </w:tc>
        <w:tc>
          <w:tcPr>
            <w:tcW w:w="0" w:type="auto"/>
            <w:hideMark/>
          </w:tcPr>
          <w:p w14:paraId="7CB5F17C" w14:textId="77777777" w:rsidR="006C7965" w:rsidRPr="00EE7583" w:rsidRDefault="006C7965" w:rsidP="00EE7583">
            <w:pPr>
              <w:pStyle w:val="NoSpacing"/>
              <w:rPr>
                <w:sz w:val="20"/>
                <w:szCs w:val="20"/>
              </w:rPr>
            </w:pPr>
            <w:r w:rsidRPr="00EE7583">
              <w:rPr>
                <w:sz w:val="20"/>
                <w:szCs w:val="20"/>
              </w:rPr>
              <w:t>0.11*</w:t>
            </w:r>
          </w:p>
        </w:tc>
        <w:tc>
          <w:tcPr>
            <w:tcW w:w="0" w:type="auto"/>
            <w:hideMark/>
          </w:tcPr>
          <w:p w14:paraId="6AFE2B77" w14:textId="77777777" w:rsidR="006C7965" w:rsidRPr="00EE7583" w:rsidRDefault="006C7965" w:rsidP="00EE7583">
            <w:pPr>
              <w:pStyle w:val="NoSpacing"/>
              <w:rPr>
                <w:sz w:val="20"/>
                <w:szCs w:val="20"/>
              </w:rPr>
            </w:pPr>
            <w:r w:rsidRPr="00EE7583">
              <w:rPr>
                <w:sz w:val="20"/>
                <w:szCs w:val="20"/>
              </w:rPr>
              <w:t>−0.07</w:t>
            </w:r>
          </w:p>
        </w:tc>
        <w:tc>
          <w:tcPr>
            <w:tcW w:w="0" w:type="auto"/>
            <w:hideMark/>
          </w:tcPr>
          <w:p w14:paraId="33D6532A" w14:textId="77777777" w:rsidR="006C7965" w:rsidRPr="00EE7583" w:rsidRDefault="006C7965" w:rsidP="00EE7583">
            <w:pPr>
              <w:pStyle w:val="NoSpacing"/>
              <w:rPr>
                <w:sz w:val="20"/>
                <w:szCs w:val="20"/>
              </w:rPr>
            </w:pPr>
            <w:r w:rsidRPr="00EE7583">
              <w:rPr>
                <w:sz w:val="20"/>
                <w:szCs w:val="20"/>
              </w:rPr>
              <w:t>0.01</w:t>
            </w:r>
          </w:p>
        </w:tc>
        <w:tc>
          <w:tcPr>
            <w:tcW w:w="0" w:type="auto"/>
            <w:hideMark/>
          </w:tcPr>
          <w:p w14:paraId="4041517E" w14:textId="77777777" w:rsidR="006C7965" w:rsidRPr="00EE7583" w:rsidRDefault="006C7965" w:rsidP="00EE7583">
            <w:pPr>
              <w:pStyle w:val="NoSpacing"/>
              <w:rPr>
                <w:sz w:val="20"/>
                <w:szCs w:val="20"/>
              </w:rPr>
            </w:pPr>
            <w:r w:rsidRPr="00EE7583">
              <w:rPr>
                <w:sz w:val="20"/>
                <w:szCs w:val="20"/>
              </w:rPr>
              <w:t>0.09</w:t>
            </w:r>
          </w:p>
        </w:tc>
        <w:tc>
          <w:tcPr>
            <w:tcW w:w="0" w:type="auto"/>
            <w:hideMark/>
          </w:tcPr>
          <w:p w14:paraId="24E02372" w14:textId="77777777" w:rsidR="006C7965" w:rsidRPr="00EE7583" w:rsidRDefault="006C7965" w:rsidP="00EE7583">
            <w:pPr>
              <w:pStyle w:val="NoSpacing"/>
              <w:rPr>
                <w:sz w:val="20"/>
                <w:szCs w:val="20"/>
              </w:rPr>
            </w:pPr>
            <w:r w:rsidRPr="00EE7583">
              <w:rPr>
                <w:sz w:val="20"/>
                <w:szCs w:val="20"/>
              </w:rPr>
              <w:t>−0.07</w:t>
            </w:r>
          </w:p>
        </w:tc>
        <w:tc>
          <w:tcPr>
            <w:tcW w:w="0" w:type="auto"/>
            <w:hideMark/>
          </w:tcPr>
          <w:p w14:paraId="45BC89A1" w14:textId="77777777" w:rsidR="006C7965" w:rsidRPr="00EE7583" w:rsidRDefault="006C7965" w:rsidP="00EE7583">
            <w:pPr>
              <w:pStyle w:val="NoSpacing"/>
              <w:rPr>
                <w:sz w:val="20"/>
                <w:szCs w:val="20"/>
              </w:rPr>
            </w:pPr>
            <w:r w:rsidRPr="00EE7583">
              <w:rPr>
                <w:sz w:val="20"/>
                <w:szCs w:val="20"/>
              </w:rPr>
              <w:t>0.22</w:t>
            </w:r>
          </w:p>
        </w:tc>
        <w:tc>
          <w:tcPr>
            <w:tcW w:w="0" w:type="auto"/>
            <w:hideMark/>
          </w:tcPr>
          <w:p w14:paraId="6CF8CEAF" w14:textId="77777777" w:rsidR="006C7965" w:rsidRPr="00EE7583" w:rsidRDefault="006C7965" w:rsidP="00EE7583">
            <w:pPr>
              <w:pStyle w:val="NoSpacing"/>
              <w:rPr>
                <w:sz w:val="20"/>
                <w:szCs w:val="20"/>
              </w:rPr>
            </w:pPr>
            <w:r w:rsidRPr="00EE7583">
              <w:rPr>
                <w:sz w:val="20"/>
                <w:szCs w:val="20"/>
              </w:rPr>
              <w:t>1.00</w:t>
            </w:r>
          </w:p>
        </w:tc>
        <w:tc>
          <w:tcPr>
            <w:tcW w:w="0" w:type="auto"/>
            <w:hideMark/>
          </w:tcPr>
          <w:p w14:paraId="201E10AE" w14:textId="77777777" w:rsidR="006C7965" w:rsidRPr="00EE7583" w:rsidRDefault="006C7965" w:rsidP="00EE7583">
            <w:pPr>
              <w:pStyle w:val="NoSpacing"/>
              <w:rPr>
                <w:sz w:val="20"/>
                <w:szCs w:val="20"/>
              </w:rPr>
            </w:pPr>
          </w:p>
        </w:tc>
        <w:tc>
          <w:tcPr>
            <w:tcW w:w="0" w:type="auto"/>
            <w:hideMark/>
          </w:tcPr>
          <w:p w14:paraId="3C72957D" w14:textId="77777777" w:rsidR="006C7965" w:rsidRPr="00EE7583" w:rsidRDefault="006C7965" w:rsidP="00EE7583">
            <w:pPr>
              <w:pStyle w:val="NoSpacing"/>
              <w:rPr>
                <w:sz w:val="20"/>
                <w:szCs w:val="20"/>
              </w:rPr>
            </w:pPr>
          </w:p>
        </w:tc>
      </w:tr>
      <w:tr w:rsidR="006C7965" w:rsidRPr="00EE7583" w14:paraId="109D73C4" w14:textId="77777777" w:rsidTr="00644598">
        <w:tc>
          <w:tcPr>
            <w:tcW w:w="0" w:type="auto"/>
            <w:hideMark/>
          </w:tcPr>
          <w:p w14:paraId="5DF62ECF" w14:textId="77777777" w:rsidR="006C7965" w:rsidRPr="00EE7583" w:rsidRDefault="006C7965" w:rsidP="00EE7583">
            <w:pPr>
              <w:pStyle w:val="NoSpacing"/>
              <w:rPr>
                <w:sz w:val="20"/>
                <w:szCs w:val="20"/>
              </w:rPr>
            </w:pPr>
            <w:r w:rsidRPr="00EE7583">
              <w:rPr>
                <w:sz w:val="20"/>
                <w:szCs w:val="20"/>
              </w:rPr>
              <w:t>20 ICW index</w:t>
            </w:r>
          </w:p>
        </w:tc>
        <w:tc>
          <w:tcPr>
            <w:tcW w:w="0" w:type="auto"/>
            <w:hideMark/>
          </w:tcPr>
          <w:p w14:paraId="486EA9CB" w14:textId="77777777" w:rsidR="006C7965" w:rsidRPr="00EE7583" w:rsidRDefault="006C7965" w:rsidP="00EE7583">
            <w:pPr>
              <w:pStyle w:val="NoSpacing"/>
              <w:rPr>
                <w:sz w:val="20"/>
                <w:szCs w:val="20"/>
              </w:rPr>
            </w:pPr>
            <w:r w:rsidRPr="00EE7583">
              <w:rPr>
                <w:sz w:val="20"/>
                <w:szCs w:val="20"/>
              </w:rPr>
              <w:t>0.03</w:t>
            </w:r>
          </w:p>
        </w:tc>
        <w:tc>
          <w:tcPr>
            <w:tcW w:w="0" w:type="auto"/>
            <w:hideMark/>
          </w:tcPr>
          <w:p w14:paraId="5874AE7B" w14:textId="77777777" w:rsidR="006C7965" w:rsidRPr="00EE7583" w:rsidRDefault="006C7965" w:rsidP="00EE7583">
            <w:pPr>
              <w:pStyle w:val="NoSpacing"/>
              <w:rPr>
                <w:sz w:val="20"/>
                <w:szCs w:val="20"/>
              </w:rPr>
            </w:pPr>
            <w:r w:rsidRPr="00EE7583">
              <w:rPr>
                <w:sz w:val="20"/>
                <w:szCs w:val="20"/>
              </w:rPr>
              <w:t>0.10*</w:t>
            </w:r>
          </w:p>
        </w:tc>
        <w:tc>
          <w:tcPr>
            <w:tcW w:w="0" w:type="auto"/>
            <w:hideMark/>
          </w:tcPr>
          <w:p w14:paraId="0F568771" w14:textId="77777777" w:rsidR="006C7965" w:rsidRPr="00EE7583" w:rsidRDefault="006C7965" w:rsidP="00EE7583">
            <w:pPr>
              <w:pStyle w:val="NoSpacing"/>
              <w:rPr>
                <w:sz w:val="20"/>
                <w:szCs w:val="20"/>
              </w:rPr>
            </w:pPr>
            <w:r w:rsidRPr="00EE7583">
              <w:rPr>
                <w:sz w:val="20"/>
                <w:szCs w:val="20"/>
              </w:rPr>
              <w:t>0.02</w:t>
            </w:r>
          </w:p>
        </w:tc>
        <w:tc>
          <w:tcPr>
            <w:tcW w:w="0" w:type="auto"/>
            <w:hideMark/>
          </w:tcPr>
          <w:p w14:paraId="0596BCF7" w14:textId="77777777" w:rsidR="006C7965" w:rsidRPr="00EE7583" w:rsidRDefault="006C7965" w:rsidP="00EE7583">
            <w:pPr>
              <w:pStyle w:val="NoSpacing"/>
              <w:rPr>
                <w:sz w:val="20"/>
                <w:szCs w:val="20"/>
              </w:rPr>
            </w:pPr>
            <w:r w:rsidRPr="00EE7583">
              <w:rPr>
                <w:sz w:val="20"/>
                <w:szCs w:val="20"/>
              </w:rPr>
              <w:t>0.03</w:t>
            </w:r>
          </w:p>
        </w:tc>
        <w:tc>
          <w:tcPr>
            <w:tcW w:w="0" w:type="auto"/>
            <w:hideMark/>
          </w:tcPr>
          <w:p w14:paraId="02DC0B14" w14:textId="77777777" w:rsidR="006C7965" w:rsidRPr="00EE7583" w:rsidRDefault="006C7965" w:rsidP="00EE7583">
            <w:pPr>
              <w:pStyle w:val="NoSpacing"/>
              <w:rPr>
                <w:sz w:val="20"/>
                <w:szCs w:val="20"/>
              </w:rPr>
            </w:pPr>
            <w:r w:rsidRPr="00EE7583">
              <w:rPr>
                <w:sz w:val="20"/>
                <w:szCs w:val="20"/>
              </w:rPr>
              <w:t>0.02</w:t>
            </w:r>
          </w:p>
        </w:tc>
        <w:tc>
          <w:tcPr>
            <w:tcW w:w="0" w:type="auto"/>
            <w:hideMark/>
          </w:tcPr>
          <w:p w14:paraId="4EA1AC59" w14:textId="77777777" w:rsidR="006C7965" w:rsidRPr="00EE7583" w:rsidRDefault="006C7965" w:rsidP="00EE7583">
            <w:pPr>
              <w:pStyle w:val="NoSpacing"/>
              <w:rPr>
                <w:sz w:val="20"/>
                <w:szCs w:val="20"/>
              </w:rPr>
            </w:pPr>
            <w:r w:rsidRPr="00EE7583">
              <w:rPr>
                <w:sz w:val="20"/>
                <w:szCs w:val="20"/>
              </w:rPr>
              <w:t>−0.05</w:t>
            </w:r>
          </w:p>
        </w:tc>
        <w:tc>
          <w:tcPr>
            <w:tcW w:w="0" w:type="auto"/>
            <w:hideMark/>
          </w:tcPr>
          <w:p w14:paraId="2B5DA103" w14:textId="77777777" w:rsidR="006C7965" w:rsidRPr="00EE7583" w:rsidRDefault="006C7965" w:rsidP="00EE7583">
            <w:pPr>
              <w:pStyle w:val="NoSpacing"/>
              <w:rPr>
                <w:sz w:val="20"/>
                <w:szCs w:val="20"/>
              </w:rPr>
            </w:pPr>
            <w:r w:rsidRPr="00EE7583">
              <w:rPr>
                <w:sz w:val="20"/>
                <w:szCs w:val="20"/>
              </w:rPr>
              <w:t>0.07</w:t>
            </w:r>
          </w:p>
        </w:tc>
        <w:tc>
          <w:tcPr>
            <w:tcW w:w="0" w:type="auto"/>
            <w:hideMark/>
          </w:tcPr>
          <w:p w14:paraId="41F6AFEE" w14:textId="77777777" w:rsidR="006C7965" w:rsidRPr="00EE7583" w:rsidRDefault="006C7965" w:rsidP="00EE7583">
            <w:pPr>
              <w:pStyle w:val="NoSpacing"/>
              <w:rPr>
                <w:sz w:val="20"/>
                <w:szCs w:val="20"/>
              </w:rPr>
            </w:pPr>
            <w:r w:rsidRPr="00EE7583">
              <w:rPr>
                <w:sz w:val="20"/>
                <w:szCs w:val="20"/>
              </w:rPr>
              <w:t>0.11*</w:t>
            </w:r>
          </w:p>
        </w:tc>
        <w:tc>
          <w:tcPr>
            <w:tcW w:w="0" w:type="auto"/>
            <w:hideMark/>
          </w:tcPr>
          <w:p w14:paraId="2FC80E03" w14:textId="77777777" w:rsidR="006C7965" w:rsidRPr="00EE7583" w:rsidRDefault="006C7965" w:rsidP="00EE7583">
            <w:pPr>
              <w:pStyle w:val="NoSpacing"/>
              <w:rPr>
                <w:sz w:val="20"/>
                <w:szCs w:val="20"/>
              </w:rPr>
            </w:pPr>
            <w:r w:rsidRPr="00EE7583">
              <w:rPr>
                <w:sz w:val="20"/>
                <w:szCs w:val="20"/>
              </w:rPr>
              <w:t>0.14*</w:t>
            </w:r>
          </w:p>
        </w:tc>
        <w:tc>
          <w:tcPr>
            <w:tcW w:w="0" w:type="auto"/>
            <w:hideMark/>
          </w:tcPr>
          <w:p w14:paraId="28CE46AF" w14:textId="77777777" w:rsidR="006C7965" w:rsidRPr="00EE7583" w:rsidRDefault="006C7965" w:rsidP="00EE7583">
            <w:pPr>
              <w:pStyle w:val="NoSpacing"/>
              <w:rPr>
                <w:sz w:val="20"/>
                <w:szCs w:val="20"/>
              </w:rPr>
            </w:pPr>
            <w:r w:rsidRPr="00EE7583">
              <w:rPr>
                <w:sz w:val="20"/>
                <w:szCs w:val="20"/>
              </w:rPr>
              <w:t>0.05</w:t>
            </w:r>
          </w:p>
        </w:tc>
        <w:tc>
          <w:tcPr>
            <w:tcW w:w="0" w:type="auto"/>
            <w:hideMark/>
          </w:tcPr>
          <w:p w14:paraId="0C7A66E4" w14:textId="77777777" w:rsidR="006C7965" w:rsidRPr="00EE7583" w:rsidRDefault="006C7965" w:rsidP="00EE7583">
            <w:pPr>
              <w:pStyle w:val="NoSpacing"/>
              <w:rPr>
                <w:sz w:val="20"/>
                <w:szCs w:val="20"/>
              </w:rPr>
            </w:pPr>
            <w:r w:rsidRPr="00EE7583">
              <w:rPr>
                <w:sz w:val="20"/>
                <w:szCs w:val="20"/>
              </w:rPr>
              <w:t>0.09*</w:t>
            </w:r>
          </w:p>
        </w:tc>
        <w:tc>
          <w:tcPr>
            <w:tcW w:w="0" w:type="auto"/>
            <w:hideMark/>
          </w:tcPr>
          <w:p w14:paraId="4EC9FEF6" w14:textId="77777777" w:rsidR="006C7965" w:rsidRPr="00EE7583" w:rsidRDefault="006C7965" w:rsidP="00EE7583">
            <w:pPr>
              <w:pStyle w:val="NoSpacing"/>
              <w:rPr>
                <w:sz w:val="20"/>
                <w:szCs w:val="20"/>
              </w:rPr>
            </w:pPr>
            <w:r w:rsidRPr="00EE7583">
              <w:rPr>
                <w:sz w:val="20"/>
                <w:szCs w:val="20"/>
              </w:rPr>
              <w:t>−0.05</w:t>
            </w:r>
          </w:p>
        </w:tc>
        <w:tc>
          <w:tcPr>
            <w:tcW w:w="0" w:type="auto"/>
            <w:hideMark/>
          </w:tcPr>
          <w:p w14:paraId="3646FDCE" w14:textId="77777777" w:rsidR="006C7965" w:rsidRPr="00EE7583" w:rsidRDefault="006C7965" w:rsidP="00EE7583">
            <w:pPr>
              <w:pStyle w:val="NoSpacing"/>
              <w:rPr>
                <w:sz w:val="20"/>
                <w:szCs w:val="20"/>
              </w:rPr>
            </w:pPr>
            <w:r w:rsidRPr="00EE7583">
              <w:rPr>
                <w:sz w:val="20"/>
                <w:szCs w:val="20"/>
              </w:rPr>
              <w:t>−0.16*</w:t>
            </w:r>
          </w:p>
        </w:tc>
        <w:tc>
          <w:tcPr>
            <w:tcW w:w="0" w:type="auto"/>
            <w:hideMark/>
          </w:tcPr>
          <w:p w14:paraId="5C83AAE4" w14:textId="77777777" w:rsidR="006C7965" w:rsidRPr="00EE7583" w:rsidRDefault="006C7965" w:rsidP="00EE7583">
            <w:pPr>
              <w:pStyle w:val="NoSpacing"/>
              <w:rPr>
                <w:sz w:val="20"/>
                <w:szCs w:val="20"/>
              </w:rPr>
            </w:pPr>
            <w:r w:rsidRPr="00EE7583">
              <w:rPr>
                <w:sz w:val="20"/>
                <w:szCs w:val="20"/>
              </w:rPr>
              <w:t>−0.04</w:t>
            </w:r>
          </w:p>
        </w:tc>
        <w:tc>
          <w:tcPr>
            <w:tcW w:w="0" w:type="auto"/>
            <w:hideMark/>
          </w:tcPr>
          <w:p w14:paraId="423FCB9D" w14:textId="77777777" w:rsidR="006C7965" w:rsidRPr="00EE7583" w:rsidRDefault="006C7965" w:rsidP="00EE7583">
            <w:pPr>
              <w:pStyle w:val="NoSpacing"/>
              <w:rPr>
                <w:sz w:val="20"/>
                <w:szCs w:val="20"/>
              </w:rPr>
            </w:pPr>
            <w:r w:rsidRPr="00EE7583">
              <w:rPr>
                <w:sz w:val="20"/>
                <w:szCs w:val="20"/>
              </w:rPr>
              <w:t>−0.12*</w:t>
            </w:r>
          </w:p>
        </w:tc>
        <w:tc>
          <w:tcPr>
            <w:tcW w:w="0" w:type="auto"/>
            <w:hideMark/>
          </w:tcPr>
          <w:p w14:paraId="24731742" w14:textId="77777777" w:rsidR="006C7965" w:rsidRPr="00EE7583" w:rsidRDefault="006C7965" w:rsidP="00EE7583">
            <w:pPr>
              <w:pStyle w:val="NoSpacing"/>
              <w:rPr>
                <w:sz w:val="20"/>
                <w:szCs w:val="20"/>
              </w:rPr>
            </w:pPr>
            <w:r w:rsidRPr="00EE7583">
              <w:rPr>
                <w:sz w:val="20"/>
                <w:szCs w:val="20"/>
              </w:rPr>
              <w:t>−0.03</w:t>
            </w:r>
          </w:p>
        </w:tc>
        <w:tc>
          <w:tcPr>
            <w:tcW w:w="0" w:type="auto"/>
            <w:hideMark/>
          </w:tcPr>
          <w:p w14:paraId="6E5014EB" w14:textId="77777777" w:rsidR="006C7965" w:rsidRPr="00EE7583" w:rsidRDefault="006C7965" w:rsidP="00EE7583">
            <w:pPr>
              <w:pStyle w:val="NoSpacing"/>
              <w:rPr>
                <w:sz w:val="20"/>
                <w:szCs w:val="20"/>
              </w:rPr>
            </w:pPr>
            <w:r w:rsidRPr="00EE7583">
              <w:rPr>
                <w:sz w:val="20"/>
                <w:szCs w:val="20"/>
              </w:rPr>
              <w:t>−0.05</w:t>
            </w:r>
          </w:p>
        </w:tc>
        <w:tc>
          <w:tcPr>
            <w:tcW w:w="0" w:type="auto"/>
            <w:hideMark/>
          </w:tcPr>
          <w:p w14:paraId="113F6253" w14:textId="77777777" w:rsidR="006C7965" w:rsidRPr="00EE7583" w:rsidRDefault="006C7965" w:rsidP="00EE7583">
            <w:pPr>
              <w:pStyle w:val="NoSpacing"/>
              <w:rPr>
                <w:sz w:val="20"/>
                <w:szCs w:val="20"/>
              </w:rPr>
            </w:pPr>
            <w:r w:rsidRPr="00EE7583">
              <w:rPr>
                <w:sz w:val="20"/>
                <w:szCs w:val="20"/>
              </w:rPr>
              <w:t>−0.07</w:t>
            </w:r>
          </w:p>
        </w:tc>
        <w:tc>
          <w:tcPr>
            <w:tcW w:w="0" w:type="auto"/>
            <w:hideMark/>
          </w:tcPr>
          <w:p w14:paraId="47ABD3CF" w14:textId="77777777" w:rsidR="006C7965" w:rsidRPr="00EE7583" w:rsidRDefault="006C7965" w:rsidP="00EE7583">
            <w:pPr>
              <w:pStyle w:val="NoSpacing"/>
              <w:rPr>
                <w:sz w:val="20"/>
                <w:szCs w:val="20"/>
              </w:rPr>
            </w:pPr>
            <w:r w:rsidRPr="00EE7583">
              <w:rPr>
                <w:sz w:val="20"/>
                <w:szCs w:val="20"/>
              </w:rPr>
              <w:t>0.04</w:t>
            </w:r>
          </w:p>
        </w:tc>
        <w:tc>
          <w:tcPr>
            <w:tcW w:w="0" w:type="auto"/>
            <w:hideMark/>
          </w:tcPr>
          <w:p w14:paraId="25E974E2" w14:textId="77777777" w:rsidR="006C7965" w:rsidRPr="00EE7583" w:rsidRDefault="006C7965" w:rsidP="00EE7583">
            <w:pPr>
              <w:pStyle w:val="NoSpacing"/>
              <w:rPr>
                <w:sz w:val="20"/>
                <w:szCs w:val="20"/>
              </w:rPr>
            </w:pPr>
            <w:r w:rsidRPr="00EE7583">
              <w:rPr>
                <w:sz w:val="20"/>
                <w:szCs w:val="20"/>
              </w:rPr>
              <w:t>1.00</w:t>
            </w:r>
          </w:p>
        </w:tc>
        <w:tc>
          <w:tcPr>
            <w:tcW w:w="0" w:type="auto"/>
            <w:hideMark/>
          </w:tcPr>
          <w:p w14:paraId="0835BCED" w14:textId="77777777" w:rsidR="006C7965" w:rsidRPr="00EE7583" w:rsidRDefault="006C7965" w:rsidP="00EE7583">
            <w:pPr>
              <w:pStyle w:val="NoSpacing"/>
              <w:rPr>
                <w:sz w:val="20"/>
                <w:szCs w:val="20"/>
              </w:rPr>
            </w:pPr>
          </w:p>
        </w:tc>
      </w:tr>
      <w:tr w:rsidR="00EE7583" w:rsidRPr="00EE7583" w14:paraId="281CF271" w14:textId="77777777" w:rsidTr="00644598">
        <w:tc>
          <w:tcPr>
            <w:tcW w:w="0" w:type="auto"/>
            <w:hideMark/>
          </w:tcPr>
          <w:p w14:paraId="036EEB5E" w14:textId="77777777" w:rsidR="006C7965" w:rsidRPr="00EE7583" w:rsidRDefault="006C7965" w:rsidP="00EE7583">
            <w:pPr>
              <w:pStyle w:val="NoSpacing"/>
              <w:rPr>
                <w:sz w:val="20"/>
                <w:szCs w:val="20"/>
              </w:rPr>
            </w:pPr>
            <w:r w:rsidRPr="00EE7583">
              <w:rPr>
                <w:sz w:val="20"/>
                <w:szCs w:val="20"/>
              </w:rPr>
              <w:t>21 GAAP state</w:t>
            </w:r>
          </w:p>
        </w:tc>
        <w:tc>
          <w:tcPr>
            <w:tcW w:w="0" w:type="auto"/>
            <w:hideMark/>
          </w:tcPr>
          <w:p w14:paraId="51481B5C" w14:textId="77777777" w:rsidR="006C7965" w:rsidRPr="00EE7583" w:rsidRDefault="006C7965" w:rsidP="00EE7583">
            <w:pPr>
              <w:pStyle w:val="NoSpacing"/>
              <w:rPr>
                <w:sz w:val="20"/>
                <w:szCs w:val="20"/>
              </w:rPr>
            </w:pPr>
            <w:r w:rsidRPr="00EE7583">
              <w:rPr>
                <w:sz w:val="20"/>
                <w:szCs w:val="20"/>
              </w:rPr>
              <w:t>−0.06</w:t>
            </w:r>
          </w:p>
        </w:tc>
        <w:tc>
          <w:tcPr>
            <w:tcW w:w="0" w:type="auto"/>
            <w:hideMark/>
          </w:tcPr>
          <w:p w14:paraId="564E8AB0" w14:textId="77777777" w:rsidR="006C7965" w:rsidRPr="00EE7583" w:rsidRDefault="006C7965" w:rsidP="00EE7583">
            <w:pPr>
              <w:pStyle w:val="NoSpacing"/>
              <w:rPr>
                <w:sz w:val="20"/>
                <w:szCs w:val="20"/>
              </w:rPr>
            </w:pPr>
            <w:r w:rsidRPr="00EE7583">
              <w:rPr>
                <w:sz w:val="20"/>
                <w:szCs w:val="20"/>
              </w:rPr>
              <w:t>−0.08</w:t>
            </w:r>
          </w:p>
        </w:tc>
        <w:tc>
          <w:tcPr>
            <w:tcW w:w="0" w:type="auto"/>
            <w:hideMark/>
          </w:tcPr>
          <w:p w14:paraId="1E2B5BDB" w14:textId="77777777" w:rsidR="006C7965" w:rsidRPr="00EE7583" w:rsidRDefault="006C7965" w:rsidP="00EE7583">
            <w:pPr>
              <w:pStyle w:val="NoSpacing"/>
              <w:rPr>
                <w:sz w:val="20"/>
                <w:szCs w:val="20"/>
              </w:rPr>
            </w:pPr>
            <w:r w:rsidRPr="00EE7583">
              <w:rPr>
                <w:sz w:val="20"/>
                <w:szCs w:val="20"/>
              </w:rPr>
              <w:t>0.16*</w:t>
            </w:r>
          </w:p>
        </w:tc>
        <w:tc>
          <w:tcPr>
            <w:tcW w:w="0" w:type="auto"/>
            <w:hideMark/>
          </w:tcPr>
          <w:p w14:paraId="006F92D7" w14:textId="77777777" w:rsidR="006C7965" w:rsidRPr="00EE7583" w:rsidRDefault="006C7965" w:rsidP="00EE7583">
            <w:pPr>
              <w:pStyle w:val="NoSpacing"/>
              <w:rPr>
                <w:sz w:val="20"/>
                <w:szCs w:val="20"/>
              </w:rPr>
            </w:pPr>
            <w:r w:rsidRPr="00EE7583">
              <w:rPr>
                <w:sz w:val="20"/>
                <w:szCs w:val="20"/>
              </w:rPr>
              <w:t>−0.04</w:t>
            </w:r>
          </w:p>
        </w:tc>
        <w:tc>
          <w:tcPr>
            <w:tcW w:w="0" w:type="auto"/>
            <w:hideMark/>
          </w:tcPr>
          <w:p w14:paraId="5360F102" w14:textId="77777777" w:rsidR="006C7965" w:rsidRPr="00EE7583" w:rsidRDefault="006C7965" w:rsidP="00EE7583">
            <w:pPr>
              <w:pStyle w:val="NoSpacing"/>
              <w:rPr>
                <w:sz w:val="20"/>
                <w:szCs w:val="20"/>
              </w:rPr>
            </w:pPr>
            <w:r w:rsidRPr="00EE7583">
              <w:rPr>
                <w:sz w:val="20"/>
                <w:szCs w:val="20"/>
              </w:rPr>
              <w:t>0.02</w:t>
            </w:r>
          </w:p>
        </w:tc>
        <w:tc>
          <w:tcPr>
            <w:tcW w:w="0" w:type="auto"/>
            <w:hideMark/>
          </w:tcPr>
          <w:p w14:paraId="490ACEB1" w14:textId="77777777" w:rsidR="006C7965" w:rsidRPr="00EE7583" w:rsidRDefault="006C7965" w:rsidP="00EE7583">
            <w:pPr>
              <w:pStyle w:val="NoSpacing"/>
              <w:rPr>
                <w:sz w:val="20"/>
                <w:szCs w:val="20"/>
              </w:rPr>
            </w:pPr>
            <w:r w:rsidRPr="00EE7583">
              <w:rPr>
                <w:sz w:val="20"/>
                <w:szCs w:val="20"/>
              </w:rPr>
              <w:t>0.03</w:t>
            </w:r>
          </w:p>
        </w:tc>
        <w:tc>
          <w:tcPr>
            <w:tcW w:w="0" w:type="auto"/>
            <w:hideMark/>
          </w:tcPr>
          <w:p w14:paraId="3EA82FFF" w14:textId="77777777" w:rsidR="006C7965" w:rsidRPr="00EE7583" w:rsidRDefault="006C7965" w:rsidP="00EE7583">
            <w:pPr>
              <w:pStyle w:val="NoSpacing"/>
              <w:rPr>
                <w:sz w:val="20"/>
                <w:szCs w:val="20"/>
              </w:rPr>
            </w:pPr>
            <w:r w:rsidRPr="00EE7583">
              <w:rPr>
                <w:sz w:val="20"/>
                <w:szCs w:val="20"/>
              </w:rPr>
              <w:t>−0.08</w:t>
            </w:r>
          </w:p>
        </w:tc>
        <w:tc>
          <w:tcPr>
            <w:tcW w:w="0" w:type="auto"/>
            <w:hideMark/>
          </w:tcPr>
          <w:p w14:paraId="55461F5B" w14:textId="77777777" w:rsidR="006C7965" w:rsidRPr="00EE7583" w:rsidRDefault="006C7965" w:rsidP="00EE7583">
            <w:pPr>
              <w:pStyle w:val="NoSpacing"/>
              <w:rPr>
                <w:sz w:val="20"/>
                <w:szCs w:val="20"/>
              </w:rPr>
            </w:pPr>
            <w:r w:rsidRPr="00EE7583">
              <w:rPr>
                <w:sz w:val="20"/>
                <w:szCs w:val="20"/>
              </w:rPr>
              <w:t>0.11*</w:t>
            </w:r>
          </w:p>
        </w:tc>
        <w:tc>
          <w:tcPr>
            <w:tcW w:w="0" w:type="auto"/>
            <w:hideMark/>
          </w:tcPr>
          <w:p w14:paraId="7E2DB81A" w14:textId="77777777" w:rsidR="006C7965" w:rsidRPr="00EE7583" w:rsidRDefault="006C7965" w:rsidP="00EE7583">
            <w:pPr>
              <w:pStyle w:val="NoSpacing"/>
              <w:rPr>
                <w:sz w:val="20"/>
                <w:szCs w:val="20"/>
              </w:rPr>
            </w:pPr>
            <w:r w:rsidRPr="00EE7583">
              <w:rPr>
                <w:sz w:val="20"/>
                <w:szCs w:val="20"/>
              </w:rPr>
              <w:t>0.08</w:t>
            </w:r>
          </w:p>
        </w:tc>
        <w:tc>
          <w:tcPr>
            <w:tcW w:w="0" w:type="auto"/>
            <w:hideMark/>
          </w:tcPr>
          <w:p w14:paraId="3AFCB9AD" w14:textId="77777777" w:rsidR="006C7965" w:rsidRPr="00EE7583" w:rsidRDefault="006C7965" w:rsidP="00EE7583">
            <w:pPr>
              <w:pStyle w:val="NoSpacing"/>
              <w:rPr>
                <w:sz w:val="20"/>
                <w:szCs w:val="20"/>
              </w:rPr>
            </w:pPr>
            <w:r w:rsidRPr="00EE7583">
              <w:rPr>
                <w:sz w:val="20"/>
                <w:szCs w:val="20"/>
              </w:rPr>
              <w:t>−0.08</w:t>
            </w:r>
          </w:p>
        </w:tc>
        <w:tc>
          <w:tcPr>
            <w:tcW w:w="0" w:type="auto"/>
            <w:hideMark/>
          </w:tcPr>
          <w:p w14:paraId="0C6C01FC" w14:textId="77777777" w:rsidR="006C7965" w:rsidRPr="00EE7583" w:rsidRDefault="006C7965" w:rsidP="00EE7583">
            <w:pPr>
              <w:pStyle w:val="NoSpacing"/>
              <w:rPr>
                <w:sz w:val="20"/>
                <w:szCs w:val="20"/>
              </w:rPr>
            </w:pPr>
            <w:r w:rsidRPr="00EE7583">
              <w:rPr>
                <w:sz w:val="20"/>
                <w:szCs w:val="20"/>
              </w:rPr>
              <w:t>0.02</w:t>
            </w:r>
          </w:p>
        </w:tc>
        <w:tc>
          <w:tcPr>
            <w:tcW w:w="0" w:type="auto"/>
            <w:hideMark/>
          </w:tcPr>
          <w:p w14:paraId="2694D5BF" w14:textId="77777777" w:rsidR="006C7965" w:rsidRPr="00EE7583" w:rsidRDefault="006C7965" w:rsidP="00EE7583">
            <w:pPr>
              <w:pStyle w:val="NoSpacing"/>
              <w:rPr>
                <w:sz w:val="20"/>
                <w:szCs w:val="20"/>
              </w:rPr>
            </w:pPr>
            <w:r w:rsidRPr="00EE7583">
              <w:rPr>
                <w:sz w:val="20"/>
                <w:szCs w:val="20"/>
              </w:rPr>
              <w:t>−0.17*</w:t>
            </w:r>
          </w:p>
        </w:tc>
        <w:tc>
          <w:tcPr>
            <w:tcW w:w="0" w:type="auto"/>
            <w:hideMark/>
          </w:tcPr>
          <w:p w14:paraId="36D8D8E1" w14:textId="77777777" w:rsidR="006C7965" w:rsidRPr="00EE7583" w:rsidRDefault="006C7965" w:rsidP="00EE7583">
            <w:pPr>
              <w:pStyle w:val="NoSpacing"/>
              <w:rPr>
                <w:sz w:val="20"/>
                <w:szCs w:val="20"/>
              </w:rPr>
            </w:pPr>
            <w:r w:rsidRPr="00EE7583">
              <w:rPr>
                <w:sz w:val="20"/>
                <w:szCs w:val="20"/>
              </w:rPr>
              <w:t>0.06</w:t>
            </w:r>
          </w:p>
        </w:tc>
        <w:tc>
          <w:tcPr>
            <w:tcW w:w="0" w:type="auto"/>
            <w:hideMark/>
          </w:tcPr>
          <w:p w14:paraId="3804F712" w14:textId="77777777" w:rsidR="006C7965" w:rsidRPr="00EE7583" w:rsidRDefault="006C7965" w:rsidP="00EE7583">
            <w:pPr>
              <w:pStyle w:val="NoSpacing"/>
              <w:rPr>
                <w:sz w:val="20"/>
                <w:szCs w:val="20"/>
              </w:rPr>
            </w:pPr>
            <w:r w:rsidRPr="00EE7583">
              <w:rPr>
                <w:sz w:val="20"/>
                <w:szCs w:val="20"/>
              </w:rPr>
              <w:t>0.19*</w:t>
            </w:r>
          </w:p>
        </w:tc>
        <w:tc>
          <w:tcPr>
            <w:tcW w:w="0" w:type="auto"/>
            <w:hideMark/>
          </w:tcPr>
          <w:p w14:paraId="31874462" w14:textId="77777777" w:rsidR="006C7965" w:rsidRPr="00EE7583" w:rsidRDefault="006C7965" w:rsidP="00EE7583">
            <w:pPr>
              <w:pStyle w:val="NoSpacing"/>
              <w:rPr>
                <w:sz w:val="20"/>
                <w:szCs w:val="20"/>
              </w:rPr>
            </w:pPr>
            <w:r w:rsidRPr="00EE7583">
              <w:rPr>
                <w:sz w:val="20"/>
                <w:szCs w:val="20"/>
              </w:rPr>
              <w:t>0.04</w:t>
            </w:r>
          </w:p>
        </w:tc>
        <w:tc>
          <w:tcPr>
            <w:tcW w:w="0" w:type="auto"/>
            <w:hideMark/>
          </w:tcPr>
          <w:p w14:paraId="2D572B16" w14:textId="77777777" w:rsidR="006C7965" w:rsidRPr="00EE7583" w:rsidRDefault="006C7965" w:rsidP="00EE7583">
            <w:pPr>
              <w:pStyle w:val="NoSpacing"/>
              <w:rPr>
                <w:sz w:val="20"/>
                <w:szCs w:val="20"/>
              </w:rPr>
            </w:pPr>
            <w:r w:rsidRPr="00EE7583">
              <w:rPr>
                <w:sz w:val="20"/>
                <w:szCs w:val="20"/>
              </w:rPr>
              <w:t>0.12</w:t>
            </w:r>
          </w:p>
        </w:tc>
        <w:tc>
          <w:tcPr>
            <w:tcW w:w="0" w:type="auto"/>
            <w:hideMark/>
          </w:tcPr>
          <w:p w14:paraId="041CA969" w14:textId="77777777" w:rsidR="006C7965" w:rsidRPr="00EE7583" w:rsidRDefault="006C7965" w:rsidP="00EE7583">
            <w:pPr>
              <w:pStyle w:val="NoSpacing"/>
              <w:rPr>
                <w:sz w:val="20"/>
                <w:szCs w:val="20"/>
              </w:rPr>
            </w:pPr>
            <w:r w:rsidRPr="00EE7583">
              <w:rPr>
                <w:sz w:val="20"/>
                <w:szCs w:val="20"/>
              </w:rPr>
              <w:t>−0.05</w:t>
            </w:r>
          </w:p>
        </w:tc>
        <w:tc>
          <w:tcPr>
            <w:tcW w:w="0" w:type="auto"/>
            <w:hideMark/>
          </w:tcPr>
          <w:p w14:paraId="5A9BE062" w14:textId="77777777" w:rsidR="006C7965" w:rsidRPr="00EE7583" w:rsidRDefault="006C7965" w:rsidP="00EE7583">
            <w:pPr>
              <w:pStyle w:val="NoSpacing"/>
              <w:rPr>
                <w:sz w:val="20"/>
                <w:szCs w:val="20"/>
              </w:rPr>
            </w:pPr>
            <w:r w:rsidRPr="00EE7583">
              <w:rPr>
                <w:sz w:val="20"/>
                <w:szCs w:val="20"/>
              </w:rPr>
              <w:t>−0.20</w:t>
            </w:r>
          </w:p>
        </w:tc>
        <w:tc>
          <w:tcPr>
            <w:tcW w:w="0" w:type="auto"/>
            <w:hideMark/>
          </w:tcPr>
          <w:p w14:paraId="28FBF522" w14:textId="77777777" w:rsidR="006C7965" w:rsidRPr="00EE7583" w:rsidRDefault="006C7965" w:rsidP="00EE7583">
            <w:pPr>
              <w:pStyle w:val="NoSpacing"/>
              <w:rPr>
                <w:sz w:val="20"/>
                <w:szCs w:val="20"/>
              </w:rPr>
            </w:pPr>
            <w:r w:rsidRPr="00EE7583">
              <w:rPr>
                <w:sz w:val="20"/>
                <w:szCs w:val="20"/>
              </w:rPr>
              <w:t>−0.08</w:t>
            </w:r>
          </w:p>
        </w:tc>
        <w:tc>
          <w:tcPr>
            <w:tcW w:w="0" w:type="auto"/>
            <w:hideMark/>
          </w:tcPr>
          <w:p w14:paraId="64F7D18C" w14:textId="77777777" w:rsidR="006C7965" w:rsidRPr="00EE7583" w:rsidRDefault="006C7965" w:rsidP="00EE7583">
            <w:pPr>
              <w:pStyle w:val="NoSpacing"/>
              <w:rPr>
                <w:sz w:val="20"/>
                <w:szCs w:val="20"/>
              </w:rPr>
            </w:pPr>
            <w:r w:rsidRPr="00EE7583">
              <w:rPr>
                <w:sz w:val="20"/>
                <w:szCs w:val="20"/>
              </w:rPr>
              <w:t>−0.16*</w:t>
            </w:r>
          </w:p>
        </w:tc>
        <w:tc>
          <w:tcPr>
            <w:tcW w:w="0" w:type="auto"/>
            <w:hideMark/>
          </w:tcPr>
          <w:p w14:paraId="122ECA8B" w14:textId="77777777" w:rsidR="006C7965" w:rsidRPr="00EE7583" w:rsidRDefault="006C7965" w:rsidP="00EE7583">
            <w:pPr>
              <w:pStyle w:val="NoSpacing"/>
              <w:rPr>
                <w:sz w:val="20"/>
                <w:szCs w:val="20"/>
              </w:rPr>
            </w:pPr>
            <w:r w:rsidRPr="00EE7583">
              <w:rPr>
                <w:sz w:val="20"/>
                <w:szCs w:val="20"/>
              </w:rPr>
              <w:t>1.00</w:t>
            </w:r>
          </w:p>
        </w:tc>
      </w:tr>
    </w:tbl>
    <w:p w14:paraId="798D9883" w14:textId="1725A196" w:rsidR="006C7965" w:rsidRPr="006C7965" w:rsidRDefault="006C7965" w:rsidP="003942B2">
      <w:pPr>
        <w:pStyle w:val="NoSpacing"/>
      </w:pPr>
      <w:r w:rsidRPr="006C7965">
        <w:rPr>
          <w:b/>
          <w:bCs/>
        </w:rPr>
        <w:t>Note(s):</w:t>
      </w:r>
      <w:r w:rsidRPr="006C7965">
        <w:t xml:space="preserve"> This table provides pairwise correlations for the variables in our study. * </w:t>
      </w:r>
      <w:proofErr w:type="gramStart"/>
      <w:r w:rsidRPr="006C7965">
        <w:t>denotes</w:t>
      </w:r>
      <w:proofErr w:type="gramEnd"/>
      <w:r w:rsidRPr="006C7965">
        <w:t xml:space="preserve"> significance at the 5% level. Variable descriptions are included in </w:t>
      </w:r>
      <w:r w:rsidRPr="007A181E">
        <w:t>Table 2</w:t>
      </w:r>
    </w:p>
    <w:p w14:paraId="5C54B09C" w14:textId="77777777" w:rsidR="003942B2" w:rsidRDefault="003942B2" w:rsidP="003942B2">
      <w:pPr>
        <w:pStyle w:val="NoSpacing"/>
        <w:sectPr w:rsidR="003942B2" w:rsidSect="003942B2">
          <w:pgSz w:w="20160" w:h="12240" w:orient="landscape" w:code="5"/>
          <w:pgMar w:top="1080" w:right="1080" w:bottom="1080" w:left="1080" w:header="720" w:footer="720" w:gutter="0"/>
          <w:cols w:space="720"/>
          <w:docGrid w:linePitch="360"/>
        </w:sectPr>
      </w:pPr>
    </w:p>
    <w:p w14:paraId="2E72BC87" w14:textId="78464793" w:rsidR="006C7965" w:rsidRPr="006C7965" w:rsidRDefault="006C7965" w:rsidP="006C7965">
      <w:r w:rsidRPr="006C7965">
        <w:lastRenderedPageBreak/>
        <w:t>Table 4</w:t>
      </w:r>
      <w:r w:rsidR="003942B2">
        <w:t xml:space="preserve"> </w:t>
      </w:r>
      <w:r w:rsidRPr="006C7965">
        <w:t xml:space="preserve">OLS regression results using TIC as the dependent </w:t>
      </w:r>
      <w:proofErr w:type="gramStart"/>
      <w:r w:rsidRPr="006C7965">
        <w:t>variable</w:t>
      </w:r>
      <w:proofErr w:type="gramEnd"/>
    </w:p>
    <w:tbl>
      <w:tblPr>
        <w:tblStyle w:val="TableGrid"/>
        <w:tblW w:w="0" w:type="auto"/>
        <w:tblLook w:val="04A0" w:firstRow="1" w:lastRow="0" w:firstColumn="1" w:lastColumn="0" w:noHBand="0" w:noVBand="1"/>
      </w:tblPr>
      <w:tblGrid>
        <w:gridCol w:w="2753"/>
        <w:gridCol w:w="1728"/>
        <w:gridCol w:w="2310"/>
        <w:gridCol w:w="2310"/>
      </w:tblGrid>
      <w:tr w:rsidR="006C7965" w:rsidRPr="006C7965" w14:paraId="61756F49" w14:textId="77777777" w:rsidTr="000D7196">
        <w:trPr>
          <w:trHeight w:val="288"/>
        </w:trPr>
        <w:tc>
          <w:tcPr>
            <w:tcW w:w="0" w:type="auto"/>
            <w:hideMark/>
          </w:tcPr>
          <w:p w14:paraId="02B7526D" w14:textId="77777777" w:rsidR="006C7965" w:rsidRPr="006C7965" w:rsidRDefault="006C7965" w:rsidP="006C7965"/>
        </w:tc>
        <w:tc>
          <w:tcPr>
            <w:tcW w:w="0" w:type="auto"/>
            <w:hideMark/>
          </w:tcPr>
          <w:p w14:paraId="4DE1C8BC" w14:textId="77777777" w:rsidR="006C7965" w:rsidRPr="006C7965" w:rsidRDefault="006C7965" w:rsidP="006C7965">
            <w:pPr>
              <w:rPr>
                <w:b/>
                <w:bCs/>
              </w:rPr>
            </w:pPr>
            <w:r w:rsidRPr="006C7965">
              <w:rPr>
                <w:b/>
                <w:bCs/>
              </w:rPr>
              <w:t>Full sample [1]</w:t>
            </w:r>
          </w:p>
        </w:tc>
        <w:tc>
          <w:tcPr>
            <w:tcW w:w="0" w:type="auto"/>
            <w:hideMark/>
          </w:tcPr>
          <w:p w14:paraId="69DEA36C" w14:textId="77777777" w:rsidR="006C7965" w:rsidRPr="006C7965" w:rsidRDefault="006C7965" w:rsidP="006C7965">
            <w:pPr>
              <w:rPr>
                <w:b/>
                <w:bCs/>
              </w:rPr>
            </w:pPr>
            <w:r w:rsidRPr="006C7965">
              <w:rPr>
                <w:b/>
                <w:bCs/>
              </w:rPr>
              <w:t>Maturity &gt; 15 Years [2]</w:t>
            </w:r>
          </w:p>
        </w:tc>
        <w:tc>
          <w:tcPr>
            <w:tcW w:w="0" w:type="auto"/>
            <w:hideMark/>
          </w:tcPr>
          <w:p w14:paraId="1D304FE3" w14:textId="77777777" w:rsidR="006C7965" w:rsidRPr="006C7965" w:rsidRDefault="006C7965" w:rsidP="006C7965">
            <w:pPr>
              <w:rPr>
                <w:b/>
                <w:bCs/>
              </w:rPr>
            </w:pPr>
            <w:r w:rsidRPr="006C7965">
              <w:rPr>
                <w:b/>
                <w:bCs/>
              </w:rPr>
              <w:t>Maturity &lt; 15 Years [3]</w:t>
            </w:r>
          </w:p>
        </w:tc>
      </w:tr>
      <w:tr w:rsidR="002C0389" w:rsidRPr="006C7965" w14:paraId="07D88496" w14:textId="77777777" w:rsidTr="000D7196">
        <w:trPr>
          <w:trHeight w:val="288"/>
        </w:trPr>
        <w:tc>
          <w:tcPr>
            <w:tcW w:w="0" w:type="auto"/>
            <w:hideMark/>
          </w:tcPr>
          <w:p w14:paraId="713B29B8" w14:textId="77777777" w:rsidR="002C0389" w:rsidRPr="006C7965" w:rsidRDefault="002C0389" w:rsidP="006C7965">
            <w:r w:rsidRPr="006C7965">
              <w:t>Positive</w:t>
            </w:r>
          </w:p>
        </w:tc>
        <w:tc>
          <w:tcPr>
            <w:tcW w:w="0" w:type="auto"/>
            <w:hideMark/>
          </w:tcPr>
          <w:p w14:paraId="05BC6EC2" w14:textId="1C9C54AF" w:rsidR="002C0389" w:rsidRPr="006C7965" w:rsidRDefault="002C0389" w:rsidP="002C0389">
            <w:r w:rsidRPr="006C7965">
              <w:t>−0.03</w:t>
            </w:r>
            <w:r>
              <w:t xml:space="preserve"> </w:t>
            </w:r>
            <w:r w:rsidRPr="006C7965">
              <w:t>(−0.16)</w:t>
            </w:r>
          </w:p>
        </w:tc>
        <w:tc>
          <w:tcPr>
            <w:tcW w:w="0" w:type="auto"/>
            <w:hideMark/>
          </w:tcPr>
          <w:p w14:paraId="28F1C625" w14:textId="3767DA92" w:rsidR="002C0389" w:rsidRPr="006C7965" w:rsidRDefault="002C0389" w:rsidP="002C0389">
            <w:r w:rsidRPr="006C7965">
              <w:t>−0.34*</w:t>
            </w:r>
            <w:r>
              <w:t xml:space="preserve"> </w:t>
            </w:r>
            <w:r w:rsidRPr="006C7965">
              <w:t>(−1.92)</w:t>
            </w:r>
          </w:p>
        </w:tc>
        <w:tc>
          <w:tcPr>
            <w:tcW w:w="0" w:type="auto"/>
            <w:hideMark/>
          </w:tcPr>
          <w:p w14:paraId="5E4B3FB9" w14:textId="75A6AE7B" w:rsidR="002C0389" w:rsidRPr="006C7965" w:rsidRDefault="002C0389" w:rsidP="002C0389">
            <w:r w:rsidRPr="006C7965">
              <w:t>0.32</w:t>
            </w:r>
            <w:r>
              <w:t xml:space="preserve"> </w:t>
            </w:r>
            <w:r w:rsidRPr="006C7965">
              <w:t>(1.41)</w:t>
            </w:r>
          </w:p>
        </w:tc>
      </w:tr>
      <w:tr w:rsidR="002C0389" w:rsidRPr="006C7965" w14:paraId="232F39E6" w14:textId="77777777" w:rsidTr="000D7196">
        <w:trPr>
          <w:trHeight w:val="288"/>
        </w:trPr>
        <w:tc>
          <w:tcPr>
            <w:tcW w:w="0" w:type="auto"/>
            <w:hideMark/>
          </w:tcPr>
          <w:p w14:paraId="79D8CD40" w14:textId="77777777" w:rsidR="002C0389" w:rsidRPr="006C7965" w:rsidRDefault="002C0389" w:rsidP="006C7965">
            <w:r w:rsidRPr="006C7965">
              <w:t>Negative</w:t>
            </w:r>
          </w:p>
        </w:tc>
        <w:tc>
          <w:tcPr>
            <w:tcW w:w="0" w:type="auto"/>
            <w:hideMark/>
          </w:tcPr>
          <w:p w14:paraId="0D47055E" w14:textId="683F6AC4" w:rsidR="002C0389" w:rsidRPr="006C7965" w:rsidRDefault="002C0389" w:rsidP="002C0389">
            <w:r w:rsidRPr="006C7965">
              <w:t>0.53***</w:t>
            </w:r>
            <w:r>
              <w:t xml:space="preserve"> </w:t>
            </w:r>
            <w:r w:rsidRPr="006C7965">
              <w:t>(3.21)</w:t>
            </w:r>
          </w:p>
        </w:tc>
        <w:tc>
          <w:tcPr>
            <w:tcW w:w="0" w:type="auto"/>
            <w:hideMark/>
          </w:tcPr>
          <w:p w14:paraId="78A59706" w14:textId="0724D66A" w:rsidR="002C0389" w:rsidRPr="006C7965" w:rsidRDefault="002C0389" w:rsidP="002C0389">
            <w:r w:rsidRPr="006C7965">
              <w:t>0.71***</w:t>
            </w:r>
            <w:r>
              <w:t xml:space="preserve"> </w:t>
            </w:r>
            <w:r w:rsidRPr="006C7965">
              <w:t>(3.29)</w:t>
            </w:r>
          </w:p>
        </w:tc>
        <w:tc>
          <w:tcPr>
            <w:tcW w:w="0" w:type="auto"/>
            <w:hideMark/>
          </w:tcPr>
          <w:p w14:paraId="039FC402" w14:textId="143F3BE7" w:rsidR="002C0389" w:rsidRPr="006C7965" w:rsidRDefault="002C0389" w:rsidP="002C0389">
            <w:r w:rsidRPr="006C7965">
              <w:t>−0.23</w:t>
            </w:r>
            <w:r>
              <w:t xml:space="preserve"> </w:t>
            </w:r>
            <w:r w:rsidRPr="006C7965">
              <w:t>(−0.75)</w:t>
            </w:r>
          </w:p>
        </w:tc>
      </w:tr>
      <w:tr w:rsidR="002C0389" w:rsidRPr="006C7965" w14:paraId="3A4DB8E9" w14:textId="77777777" w:rsidTr="000D7196">
        <w:trPr>
          <w:trHeight w:val="288"/>
        </w:trPr>
        <w:tc>
          <w:tcPr>
            <w:tcW w:w="0" w:type="auto"/>
            <w:hideMark/>
          </w:tcPr>
          <w:p w14:paraId="1278E55D" w14:textId="77777777" w:rsidR="002C0389" w:rsidRPr="006C7965" w:rsidRDefault="002C0389" w:rsidP="006C7965">
            <w:r w:rsidRPr="006C7965">
              <w:t>GO bond</w:t>
            </w:r>
          </w:p>
        </w:tc>
        <w:tc>
          <w:tcPr>
            <w:tcW w:w="0" w:type="auto"/>
            <w:hideMark/>
          </w:tcPr>
          <w:p w14:paraId="4303D443" w14:textId="40E2CA8B" w:rsidR="002C0389" w:rsidRPr="006C7965" w:rsidRDefault="002C0389" w:rsidP="002C0389">
            <w:r w:rsidRPr="006C7965">
              <w:t>0.32***</w:t>
            </w:r>
            <w:r>
              <w:t xml:space="preserve"> </w:t>
            </w:r>
            <w:r w:rsidRPr="006C7965">
              <w:t>(3.25)</w:t>
            </w:r>
          </w:p>
        </w:tc>
        <w:tc>
          <w:tcPr>
            <w:tcW w:w="0" w:type="auto"/>
            <w:hideMark/>
          </w:tcPr>
          <w:p w14:paraId="04F2E004" w14:textId="50E60CA7" w:rsidR="002C0389" w:rsidRPr="006C7965" w:rsidRDefault="002C0389" w:rsidP="002C0389">
            <w:r w:rsidRPr="006C7965">
              <w:t>0.41***</w:t>
            </w:r>
            <w:r>
              <w:t xml:space="preserve"> </w:t>
            </w:r>
            <w:r w:rsidRPr="006C7965">
              <w:t>(4.47)</w:t>
            </w:r>
          </w:p>
        </w:tc>
        <w:tc>
          <w:tcPr>
            <w:tcW w:w="0" w:type="auto"/>
            <w:hideMark/>
          </w:tcPr>
          <w:p w14:paraId="7488AC7A" w14:textId="418BAAC4" w:rsidR="002C0389" w:rsidRPr="006C7965" w:rsidRDefault="002C0389" w:rsidP="002C0389">
            <w:r w:rsidRPr="006C7965">
              <w:t>0.36***</w:t>
            </w:r>
            <w:r>
              <w:t xml:space="preserve"> </w:t>
            </w:r>
            <w:r w:rsidRPr="006C7965">
              <w:t>(3.07)</w:t>
            </w:r>
          </w:p>
        </w:tc>
      </w:tr>
      <w:tr w:rsidR="002C0389" w:rsidRPr="006C7965" w14:paraId="1085CBC7" w14:textId="77777777" w:rsidTr="000D7196">
        <w:trPr>
          <w:trHeight w:val="288"/>
        </w:trPr>
        <w:tc>
          <w:tcPr>
            <w:tcW w:w="0" w:type="auto"/>
            <w:hideMark/>
          </w:tcPr>
          <w:p w14:paraId="6B4DA88F" w14:textId="77777777" w:rsidR="002C0389" w:rsidRPr="006C7965" w:rsidRDefault="002C0389" w:rsidP="006C7965">
            <w:r w:rsidRPr="006C7965">
              <w:t>Amount</w:t>
            </w:r>
          </w:p>
        </w:tc>
        <w:tc>
          <w:tcPr>
            <w:tcW w:w="0" w:type="auto"/>
            <w:hideMark/>
          </w:tcPr>
          <w:p w14:paraId="1D485E54" w14:textId="7875847A" w:rsidR="002C0389" w:rsidRPr="006C7965" w:rsidRDefault="002C0389" w:rsidP="002C0389">
            <w:r w:rsidRPr="006C7965">
              <w:t>−0.06**</w:t>
            </w:r>
            <w:r>
              <w:t xml:space="preserve"> </w:t>
            </w:r>
            <w:r w:rsidRPr="006C7965">
              <w:t>(−2.24)</w:t>
            </w:r>
          </w:p>
        </w:tc>
        <w:tc>
          <w:tcPr>
            <w:tcW w:w="0" w:type="auto"/>
            <w:hideMark/>
          </w:tcPr>
          <w:p w14:paraId="7C577109" w14:textId="6415A427" w:rsidR="002C0389" w:rsidRPr="006C7965" w:rsidRDefault="002C0389" w:rsidP="002C0389">
            <w:r w:rsidRPr="006C7965">
              <w:t>−0.09***</w:t>
            </w:r>
            <w:r>
              <w:t xml:space="preserve"> </w:t>
            </w:r>
            <w:r w:rsidRPr="006C7965">
              <w:t>(−2.89)</w:t>
            </w:r>
          </w:p>
        </w:tc>
        <w:tc>
          <w:tcPr>
            <w:tcW w:w="0" w:type="auto"/>
            <w:hideMark/>
          </w:tcPr>
          <w:p w14:paraId="41987323" w14:textId="0926A5C5" w:rsidR="002C0389" w:rsidRPr="006C7965" w:rsidRDefault="002C0389" w:rsidP="002C0389">
            <w:r w:rsidRPr="006C7965">
              <w:t>−0.07</w:t>
            </w:r>
            <w:r>
              <w:t xml:space="preserve"> </w:t>
            </w:r>
            <w:r w:rsidRPr="006C7965">
              <w:t>(−1.53)</w:t>
            </w:r>
          </w:p>
        </w:tc>
      </w:tr>
      <w:tr w:rsidR="002C0389" w:rsidRPr="006C7965" w14:paraId="4E406989" w14:textId="77777777" w:rsidTr="000D7196">
        <w:trPr>
          <w:trHeight w:val="288"/>
        </w:trPr>
        <w:tc>
          <w:tcPr>
            <w:tcW w:w="0" w:type="auto"/>
            <w:hideMark/>
          </w:tcPr>
          <w:p w14:paraId="5F7BCE6E" w14:textId="77777777" w:rsidR="002C0389" w:rsidRPr="006C7965" w:rsidRDefault="002C0389" w:rsidP="006C7965">
            <w:r w:rsidRPr="006C7965">
              <w:t>Maturity</w:t>
            </w:r>
          </w:p>
        </w:tc>
        <w:tc>
          <w:tcPr>
            <w:tcW w:w="0" w:type="auto"/>
            <w:hideMark/>
          </w:tcPr>
          <w:p w14:paraId="2BAB29EE" w14:textId="2C189103" w:rsidR="002C0389" w:rsidRPr="006C7965" w:rsidRDefault="002C0389" w:rsidP="002C0389">
            <w:r w:rsidRPr="006C7965">
              <w:t>1.07***</w:t>
            </w:r>
            <w:r>
              <w:t xml:space="preserve"> </w:t>
            </w:r>
            <w:r w:rsidRPr="006C7965">
              <w:t>(8.90)</w:t>
            </w:r>
          </w:p>
        </w:tc>
        <w:tc>
          <w:tcPr>
            <w:tcW w:w="0" w:type="auto"/>
            <w:hideMark/>
          </w:tcPr>
          <w:p w14:paraId="60744C60" w14:textId="58D105EE" w:rsidR="002C0389" w:rsidRPr="006C7965" w:rsidRDefault="002C0389" w:rsidP="002C0389">
            <w:r w:rsidRPr="006C7965">
              <w:t>1.57***</w:t>
            </w:r>
            <w:r>
              <w:t xml:space="preserve"> </w:t>
            </w:r>
            <w:r w:rsidRPr="006C7965">
              <w:t>(5.33)</w:t>
            </w:r>
          </w:p>
        </w:tc>
        <w:tc>
          <w:tcPr>
            <w:tcW w:w="0" w:type="auto"/>
            <w:hideMark/>
          </w:tcPr>
          <w:p w14:paraId="68A2F290" w14:textId="6BD1C20C" w:rsidR="002C0389" w:rsidRPr="006C7965" w:rsidRDefault="002C0389" w:rsidP="002C0389">
            <w:r w:rsidRPr="006C7965">
              <w:t>0.67***</w:t>
            </w:r>
            <w:r>
              <w:t xml:space="preserve"> </w:t>
            </w:r>
            <w:r w:rsidRPr="006C7965">
              <w:t>(5.06)</w:t>
            </w:r>
          </w:p>
        </w:tc>
      </w:tr>
      <w:tr w:rsidR="002C0389" w:rsidRPr="006C7965" w14:paraId="4E26C9A1" w14:textId="77777777" w:rsidTr="000D7196">
        <w:trPr>
          <w:trHeight w:val="288"/>
        </w:trPr>
        <w:tc>
          <w:tcPr>
            <w:tcW w:w="0" w:type="auto"/>
            <w:hideMark/>
          </w:tcPr>
          <w:p w14:paraId="02CC77E4" w14:textId="77777777" w:rsidR="002C0389" w:rsidRPr="006C7965" w:rsidRDefault="002C0389" w:rsidP="006C7965">
            <w:r w:rsidRPr="006C7965">
              <w:t>Competitive bid</w:t>
            </w:r>
          </w:p>
        </w:tc>
        <w:tc>
          <w:tcPr>
            <w:tcW w:w="0" w:type="auto"/>
            <w:hideMark/>
          </w:tcPr>
          <w:p w14:paraId="792027D6" w14:textId="1D18CD57" w:rsidR="002C0389" w:rsidRPr="006C7965" w:rsidRDefault="002C0389" w:rsidP="002C0389">
            <w:r w:rsidRPr="006C7965">
              <w:t>−0.16</w:t>
            </w:r>
            <w:r>
              <w:t xml:space="preserve"> </w:t>
            </w:r>
            <w:r w:rsidRPr="006C7965">
              <w:t>(−0.29)</w:t>
            </w:r>
          </w:p>
        </w:tc>
        <w:tc>
          <w:tcPr>
            <w:tcW w:w="0" w:type="auto"/>
            <w:hideMark/>
          </w:tcPr>
          <w:p w14:paraId="61A53DEB" w14:textId="695A15AD" w:rsidR="002C0389" w:rsidRPr="006C7965" w:rsidRDefault="002C0389" w:rsidP="002C0389">
            <w:r w:rsidRPr="006C7965">
              <w:t>0.64***</w:t>
            </w:r>
            <w:r>
              <w:t xml:space="preserve"> </w:t>
            </w:r>
            <w:r w:rsidRPr="006C7965">
              <w:t>(3.23)</w:t>
            </w:r>
          </w:p>
        </w:tc>
        <w:tc>
          <w:tcPr>
            <w:tcW w:w="0" w:type="auto"/>
            <w:hideMark/>
          </w:tcPr>
          <w:p w14:paraId="1B4556FC" w14:textId="5B679DAB" w:rsidR="002C0389" w:rsidRPr="006C7965" w:rsidRDefault="002C0389" w:rsidP="002C0389">
            <w:r w:rsidRPr="006C7965">
              <w:t>−1.35</w:t>
            </w:r>
            <w:r>
              <w:t xml:space="preserve"> </w:t>
            </w:r>
            <w:r w:rsidRPr="006C7965">
              <w:t>(−1.35)</w:t>
            </w:r>
          </w:p>
        </w:tc>
      </w:tr>
      <w:tr w:rsidR="002C0389" w:rsidRPr="006C7965" w14:paraId="0A10D8FD" w14:textId="77777777" w:rsidTr="000D7196">
        <w:trPr>
          <w:trHeight w:val="288"/>
        </w:trPr>
        <w:tc>
          <w:tcPr>
            <w:tcW w:w="0" w:type="auto"/>
            <w:hideMark/>
          </w:tcPr>
          <w:p w14:paraId="4C18004F" w14:textId="77777777" w:rsidR="002C0389" w:rsidRPr="006C7965" w:rsidRDefault="002C0389" w:rsidP="006C7965">
            <w:r w:rsidRPr="006C7965">
              <w:t>Insured</w:t>
            </w:r>
          </w:p>
        </w:tc>
        <w:tc>
          <w:tcPr>
            <w:tcW w:w="0" w:type="auto"/>
            <w:hideMark/>
          </w:tcPr>
          <w:p w14:paraId="4FD0A2C0" w14:textId="10BFA4DF" w:rsidR="002C0389" w:rsidRPr="006C7965" w:rsidRDefault="002C0389" w:rsidP="002C0389">
            <w:r w:rsidRPr="006C7965">
              <w:t>0.03</w:t>
            </w:r>
            <w:r>
              <w:t xml:space="preserve"> </w:t>
            </w:r>
            <w:r w:rsidRPr="006C7965">
              <w:t>(0.23)</w:t>
            </w:r>
          </w:p>
        </w:tc>
        <w:tc>
          <w:tcPr>
            <w:tcW w:w="0" w:type="auto"/>
            <w:hideMark/>
          </w:tcPr>
          <w:p w14:paraId="1200879B" w14:textId="4364D747" w:rsidR="002C0389" w:rsidRPr="006C7965" w:rsidRDefault="002C0389" w:rsidP="002C0389">
            <w:r w:rsidRPr="006C7965">
              <w:t>0.01</w:t>
            </w:r>
            <w:r>
              <w:t xml:space="preserve"> </w:t>
            </w:r>
            <w:r w:rsidRPr="006C7965">
              <w:t>(0.02)</w:t>
            </w:r>
          </w:p>
        </w:tc>
        <w:tc>
          <w:tcPr>
            <w:tcW w:w="0" w:type="auto"/>
            <w:hideMark/>
          </w:tcPr>
          <w:p w14:paraId="395EEF58" w14:textId="01A4F32A" w:rsidR="002C0389" w:rsidRPr="006C7965" w:rsidRDefault="002C0389" w:rsidP="002C0389">
            <w:r w:rsidRPr="006C7965">
              <w:t>0.37</w:t>
            </w:r>
            <w:r>
              <w:t xml:space="preserve"> </w:t>
            </w:r>
            <w:r w:rsidRPr="006C7965">
              <w:t>(1.11)</w:t>
            </w:r>
          </w:p>
        </w:tc>
      </w:tr>
      <w:tr w:rsidR="002C0389" w:rsidRPr="006C7965" w14:paraId="0C64127D" w14:textId="77777777" w:rsidTr="000D7196">
        <w:trPr>
          <w:trHeight w:val="288"/>
        </w:trPr>
        <w:tc>
          <w:tcPr>
            <w:tcW w:w="0" w:type="auto"/>
            <w:hideMark/>
          </w:tcPr>
          <w:p w14:paraId="03014CCD" w14:textId="77777777" w:rsidR="002C0389" w:rsidRPr="006C7965" w:rsidRDefault="002C0389" w:rsidP="006C7965">
            <w:r w:rsidRPr="006C7965">
              <w:t>Bond rating</w:t>
            </w:r>
          </w:p>
        </w:tc>
        <w:tc>
          <w:tcPr>
            <w:tcW w:w="0" w:type="auto"/>
            <w:hideMark/>
          </w:tcPr>
          <w:p w14:paraId="63EC0194" w14:textId="49C1A0ED" w:rsidR="002C0389" w:rsidRPr="006C7965" w:rsidRDefault="002C0389" w:rsidP="002C0389">
            <w:r w:rsidRPr="006C7965">
              <w:t>0.09**</w:t>
            </w:r>
            <w:r>
              <w:t xml:space="preserve"> </w:t>
            </w:r>
            <w:r w:rsidRPr="006C7965">
              <w:t>(2.26)</w:t>
            </w:r>
          </w:p>
        </w:tc>
        <w:tc>
          <w:tcPr>
            <w:tcW w:w="0" w:type="auto"/>
            <w:hideMark/>
          </w:tcPr>
          <w:p w14:paraId="700571F1" w14:textId="261F8C0E" w:rsidR="002C0389" w:rsidRPr="006C7965" w:rsidRDefault="002C0389" w:rsidP="002C0389">
            <w:r w:rsidRPr="006C7965">
              <w:t>0.14***</w:t>
            </w:r>
            <w:r>
              <w:t xml:space="preserve"> </w:t>
            </w:r>
            <w:r w:rsidRPr="006C7965">
              <w:t>(4.27)</w:t>
            </w:r>
          </w:p>
        </w:tc>
        <w:tc>
          <w:tcPr>
            <w:tcW w:w="0" w:type="auto"/>
            <w:hideMark/>
          </w:tcPr>
          <w:p w14:paraId="1BF11FF7" w14:textId="7FBFBBF0" w:rsidR="002C0389" w:rsidRPr="006C7965" w:rsidRDefault="002C0389" w:rsidP="002C0389">
            <w:r w:rsidRPr="006C7965">
              <w:t>0.04</w:t>
            </w:r>
            <w:r>
              <w:t xml:space="preserve"> </w:t>
            </w:r>
            <w:r w:rsidRPr="006C7965">
              <w:t>(0.75)</w:t>
            </w:r>
          </w:p>
        </w:tc>
      </w:tr>
      <w:tr w:rsidR="002C0389" w:rsidRPr="006C7965" w14:paraId="32A98C7D" w14:textId="77777777" w:rsidTr="000D7196">
        <w:trPr>
          <w:trHeight w:val="288"/>
        </w:trPr>
        <w:tc>
          <w:tcPr>
            <w:tcW w:w="0" w:type="auto"/>
            <w:hideMark/>
          </w:tcPr>
          <w:p w14:paraId="1FFA09AC" w14:textId="77777777" w:rsidR="002C0389" w:rsidRPr="006C7965" w:rsidRDefault="002C0389" w:rsidP="006C7965">
            <w:r w:rsidRPr="006C7965">
              <w:t>Bond buyer index</w:t>
            </w:r>
          </w:p>
        </w:tc>
        <w:tc>
          <w:tcPr>
            <w:tcW w:w="0" w:type="auto"/>
            <w:hideMark/>
          </w:tcPr>
          <w:p w14:paraId="5651C135" w14:textId="35933E02" w:rsidR="002C0389" w:rsidRPr="006C7965" w:rsidRDefault="002C0389" w:rsidP="002C0389">
            <w:r w:rsidRPr="006C7965">
              <w:t>0.74***</w:t>
            </w:r>
            <w:r>
              <w:t xml:space="preserve"> </w:t>
            </w:r>
            <w:r w:rsidRPr="006C7965">
              <w:t>(10.84)</w:t>
            </w:r>
          </w:p>
        </w:tc>
        <w:tc>
          <w:tcPr>
            <w:tcW w:w="0" w:type="auto"/>
            <w:hideMark/>
          </w:tcPr>
          <w:p w14:paraId="196DF129" w14:textId="1BA1BEFC" w:rsidR="002C0389" w:rsidRPr="006C7965" w:rsidRDefault="002C0389" w:rsidP="002C0389">
            <w:r w:rsidRPr="006C7965">
              <w:t>0.74***</w:t>
            </w:r>
            <w:r>
              <w:t xml:space="preserve"> </w:t>
            </w:r>
            <w:r w:rsidRPr="006C7965">
              <w:t>(11.87)</w:t>
            </w:r>
          </w:p>
        </w:tc>
        <w:tc>
          <w:tcPr>
            <w:tcW w:w="0" w:type="auto"/>
            <w:hideMark/>
          </w:tcPr>
          <w:p w14:paraId="29C982BE" w14:textId="15B20EAF" w:rsidR="002C0389" w:rsidRPr="006C7965" w:rsidRDefault="002C0389" w:rsidP="002C0389">
            <w:r w:rsidRPr="006C7965">
              <w:t>0.74***</w:t>
            </w:r>
            <w:r>
              <w:t xml:space="preserve"> </w:t>
            </w:r>
            <w:r w:rsidRPr="006C7965">
              <w:t>(6.35)</w:t>
            </w:r>
          </w:p>
        </w:tc>
      </w:tr>
      <w:tr w:rsidR="002C0389" w:rsidRPr="006C7965" w14:paraId="6F1B1B73" w14:textId="77777777" w:rsidTr="000D7196">
        <w:trPr>
          <w:trHeight w:val="288"/>
        </w:trPr>
        <w:tc>
          <w:tcPr>
            <w:tcW w:w="0" w:type="auto"/>
            <w:hideMark/>
          </w:tcPr>
          <w:p w14:paraId="443E990E" w14:textId="77777777" w:rsidR="002C0389" w:rsidRPr="006C7965" w:rsidRDefault="002C0389" w:rsidP="006C7965">
            <w:r w:rsidRPr="006C7965">
              <w:t>Population</w:t>
            </w:r>
          </w:p>
        </w:tc>
        <w:tc>
          <w:tcPr>
            <w:tcW w:w="0" w:type="auto"/>
            <w:hideMark/>
          </w:tcPr>
          <w:p w14:paraId="30828DEC" w14:textId="718ECA22" w:rsidR="002C0389" w:rsidRPr="006C7965" w:rsidRDefault="002C0389" w:rsidP="002C0389">
            <w:r w:rsidRPr="006C7965">
              <w:t>0.14***</w:t>
            </w:r>
            <w:r>
              <w:t xml:space="preserve"> </w:t>
            </w:r>
            <w:r w:rsidRPr="006C7965">
              <w:t>(3.84)</w:t>
            </w:r>
          </w:p>
        </w:tc>
        <w:tc>
          <w:tcPr>
            <w:tcW w:w="0" w:type="auto"/>
            <w:hideMark/>
          </w:tcPr>
          <w:p w14:paraId="1B8B566D" w14:textId="3787C9D3" w:rsidR="002C0389" w:rsidRPr="006C7965" w:rsidRDefault="002C0389" w:rsidP="002C0389">
            <w:r w:rsidRPr="006C7965">
              <w:t>0.14***</w:t>
            </w:r>
            <w:r>
              <w:t xml:space="preserve"> </w:t>
            </w:r>
            <w:r w:rsidRPr="006C7965">
              <w:t>(4.41)</w:t>
            </w:r>
          </w:p>
        </w:tc>
        <w:tc>
          <w:tcPr>
            <w:tcW w:w="0" w:type="auto"/>
            <w:hideMark/>
          </w:tcPr>
          <w:p w14:paraId="4B7F5635" w14:textId="1D3DB1FA" w:rsidR="002C0389" w:rsidRPr="006C7965" w:rsidRDefault="002C0389" w:rsidP="002C0389">
            <w:r w:rsidRPr="006C7965">
              <w:t>0.12</w:t>
            </w:r>
            <w:r>
              <w:t xml:space="preserve"> </w:t>
            </w:r>
            <w:r w:rsidRPr="006C7965">
              <w:t>(1.32)</w:t>
            </w:r>
          </w:p>
        </w:tc>
      </w:tr>
      <w:tr w:rsidR="002C0389" w:rsidRPr="006C7965" w14:paraId="14CD6647" w14:textId="77777777" w:rsidTr="000D7196">
        <w:trPr>
          <w:trHeight w:val="288"/>
        </w:trPr>
        <w:tc>
          <w:tcPr>
            <w:tcW w:w="0" w:type="auto"/>
            <w:hideMark/>
          </w:tcPr>
          <w:p w14:paraId="2B1B7914" w14:textId="77777777" w:rsidR="002C0389" w:rsidRPr="006C7965" w:rsidRDefault="002C0389" w:rsidP="006C7965">
            <w:r w:rsidRPr="006C7965">
              <w:t>Median income</w:t>
            </w:r>
          </w:p>
        </w:tc>
        <w:tc>
          <w:tcPr>
            <w:tcW w:w="0" w:type="auto"/>
            <w:hideMark/>
          </w:tcPr>
          <w:p w14:paraId="5800CCAE" w14:textId="5372FF65" w:rsidR="002C0389" w:rsidRPr="006C7965" w:rsidRDefault="002C0389" w:rsidP="002C0389">
            <w:r w:rsidRPr="006C7965">
              <w:t>0.07</w:t>
            </w:r>
            <w:r>
              <w:t xml:space="preserve"> </w:t>
            </w:r>
            <w:r w:rsidRPr="006C7965">
              <w:t>(0.54)</w:t>
            </w:r>
          </w:p>
        </w:tc>
        <w:tc>
          <w:tcPr>
            <w:tcW w:w="0" w:type="auto"/>
            <w:hideMark/>
          </w:tcPr>
          <w:p w14:paraId="31B915F0" w14:textId="2B87982B" w:rsidR="002C0389" w:rsidRPr="006C7965" w:rsidRDefault="002C0389" w:rsidP="002C0389">
            <w:r w:rsidRPr="006C7965">
              <w:t>0.19*</w:t>
            </w:r>
            <w:r>
              <w:t xml:space="preserve"> </w:t>
            </w:r>
            <w:r w:rsidRPr="006C7965">
              <w:t>(1.68)</w:t>
            </w:r>
          </w:p>
        </w:tc>
        <w:tc>
          <w:tcPr>
            <w:tcW w:w="0" w:type="auto"/>
            <w:hideMark/>
          </w:tcPr>
          <w:p w14:paraId="248B7327" w14:textId="4813BF92" w:rsidR="002C0389" w:rsidRPr="006C7965" w:rsidRDefault="002C0389" w:rsidP="002C0389">
            <w:r w:rsidRPr="006C7965">
              <w:t>−0.06</w:t>
            </w:r>
            <w:r>
              <w:t xml:space="preserve"> </w:t>
            </w:r>
            <w:r w:rsidRPr="006C7965">
              <w:t>(−0.36)</w:t>
            </w:r>
          </w:p>
        </w:tc>
      </w:tr>
      <w:tr w:rsidR="002C0389" w:rsidRPr="006C7965" w14:paraId="63FB6794" w14:textId="77777777" w:rsidTr="000D7196">
        <w:trPr>
          <w:trHeight w:val="288"/>
        </w:trPr>
        <w:tc>
          <w:tcPr>
            <w:tcW w:w="0" w:type="auto"/>
            <w:hideMark/>
          </w:tcPr>
          <w:p w14:paraId="4688A69C" w14:textId="77777777" w:rsidR="002C0389" w:rsidRPr="006C7965" w:rsidRDefault="002C0389" w:rsidP="006C7965">
            <w:r w:rsidRPr="006C7965">
              <w:t>GFOA certificate</w:t>
            </w:r>
          </w:p>
        </w:tc>
        <w:tc>
          <w:tcPr>
            <w:tcW w:w="0" w:type="auto"/>
            <w:hideMark/>
          </w:tcPr>
          <w:p w14:paraId="036C7A34" w14:textId="09263926" w:rsidR="002C0389" w:rsidRPr="006C7965" w:rsidRDefault="002C0389" w:rsidP="002C0389">
            <w:r w:rsidRPr="006C7965">
              <w:t>−0.03</w:t>
            </w:r>
            <w:r>
              <w:t xml:space="preserve"> </w:t>
            </w:r>
            <w:r w:rsidRPr="006C7965">
              <w:t>(−0.40)</w:t>
            </w:r>
          </w:p>
        </w:tc>
        <w:tc>
          <w:tcPr>
            <w:tcW w:w="0" w:type="auto"/>
            <w:hideMark/>
          </w:tcPr>
          <w:p w14:paraId="7398D3F6" w14:textId="5DE0DB64" w:rsidR="002C0389" w:rsidRPr="006C7965" w:rsidRDefault="002C0389" w:rsidP="002C0389">
            <w:r w:rsidRPr="006C7965">
              <w:t>0.09</w:t>
            </w:r>
            <w:r>
              <w:t xml:space="preserve"> </w:t>
            </w:r>
            <w:r w:rsidRPr="006C7965">
              <w:t>(1.03)</w:t>
            </w:r>
          </w:p>
        </w:tc>
        <w:tc>
          <w:tcPr>
            <w:tcW w:w="0" w:type="auto"/>
            <w:hideMark/>
          </w:tcPr>
          <w:p w14:paraId="4908719D" w14:textId="4A681E8C" w:rsidR="002C0389" w:rsidRPr="006C7965" w:rsidRDefault="002C0389" w:rsidP="002C0389">
            <w:r w:rsidRPr="006C7965">
              <w:t>0.05</w:t>
            </w:r>
            <w:r>
              <w:t xml:space="preserve"> </w:t>
            </w:r>
            <w:r w:rsidRPr="006C7965">
              <w:t>(0.46)</w:t>
            </w:r>
          </w:p>
        </w:tc>
      </w:tr>
      <w:tr w:rsidR="002C0389" w:rsidRPr="006C7965" w14:paraId="0835C733" w14:textId="77777777" w:rsidTr="000D7196">
        <w:trPr>
          <w:trHeight w:val="288"/>
        </w:trPr>
        <w:tc>
          <w:tcPr>
            <w:tcW w:w="0" w:type="auto"/>
            <w:hideMark/>
          </w:tcPr>
          <w:p w14:paraId="6B37B625" w14:textId="77777777" w:rsidR="002C0389" w:rsidRPr="006C7965" w:rsidRDefault="002C0389" w:rsidP="006C7965">
            <w:r w:rsidRPr="006C7965">
              <w:t>Staggered council</w:t>
            </w:r>
          </w:p>
        </w:tc>
        <w:tc>
          <w:tcPr>
            <w:tcW w:w="0" w:type="auto"/>
            <w:hideMark/>
          </w:tcPr>
          <w:p w14:paraId="5353933D" w14:textId="482EEE43" w:rsidR="002C0389" w:rsidRPr="006C7965" w:rsidRDefault="002C0389" w:rsidP="002C0389">
            <w:r w:rsidRPr="006C7965">
              <w:t>−0.13**</w:t>
            </w:r>
            <w:r>
              <w:t xml:space="preserve"> </w:t>
            </w:r>
            <w:r w:rsidRPr="006C7965">
              <w:t>(−2.22)</w:t>
            </w:r>
          </w:p>
        </w:tc>
        <w:tc>
          <w:tcPr>
            <w:tcW w:w="0" w:type="auto"/>
            <w:hideMark/>
          </w:tcPr>
          <w:p w14:paraId="48447748" w14:textId="34F30279" w:rsidR="002C0389" w:rsidRPr="006C7965" w:rsidRDefault="002C0389" w:rsidP="002C0389">
            <w:r w:rsidRPr="006C7965">
              <w:t>−0.20***</w:t>
            </w:r>
            <w:r>
              <w:t xml:space="preserve"> </w:t>
            </w:r>
            <w:r w:rsidRPr="006C7965">
              <w:t>(−2.64)</w:t>
            </w:r>
          </w:p>
        </w:tc>
        <w:tc>
          <w:tcPr>
            <w:tcW w:w="0" w:type="auto"/>
            <w:hideMark/>
          </w:tcPr>
          <w:p w14:paraId="05A0E31F" w14:textId="517FF02C" w:rsidR="002C0389" w:rsidRPr="006C7965" w:rsidRDefault="002C0389" w:rsidP="002C0389">
            <w:r w:rsidRPr="006C7965">
              <w:t>−0.12</w:t>
            </w:r>
            <w:r>
              <w:t xml:space="preserve"> </w:t>
            </w:r>
            <w:r w:rsidRPr="006C7965">
              <w:t>(−1.22)</w:t>
            </w:r>
          </w:p>
        </w:tc>
      </w:tr>
      <w:tr w:rsidR="002C0389" w:rsidRPr="006C7965" w14:paraId="3ED2FDC0" w14:textId="77777777" w:rsidTr="000D7196">
        <w:trPr>
          <w:trHeight w:val="288"/>
        </w:trPr>
        <w:tc>
          <w:tcPr>
            <w:tcW w:w="0" w:type="auto"/>
            <w:hideMark/>
          </w:tcPr>
          <w:p w14:paraId="6BD15018" w14:textId="77777777" w:rsidR="002C0389" w:rsidRPr="006C7965" w:rsidRDefault="002C0389" w:rsidP="006C7965">
            <w:r w:rsidRPr="006C7965">
              <w:t>Council manager</w:t>
            </w:r>
          </w:p>
        </w:tc>
        <w:tc>
          <w:tcPr>
            <w:tcW w:w="0" w:type="auto"/>
            <w:hideMark/>
          </w:tcPr>
          <w:p w14:paraId="57FA89C0" w14:textId="7369F4FC" w:rsidR="002C0389" w:rsidRPr="006C7965" w:rsidRDefault="002C0389" w:rsidP="002C0389">
            <w:r w:rsidRPr="006C7965">
              <w:t>0.03</w:t>
            </w:r>
            <w:r>
              <w:t xml:space="preserve"> </w:t>
            </w:r>
            <w:r w:rsidRPr="006C7965">
              <w:t>(0.47)</w:t>
            </w:r>
          </w:p>
        </w:tc>
        <w:tc>
          <w:tcPr>
            <w:tcW w:w="0" w:type="auto"/>
            <w:hideMark/>
          </w:tcPr>
          <w:p w14:paraId="41836D48" w14:textId="24CACC9C" w:rsidR="002C0389" w:rsidRPr="006C7965" w:rsidRDefault="002C0389" w:rsidP="002C0389">
            <w:r w:rsidRPr="006C7965">
              <w:t>0.11</w:t>
            </w:r>
            <w:r>
              <w:t xml:space="preserve"> </w:t>
            </w:r>
            <w:r w:rsidRPr="006C7965">
              <w:t>(1.27)</w:t>
            </w:r>
          </w:p>
        </w:tc>
        <w:tc>
          <w:tcPr>
            <w:tcW w:w="0" w:type="auto"/>
            <w:hideMark/>
          </w:tcPr>
          <w:p w14:paraId="6A043786" w14:textId="6C8C504E" w:rsidR="002C0389" w:rsidRPr="006C7965" w:rsidRDefault="002C0389" w:rsidP="002C0389">
            <w:r w:rsidRPr="006C7965">
              <w:t>−0.13</w:t>
            </w:r>
            <w:r>
              <w:t xml:space="preserve"> </w:t>
            </w:r>
            <w:r w:rsidRPr="006C7965">
              <w:t>(−1.32)</w:t>
            </w:r>
          </w:p>
        </w:tc>
      </w:tr>
      <w:tr w:rsidR="002C0389" w:rsidRPr="006C7965" w14:paraId="2C20EAB9" w14:textId="77777777" w:rsidTr="000D7196">
        <w:trPr>
          <w:trHeight w:val="288"/>
        </w:trPr>
        <w:tc>
          <w:tcPr>
            <w:tcW w:w="0" w:type="auto"/>
            <w:hideMark/>
          </w:tcPr>
          <w:p w14:paraId="4BDC9E14" w14:textId="77777777" w:rsidR="002C0389" w:rsidRPr="006C7965" w:rsidRDefault="002C0389" w:rsidP="006C7965">
            <w:r w:rsidRPr="006C7965">
              <w:t>Govt fund surplus</w:t>
            </w:r>
          </w:p>
        </w:tc>
        <w:tc>
          <w:tcPr>
            <w:tcW w:w="0" w:type="auto"/>
            <w:hideMark/>
          </w:tcPr>
          <w:p w14:paraId="69A94F36" w14:textId="266BA082" w:rsidR="002C0389" w:rsidRPr="006C7965" w:rsidRDefault="002C0389" w:rsidP="002C0389">
            <w:r w:rsidRPr="006C7965">
              <w:t>−0.20*</w:t>
            </w:r>
            <w:r>
              <w:t xml:space="preserve"> </w:t>
            </w:r>
            <w:r w:rsidRPr="006C7965">
              <w:t>(−1.88)</w:t>
            </w:r>
          </w:p>
        </w:tc>
        <w:tc>
          <w:tcPr>
            <w:tcW w:w="0" w:type="auto"/>
            <w:hideMark/>
          </w:tcPr>
          <w:p w14:paraId="1F50C4AD" w14:textId="3E1810B1" w:rsidR="002C0389" w:rsidRPr="006C7965" w:rsidRDefault="002C0389" w:rsidP="002C0389">
            <w:r w:rsidRPr="006C7965">
              <w:t>−0.09</w:t>
            </w:r>
            <w:r>
              <w:t xml:space="preserve"> </w:t>
            </w:r>
            <w:r w:rsidRPr="006C7965">
              <w:t>(−0.90)</w:t>
            </w:r>
          </w:p>
        </w:tc>
        <w:tc>
          <w:tcPr>
            <w:tcW w:w="0" w:type="auto"/>
            <w:hideMark/>
          </w:tcPr>
          <w:p w14:paraId="7895F690" w14:textId="17F7DD9E" w:rsidR="002C0389" w:rsidRPr="006C7965" w:rsidRDefault="002C0389" w:rsidP="002C0389">
            <w:r w:rsidRPr="006C7965">
              <w:t>−0.52**</w:t>
            </w:r>
            <w:r>
              <w:t xml:space="preserve"> </w:t>
            </w:r>
            <w:r w:rsidRPr="006C7965">
              <w:t>(−2.52)</w:t>
            </w:r>
          </w:p>
        </w:tc>
      </w:tr>
      <w:tr w:rsidR="002C0389" w:rsidRPr="006C7965" w14:paraId="4DB9B2D0" w14:textId="77777777" w:rsidTr="000D7196">
        <w:trPr>
          <w:trHeight w:val="288"/>
        </w:trPr>
        <w:tc>
          <w:tcPr>
            <w:tcW w:w="0" w:type="auto"/>
            <w:hideMark/>
          </w:tcPr>
          <w:p w14:paraId="36A229FB" w14:textId="77777777" w:rsidR="002C0389" w:rsidRPr="006C7965" w:rsidRDefault="002C0389" w:rsidP="006C7965">
            <w:r w:rsidRPr="006C7965">
              <w:t>Govt fund expenses</w:t>
            </w:r>
          </w:p>
        </w:tc>
        <w:tc>
          <w:tcPr>
            <w:tcW w:w="0" w:type="auto"/>
            <w:hideMark/>
          </w:tcPr>
          <w:p w14:paraId="06314E64" w14:textId="263E54F8" w:rsidR="002C0389" w:rsidRPr="006C7965" w:rsidRDefault="002C0389" w:rsidP="002C0389">
            <w:r w:rsidRPr="006C7965">
              <w:t>−0.01</w:t>
            </w:r>
            <w:r>
              <w:t xml:space="preserve"> </w:t>
            </w:r>
            <w:r w:rsidRPr="006C7965">
              <w:t>(−0.41)</w:t>
            </w:r>
          </w:p>
        </w:tc>
        <w:tc>
          <w:tcPr>
            <w:tcW w:w="0" w:type="auto"/>
            <w:hideMark/>
          </w:tcPr>
          <w:p w14:paraId="2C98FB64" w14:textId="7B209805" w:rsidR="002C0389" w:rsidRPr="006C7965" w:rsidRDefault="002C0389" w:rsidP="002C0389">
            <w:r w:rsidRPr="006C7965">
              <w:t>−0.01</w:t>
            </w:r>
            <w:r>
              <w:t xml:space="preserve"> </w:t>
            </w:r>
            <w:r w:rsidRPr="006C7965">
              <w:t>(−0.29)</w:t>
            </w:r>
          </w:p>
        </w:tc>
        <w:tc>
          <w:tcPr>
            <w:tcW w:w="0" w:type="auto"/>
            <w:hideMark/>
          </w:tcPr>
          <w:p w14:paraId="03F0F37D" w14:textId="119C8787" w:rsidR="002C0389" w:rsidRPr="006C7965" w:rsidRDefault="002C0389" w:rsidP="002C0389">
            <w:r w:rsidRPr="006C7965">
              <w:t>0.01</w:t>
            </w:r>
            <w:r>
              <w:t xml:space="preserve"> </w:t>
            </w:r>
            <w:r w:rsidRPr="006C7965">
              <w:t>(0.22)</w:t>
            </w:r>
          </w:p>
        </w:tc>
      </w:tr>
      <w:tr w:rsidR="002C0389" w:rsidRPr="006C7965" w14:paraId="457F1FC0" w14:textId="77777777" w:rsidTr="000D7196">
        <w:trPr>
          <w:trHeight w:val="288"/>
        </w:trPr>
        <w:tc>
          <w:tcPr>
            <w:tcW w:w="0" w:type="auto"/>
            <w:hideMark/>
          </w:tcPr>
          <w:p w14:paraId="41A3BED8" w14:textId="77777777" w:rsidR="002C0389" w:rsidRPr="006C7965" w:rsidRDefault="002C0389" w:rsidP="006C7965">
            <w:r w:rsidRPr="006C7965">
              <w:t>Capital outlay</w:t>
            </w:r>
          </w:p>
        </w:tc>
        <w:tc>
          <w:tcPr>
            <w:tcW w:w="0" w:type="auto"/>
            <w:hideMark/>
          </w:tcPr>
          <w:p w14:paraId="41DD2E46" w14:textId="1086E06C" w:rsidR="002C0389" w:rsidRPr="006C7965" w:rsidRDefault="002C0389" w:rsidP="002C0389">
            <w:r w:rsidRPr="006C7965">
              <w:t>0.32**</w:t>
            </w:r>
            <w:r>
              <w:t xml:space="preserve"> </w:t>
            </w:r>
            <w:r w:rsidRPr="006C7965">
              <w:t>(2.21)</w:t>
            </w:r>
          </w:p>
        </w:tc>
        <w:tc>
          <w:tcPr>
            <w:tcW w:w="0" w:type="auto"/>
            <w:hideMark/>
          </w:tcPr>
          <w:p w14:paraId="5D450A0C" w14:textId="44CBC51A" w:rsidR="002C0389" w:rsidRPr="006C7965" w:rsidRDefault="002C0389" w:rsidP="002C0389">
            <w:r w:rsidRPr="006C7965">
              <w:t>0.28*</w:t>
            </w:r>
            <w:r>
              <w:t xml:space="preserve"> </w:t>
            </w:r>
            <w:r w:rsidRPr="006C7965">
              <w:t>(1.68)</w:t>
            </w:r>
          </w:p>
        </w:tc>
        <w:tc>
          <w:tcPr>
            <w:tcW w:w="0" w:type="auto"/>
            <w:hideMark/>
          </w:tcPr>
          <w:p w14:paraId="3C9F474D" w14:textId="156FC907" w:rsidR="002C0389" w:rsidRPr="006C7965" w:rsidRDefault="002C0389" w:rsidP="002C0389">
            <w:r w:rsidRPr="006C7965">
              <w:t>0.15</w:t>
            </w:r>
            <w:r>
              <w:t xml:space="preserve"> </w:t>
            </w:r>
            <w:r w:rsidRPr="006C7965">
              <w:t>(0.70)</w:t>
            </w:r>
          </w:p>
        </w:tc>
      </w:tr>
      <w:tr w:rsidR="002C0389" w:rsidRPr="006C7965" w14:paraId="4B6C0BEA" w14:textId="77777777" w:rsidTr="000D7196">
        <w:trPr>
          <w:trHeight w:val="288"/>
        </w:trPr>
        <w:tc>
          <w:tcPr>
            <w:tcW w:w="0" w:type="auto"/>
            <w:hideMark/>
          </w:tcPr>
          <w:p w14:paraId="3A0CBB83" w14:textId="77777777" w:rsidR="002C0389" w:rsidRPr="006C7965" w:rsidRDefault="002C0389" w:rsidP="006C7965">
            <w:proofErr w:type="spellStart"/>
            <w:r w:rsidRPr="006C7965">
              <w:t>Chg</w:t>
            </w:r>
            <w:proofErr w:type="spellEnd"/>
            <w:r w:rsidRPr="006C7965">
              <w:t xml:space="preserve"> fund balance govt funds</w:t>
            </w:r>
          </w:p>
        </w:tc>
        <w:tc>
          <w:tcPr>
            <w:tcW w:w="0" w:type="auto"/>
            <w:hideMark/>
          </w:tcPr>
          <w:p w14:paraId="15826EED" w14:textId="0150D804" w:rsidR="002C0389" w:rsidRPr="006C7965" w:rsidRDefault="002C0389" w:rsidP="002C0389">
            <w:r w:rsidRPr="006C7965">
              <w:t>0.16</w:t>
            </w:r>
            <w:r>
              <w:t xml:space="preserve"> </w:t>
            </w:r>
            <w:r w:rsidRPr="006C7965">
              <w:t>(1.36)</w:t>
            </w:r>
          </w:p>
        </w:tc>
        <w:tc>
          <w:tcPr>
            <w:tcW w:w="0" w:type="auto"/>
            <w:hideMark/>
          </w:tcPr>
          <w:p w14:paraId="47E647E0" w14:textId="5613D647" w:rsidR="002C0389" w:rsidRPr="006C7965" w:rsidRDefault="002C0389" w:rsidP="002C0389">
            <w:r w:rsidRPr="006C7965">
              <w:t>0.03</w:t>
            </w:r>
            <w:r>
              <w:t xml:space="preserve"> </w:t>
            </w:r>
            <w:r w:rsidRPr="006C7965">
              <w:t>(0.26)</w:t>
            </w:r>
          </w:p>
        </w:tc>
        <w:tc>
          <w:tcPr>
            <w:tcW w:w="0" w:type="auto"/>
            <w:hideMark/>
          </w:tcPr>
          <w:p w14:paraId="686024AE" w14:textId="1E50CA02" w:rsidR="002C0389" w:rsidRPr="006C7965" w:rsidRDefault="002C0389" w:rsidP="002C0389">
            <w:r w:rsidRPr="006C7965">
              <w:t>0.32</w:t>
            </w:r>
            <w:r>
              <w:t xml:space="preserve"> </w:t>
            </w:r>
            <w:r w:rsidRPr="006C7965">
              <w:t>(1.32)</w:t>
            </w:r>
          </w:p>
        </w:tc>
      </w:tr>
      <w:tr w:rsidR="002C0389" w:rsidRPr="006C7965" w14:paraId="6FBC7A0E" w14:textId="77777777" w:rsidTr="000D7196">
        <w:trPr>
          <w:trHeight w:val="288"/>
        </w:trPr>
        <w:tc>
          <w:tcPr>
            <w:tcW w:w="0" w:type="auto"/>
            <w:hideMark/>
          </w:tcPr>
          <w:p w14:paraId="68BB88E9" w14:textId="77777777" w:rsidR="002C0389" w:rsidRPr="006C7965" w:rsidRDefault="002C0389" w:rsidP="006C7965">
            <w:r w:rsidRPr="006C7965">
              <w:t>ICW index</w:t>
            </w:r>
          </w:p>
        </w:tc>
        <w:tc>
          <w:tcPr>
            <w:tcW w:w="0" w:type="auto"/>
            <w:hideMark/>
          </w:tcPr>
          <w:p w14:paraId="7D803852" w14:textId="2C8F0F42" w:rsidR="002C0389" w:rsidRPr="006C7965" w:rsidRDefault="002C0389" w:rsidP="000D7196">
            <w:r w:rsidRPr="006C7965">
              <w:t>0.01</w:t>
            </w:r>
            <w:r w:rsidR="000D7196">
              <w:t xml:space="preserve"> </w:t>
            </w:r>
            <w:r w:rsidRPr="006C7965">
              <w:t>(0.58)</w:t>
            </w:r>
          </w:p>
        </w:tc>
        <w:tc>
          <w:tcPr>
            <w:tcW w:w="0" w:type="auto"/>
            <w:hideMark/>
          </w:tcPr>
          <w:p w14:paraId="3AFD8E49" w14:textId="32ED5CB7" w:rsidR="002C0389" w:rsidRPr="006C7965" w:rsidRDefault="002C0389" w:rsidP="000D7196">
            <w:r w:rsidRPr="006C7965">
              <w:t>0.04</w:t>
            </w:r>
            <w:r w:rsidR="000D7196">
              <w:t xml:space="preserve"> </w:t>
            </w:r>
            <w:r w:rsidRPr="006C7965">
              <w:t>(1.61)</w:t>
            </w:r>
          </w:p>
        </w:tc>
        <w:tc>
          <w:tcPr>
            <w:tcW w:w="0" w:type="auto"/>
            <w:hideMark/>
          </w:tcPr>
          <w:p w14:paraId="2C4860F6" w14:textId="5FB7828F" w:rsidR="002C0389" w:rsidRPr="006C7965" w:rsidRDefault="002C0389" w:rsidP="002C0389">
            <w:r w:rsidRPr="006C7965">
              <w:t>−0.05</w:t>
            </w:r>
            <w:r>
              <w:t xml:space="preserve"> </w:t>
            </w:r>
            <w:r w:rsidRPr="006C7965">
              <w:t>(−1.13)</w:t>
            </w:r>
          </w:p>
        </w:tc>
      </w:tr>
      <w:tr w:rsidR="002C0389" w:rsidRPr="006C7965" w14:paraId="2EB987E4" w14:textId="77777777" w:rsidTr="000D7196">
        <w:trPr>
          <w:trHeight w:val="288"/>
        </w:trPr>
        <w:tc>
          <w:tcPr>
            <w:tcW w:w="0" w:type="auto"/>
            <w:hideMark/>
          </w:tcPr>
          <w:p w14:paraId="1ABD9794" w14:textId="77777777" w:rsidR="002C0389" w:rsidRPr="006C7965" w:rsidRDefault="002C0389" w:rsidP="006C7965">
            <w:r w:rsidRPr="006C7965">
              <w:t>GAAP</w:t>
            </w:r>
          </w:p>
        </w:tc>
        <w:tc>
          <w:tcPr>
            <w:tcW w:w="0" w:type="auto"/>
            <w:hideMark/>
          </w:tcPr>
          <w:p w14:paraId="766CD976" w14:textId="52C80A48" w:rsidR="002C0389" w:rsidRPr="006C7965" w:rsidRDefault="002C0389" w:rsidP="000D7196">
            <w:r w:rsidRPr="006C7965">
              <w:t>0.02</w:t>
            </w:r>
            <w:r w:rsidR="000D7196">
              <w:t xml:space="preserve"> </w:t>
            </w:r>
            <w:r w:rsidRPr="006C7965">
              <w:t>(0.40)</w:t>
            </w:r>
          </w:p>
        </w:tc>
        <w:tc>
          <w:tcPr>
            <w:tcW w:w="0" w:type="auto"/>
            <w:hideMark/>
          </w:tcPr>
          <w:p w14:paraId="48DF75C2" w14:textId="66A0BBB3" w:rsidR="002C0389" w:rsidRPr="006C7965" w:rsidRDefault="002C0389" w:rsidP="000D7196">
            <w:r w:rsidRPr="006C7965">
              <w:t>0.05</w:t>
            </w:r>
            <w:r w:rsidR="000D7196">
              <w:t xml:space="preserve"> </w:t>
            </w:r>
            <w:r w:rsidRPr="006C7965">
              <w:t>(0.65)</w:t>
            </w:r>
          </w:p>
        </w:tc>
        <w:tc>
          <w:tcPr>
            <w:tcW w:w="0" w:type="auto"/>
            <w:hideMark/>
          </w:tcPr>
          <w:p w14:paraId="3FB570EA" w14:textId="0674058F" w:rsidR="002C0389" w:rsidRPr="006C7965" w:rsidRDefault="002C0389" w:rsidP="000D7196">
            <w:r w:rsidRPr="006C7965">
              <w:t>−0.08</w:t>
            </w:r>
            <w:r w:rsidR="000D7196">
              <w:t xml:space="preserve"> </w:t>
            </w:r>
            <w:r w:rsidRPr="006C7965">
              <w:t>(−0.84)</w:t>
            </w:r>
          </w:p>
        </w:tc>
      </w:tr>
      <w:tr w:rsidR="002C0389" w:rsidRPr="006C7965" w14:paraId="06DE921B" w14:textId="77777777" w:rsidTr="000D7196">
        <w:trPr>
          <w:trHeight w:val="288"/>
        </w:trPr>
        <w:tc>
          <w:tcPr>
            <w:tcW w:w="0" w:type="auto"/>
            <w:hideMark/>
          </w:tcPr>
          <w:p w14:paraId="44FE905C" w14:textId="77777777" w:rsidR="002C0389" w:rsidRPr="006C7965" w:rsidRDefault="002C0389" w:rsidP="006C7965">
            <w:r w:rsidRPr="006C7965">
              <w:t>Intercept</w:t>
            </w:r>
          </w:p>
        </w:tc>
        <w:tc>
          <w:tcPr>
            <w:tcW w:w="0" w:type="auto"/>
            <w:hideMark/>
          </w:tcPr>
          <w:p w14:paraId="74F4F2A9" w14:textId="665086E2" w:rsidR="002C0389" w:rsidRPr="006C7965" w:rsidRDefault="002C0389" w:rsidP="000D7196">
            <w:r w:rsidRPr="006C7965">
              <w:t>−6.18***</w:t>
            </w:r>
            <w:r w:rsidR="000D7196">
              <w:t xml:space="preserve"> </w:t>
            </w:r>
            <w:r w:rsidRPr="006C7965">
              <w:t>(−3.39)</w:t>
            </w:r>
          </w:p>
        </w:tc>
        <w:tc>
          <w:tcPr>
            <w:tcW w:w="0" w:type="auto"/>
            <w:hideMark/>
          </w:tcPr>
          <w:p w14:paraId="740E240B" w14:textId="206FB6F1" w:rsidR="002C0389" w:rsidRPr="006C7965" w:rsidRDefault="002C0389" w:rsidP="000D7196">
            <w:r w:rsidRPr="006C7965">
              <w:t>−9.77***</w:t>
            </w:r>
            <w:r w:rsidR="000D7196">
              <w:t xml:space="preserve"> </w:t>
            </w:r>
            <w:r w:rsidRPr="006C7965">
              <w:t>(−5.90)</w:t>
            </w:r>
          </w:p>
        </w:tc>
        <w:tc>
          <w:tcPr>
            <w:tcW w:w="0" w:type="auto"/>
            <w:hideMark/>
          </w:tcPr>
          <w:p w14:paraId="5D89B481" w14:textId="724F0339" w:rsidR="002C0389" w:rsidRPr="006C7965" w:rsidRDefault="002C0389" w:rsidP="000D7196">
            <w:r w:rsidRPr="006C7965">
              <w:t>−2.29</w:t>
            </w:r>
            <w:r w:rsidR="000D7196">
              <w:t xml:space="preserve"> </w:t>
            </w:r>
            <w:r w:rsidRPr="006C7965">
              <w:t>(−0.90)</w:t>
            </w:r>
          </w:p>
        </w:tc>
      </w:tr>
      <w:tr w:rsidR="006C7965" w:rsidRPr="006C7965" w14:paraId="00766A7E" w14:textId="77777777" w:rsidTr="000D7196">
        <w:trPr>
          <w:trHeight w:val="288"/>
        </w:trPr>
        <w:tc>
          <w:tcPr>
            <w:tcW w:w="0" w:type="auto"/>
            <w:hideMark/>
          </w:tcPr>
          <w:p w14:paraId="7D9F9A96" w14:textId="77777777" w:rsidR="006C7965" w:rsidRPr="006C7965" w:rsidRDefault="006C7965" w:rsidP="006C7965">
            <w:r w:rsidRPr="006C7965">
              <w:t>Number of observations</w:t>
            </w:r>
          </w:p>
        </w:tc>
        <w:tc>
          <w:tcPr>
            <w:tcW w:w="0" w:type="auto"/>
            <w:hideMark/>
          </w:tcPr>
          <w:p w14:paraId="6EFA5AC9" w14:textId="77777777" w:rsidR="006C7965" w:rsidRPr="006C7965" w:rsidRDefault="006C7965" w:rsidP="006C7965">
            <w:r w:rsidRPr="006C7965">
              <w:t>446</w:t>
            </w:r>
          </w:p>
        </w:tc>
        <w:tc>
          <w:tcPr>
            <w:tcW w:w="0" w:type="auto"/>
            <w:hideMark/>
          </w:tcPr>
          <w:p w14:paraId="1579B93F" w14:textId="77777777" w:rsidR="006C7965" w:rsidRPr="006C7965" w:rsidRDefault="006C7965" w:rsidP="006C7965">
            <w:r w:rsidRPr="006C7965">
              <w:t>267</w:t>
            </w:r>
          </w:p>
        </w:tc>
        <w:tc>
          <w:tcPr>
            <w:tcW w:w="0" w:type="auto"/>
            <w:hideMark/>
          </w:tcPr>
          <w:p w14:paraId="79C472D6" w14:textId="77777777" w:rsidR="006C7965" w:rsidRPr="006C7965" w:rsidRDefault="006C7965" w:rsidP="006C7965">
            <w:r w:rsidRPr="006C7965">
              <w:t>179</w:t>
            </w:r>
          </w:p>
        </w:tc>
      </w:tr>
      <w:tr w:rsidR="006C7965" w:rsidRPr="006C7965" w14:paraId="0ED295DC" w14:textId="77777777" w:rsidTr="000D7196">
        <w:trPr>
          <w:trHeight w:val="288"/>
        </w:trPr>
        <w:tc>
          <w:tcPr>
            <w:tcW w:w="0" w:type="auto"/>
            <w:hideMark/>
          </w:tcPr>
          <w:p w14:paraId="59E002DE" w14:textId="77777777" w:rsidR="006C7965" w:rsidRPr="006C7965" w:rsidRDefault="006C7965" w:rsidP="006C7965">
            <w:r w:rsidRPr="006C7965">
              <w:t>Adjusted </w:t>
            </w:r>
            <w:r w:rsidRPr="006C7965">
              <w:rPr>
                <w:i/>
                <w:iCs/>
              </w:rPr>
              <w:t>R</w:t>
            </w:r>
            <w:r w:rsidRPr="006C7965">
              <w:t>-squared</w:t>
            </w:r>
          </w:p>
        </w:tc>
        <w:tc>
          <w:tcPr>
            <w:tcW w:w="0" w:type="auto"/>
            <w:hideMark/>
          </w:tcPr>
          <w:p w14:paraId="01DAE71B" w14:textId="77777777" w:rsidR="006C7965" w:rsidRPr="006C7965" w:rsidRDefault="006C7965" w:rsidP="006C7965">
            <w:r w:rsidRPr="006C7965">
              <w:t>0.66</w:t>
            </w:r>
          </w:p>
        </w:tc>
        <w:tc>
          <w:tcPr>
            <w:tcW w:w="0" w:type="auto"/>
            <w:hideMark/>
          </w:tcPr>
          <w:p w14:paraId="45E09754" w14:textId="77777777" w:rsidR="006C7965" w:rsidRPr="006C7965" w:rsidRDefault="006C7965" w:rsidP="006C7965">
            <w:r w:rsidRPr="006C7965">
              <w:t>0.53</w:t>
            </w:r>
          </w:p>
        </w:tc>
        <w:tc>
          <w:tcPr>
            <w:tcW w:w="0" w:type="auto"/>
            <w:hideMark/>
          </w:tcPr>
          <w:p w14:paraId="541A44EA" w14:textId="77777777" w:rsidR="006C7965" w:rsidRPr="006C7965" w:rsidRDefault="006C7965" w:rsidP="006C7965">
            <w:r w:rsidRPr="006C7965">
              <w:t>0.52</w:t>
            </w:r>
          </w:p>
        </w:tc>
      </w:tr>
    </w:tbl>
    <w:p w14:paraId="3FCBCC06" w14:textId="632DDCD9" w:rsidR="006C7965" w:rsidRPr="006C7965" w:rsidRDefault="006C7965" w:rsidP="000D7196">
      <w:pPr>
        <w:pStyle w:val="NoSpacing"/>
      </w:pPr>
      <w:r w:rsidRPr="006C7965">
        <w:rPr>
          <w:b/>
          <w:bCs/>
        </w:rPr>
        <w:t>Note(s):</w:t>
      </w:r>
      <w:r w:rsidRPr="006C7965">
        <w:t> *, ** and *** indicate significance at </w:t>
      </w:r>
      <w:r w:rsidRPr="006C7965">
        <w:rPr>
          <w:i/>
          <w:iCs/>
        </w:rPr>
        <w:t>p</w:t>
      </w:r>
      <w:r w:rsidRPr="006C7965">
        <w:t> &lt; 0.10, 0.05 and 01; robust t-statistics are reported in parentheses, with standard errors clustered by municipality following procedures outlined by </w:t>
      </w:r>
      <w:r w:rsidRPr="007A181E">
        <w:t>Rogers (1993)</w:t>
      </w:r>
      <w:r w:rsidRPr="006C7965">
        <w:t xml:space="preserve">. Year-fixed effects are included but not </w:t>
      </w:r>
      <w:proofErr w:type="gramStart"/>
      <w:r w:rsidRPr="006C7965">
        <w:t>reported</w:t>
      </w:r>
      <w:proofErr w:type="gramEnd"/>
    </w:p>
    <w:p w14:paraId="30EFCCE2" w14:textId="77777777" w:rsidR="000D7196" w:rsidRDefault="000D7196" w:rsidP="006C7965"/>
    <w:p w14:paraId="085ED760" w14:textId="3163FD09" w:rsidR="006C7965" w:rsidRPr="006C7965" w:rsidRDefault="006C7965" w:rsidP="006C7965">
      <w:r w:rsidRPr="006C7965">
        <w:t>This table presents OLS regression estimates based on </w:t>
      </w:r>
      <w:r w:rsidRPr="007A181E">
        <w:t>Equation (1)</w:t>
      </w:r>
      <w:r w:rsidRPr="006C7965">
        <w:t>, where the dependent variable is true interest cost (</w:t>
      </w:r>
      <w:r w:rsidRPr="006C7965">
        <w:rPr>
          <w:i/>
          <w:iCs/>
        </w:rPr>
        <w:t>TIC</w:t>
      </w:r>
      <w:r w:rsidRPr="006C7965">
        <w:t>), which is computed as the discount rate that equates the present value of the bond principal and interest payments with proceeds. All variables are defined in </w:t>
      </w:r>
      <w:r w:rsidRPr="007A181E">
        <w:t>Table 2</w:t>
      </w:r>
      <w:r w:rsidRPr="006C7965">
        <w:t>, except for </w:t>
      </w:r>
      <w:r w:rsidRPr="006C7965">
        <w:rPr>
          <w:i/>
          <w:iCs/>
        </w:rPr>
        <w:t>population</w:t>
      </w:r>
      <w:r w:rsidRPr="006C7965">
        <w:t> and </w:t>
      </w:r>
      <w:r w:rsidRPr="006C7965">
        <w:rPr>
          <w:i/>
          <w:iCs/>
        </w:rPr>
        <w:t>median income</w:t>
      </w:r>
      <w:r w:rsidRPr="006C7965">
        <w:t xml:space="preserve">, which are included at logged </w:t>
      </w:r>
      <w:proofErr w:type="gramStart"/>
      <w:r w:rsidRPr="006C7965">
        <w:t>values</w:t>
      </w:r>
      <w:proofErr w:type="gramEnd"/>
    </w:p>
    <w:p w14:paraId="7C6C5893" w14:textId="0C862D34" w:rsidR="006C7965" w:rsidRPr="006C7965" w:rsidRDefault="006C7965" w:rsidP="000D7196">
      <w:pPr>
        <w:spacing w:after="0"/>
      </w:pPr>
      <w:r w:rsidRPr="006C7965">
        <w:t>Table 5</w:t>
      </w:r>
      <w:r w:rsidR="000D7196">
        <w:t xml:space="preserve"> </w:t>
      </w:r>
      <w:r w:rsidRPr="006C7965">
        <w:t>Descriptive statistics for bond rating difference analysis</w:t>
      </w:r>
    </w:p>
    <w:tbl>
      <w:tblPr>
        <w:tblStyle w:val="TableGrid"/>
        <w:tblW w:w="0" w:type="auto"/>
        <w:tblLook w:val="04A0" w:firstRow="1" w:lastRow="0" w:firstColumn="1" w:lastColumn="0" w:noHBand="0" w:noVBand="1"/>
      </w:tblPr>
      <w:tblGrid>
        <w:gridCol w:w="2330"/>
        <w:gridCol w:w="941"/>
        <w:gridCol w:w="941"/>
        <w:gridCol w:w="956"/>
        <w:gridCol w:w="830"/>
        <w:gridCol w:w="941"/>
      </w:tblGrid>
      <w:tr w:rsidR="006C7965" w:rsidRPr="006C7965" w14:paraId="2CD1C9E3" w14:textId="77777777" w:rsidTr="000D7196">
        <w:tc>
          <w:tcPr>
            <w:tcW w:w="0" w:type="auto"/>
            <w:hideMark/>
          </w:tcPr>
          <w:p w14:paraId="638F0320" w14:textId="77777777" w:rsidR="006C7965" w:rsidRPr="006C7965" w:rsidRDefault="006C7965" w:rsidP="006C7965"/>
        </w:tc>
        <w:tc>
          <w:tcPr>
            <w:tcW w:w="0" w:type="auto"/>
            <w:hideMark/>
          </w:tcPr>
          <w:p w14:paraId="0077C90E" w14:textId="77777777" w:rsidR="006C7965" w:rsidRPr="006C7965" w:rsidRDefault="006C7965" w:rsidP="006C7965">
            <w:pPr>
              <w:rPr>
                <w:b/>
                <w:bCs/>
              </w:rPr>
            </w:pPr>
            <w:r w:rsidRPr="006C7965">
              <w:rPr>
                <w:b/>
                <w:bCs/>
              </w:rPr>
              <w:t>Mean</w:t>
            </w:r>
          </w:p>
        </w:tc>
        <w:tc>
          <w:tcPr>
            <w:tcW w:w="0" w:type="auto"/>
            <w:hideMark/>
          </w:tcPr>
          <w:p w14:paraId="0E68DD2E" w14:textId="77777777" w:rsidR="006C7965" w:rsidRPr="006C7965" w:rsidRDefault="006C7965" w:rsidP="006C7965">
            <w:pPr>
              <w:rPr>
                <w:b/>
                <w:bCs/>
              </w:rPr>
            </w:pPr>
            <w:r w:rsidRPr="006C7965">
              <w:rPr>
                <w:b/>
                <w:bCs/>
              </w:rPr>
              <w:t>Median</w:t>
            </w:r>
          </w:p>
        </w:tc>
        <w:tc>
          <w:tcPr>
            <w:tcW w:w="0" w:type="auto"/>
            <w:hideMark/>
          </w:tcPr>
          <w:p w14:paraId="67F9DEF0" w14:textId="77777777" w:rsidR="006C7965" w:rsidRPr="006C7965" w:rsidRDefault="006C7965" w:rsidP="006C7965">
            <w:pPr>
              <w:rPr>
                <w:b/>
                <w:bCs/>
              </w:rPr>
            </w:pPr>
            <w:r w:rsidRPr="006C7965">
              <w:rPr>
                <w:b/>
                <w:bCs/>
              </w:rPr>
              <w:t>Std. dev</w:t>
            </w:r>
          </w:p>
        </w:tc>
        <w:tc>
          <w:tcPr>
            <w:tcW w:w="0" w:type="auto"/>
            <w:hideMark/>
          </w:tcPr>
          <w:p w14:paraId="77EA8F7D" w14:textId="77777777" w:rsidR="006C7965" w:rsidRPr="006C7965" w:rsidRDefault="006C7965" w:rsidP="006C7965">
            <w:pPr>
              <w:rPr>
                <w:b/>
                <w:bCs/>
              </w:rPr>
            </w:pPr>
            <w:r w:rsidRPr="006C7965">
              <w:rPr>
                <w:b/>
                <w:bCs/>
              </w:rPr>
              <w:t>Min</w:t>
            </w:r>
          </w:p>
        </w:tc>
        <w:tc>
          <w:tcPr>
            <w:tcW w:w="0" w:type="auto"/>
            <w:hideMark/>
          </w:tcPr>
          <w:p w14:paraId="7C8F9EF3" w14:textId="77777777" w:rsidR="006C7965" w:rsidRPr="006C7965" w:rsidRDefault="006C7965" w:rsidP="006C7965">
            <w:pPr>
              <w:rPr>
                <w:b/>
                <w:bCs/>
              </w:rPr>
            </w:pPr>
            <w:r w:rsidRPr="006C7965">
              <w:rPr>
                <w:b/>
                <w:bCs/>
              </w:rPr>
              <w:t>Max</w:t>
            </w:r>
          </w:p>
        </w:tc>
      </w:tr>
      <w:tr w:rsidR="006C7965" w:rsidRPr="006C7965" w14:paraId="67F9DB9F" w14:textId="77777777" w:rsidTr="000D7196">
        <w:tc>
          <w:tcPr>
            <w:tcW w:w="0" w:type="auto"/>
            <w:hideMark/>
          </w:tcPr>
          <w:p w14:paraId="073ADBD1" w14:textId="77777777" w:rsidR="006C7965" w:rsidRPr="006C7965" w:rsidRDefault="006C7965" w:rsidP="006C7965">
            <w:r w:rsidRPr="006C7965">
              <w:t>Rating split</w:t>
            </w:r>
          </w:p>
        </w:tc>
        <w:tc>
          <w:tcPr>
            <w:tcW w:w="0" w:type="auto"/>
            <w:hideMark/>
          </w:tcPr>
          <w:p w14:paraId="780F85F0" w14:textId="77777777" w:rsidR="006C7965" w:rsidRPr="006C7965" w:rsidRDefault="006C7965" w:rsidP="006C7965">
            <w:r w:rsidRPr="006C7965">
              <w:t>0.530</w:t>
            </w:r>
          </w:p>
        </w:tc>
        <w:tc>
          <w:tcPr>
            <w:tcW w:w="0" w:type="auto"/>
            <w:hideMark/>
          </w:tcPr>
          <w:p w14:paraId="06923E0E" w14:textId="77777777" w:rsidR="006C7965" w:rsidRPr="006C7965" w:rsidRDefault="006C7965" w:rsidP="006C7965">
            <w:r w:rsidRPr="006C7965">
              <w:t>1.000</w:t>
            </w:r>
          </w:p>
        </w:tc>
        <w:tc>
          <w:tcPr>
            <w:tcW w:w="0" w:type="auto"/>
            <w:hideMark/>
          </w:tcPr>
          <w:p w14:paraId="336347EC" w14:textId="77777777" w:rsidR="006C7965" w:rsidRPr="006C7965" w:rsidRDefault="006C7965" w:rsidP="006C7965">
            <w:r w:rsidRPr="006C7965">
              <w:t>0.500</w:t>
            </w:r>
          </w:p>
        </w:tc>
        <w:tc>
          <w:tcPr>
            <w:tcW w:w="0" w:type="auto"/>
            <w:hideMark/>
          </w:tcPr>
          <w:p w14:paraId="02CB025A" w14:textId="77777777" w:rsidR="006C7965" w:rsidRPr="006C7965" w:rsidRDefault="006C7965" w:rsidP="006C7965">
            <w:r w:rsidRPr="006C7965">
              <w:t>0.000</w:t>
            </w:r>
          </w:p>
        </w:tc>
        <w:tc>
          <w:tcPr>
            <w:tcW w:w="0" w:type="auto"/>
            <w:hideMark/>
          </w:tcPr>
          <w:p w14:paraId="4125F376" w14:textId="77777777" w:rsidR="006C7965" w:rsidRPr="006C7965" w:rsidRDefault="006C7965" w:rsidP="006C7965">
            <w:r w:rsidRPr="006C7965">
              <w:t>1.000</w:t>
            </w:r>
          </w:p>
        </w:tc>
      </w:tr>
      <w:tr w:rsidR="006C7965" w:rsidRPr="006C7965" w14:paraId="10FE8C08" w14:textId="77777777" w:rsidTr="000D7196">
        <w:tc>
          <w:tcPr>
            <w:tcW w:w="0" w:type="auto"/>
            <w:hideMark/>
          </w:tcPr>
          <w:p w14:paraId="776B46DD" w14:textId="77777777" w:rsidR="006C7965" w:rsidRPr="006C7965" w:rsidRDefault="006C7965" w:rsidP="006C7965">
            <w:r w:rsidRPr="006C7965">
              <w:t>Positive</w:t>
            </w:r>
          </w:p>
        </w:tc>
        <w:tc>
          <w:tcPr>
            <w:tcW w:w="0" w:type="auto"/>
            <w:hideMark/>
          </w:tcPr>
          <w:p w14:paraId="698A7FE6" w14:textId="77777777" w:rsidR="006C7965" w:rsidRPr="006C7965" w:rsidRDefault="006C7965" w:rsidP="006C7965">
            <w:r w:rsidRPr="006C7965">
              <w:t>0.563</w:t>
            </w:r>
          </w:p>
        </w:tc>
        <w:tc>
          <w:tcPr>
            <w:tcW w:w="0" w:type="auto"/>
            <w:hideMark/>
          </w:tcPr>
          <w:p w14:paraId="01597EE3" w14:textId="77777777" w:rsidR="006C7965" w:rsidRPr="006C7965" w:rsidRDefault="006C7965" w:rsidP="006C7965">
            <w:r w:rsidRPr="006C7965">
              <w:t>0.580</w:t>
            </w:r>
          </w:p>
        </w:tc>
        <w:tc>
          <w:tcPr>
            <w:tcW w:w="0" w:type="auto"/>
            <w:hideMark/>
          </w:tcPr>
          <w:p w14:paraId="61658642" w14:textId="77777777" w:rsidR="006C7965" w:rsidRPr="006C7965" w:rsidRDefault="006C7965" w:rsidP="006C7965">
            <w:r w:rsidRPr="006C7965">
              <w:t>0.152</w:t>
            </w:r>
          </w:p>
        </w:tc>
        <w:tc>
          <w:tcPr>
            <w:tcW w:w="0" w:type="auto"/>
            <w:hideMark/>
          </w:tcPr>
          <w:p w14:paraId="0EDC69DF" w14:textId="77777777" w:rsidR="006C7965" w:rsidRPr="006C7965" w:rsidRDefault="006C7965" w:rsidP="006C7965">
            <w:r w:rsidRPr="006C7965">
              <w:t>0.220</w:t>
            </w:r>
          </w:p>
        </w:tc>
        <w:tc>
          <w:tcPr>
            <w:tcW w:w="0" w:type="auto"/>
            <w:hideMark/>
          </w:tcPr>
          <w:p w14:paraId="38D6516D" w14:textId="77777777" w:rsidR="006C7965" w:rsidRPr="006C7965" w:rsidRDefault="006C7965" w:rsidP="006C7965">
            <w:r w:rsidRPr="006C7965">
              <w:t>0.990</w:t>
            </w:r>
          </w:p>
        </w:tc>
      </w:tr>
      <w:tr w:rsidR="006C7965" w:rsidRPr="006C7965" w14:paraId="42B0A46F" w14:textId="77777777" w:rsidTr="000D7196">
        <w:tc>
          <w:tcPr>
            <w:tcW w:w="0" w:type="auto"/>
            <w:hideMark/>
          </w:tcPr>
          <w:p w14:paraId="104EC2AF" w14:textId="77777777" w:rsidR="006C7965" w:rsidRPr="006C7965" w:rsidRDefault="006C7965" w:rsidP="006C7965">
            <w:r w:rsidRPr="006C7965">
              <w:t>Negative</w:t>
            </w:r>
          </w:p>
        </w:tc>
        <w:tc>
          <w:tcPr>
            <w:tcW w:w="0" w:type="auto"/>
            <w:hideMark/>
          </w:tcPr>
          <w:p w14:paraId="388F7AC2" w14:textId="77777777" w:rsidR="006C7965" w:rsidRPr="006C7965" w:rsidRDefault="006C7965" w:rsidP="006C7965">
            <w:r w:rsidRPr="006C7965">
              <w:t>0.359</w:t>
            </w:r>
          </w:p>
        </w:tc>
        <w:tc>
          <w:tcPr>
            <w:tcW w:w="0" w:type="auto"/>
            <w:hideMark/>
          </w:tcPr>
          <w:p w14:paraId="73652D61" w14:textId="77777777" w:rsidR="006C7965" w:rsidRPr="006C7965" w:rsidRDefault="006C7965" w:rsidP="006C7965">
            <w:r w:rsidRPr="006C7965">
              <w:t>0.330</w:t>
            </w:r>
          </w:p>
        </w:tc>
        <w:tc>
          <w:tcPr>
            <w:tcW w:w="0" w:type="auto"/>
            <w:hideMark/>
          </w:tcPr>
          <w:p w14:paraId="0B8AD854" w14:textId="77777777" w:rsidR="006C7965" w:rsidRPr="006C7965" w:rsidRDefault="006C7965" w:rsidP="006C7965">
            <w:r w:rsidRPr="006C7965">
              <w:t>0.149</w:t>
            </w:r>
          </w:p>
        </w:tc>
        <w:tc>
          <w:tcPr>
            <w:tcW w:w="0" w:type="auto"/>
            <w:hideMark/>
          </w:tcPr>
          <w:p w14:paraId="6899CC2E" w14:textId="77777777" w:rsidR="006C7965" w:rsidRPr="006C7965" w:rsidRDefault="006C7965" w:rsidP="006C7965">
            <w:r w:rsidRPr="006C7965">
              <w:t>0.110</w:t>
            </w:r>
          </w:p>
        </w:tc>
        <w:tc>
          <w:tcPr>
            <w:tcW w:w="0" w:type="auto"/>
            <w:hideMark/>
          </w:tcPr>
          <w:p w14:paraId="6F3AED5B" w14:textId="77777777" w:rsidR="006C7965" w:rsidRPr="006C7965" w:rsidRDefault="006C7965" w:rsidP="006C7965">
            <w:r w:rsidRPr="006C7965">
              <w:t>0.950</w:t>
            </w:r>
          </w:p>
        </w:tc>
      </w:tr>
      <w:tr w:rsidR="006C7965" w:rsidRPr="006C7965" w14:paraId="79F08EC9" w14:textId="77777777" w:rsidTr="000D7196">
        <w:tc>
          <w:tcPr>
            <w:tcW w:w="0" w:type="auto"/>
            <w:hideMark/>
          </w:tcPr>
          <w:p w14:paraId="0DA11137" w14:textId="77777777" w:rsidR="006C7965" w:rsidRPr="006C7965" w:rsidRDefault="006C7965" w:rsidP="006C7965">
            <w:r w:rsidRPr="006C7965">
              <w:t>Go bond</w:t>
            </w:r>
          </w:p>
        </w:tc>
        <w:tc>
          <w:tcPr>
            <w:tcW w:w="0" w:type="auto"/>
            <w:hideMark/>
          </w:tcPr>
          <w:p w14:paraId="771E2B1E" w14:textId="77777777" w:rsidR="006C7965" w:rsidRPr="006C7965" w:rsidRDefault="006C7965" w:rsidP="006C7965">
            <w:r w:rsidRPr="006C7965">
              <w:t>0.571</w:t>
            </w:r>
          </w:p>
        </w:tc>
        <w:tc>
          <w:tcPr>
            <w:tcW w:w="0" w:type="auto"/>
            <w:hideMark/>
          </w:tcPr>
          <w:p w14:paraId="5B690A51" w14:textId="77777777" w:rsidR="006C7965" w:rsidRPr="006C7965" w:rsidRDefault="006C7965" w:rsidP="006C7965">
            <w:r w:rsidRPr="006C7965">
              <w:t>1.000</w:t>
            </w:r>
          </w:p>
        </w:tc>
        <w:tc>
          <w:tcPr>
            <w:tcW w:w="0" w:type="auto"/>
            <w:hideMark/>
          </w:tcPr>
          <w:p w14:paraId="67BDBF55" w14:textId="77777777" w:rsidR="006C7965" w:rsidRPr="006C7965" w:rsidRDefault="006C7965" w:rsidP="006C7965">
            <w:r w:rsidRPr="006C7965">
              <w:t>0.495</w:t>
            </w:r>
          </w:p>
        </w:tc>
        <w:tc>
          <w:tcPr>
            <w:tcW w:w="0" w:type="auto"/>
            <w:hideMark/>
          </w:tcPr>
          <w:p w14:paraId="75620E05" w14:textId="77777777" w:rsidR="006C7965" w:rsidRPr="006C7965" w:rsidRDefault="006C7965" w:rsidP="006C7965">
            <w:r w:rsidRPr="006C7965">
              <w:t>0.000</w:t>
            </w:r>
          </w:p>
        </w:tc>
        <w:tc>
          <w:tcPr>
            <w:tcW w:w="0" w:type="auto"/>
            <w:hideMark/>
          </w:tcPr>
          <w:p w14:paraId="4DC0D678" w14:textId="77777777" w:rsidR="006C7965" w:rsidRPr="006C7965" w:rsidRDefault="006C7965" w:rsidP="006C7965">
            <w:r w:rsidRPr="006C7965">
              <w:t>1.000</w:t>
            </w:r>
          </w:p>
        </w:tc>
      </w:tr>
      <w:tr w:rsidR="006C7965" w:rsidRPr="006C7965" w14:paraId="68DFA547" w14:textId="77777777" w:rsidTr="000D7196">
        <w:tc>
          <w:tcPr>
            <w:tcW w:w="0" w:type="auto"/>
            <w:hideMark/>
          </w:tcPr>
          <w:p w14:paraId="1CA2A304" w14:textId="77777777" w:rsidR="006C7965" w:rsidRPr="006C7965" w:rsidRDefault="006C7965" w:rsidP="006C7965">
            <w:r w:rsidRPr="006C7965">
              <w:t>Amount</w:t>
            </w:r>
          </w:p>
        </w:tc>
        <w:tc>
          <w:tcPr>
            <w:tcW w:w="0" w:type="auto"/>
            <w:hideMark/>
          </w:tcPr>
          <w:p w14:paraId="26549CCF" w14:textId="77777777" w:rsidR="006C7965" w:rsidRPr="006C7965" w:rsidRDefault="006C7965" w:rsidP="006C7965">
            <w:r w:rsidRPr="006C7965">
              <w:t>3.368</w:t>
            </w:r>
          </w:p>
        </w:tc>
        <w:tc>
          <w:tcPr>
            <w:tcW w:w="0" w:type="auto"/>
            <w:hideMark/>
          </w:tcPr>
          <w:p w14:paraId="17106833" w14:textId="77777777" w:rsidR="006C7965" w:rsidRPr="006C7965" w:rsidRDefault="006C7965" w:rsidP="006C7965">
            <w:r w:rsidRPr="006C7965">
              <w:t>3.373</w:t>
            </w:r>
          </w:p>
        </w:tc>
        <w:tc>
          <w:tcPr>
            <w:tcW w:w="0" w:type="auto"/>
            <w:hideMark/>
          </w:tcPr>
          <w:p w14:paraId="6B7A2C70" w14:textId="77777777" w:rsidR="006C7965" w:rsidRPr="006C7965" w:rsidRDefault="006C7965" w:rsidP="006C7965">
            <w:r w:rsidRPr="006C7965">
              <w:t>1.136</w:t>
            </w:r>
          </w:p>
        </w:tc>
        <w:tc>
          <w:tcPr>
            <w:tcW w:w="0" w:type="auto"/>
            <w:hideMark/>
          </w:tcPr>
          <w:p w14:paraId="4907C291" w14:textId="77777777" w:rsidR="006C7965" w:rsidRPr="006C7965" w:rsidRDefault="006C7965" w:rsidP="006C7965">
            <w:r w:rsidRPr="006C7965">
              <w:t>0.375</w:t>
            </w:r>
          </w:p>
        </w:tc>
        <w:tc>
          <w:tcPr>
            <w:tcW w:w="0" w:type="auto"/>
            <w:hideMark/>
          </w:tcPr>
          <w:p w14:paraId="49C01482" w14:textId="77777777" w:rsidR="006C7965" w:rsidRPr="006C7965" w:rsidRDefault="006C7965" w:rsidP="006C7965">
            <w:r w:rsidRPr="006C7965">
              <w:t>6.235</w:t>
            </w:r>
          </w:p>
        </w:tc>
      </w:tr>
      <w:tr w:rsidR="006C7965" w:rsidRPr="006C7965" w14:paraId="2037937C" w14:textId="77777777" w:rsidTr="000D7196">
        <w:tc>
          <w:tcPr>
            <w:tcW w:w="0" w:type="auto"/>
            <w:hideMark/>
          </w:tcPr>
          <w:p w14:paraId="66D47DC4" w14:textId="77777777" w:rsidR="006C7965" w:rsidRPr="006C7965" w:rsidRDefault="006C7965" w:rsidP="006C7965">
            <w:r w:rsidRPr="006C7965">
              <w:t>Maturity</w:t>
            </w:r>
          </w:p>
        </w:tc>
        <w:tc>
          <w:tcPr>
            <w:tcW w:w="0" w:type="auto"/>
            <w:hideMark/>
          </w:tcPr>
          <w:p w14:paraId="00E9B467" w14:textId="77777777" w:rsidR="006C7965" w:rsidRPr="006C7965" w:rsidRDefault="006C7965" w:rsidP="006C7965">
            <w:r w:rsidRPr="006C7965">
              <w:t>2.817</w:t>
            </w:r>
          </w:p>
        </w:tc>
        <w:tc>
          <w:tcPr>
            <w:tcW w:w="0" w:type="auto"/>
            <w:hideMark/>
          </w:tcPr>
          <w:p w14:paraId="20BA91FC" w14:textId="77777777" w:rsidR="006C7965" w:rsidRPr="006C7965" w:rsidRDefault="006C7965" w:rsidP="006C7965">
            <w:r w:rsidRPr="006C7965">
              <w:t>2.986</w:t>
            </w:r>
          </w:p>
        </w:tc>
        <w:tc>
          <w:tcPr>
            <w:tcW w:w="0" w:type="auto"/>
            <w:hideMark/>
          </w:tcPr>
          <w:p w14:paraId="307F3DBA" w14:textId="77777777" w:rsidR="006C7965" w:rsidRPr="006C7965" w:rsidRDefault="006C7965" w:rsidP="006C7965">
            <w:r w:rsidRPr="006C7965">
              <w:t>0.472</w:t>
            </w:r>
          </w:p>
        </w:tc>
        <w:tc>
          <w:tcPr>
            <w:tcW w:w="0" w:type="auto"/>
            <w:hideMark/>
          </w:tcPr>
          <w:p w14:paraId="1C6FCAFF" w14:textId="77777777" w:rsidR="006C7965" w:rsidRPr="006C7965" w:rsidRDefault="006C7965" w:rsidP="006C7965">
            <w:r w:rsidRPr="006C7965">
              <w:t>1.328</w:t>
            </w:r>
          </w:p>
        </w:tc>
        <w:tc>
          <w:tcPr>
            <w:tcW w:w="0" w:type="auto"/>
            <w:hideMark/>
          </w:tcPr>
          <w:p w14:paraId="07CB603C" w14:textId="77777777" w:rsidR="006C7965" w:rsidRPr="006C7965" w:rsidRDefault="006C7965" w:rsidP="006C7965">
            <w:r w:rsidRPr="006C7965">
              <w:t>3.417</w:t>
            </w:r>
          </w:p>
        </w:tc>
      </w:tr>
      <w:tr w:rsidR="006C7965" w:rsidRPr="006C7965" w14:paraId="63A0AF71" w14:textId="77777777" w:rsidTr="000D7196">
        <w:tc>
          <w:tcPr>
            <w:tcW w:w="0" w:type="auto"/>
            <w:hideMark/>
          </w:tcPr>
          <w:p w14:paraId="0F21C84A" w14:textId="77777777" w:rsidR="006C7965" w:rsidRPr="006C7965" w:rsidRDefault="006C7965" w:rsidP="006C7965">
            <w:r w:rsidRPr="006C7965">
              <w:t>Competitive bid</w:t>
            </w:r>
          </w:p>
        </w:tc>
        <w:tc>
          <w:tcPr>
            <w:tcW w:w="0" w:type="auto"/>
            <w:hideMark/>
          </w:tcPr>
          <w:p w14:paraId="1E0D7E9D" w14:textId="77777777" w:rsidR="006C7965" w:rsidRPr="006C7965" w:rsidRDefault="006C7965" w:rsidP="006C7965">
            <w:r w:rsidRPr="006C7965">
              <w:t>0.346</w:t>
            </w:r>
          </w:p>
        </w:tc>
        <w:tc>
          <w:tcPr>
            <w:tcW w:w="0" w:type="auto"/>
            <w:hideMark/>
          </w:tcPr>
          <w:p w14:paraId="06BEFFF4" w14:textId="77777777" w:rsidR="006C7965" w:rsidRPr="006C7965" w:rsidRDefault="006C7965" w:rsidP="006C7965">
            <w:r w:rsidRPr="006C7965">
              <w:t>0.000</w:t>
            </w:r>
          </w:p>
        </w:tc>
        <w:tc>
          <w:tcPr>
            <w:tcW w:w="0" w:type="auto"/>
            <w:hideMark/>
          </w:tcPr>
          <w:p w14:paraId="686DE43B" w14:textId="77777777" w:rsidR="006C7965" w:rsidRPr="006C7965" w:rsidRDefault="006C7965" w:rsidP="006C7965">
            <w:r w:rsidRPr="006C7965">
              <w:t>0.476</w:t>
            </w:r>
          </w:p>
        </w:tc>
        <w:tc>
          <w:tcPr>
            <w:tcW w:w="0" w:type="auto"/>
            <w:hideMark/>
          </w:tcPr>
          <w:p w14:paraId="5AD9908C" w14:textId="77777777" w:rsidR="006C7965" w:rsidRPr="006C7965" w:rsidRDefault="006C7965" w:rsidP="006C7965">
            <w:r w:rsidRPr="006C7965">
              <w:t>0.000</w:t>
            </w:r>
          </w:p>
        </w:tc>
        <w:tc>
          <w:tcPr>
            <w:tcW w:w="0" w:type="auto"/>
            <w:hideMark/>
          </w:tcPr>
          <w:p w14:paraId="678B3C99" w14:textId="77777777" w:rsidR="006C7965" w:rsidRPr="006C7965" w:rsidRDefault="006C7965" w:rsidP="006C7965">
            <w:r w:rsidRPr="006C7965">
              <w:t>1.000</w:t>
            </w:r>
          </w:p>
        </w:tc>
      </w:tr>
      <w:tr w:rsidR="006C7965" w:rsidRPr="006C7965" w14:paraId="3E813A82" w14:textId="77777777" w:rsidTr="000D7196">
        <w:tc>
          <w:tcPr>
            <w:tcW w:w="0" w:type="auto"/>
            <w:hideMark/>
          </w:tcPr>
          <w:p w14:paraId="2677778A" w14:textId="77777777" w:rsidR="006C7965" w:rsidRPr="006C7965" w:rsidRDefault="006C7965" w:rsidP="006C7965">
            <w:r w:rsidRPr="006C7965">
              <w:t>Insured</w:t>
            </w:r>
          </w:p>
        </w:tc>
        <w:tc>
          <w:tcPr>
            <w:tcW w:w="0" w:type="auto"/>
            <w:hideMark/>
          </w:tcPr>
          <w:p w14:paraId="5031BBC7" w14:textId="77777777" w:rsidR="006C7965" w:rsidRPr="006C7965" w:rsidRDefault="006C7965" w:rsidP="006C7965">
            <w:r w:rsidRPr="006C7965">
              <w:t>0.16</w:t>
            </w:r>
          </w:p>
        </w:tc>
        <w:tc>
          <w:tcPr>
            <w:tcW w:w="0" w:type="auto"/>
            <w:hideMark/>
          </w:tcPr>
          <w:p w14:paraId="1EFDA88C" w14:textId="77777777" w:rsidR="006C7965" w:rsidRPr="006C7965" w:rsidRDefault="006C7965" w:rsidP="006C7965">
            <w:r w:rsidRPr="006C7965">
              <w:t>0.000</w:t>
            </w:r>
          </w:p>
        </w:tc>
        <w:tc>
          <w:tcPr>
            <w:tcW w:w="0" w:type="auto"/>
            <w:hideMark/>
          </w:tcPr>
          <w:p w14:paraId="0437C1E1" w14:textId="77777777" w:rsidR="006C7965" w:rsidRPr="006C7965" w:rsidRDefault="006C7965" w:rsidP="006C7965">
            <w:r w:rsidRPr="006C7965">
              <w:t>0.367</w:t>
            </w:r>
          </w:p>
        </w:tc>
        <w:tc>
          <w:tcPr>
            <w:tcW w:w="0" w:type="auto"/>
            <w:hideMark/>
          </w:tcPr>
          <w:p w14:paraId="6A157EFF" w14:textId="77777777" w:rsidR="006C7965" w:rsidRPr="006C7965" w:rsidRDefault="006C7965" w:rsidP="006C7965">
            <w:r w:rsidRPr="006C7965">
              <w:t>0.000</w:t>
            </w:r>
          </w:p>
        </w:tc>
        <w:tc>
          <w:tcPr>
            <w:tcW w:w="0" w:type="auto"/>
            <w:hideMark/>
          </w:tcPr>
          <w:p w14:paraId="55B5E78F" w14:textId="77777777" w:rsidR="006C7965" w:rsidRPr="006C7965" w:rsidRDefault="006C7965" w:rsidP="006C7965">
            <w:r w:rsidRPr="006C7965">
              <w:t>1.000</w:t>
            </w:r>
          </w:p>
        </w:tc>
      </w:tr>
      <w:tr w:rsidR="006C7965" w:rsidRPr="006C7965" w14:paraId="6AC10F14" w14:textId="77777777" w:rsidTr="000D7196">
        <w:tc>
          <w:tcPr>
            <w:tcW w:w="0" w:type="auto"/>
            <w:hideMark/>
          </w:tcPr>
          <w:p w14:paraId="7EAE53BB" w14:textId="77777777" w:rsidR="006C7965" w:rsidRPr="006C7965" w:rsidRDefault="006C7965" w:rsidP="006C7965">
            <w:r w:rsidRPr="006C7965">
              <w:t>Population (000)</w:t>
            </w:r>
          </w:p>
        </w:tc>
        <w:tc>
          <w:tcPr>
            <w:tcW w:w="0" w:type="auto"/>
            <w:hideMark/>
          </w:tcPr>
          <w:p w14:paraId="00CF2A38" w14:textId="77777777" w:rsidR="006C7965" w:rsidRPr="006C7965" w:rsidRDefault="006C7965" w:rsidP="006C7965">
            <w:r w:rsidRPr="006C7965">
              <w:t>327.636</w:t>
            </w:r>
          </w:p>
        </w:tc>
        <w:tc>
          <w:tcPr>
            <w:tcW w:w="0" w:type="auto"/>
            <w:hideMark/>
          </w:tcPr>
          <w:p w14:paraId="26934E6F" w14:textId="77777777" w:rsidR="006C7965" w:rsidRPr="006C7965" w:rsidRDefault="006C7965" w:rsidP="006C7965">
            <w:r w:rsidRPr="006C7965">
              <w:t>236.171</w:t>
            </w:r>
          </w:p>
        </w:tc>
        <w:tc>
          <w:tcPr>
            <w:tcW w:w="0" w:type="auto"/>
            <w:hideMark/>
          </w:tcPr>
          <w:p w14:paraId="7C34B29E" w14:textId="77777777" w:rsidR="006C7965" w:rsidRPr="006C7965" w:rsidRDefault="006C7965" w:rsidP="006C7965">
            <w:r w:rsidRPr="006C7965">
              <w:t>274.874</w:t>
            </w:r>
          </w:p>
        </w:tc>
        <w:tc>
          <w:tcPr>
            <w:tcW w:w="0" w:type="auto"/>
            <w:hideMark/>
          </w:tcPr>
          <w:p w14:paraId="0CB548E1" w14:textId="77777777" w:rsidR="006C7965" w:rsidRPr="006C7965" w:rsidRDefault="006C7965" w:rsidP="006C7965">
            <w:r w:rsidRPr="006C7965">
              <w:t>39.456</w:t>
            </w:r>
          </w:p>
        </w:tc>
        <w:tc>
          <w:tcPr>
            <w:tcW w:w="0" w:type="auto"/>
            <w:hideMark/>
          </w:tcPr>
          <w:p w14:paraId="21B9AA25" w14:textId="77777777" w:rsidR="006C7965" w:rsidRPr="006C7965" w:rsidRDefault="006C7965" w:rsidP="006C7965">
            <w:r w:rsidRPr="006C7965">
              <w:t>900.152</w:t>
            </w:r>
          </w:p>
        </w:tc>
      </w:tr>
      <w:tr w:rsidR="006C7965" w:rsidRPr="006C7965" w14:paraId="2E235006" w14:textId="77777777" w:rsidTr="000D7196">
        <w:tc>
          <w:tcPr>
            <w:tcW w:w="0" w:type="auto"/>
            <w:hideMark/>
          </w:tcPr>
          <w:p w14:paraId="0B6C509B" w14:textId="77777777" w:rsidR="006C7965" w:rsidRPr="006C7965" w:rsidRDefault="006C7965" w:rsidP="006C7965">
            <w:r w:rsidRPr="006C7965">
              <w:t>Median income (000)</w:t>
            </w:r>
          </w:p>
        </w:tc>
        <w:tc>
          <w:tcPr>
            <w:tcW w:w="0" w:type="auto"/>
            <w:hideMark/>
          </w:tcPr>
          <w:p w14:paraId="555CF1B8" w14:textId="77777777" w:rsidR="006C7965" w:rsidRPr="006C7965" w:rsidRDefault="006C7965" w:rsidP="006C7965">
            <w:r w:rsidRPr="006C7965">
              <w:t>45.637</w:t>
            </w:r>
          </w:p>
        </w:tc>
        <w:tc>
          <w:tcPr>
            <w:tcW w:w="0" w:type="auto"/>
            <w:hideMark/>
          </w:tcPr>
          <w:p w14:paraId="69B20E83" w14:textId="77777777" w:rsidR="006C7965" w:rsidRPr="006C7965" w:rsidRDefault="006C7965" w:rsidP="006C7965">
            <w:r w:rsidRPr="006C7965">
              <w:t>42.859</w:t>
            </w:r>
          </w:p>
        </w:tc>
        <w:tc>
          <w:tcPr>
            <w:tcW w:w="0" w:type="auto"/>
            <w:hideMark/>
          </w:tcPr>
          <w:p w14:paraId="6EE39C4A" w14:textId="77777777" w:rsidR="006C7965" w:rsidRPr="006C7965" w:rsidRDefault="006C7965" w:rsidP="006C7965">
            <w:r w:rsidRPr="006C7965">
              <w:t>9.831</w:t>
            </w:r>
          </w:p>
        </w:tc>
        <w:tc>
          <w:tcPr>
            <w:tcW w:w="0" w:type="auto"/>
            <w:hideMark/>
          </w:tcPr>
          <w:p w14:paraId="2CEFC7E2" w14:textId="77777777" w:rsidR="006C7965" w:rsidRPr="006C7965" w:rsidRDefault="006C7965" w:rsidP="006C7965">
            <w:r w:rsidRPr="006C7965">
              <w:t>28.068</w:t>
            </w:r>
          </w:p>
        </w:tc>
        <w:tc>
          <w:tcPr>
            <w:tcW w:w="0" w:type="auto"/>
            <w:hideMark/>
          </w:tcPr>
          <w:p w14:paraId="05D3EC77" w14:textId="77777777" w:rsidR="006C7965" w:rsidRPr="006C7965" w:rsidRDefault="006C7965" w:rsidP="006C7965">
            <w:r w:rsidRPr="006C7965">
              <w:t>70.114</w:t>
            </w:r>
          </w:p>
        </w:tc>
      </w:tr>
      <w:tr w:rsidR="006C7965" w:rsidRPr="006C7965" w14:paraId="2613FAD9" w14:textId="77777777" w:rsidTr="000D7196">
        <w:tc>
          <w:tcPr>
            <w:tcW w:w="0" w:type="auto"/>
            <w:hideMark/>
          </w:tcPr>
          <w:p w14:paraId="1BC1B1E6" w14:textId="77777777" w:rsidR="006C7965" w:rsidRPr="006C7965" w:rsidRDefault="006C7965" w:rsidP="006C7965">
            <w:r w:rsidRPr="006C7965">
              <w:lastRenderedPageBreak/>
              <w:t>Unemployment</w:t>
            </w:r>
          </w:p>
        </w:tc>
        <w:tc>
          <w:tcPr>
            <w:tcW w:w="0" w:type="auto"/>
            <w:hideMark/>
          </w:tcPr>
          <w:p w14:paraId="70D29579" w14:textId="77777777" w:rsidR="006C7965" w:rsidRPr="006C7965" w:rsidRDefault="006C7965" w:rsidP="006C7965">
            <w:r w:rsidRPr="006C7965">
              <w:t>6.702</w:t>
            </w:r>
          </w:p>
        </w:tc>
        <w:tc>
          <w:tcPr>
            <w:tcW w:w="0" w:type="auto"/>
            <w:hideMark/>
          </w:tcPr>
          <w:p w14:paraId="59BD49C0" w14:textId="77777777" w:rsidR="006C7965" w:rsidRPr="006C7965" w:rsidRDefault="006C7965" w:rsidP="006C7965">
            <w:r w:rsidRPr="006C7965">
              <w:t>6.500</w:t>
            </w:r>
          </w:p>
        </w:tc>
        <w:tc>
          <w:tcPr>
            <w:tcW w:w="0" w:type="auto"/>
            <w:hideMark/>
          </w:tcPr>
          <w:p w14:paraId="4DC34243" w14:textId="77777777" w:rsidR="006C7965" w:rsidRPr="006C7965" w:rsidRDefault="006C7965" w:rsidP="006C7965">
            <w:r w:rsidRPr="006C7965">
              <w:t>1.953</w:t>
            </w:r>
          </w:p>
        </w:tc>
        <w:tc>
          <w:tcPr>
            <w:tcW w:w="0" w:type="auto"/>
            <w:hideMark/>
          </w:tcPr>
          <w:p w14:paraId="56D1D350" w14:textId="77777777" w:rsidR="006C7965" w:rsidRPr="006C7965" w:rsidRDefault="006C7965" w:rsidP="006C7965">
            <w:r w:rsidRPr="006C7965">
              <w:t>3.3</w:t>
            </w:r>
          </w:p>
        </w:tc>
        <w:tc>
          <w:tcPr>
            <w:tcW w:w="0" w:type="auto"/>
            <w:hideMark/>
          </w:tcPr>
          <w:p w14:paraId="4AA48F22" w14:textId="77777777" w:rsidR="006C7965" w:rsidRPr="006C7965" w:rsidRDefault="006C7965" w:rsidP="006C7965">
            <w:r w:rsidRPr="006C7965">
              <w:t>11.3</w:t>
            </w:r>
          </w:p>
        </w:tc>
      </w:tr>
      <w:tr w:rsidR="006C7965" w:rsidRPr="006C7965" w14:paraId="4B7E5034" w14:textId="77777777" w:rsidTr="000D7196">
        <w:tc>
          <w:tcPr>
            <w:tcW w:w="0" w:type="auto"/>
            <w:hideMark/>
          </w:tcPr>
          <w:p w14:paraId="678B1518" w14:textId="77777777" w:rsidR="006C7965" w:rsidRPr="006C7965" w:rsidRDefault="006C7965" w:rsidP="006C7965">
            <w:r w:rsidRPr="006C7965">
              <w:t>Govt fund surplus</w:t>
            </w:r>
          </w:p>
        </w:tc>
        <w:tc>
          <w:tcPr>
            <w:tcW w:w="0" w:type="auto"/>
            <w:hideMark/>
          </w:tcPr>
          <w:p w14:paraId="5DB537BF" w14:textId="77777777" w:rsidR="006C7965" w:rsidRPr="006C7965" w:rsidRDefault="006C7965" w:rsidP="006C7965">
            <w:r w:rsidRPr="006C7965">
              <w:t>−0.161</w:t>
            </w:r>
          </w:p>
        </w:tc>
        <w:tc>
          <w:tcPr>
            <w:tcW w:w="0" w:type="auto"/>
            <w:hideMark/>
          </w:tcPr>
          <w:p w14:paraId="0C288829" w14:textId="77777777" w:rsidR="006C7965" w:rsidRPr="006C7965" w:rsidRDefault="006C7965" w:rsidP="006C7965">
            <w:r w:rsidRPr="006C7965">
              <w:t>−0.159</w:t>
            </w:r>
          </w:p>
        </w:tc>
        <w:tc>
          <w:tcPr>
            <w:tcW w:w="0" w:type="auto"/>
            <w:hideMark/>
          </w:tcPr>
          <w:p w14:paraId="09FC4458" w14:textId="77777777" w:rsidR="006C7965" w:rsidRPr="006C7965" w:rsidRDefault="006C7965" w:rsidP="006C7965">
            <w:r w:rsidRPr="006C7965">
              <w:t>0.150</w:t>
            </w:r>
          </w:p>
        </w:tc>
        <w:tc>
          <w:tcPr>
            <w:tcW w:w="0" w:type="auto"/>
            <w:hideMark/>
          </w:tcPr>
          <w:p w14:paraId="2DD6A755" w14:textId="77777777" w:rsidR="006C7965" w:rsidRPr="006C7965" w:rsidRDefault="006C7965" w:rsidP="006C7965">
            <w:r w:rsidRPr="006C7965">
              <w:t>−0.617</w:t>
            </w:r>
          </w:p>
        </w:tc>
        <w:tc>
          <w:tcPr>
            <w:tcW w:w="0" w:type="auto"/>
            <w:hideMark/>
          </w:tcPr>
          <w:p w14:paraId="1EDE26AC" w14:textId="77777777" w:rsidR="006C7965" w:rsidRPr="006C7965" w:rsidRDefault="006C7965" w:rsidP="006C7965">
            <w:r w:rsidRPr="006C7965">
              <w:t>0.329</w:t>
            </w:r>
          </w:p>
        </w:tc>
      </w:tr>
      <w:tr w:rsidR="006C7965" w:rsidRPr="006C7965" w14:paraId="253D4C34" w14:textId="77777777" w:rsidTr="000D7196">
        <w:tc>
          <w:tcPr>
            <w:tcW w:w="0" w:type="auto"/>
            <w:hideMark/>
          </w:tcPr>
          <w:p w14:paraId="47D7ABD0" w14:textId="77777777" w:rsidR="006C7965" w:rsidRPr="006C7965" w:rsidRDefault="006C7965" w:rsidP="006C7965">
            <w:r w:rsidRPr="006C7965">
              <w:t>Govt fund expense</w:t>
            </w:r>
          </w:p>
        </w:tc>
        <w:tc>
          <w:tcPr>
            <w:tcW w:w="0" w:type="auto"/>
            <w:hideMark/>
          </w:tcPr>
          <w:p w14:paraId="37E72AFF" w14:textId="77777777" w:rsidR="006C7965" w:rsidRPr="006C7965" w:rsidRDefault="006C7965" w:rsidP="006C7965">
            <w:r w:rsidRPr="006C7965">
              <w:t>1.763</w:t>
            </w:r>
          </w:p>
        </w:tc>
        <w:tc>
          <w:tcPr>
            <w:tcW w:w="0" w:type="auto"/>
            <w:hideMark/>
          </w:tcPr>
          <w:p w14:paraId="3A6949B6" w14:textId="77777777" w:rsidR="006C7965" w:rsidRPr="006C7965" w:rsidRDefault="006C7965" w:rsidP="006C7965">
            <w:r w:rsidRPr="006C7965">
              <w:t>1.260</w:t>
            </w:r>
          </w:p>
        </w:tc>
        <w:tc>
          <w:tcPr>
            <w:tcW w:w="0" w:type="auto"/>
            <w:hideMark/>
          </w:tcPr>
          <w:p w14:paraId="743D931F" w14:textId="77777777" w:rsidR="006C7965" w:rsidRPr="006C7965" w:rsidRDefault="006C7965" w:rsidP="006C7965">
            <w:r w:rsidRPr="006C7965">
              <w:t>1.091</w:t>
            </w:r>
          </w:p>
        </w:tc>
        <w:tc>
          <w:tcPr>
            <w:tcW w:w="0" w:type="auto"/>
            <w:hideMark/>
          </w:tcPr>
          <w:p w14:paraId="7941FB74" w14:textId="77777777" w:rsidR="006C7965" w:rsidRPr="006C7965" w:rsidRDefault="006C7965" w:rsidP="006C7965">
            <w:r w:rsidRPr="006C7965">
              <w:t>0.683</w:t>
            </w:r>
          </w:p>
        </w:tc>
        <w:tc>
          <w:tcPr>
            <w:tcW w:w="0" w:type="auto"/>
            <w:hideMark/>
          </w:tcPr>
          <w:p w14:paraId="73588042" w14:textId="77777777" w:rsidR="006C7965" w:rsidRPr="006C7965" w:rsidRDefault="006C7965" w:rsidP="006C7965">
            <w:r w:rsidRPr="006C7965">
              <w:t>6.005</w:t>
            </w:r>
          </w:p>
        </w:tc>
      </w:tr>
      <w:tr w:rsidR="006C7965" w:rsidRPr="006C7965" w14:paraId="76602FF0" w14:textId="77777777" w:rsidTr="000D7196">
        <w:tc>
          <w:tcPr>
            <w:tcW w:w="0" w:type="auto"/>
            <w:hideMark/>
          </w:tcPr>
          <w:p w14:paraId="3BA133D8" w14:textId="77777777" w:rsidR="006C7965" w:rsidRPr="006C7965" w:rsidRDefault="006C7965" w:rsidP="006C7965">
            <w:r w:rsidRPr="006C7965">
              <w:t>Capital outlay</w:t>
            </w:r>
          </w:p>
        </w:tc>
        <w:tc>
          <w:tcPr>
            <w:tcW w:w="0" w:type="auto"/>
            <w:hideMark/>
          </w:tcPr>
          <w:p w14:paraId="324EADDA" w14:textId="77777777" w:rsidR="006C7965" w:rsidRPr="006C7965" w:rsidRDefault="006C7965" w:rsidP="006C7965">
            <w:r w:rsidRPr="006C7965">
              <w:t>0.203</w:t>
            </w:r>
          </w:p>
        </w:tc>
        <w:tc>
          <w:tcPr>
            <w:tcW w:w="0" w:type="auto"/>
            <w:hideMark/>
          </w:tcPr>
          <w:p w14:paraId="0F704982" w14:textId="77777777" w:rsidR="006C7965" w:rsidRPr="006C7965" w:rsidRDefault="006C7965" w:rsidP="006C7965">
            <w:r w:rsidRPr="006C7965">
              <w:t>0.168</w:t>
            </w:r>
          </w:p>
        </w:tc>
        <w:tc>
          <w:tcPr>
            <w:tcW w:w="0" w:type="auto"/>
            <w:hideMark/>
          </w:tcPr>
          <w:p w14:paraId="61C0B460" w14:textId="77777777" w:rsidR="006C7965" w:rsidRPr="006C7965" w:rsidRDefault="006C7965" w:rsidP="006C7965">
            <w:r w:rsidRPr="006C7965">
              <w:t>0.153</w:t>
            </w:r>
          </w:p>
        </w:tc>
        <w:tc>
          <w:tcPr>
            <w:tcW w:w="0" w:type="auto"/>
            <w:hideMark/>
          </w:tcPr>
          <w:p w14:paraId="38D4B0E6" w14:textId="77777777" w:rsidR="006C7965" w:rsidRPr="006C7965" w:rsidRDefault="006C7965" w:rsidP="006C7965">
            <w:r w:rsidRPr="006C7965">
              <w:t>0.013</w:t>
            </w:r>
          </w:p>
        </w:tc>
        <w:tc>
          <w:tcPr>
            <w:tcW w:w="0" w:type="auto"/>
            <w:hideMark/>
          </w:tcPr>
          <w:p w14:paraId="52934238" w14:textId="77777777" w:rsidR="006C7965" w:rsidRPr="006C7965" w:rsidRDefault="006C7965" w:rsidP="006C7965">
            <w:r w:rsidRPr="006C7965">
              <w:t>1.142</w:t>
            </w:r>
          </w:p>
        </w:tc>
      </w:tr>
      <w:tr w:rsidR="006C7965" w:rsidRPr="006C7965" w14:paraId="1EEEFCB9" w14:textId="77777777" w:rsidTr="000D7196">
        <w:tc>
          <w:tcPr>
            <w:tcW w:w="0" w:type="auto"/>
            <w:hideMark/>
          </w:tcPr>
          <w:p w14:paraId="631C02F8" w14:textId="77777777" w:rsidR="006C7965" w:rsidRPr="006C7965" w:rsidRDefault="006C7965" w:rsidP="006C7965">
            <w:proofErr w:type="spellStart"/>
            <w:r w:rsidRPr="006C7965">
              <w:t>Chg</w:t>
            </w:r>
            <w:proofErr w:type="spellEnd"/>
            <w:r w:rsidRPr="006C7965">
              <w:t xml:space="preserve"> fund </w:t>
            </w:r>
            <w:proofErr w:type="spellStart"/>
            <w:r w:rsidRPr="006C7965">
              <w:t>bal</w:t>
            </w:r>
            <w:proofErr w:type="spellEnd"/>
            <w:r w:rsidRPr="006C7965">
              <w:t xml:space="preserve"> govt funds</w:t>
            </w:r>
          </w:p>
        </w:tc>
        <w:tc>
          <w:tcPr>
            <w:tcW w:w="0" w:type="auto"/>
            <w:hideMark/>
          </w:tcPr>
          <w:p w14:paraId="44AADCCE" w14:textId="77777777" w:rsidR="006C7965" w:rsidRPr="006C7965" w:rsidRDefault="006C7965" w:rsidP="006C7965">
            <w:r w:rsidRPr="006C7965">
              <w:t>0.039</w:t>
            </w:r>
          </w:p>
        </w:tc>
        <w:tc>
          <w:tcPr>
            <w:tcW w:w="0" w:type="auto"/>
            <w:hideMark/>
          </w:tcPr>
          <w:p w14:paraId="69E59636" w14:textId="77777777" w:rsidR="006C7965" w:rsidRPr="006C7965" w:rsidRDefault="006C7965" w:rsidP="006C7965">
            <w:r w:rsidRPr="006C7965">
              <w:t>0.004</w:t>
            </w:r>
          </w:p>
        </w:tc>
        <w:tc>
          <w:tcPr>
            <w:tcW w:w="0" w:type="auto"/>
            <w:hideMark/>
          </w:tcPr>
          <w:p w14:paraId="27C08B7B" w14:textId="77777777" w:rsidR="006C7965" w:rsidRPr="006C7965" w:rsidRDefault="006C7965" w:rsidP="006C7965">
            <w:r w:rsidRPr="006C7965">
              <w:t>0.165</w:t>
            </w:r>
          </w:p>
        </w:tc>
        <w:tc>
          <w:tcPr>
            <w:tcW w:w="0" w:type="auto"/>
            <w:hideMark/>
          </w:tcPr>
          <w:p w14:paraId="20B3BCCF" w14:textId="77777777" w:rsidR="006C7965" w:rsidRPr="006C7965" w:rsidRDefault="006C7965" w:rsidP="006C7965">
            <w:r w:rsidRPr="006C7965">
              <w:t>−0.273</w:t>
            </w:r>
          </w:p>
        </w:tc>
        <w:tc>
          <w:tcPr>
            <w:tcW w:w="0" w:type="auto"/>
            <w:hideMark/>
          </w:tcPr>
          <w:p w14:paraId="2A5F23D9" w14:textId="77777777" w:rsidR="006C7965" w:rsidRPr="006C7965" w:rsidRDefault="006C7965" w:rsidP="006C7965">
            <w:r w:rsidRPr="006C7965">
              <w:t>1.125</w:t>
            </w:r>
          </w:p>
        </w:tc>
      </w:tr>
      <w:tr w:rsidR="006C7965" w:rsidRPr="006C7965" w14:paraId="69D9191F" w14:textId="77777777" w:rsidTr="000D7196">
        <w:tc>
          <w:tcPr>
            <w:tcW w:w="0" w:type="auto"/>
            <w:hideMark/>
          </w:tcPr>
          <w:p w14:paraId="51620439" w14:textId="77777777" w:rsidR="006C7965" w:rsidRPr="006C7965" w:rsidRDefault="006C7965" w:rsidP="006C7965">
            <w:r w:rsidRPr="006C7965">
              <w:t>GAAP</w:t>
            </w:r>
          </w:p>
        </w:tc>
        <w:tc>
          <w:tcPr>
            <w:tcW w:w="0" w:type="auto"/>
            <w:hideMark/>
          </w:tcPr>
          <w:p w14:paraId="3848CF55" w14:textId="77777777" w:rsidR="006C7965" w:rsidRPr="006C7965" w:rsidRDefault="006C7965" w:rsidP="006C7965">
            <w:r w:rsidRPr="006C7965">
              <w:t>0.348</w:t>
            </w:r>
          </w:p>
        </w:tc>
        <w:tc>
          <w:tcPr>
            <w:tcW w:w="0" w:type="auto"/>
            <w:hideMark/>
          </w:tcPr>
          <w:p w14:paraId="5C46B470" w14:textId="77777777" w:rsidR="006C7965" w:rsidRPr="006C7965" w:rsidRDefault="006C7965" w:rsidP="006C7965">
            <w:r w:rsidRPr="006C7965">
              <w:t>0.000</w:t>
            </w:r>
          </w:p>
        </w:tc>
        <w:tc>
          <w:tcPr>
            <w:tcW w:w="0" w:type="auto"/>
            <w:hideMark/>
          </w:tcPr>
          <w:p w14:paraId="1F850E3F" w14:textId="77777777" w:rsidR="006C7965" w:rsidRPr="006C7965" w:rsidRDefault="006C7965" w:rsidP="006C7965">
            <w:r w:rsidRPr="006C7965">
              <w:t>0.477</w:t>
            </w:r>
          </w:p>
        </w:tc>
        <w:tc>
          <w:tcPr>
            <w:tcW w:w="0" w:type="auto"/>
            <w:hideMark/>
          </w:tcPr>
          <w:p w14:paraId="4E804D65" w14:textId="77777777" w:rsidR="006C7965" w:rsidRPr="006C7965" w:rsidRDefault="006C7965" w:rsidP="006C7965">
            <w:r w:rsidRPr="006C7965">
              <w:t>0.000</w:t>
            </w:r>
          </w:p>
        </w:tc>
        <w:tc>
          <w:tcPr>
            <w:tcW w:w="0" w:type="auto"/>
            <w:hideMark/>
          </w:tcPr>
          <w:p w14:paraId="2B25F29C" w14:textId="77777777" w:rsidR="006C7965" w:rsidRPr="006C7965" w:rsidRDefault="006C7965" w:rsidP="006C7965">
            <w:r w:rsidRPr="006C7965">
              <w:t>1.000</w:t>
            </w:r>
          </w:p>
        </w:tc>
      </w:tr>
    </w:tbl>
    <w:p w14:paraId="48A59AEB" w14:textId="0559061E" w:rsidR="006C7965" w:rsidRPr="006C7965" w:rsidRDefault="006C7965" w:rsidP="000D7196">
      <w:pPr>
        <w:pStyle w:val="NoSpacing"/>
      </w:pPr>
      <w:r w:rsidRPr="006C7965">
        <w:rPr>
          <w:b/>
          <w:bCs/>
        </w:rPr>
        <w:t>Note(s):</w:t>
      </w:r>
      <w:r w:rsidRPr="006C7965">
        <w:t> This table provides summary statistics for the key variables in our bond rating disagreement analysis, with variable descriptions in </w:t>
      </w:r>
      <w:r w:rsidRPr="007A181E">
        <w:t>Table 2</w:t>
      </w:r>
      <w:r w:rsidRPr="006C7965">
        <w:t> except as follows: </w:t>
      </w:r>
      <w:r w:rsidRPr="006C7965">
        <w:rPr>
          <w:i/>
          <w:iCs/>
        </w:rPr>
        <w:t>Rating split</w:t>
      </w:r>
      <w:r w:rsidRPr="006C7965">
        <w:t> is an indicator variable that takes the value of one when Moody's, Fitch and Standard and Poor's issue conflicting ratings and zero otherwise; </w:t>
      </w:r>
      <w:r w:rsidRPr="006C7965">
        <w:rPr>
          <w:i/>
          <w:iCs/>
        </w:rPr>
        <w:t>unemployment</w:t>
      </w:r>
      <w:r w:rsidRPr="006C7965">
        <w:t xml:space="preserve"> is the unemployment rate in a given </w:t>
      </w:r>
      <w:proofErr w:type="gramStart"/>
      <w:r w:rsidRPr="006C7965">
        <w:t>municipality</w:t>
      </w:r>
      <w:proofErr w:type="gramEnd"/>
    </w:p>
    <w:p w14:paraId="6E92ACA2" w14:textId="77777777" w:rsidR="000D7196" w:rsidRDefault="000D7196" w:rsidP="006C7965"/>
    <w:p w14:paraId="529AAB56" w14:textId="2A26546E" w:rsidR="006C7965" w:rsidRPr="006C7965" w:rsidRDefault="006C7965" w:rsidP="000D7196">
      <w:pPr>
        <w:spacing w:after="0"/>
      </w:pPr>
      <w:r w:rsidRPr="006C7965">
        <w:t>Table 6</w:t>
      </w:r>
      <w:r w:rsidR="000D7196">
        <w:t xml:space="preserve"> </w:t>
      </w:r>
      <w:r w:rsidRPr="006C7965">
        <w:t xml:space="preserve">Logit regression results using bond ratings differences as the dependent </w:t>
      </w:r>
      <w:proofErr w:type="gramStart"/>
      <w:r w:rsidRPr="006C7965">
        <w:t>variable</w:t>
      </w:r>
      <w:proofErr w:type="gramEnd"/>
    </w:p>
    <w:tbl>
      <w:tblPr>
        <w:tblStyle w:val="TableGrid"/>
        <w:tblW w:w="0" w:type="auto"/>
        <w:tblLook w:val="04A0" w:firstRow="1" w:lastRow="0" w:firstColumn="1" w:lastColumn="0" w:noHBand="0" w:noVBand="1"/>
      </w:tblPr>
      <w:tblGrid>
        <w:gridCol w:w="4374"/>
        <w:gridCol w:w="1730"/>
      </w:tblGrid>
      <w:tr w:rsidR="000D7196" w:rsidRPr="006C7965" w14:paraId="376EF190" w14:textId="77777777" w:rsidTr="00C154A3">
        <w:trPr>
          <w:trHeight w:val="288"/>
        </w:trPr>
        <w:tc>
          <w:tcPr>
            <w:tcW w:w="0" w:type="auto"/>
            <w:hideMark/>
          </w:tcPr>
          <w:p w14:paraId="12ABF290" w14:textId="77777777" w:rsidR="000D7196" w:rsidRPr="006C7965" w:rsidRDefault="000D7196" w:rsidP="006C7965">
            <w:r w:rsidRPr="006C7965">
              <w:t>Positive</w:t>
            </w:r>
          </w:p>
        </w:tc>
        <w:tc>
          <w:tcPr>
            <w:tcW w:w="0" w:type="auto"/>
            <w:hideMark/>
          </w:tcPr>
          <w:p w14:paraId="69853C80" w14:textId="59775861" w:rsidR="000D7196" w:rsidRPr="006C7965" w:rsidRDefault="000D7196" w:rsidP="000D7196">
            <w:r w:rsidRPr="006C7965">
              <w:t>−1.54</w:t>
            </w:r>
            <w:r>
              <w:t xml:space="preserve"> </w:t>
            </w:r>
            <w:r w:rsidRPr="006C7965">
              <w:t>(−0.52)</w:t>
            </w:r>
          </w:p>
        </w:tc>
      </w:tr>
      <w:tr w:rsidR="000D7196" w:rsidRPr="006C7965" w14:paraId="48FC30FB" w14:textId="77777777" w:rsidTr="00C154A3">
        <w:trPr>
          <w:trHeight w:val="288"/>
        </w:trPr>
        <w:tc>
          <w:tcPr>
            <w:tcW w:w="0" w:type="auto"/>
            <w:hideMark/>
          </w:tcPr>
          <w:p w14:paraId="70A6C4A1" w14:textId="77777777" w:rsidR="000D7196" w:rsidRPr="006C7965" w:rsidRDefault="000D7196" w:rsidP="006C7965">
            <w:r w:rsidRPr="006C7965">
              <w:t>Negative</w:t>
            </w:r>
          </w:p>
        </w:tc>
        <w:tc>
          <w:tcPr>
            <w:tcW w:w="0" w:type="auto"/>
            <w:hideMark/>
          </w:tcPr>
          <w:p w14:paraId="48D25B0F" w14:textId="564E4A3F" w:rsidR="000D7196" w:rsidRPr="006C7965" w:rsidRDefault="000D7196" w:rsidP="000D7196">
            <w:r w:rsidRPr="006C7965">
              <w:t>4.61**</w:t>
            </w:r>
            <w:r>
              <w:t xml:space="preserve"> </w:t>
            </w:r>
            <w:r w:rsidRPr="006C7965">
              <w:t>(2.37)</w:t>
            </w:r>
          </w:p>
        </w:tc>
      </w:tr>
      <w:tr w:rsidR="000D7196" w:rsidRPr="006C7965" w14:paraId="590B0942" w14:textId="77777777" w:rsidTr="00C154A3">
        <w:trPr>
          <w:trHeight w:val="288"/>
        </w:trPr>
        <w:tc>
          <w:tcPr>
            <w:tcW w:w="0" w:type="auto"/>
            <w:hideMark/>
          </w:tcPr>
          <w:p w14:paraId="49888FEA" w14:textId="77777777" w:rsidR="000D7196" w:rsidRPr="006C7965" w:rsidRDefault="000D7196" w:rsidP="006C7965">
            <w:r w:rsidRPr="006C7965">
              <w:t>GO bond</w:t>
            </w:r>
          </w:p>
        </w:tc>
        <w:tc>
          <w:tcPr>
            <w:tcW w:w="0" w:type="auto"/>
            <w:hideMark/>
          </w:tcPr>
          <w:p w14:paraId="1705EABD" w14:textId="75A564D1" w:rsidR="000D7196" w:rsidRPr="006C7965" w:rsidRDefault="000D7196" w:rsidP="000D7196">
            <w:r w:rsidRPr="006C7965">
              <w:t>−1.80**</w:t>
            </w:r>
            <w:r>
              <w:t xml:space="preserve"> </w:t>
            </w:r>
            <w:r w:rsidRPr="006C7965">
              <w:t>(−2.06)</w:t>
            </w:r>
          </w:p>
        </w:tc>
      </w:tr>
      <w:tr w:rsidR="000D7196" w:rsidRPr="006C7965" w14:paraId="28E985FB" w14:textId="77777777" w:rsidTr="00C154A3">
        <w:trPr>
          <w:trHeight w:val="288"/>
        </w:trPr>
        <w:tc>
          <w:tcPr>
            <w:tcW w:w="0" w:type="auto"/>
            <w:hideMark/>
          </w:tcPr>
          <w:p w14:paraId="03E8A6D0" w14:textId="77777777" w:rsidR="000D7196" w:rsidRPr="006C7965" w:rsidRDefault="000D7196" w:rsidP="006C7965">
            <w:r w:rsidRPr="006C7965">
              <w:t>Amount</w:t>
            </w:r>
          </w:p>
        </w:tc>
        <w:tc>
          <w:tcPr>
            <w:tcW w:w="0" w:type="auto"/>
            <w:hideMark/>
          </w:tcPr>
          <w:p w14:paraId="0F541D02" w14:textId="5E2A7EB7" w:rsidR="000D7196" w:rsidRPr="006C7965" w:rsidRDefault="000D7196" w:rsidP="000D7196">
            <w:r w:rsidRPr="006C7965">
              <w:t>0.20</w:t>
            </w:r>
            <w:r>
              <w:t xml:space="preserve"> </w:t>
            </w:r>
            <w:r w:rsidRPr="006C7965">
              <w:t>(0.68)</w:t>
            </w:r>
          </w:p>
        </w:tc>
      </w:tr>
      <w:tr w:rsidR="000D7196" w:rsidRPr="006C7965" w14:paraId="75A367AE" w14:textId="77777777" w:rsidTr="00C154A3">
        <w:trPr>
          <w:trHeight w:val="288"/>
        </w:trPr>
        <w:tc>
          <w:tcPr>
            <w:tcW w:w="0" w:type="auto"/>
            <w:hideMark/>
          </w:tcPr>
          <w:p w14:paraId="00AD114A" w14:textId="77777777" w:rsidR="000D7196" w:rsidRPr="006C7965" w:rsidRDefault="000D7196" w:rsidP="006C7965">
            <w:r w:rsidRPr="006C7965">
              <w:t>Maturity</w:t>
            </w:r>
          </w:p>
        </w:tc>
        <w:tc>
          <w:tcPr>
            <w:tcW w:w="0" w:type="auto"/>
            <w:hideMark/>
          </w:tcPr>
          <w:p w14:paraId="0A7CED2C" w14:textId="362C6E7E" w:rsidR="000D7196" w:rsidRPr="006C7965" w:rsidRDefault="000D7196" w:rsidP="000D7196">
            <w:r w:rsidRPr="006C7965">
              <w:t>−0.38</w:t>
            </w:r>
            <w:r>
              <w:t xml:space="preserve"> </w:t>
            </w:r>
            <w:r w:rsidRPr="006C7965">
              <w:t>(−0.91)</w:t>
            </w:r>
          </w:p>
        </w:tc>
      </w:tr>
      <w:tr w:rsidR="000D7196" w:rsidRPr="006C7965" w14:paraId="43745F9A" w14:textId="77777777" w:rsidTr="00C154A3">
        <w:trPr>
          <w:trHeight w:val="288"/>
        </w:trPr>
        <w:tc>
          <w:tcPr>
            <w:tcW w:w="0" w:type="auto"/>
            <w:hideMark/>
          </w:tcPr>
          <w:p w14:paraId="3E94AFDD" w14:textId="77777777" w:rsidR="000D7196" w:rsidRPr="006C7965" w:rsidRDefault="000D7196" w:rsidP="006C7965">
            <w:r w:rsidRPr="006C7965">
              <w:t>Competitive bid</w:t>
            </w:r>
          </w:p>
        </w:tc>
        <w:tc>
          <w:tcPr>
            <w:tcW w:w="0" w:type="auto"/>
            <w:hideMark/>
          </w:tcPr>
          <w:p w14:paraId="692B76AB" w14:textId="77686B0E" w:rsidR="000D7196" w:rsidRPr="006C7965" w:rsidRDefault="000D7196" w:rsidP="000D7196">
            <w:r w:rsidRPr="006C7965">
              <w:t>−0.55</w:t>
            </w:r>
            <w:r>
              <w:t xml:space="preserve"> </w:t>
            </w:r>
            <w:r w:rsidRPr="006C7965">
              <w:t>(−0.78)</w:t>
            </w:r>
          </w:p>
        </w:tc>
      </w:tr>
      <w:tr w:rsidR="000D7196" w:rsidRPr="006C7965" w14:paraId="0EBA0F07" w14:textId="77777777" w:rsidTr="00C154A3">
        <w:trPr>
          <w:trHeight w:val="288"/>
        </w:trPr>
        <w:tc>
          <w:tcPr>
            <w:tcW w:w="0" w:type="auto"/>
            <w:hideMark/>
          </w:tcPr>
          <w:p w14:paraId="2F89E82C" w14:textId="77777777" w:rsidR="000D7196" w:rsidRPr="006C7965" w:rsidRDefault="000D7196" w:rsidP="006C7965">
            <w:r w:rsidRPr="006C7965">
              <w:t>Insure</w:t>
            </w:r>
          </w:p>
        </w:tc>
        <w:tc>
          <w:tcPr>
            <w:tcW w:w="0" w:type="auto"/>
            <w:hideMark/>
          </w:tcPr>
          <w:p w14:paraId="589CB434" w14:textId="3D850B63" w:rsidR="000D7196" w:rsidRPr="006C7965" w:rsidRDefault="000D7196" w:rsidP="000D7196">
            <w:r w:rsidRPr="006C7965">
              <w:t>−0.32</w:t>
            </w:r>
            <w:r>
              <w:t xml:space="preserve"> </w:t>
            </w:r>
            <w:r w:rsidRPr="006C7965">
              <w:t>(−0.35)</w:t>
            </w:r>
          </w:p>
        </w:tc>
      </w:tr>
      <w:tr w:rsidR="000D7196" w:rsidRPr="006C7965" w14:paraId="330BF67C" w14:textId="77777777" w:rsidTr="00C154A3">
        <w:trPr>
          <w:trHeight w:val="288"/>
        </w:trPr>
        <w:tc>
          <w:tcPr>
            <w:tcW w:w="0" w:type="auto"/>
            <w:hideMark/>
          </w:tcPr>
          <w:p w14:paraId="295F575D" w14:textId="77777777" w:rsidR="000D7196" w:rsidRPr="006C7965" w:rsidRDefault="000D7196" w:rsidP="006C7965">
            <w:r w:rsidRPr="006C7965">
              <w:t>Population</w:t>
            </w:r>
          </w:p>
        </w:tc>
        <w:tc>
          <w:tcPr>
            <w:tcW w:w="0" w:type="auto"/>
            <w:hideMark/>
          </w:tcPr>
          <w:p w14:paraId="49A75245" w14:textId="2073E500" w:rsidR="000D7196" w:rsidRPr="006C7965" w:rsidRDefault="000D7196" w:rsidP="000D7196">
            <w:r w:rsidRPr="006C7965">
              <w:t>−0.51</w:t>
            </w:r>
            <w:r>
              <w:t xml:space="preserve"> </w:t>
            </w:r>
            <w:r w:rsidRPr="006C7965">
              <w:t>(−1.19)</w:t>
            </w:r>
          </w:p>
        </w:tc>
      </w:tr>
      <w:tr w:rsidR="000D7196" w:rsidRPr="006C7965" w14:paraId="47336032" w14:textId="77777777" w:rsidTr="00C154A3">
        <w:trPr>
          <w:trHeight w:val="288"/>
        </w:trPr>
        <w:tc>
          <w:tcPr>
            <w:tcW w:w="0" w:type="auto"/>
            <w:hideMark/>
          </w:tcPr>
          <w:p w14:paraId="29039B14" w14:textId="77777777" w:rsidR="000D7196" w:rsidRPr="006C7965" w:rsidRDefault="000D7196" w:rsidP="006C7965">
            <w:r w:rsidRPr="006C7965">
              <w:t>Median income</w:t>
            </w:r>
          </w:p>
        </w:tc>
        <w:tc>
          <w:tcPr>
            <w:tcW w:w="0" w:type="auto"/>
            <w:hideMark/>
          </w:tcPr>
          <w:p w14:paraId="0A610617" w14:textId="3D64B29C" w:rsidR="000D7196" w:rsidRPr="006C7965" w:rsidRDefault="000D7196" w:rsidP="000D7196">
            <w:r w:rsidRPr="006C7965">
              <w:t>−3.89**</w:t>
            </w:r>
            <w:r>
              <w:t xml:space="preserve"> </w:t>
            </w:r>
            <w:r w:rsidRPr="006C7965">
              <w:t>(−2.18)</w:t>
            </w:r>
          </w:p>
        </w:tc>
      </w:tr>
      <w:tr w:rsidR="000D7196" w:rsidRPr="006C7965" w14:paraId="71FC2187" w14:textId="77777777" w:rsidTr="00C154A3">
        <w:trPr>
          <w:trHeight w:val="288"/>
        </w:trPr>
        <w:tc>
          <w:tcPr>
            <w:tcW w:w="0" w:type="auto"/>
            <w:hideMark/>
          </w:tcPr>
          <w:p w14:paraId="0AC1427B" w14:textId="77777777" w:rsidR="000D7196" w:rsidRPr="006C7965" w:rsidRDefault="000D7196" w:rsidP="006C7965">
            <w:r w:rsidRPr="006C7965">
              <w:t>Unemployment</w:t>
            </w:r>
          </w:p>
        </w:tc>
        <w:tc>
          <w:tcPr>
            <w:tcW w:w="0" w:type="auto"/>
            <w:hideMark/>
          </w:tcPr>
          <w:p w14:paraId="33201CC3" w14:textId="25169584" w:rsidR="000D7196" w:rsidRPr="006C7965" w:rsidRDefault="000D7196" w:rsidP="000D7196">
            <w:r w:rsidRPr="006C7965">
              <w:t>−0.63</w:t>
            </w:r>
            <w:r>
              <w:t xml:space="preserve"> </w:t>
            </w:r>
            <w:r w:rsidRPr="006C7965">
              <w:t>(−1.55)</w:t>
            </w:r>
          </w:p>
        </w:tc>
      </w:tr>
      <w:tr w:rsidR="000D7196" w:rsidRPr="006C7965" w14:paraId="7C2DB2B9" w14:textId="77777777" w:rsidTr="00C154A3">
        <w:trPr>
          <w:trHeight w:val="288"/>
        </w:trPr>
        <w:tc>
          <w:tcPr>
            <w:tcW w:w="0" w:type="auto"/>
            <w:hideMark/>
          </w:tcPr>
          <w:p w14:paraId="051D83FA" w14:textId="77777777" w:rsidR="000D7196" w:rsidRPr="006C7965" w:rsidRDefault="000D7196" w:rsidP="006C7965">
            <w:r w:rsidRPr="006C7965">
              <w:t>Governmental fund surplus</w:t>
            </w:r>
          </w:p>
        </w:tc>
        <w:tc>
          <w:tcPr>
            <w:tcW w:w="0" w:type="auto"/>
            <w:hideMark/>
          </w:tcPr>
          <w:p w14:paraId="585CD394" w14:textId="5E6EEC96" w:rsidR="000D7196" w:rsidRPr="006C7965" w:rsidRDefault="000D7196" w:rsidP="000D7196">
            <w:r w:rsidRPr="006C7965">
              <w:t>−1.71</w:t>
            </w:r>
            <w:r>
              <w:t xml:space="preserve"> </w:t>
            </w:r>
            <w:r w:rsidRPr="006C7965">
              <w:t>(−0.54)</w:t>
            </w:r>
          </w:p>
        </w:tc>
      </w:tr>
      <w:tr w:rsidR="000D7196" w:rsidRPr="006C7965" w14:paraId="3602ADC0" w14:textId="77777777" w:rsidTr="00C154A3">
        <w:trPr>
          <w:trHeight w:val="288"/>
        </w:trPr>
        <w:tc>
          <w:tcPr>
            <w:tcW w:w="0" w:type="auto"/>
            <w:hideMark/>
          </w:tcPr>
          <w:p w14:paraId="6694F5CB" w14:textId="77777777" w:rsidR="000D7196" w:rsidRPr="006C7965" w:rsidRDefault="000D7196" w:rsidP="006C7965">
            <w:r w:rsidRPr="006C7965">
              <w:t>Governmental fund expenses</w:t>
            </w:r>
          </w:p>
        </w:tc>
        <w:tc>
          <w:tcPr>
            <w:tcW w:w="0" w:type="auto"/>
            <w:hideMark/>
          </w:tcPr>
          <w:p w14:paraId="7BA64DC6" w14:textId="10D7B2DE" w:rsidR="000D7196" w:rsidRPr="006C7965" w:rsidRDefault="000D7196" w:rsidP="000D7196">
            <w:r w:rsidRPr="006C7965">
              <w:t>0.52</w:t>
            </w:r>
            <w:r>
              <w:t xml:space="preserve"> </w:t>
            </w:r>
            <w:r w:rsidRPr="006C7965">
              <w:t>(0.95)</w:t>
            </w:r>
          </w:p>
        </w:tc>
      </w:tr>
      <w:tr w:rsidR="000D7196" w:rsidRPr="006C7965" w14:paraId="5609ADC7" w14:textId="77777777" w:rsidTr="00C154A3">
        <w:trPr>
          <w:trHeight w:val="288"/>
        </w:trPr>
        <w:tc>
          <w:tcPr>
            <w:tcW w:w="0" w:type="auto"/>
            <w:hideMark/>
          </w:tcPr>
          <w:p w14:paraId="2F072D4C" w14:textId="77777777" w:rsidR="000D7196" w:rsidRPr="006C7965" w:rsidRDefault="000D7196" w:rsidP="006C7965">
            <w:r w:rsidRPr="006C7965">
              <w:t>Capital outlay</w:t>
            </w:r>
          </w:p>
        </w:tc>
        <w:tc>
          <w:tcPr>
            <w:tcW w:w="0" w:type="auto"/>
            <w:hideMark/>
          </w:tcPr>
          <w:p w14:paraId="41618A76" w14:textId="182F5E28" w:rsidR="000D7196" w:rsidRPr="006C7965" w:rsidRDefault="000D7196" w:rsidP="000D7196">
            <w:r w:rsidRPr="006C7965">
              <w:t>−10.77**</w:t>
            </w:r>
            <w:r>
              <w:t xml:space="preserve"> </w:t>
            </w:r>
            <w:r w:rsidRPr="006C7965">
              <w:t>(−2.46)</w:t>
            </w:r>
          </w:p>
        </w:tc>
      </w:tr>
      <w:tr w:rsidR="000D7196" w:rsidRPr="006C7965" w14:paraId="0FD38A55" w14:textId="77777777" w:rsidTr="00C154A3">
        <w:trPr>
          <w:trHeight w:val="288"/>
        </w:trPr>
        <w:tc>
          <w:tcPr>
            <w:tcW w:w="0" w:type="auto"/>
            <w:hideMark/>
          </w:tcPr>
          <w:p w14:paraId="7AC9FD98" w14:textId="77777777" w:rsidR="000D7196" w:rsidRPr="006C7965" w:rsidRDefault="000D7196" w:rsidP="006C7965">
            <w:r w:rsidRPr="006C7965">
              <w:t>Change in fund balance in governmental funds</w:t>
            </w:r>
          </w:p>
        </w:tc>
        <w:tc>
          <w:tcPr>
            <w:tcW w:w="0" w:type="auto"/>
            <w:hideMark/>
          </w:tcPr>
          <w:p w14:paraId="3212A1BC" w14:textId="05580EF6" w:rsidR="000D7196" w:rsidRPr="006C7965" w:rsidRDefault="000D7196" w:rsidP="000D7196">
            <w:r w:rsidRPr="006C7965">
              <w:t>−0.37</w:t>
            </w:r>
            <w:r>
              <w:t xml:space="preserve"> </w:t>
            </w:r>
            <w:r w:rsidRPr="006C7965">
              <w:t>(−0.20)</w:t>
            </w:r>
          </w:p>
        </w:tc>
      </w:tr>
      <w:tr w:rsidR="000D7196" w:rsidRPr="006C7965" w14:paraId="3EFE557E" w14:textId="77777777" w:rsidTr="00C154A3">
        <w:trPr>
          <w:trHeight w:val="288"/>
        </w:trPr>
        <w:tc>
          <w:tcPr>
            <w:tcW w:w="0" w:type="auto"/>
            <w:hideMark/>
          </w:tcPr>
          <w:p w14:paraId="5FF636B2" w14:textId="77777777" w:rsidR="000D7196" w:rsidRPr="006C7965" w:rsidRDefault="000D7196" w:rsidP="006C7965">
            <w:r w:rsidRPr="006C7965">
              <w:t>GAAP</w:t>
            </w:r>
          </w:p>
        </w:tc>
        <w:tc>
          <w:tcPr>
            <w:tcW w:w="0" w:type="auto"/>
            <w:hideMark/>
          </w:tcPr>
          <w:p w14:paraId="039D276E" w14:textId="1D429D7E" w:rsidR="000D7196" w:rsidRPr="006C7965" w:rsidRDefault="000D7196" w:rsidP="000D7196">
            <w:r w:rsidRPr="006C7965">
              <w:t>0.51</w:t>
            </w:r>
            <w:r>
              <w:t xml:space="preserve"> </w:t>
            </w:r>
            <w:r w:rsidRPr="006C7965">
              <w:t>(0.45)</w:t>
            </w:r>
          </w:p>
        </w:tc>
      </w:tr>
      <w:tr w:rsidR="000D7196" w:rsidRPr="006C7965" w14:paraId="7CFB52FC" w14:textId="77777777" w:rsidTr="00C154A3">
        <w:trPr>
          <w:trHeight w:val="288"/>
        </w:trPr>
        <w:tc>
          <w:tcPr>
            <w:tcW w:w="0" w:type="auto"/>
            <w:hideMark/>
          </w:tcPr>
          <w:p w14:paraId="34E7ADC8" w14:textId="77777777" w:rsidR="000D7196" w:rsidRPr="006C7965" w:rsidRDefault="000D7196" w:rsidP="006C7965">
            <w:r w:rsidRPr="006C7965">
              <w:t>Intercept</w:t>
            </w:r>
          </w:p>
        </w:tc>
        <w:tc>
          <w:tcPr>
            <w:tcW w:w="0" w:type="auto"/>
            <w:hideMark/>
          </w:tcPr>
          <w:p w14:paraId="3702AEDE" w14:textId="5B6602A5" w:rsidR="000D7196" w:rsidRPr="006C7965" w:rsidRDefault="000D7196" w:rsidP="000D7196">
            <w:r w:rsidRPr="006C7965">
              <w:t>55.09**</w:t>
            </w:r>
            <w:r>
              <w:t xml:space="preserve"> </w:t>
            </w:r>
            <w:r w:rsidRPr="006C7965">
              <w:t>(2.56)</w:t>
            </w:r>
          </w:p>
        </w:tc>
      </w:tr>
      <w:tr w:rsidR="006C7965" w:rsidRPr="006C7965" w14:paraId="0597841B" w14:textId="77777777" w:rsidTr="00C154A3">
        <w:trPr>
          <w:trHeight w:val="288"/>
        </w:trPr>
        <w:tc>
          <w:tcPr>
            <w:tcW w:w="0" w:type="auto"/>
            <w:hideMark/>
          </w:tcPr>
          <w:p w14:paraId="269E9427" w14:textId="77777777" w:rsidR="006C7965" w:rsidRPr="006C7965" w:rsidRDefault="006C7965" w:rsidP="006C7965">
            <w:r w:rsidRPr="006C7965">
              <w:t>Number of observations</w:t>
            </w:r>
          </w:p>
        </w:tc>
        <w:tc>
          <w:tcPr>
            <w:tcW w:w="0" w:type="auto"/>
            <w:hideMark/>
          </w:tcPr>
          <w:p w14:paraId="2CA65F01" w14:textId="77777777" w:rsidR="006C7965" w:rsidRPr="006C7965" w:rsidRDefault="006C7965" w:rsidP="006C7965">
            <w:r w:rsidRPr="006C7965">
              <w:t>221</w:t>
            </w:r>
          </w:p>
        </w:tc>
      </w:tr>
      <w:tr w:rsidR="006C7965" w:rsidRPr="006C7965" w14:paraId="0C132E0D" w14:textId="77777777" w:rsidTr="00C154A3">
        <w:trPr>
          <w:trHeight w:val="288"/>
        </w:trPr>
        <w:tc>
          <w:tcPr>
            <w:tcW w:w="0" w:type="auto"/>
            <w:hideMark/>
          </w:tcPr>
          <w:p w14:paraId="20B3B203" w14:textId="77777777" w:rsidR="006C7965" w:rsidRPr="006C7965" w:rsidRDefault="006C7965" w:rsidP="006C7965">
            <w:r w:rsidRPr="006C7965">
              <w:t>Adjusted </w:t>
            </w:r>
            <w:r w:rsidRPr="006C7965">
              <w:rPr>
                <w:i/>
                <w:iCs/>
              </w:rPr>
              <w:t>R</w:t>
            </w:r>
            <w:r w:rsidRPr="006C7965">
              <w:t>-squared</w:t>
            </w:r>
          </w:p>
        </w:tc>
        <w:tc>
          <w:tcPr>
            <w:tcW w:w="0" w:type="auto"/>
            <w:hideMark/>
          </w:tcPr>
          <w:p w14:paraId="28C0EB64" w14:textId="77777777" w:rsidR="006C7965" w:rsidRPr="006C7965" w:rsidRDefault="006C7965" w:rsidP="006C7965">
            <w:r w:rsidRPr="006C7965">
              <w:t>0.33</w:t>
            </w:r>
          </w:p>
        </w:tc>
      </w:tr>
    </w:tbl>
    <w:p w14:paraId="56DA7094" w14:textId="77EA5731" w:rsidR="006C7965" w:rsidRPr="006C7965" w:rsidRDefault="006C7965" w:rsidP="00C154A3">
      <w:pPr>
        <w:pStyle w:val="NoSpacing"/>
      </w:pPr>
      <w:r w:rsidRPr="006C7965">
        <w:rPr>
          <w:b/>
          <w:bCs/>
        </w:rPr>
        <w:t>Note(s):</w:t>
      </w:r>
      <w:r w:rsidRPr="006C7965">
        <w:t> *, ** and *** indicate significance at </w:t>
      </w:r>
      <w:r w:rsidRPr="006C7965">
        <w:rPr>
          <w:i/>
          <w:iCs/>
        </w:rPr>
        <w:t>p</w:t>
      </w:r>
      <w:r w:rsidRPr="006C7965">
        <w:t> &lt; 0.10, 0.05 and 01; robust t-statistics are reported in parentheses, with standard errors clustered by municipality following procedures outlined by </w:t>
      </w:r>
      <w:r w:rsidRPr="007A181E">
        <w:t>Rogers (1993)</w:t>
      </w:r>
      <w:r w:rsidRPr="006C7965">
        <w:t xml:space="preserve">. Year-fixed effects are included but not </w:t>
      </w:r>
      <w:proofErr w:type="gramStart"/>
      <w:r w:rsidRPr="006C7965">
        <w:t>reported</w:t>
      </w:r>
      <w:proofErr w:type="gramEnd"/>
    </w:p>
    <w:p w14:paraId="36456AE5" w14:textId="77777777" w:rsidR="00C154A3" w:rsidRDefault="00C154A3" w:rsidP="006C7965"/>
    <w:p w14:paraId="151DBF07" w14:textId="00DDFFAA" w:rsidR="006C7965" w:rsidRPr="006C7965" w:rsidRDefault="006C7965" w:rsidP="006C7965">
      <w:r w:rsidRPr="006C7965">
        <w:t>This table presents logit regression estimates based on </w:t>
      </w:r>
      <w:r w:rsidRPr="007A181E">
        <w:t>Equation (2)</w:t>
      </w:r>
      <w:r w:rsidRPr="006C7965">
        <w:t>, where the dependent variable, </w:t>
      </w:r>
      <w:r w:rsidRPr="006C7965">
        <w:rPr>
          <w:i/>
          <w:iCs/>
        </w:rPr>
        <w:t>rating split</w:t>
      </w:r>
      <w:r w:rsidRPr="006C7965">
        <w:t>, is an indicator variable that takes the value of one when Moody's, Fitch and Standard and Poor' issue conflicting ratings and zero otherwise. Variables are described in </w:t>
      </w:r>
      <w:r w:rsidRPr="007A181E">
        <w:t>Table 2</w:t>
      </w:r>
      <w:r w:rsidRPr="006C7965">
        <w:t>, except for </w:t>
      </w:r>
      <w:r w:rsidRPr="006C7965">
        <w:rPr>
          <w:i/>
          <w:iCs/>
        </w:rPr>
        <w:t>unemployment</w:t>
      </w:r>
      <w:r w:rsidRPr="006C7965">
        <w:t xml:space="preserve">, which is the unemployment rate </w:t>
      </w:r>
      <w:proofErr w:type="gramStart"/>
      <w:r w:rsidRPr="006C7965">
        <w:t>in a given</w:t>
      </w:r>
      <w:proofErr w:type="gramEnd"/>
      <w:r w:rsidRPr="006C7965">
        <w:t xml:space="preserve"> municipality. </w:t>
      </w:r>
      <w:r w:rsidRPr="006C7965">
        <w:rPr>
          <w:i/>
          <w:iCs/>
        </w:rPr>
        <w:t>Population</w:t>
      </w:r>
      <w:r w:rsidRPr="006C7965">
        <w:t> and </w:t>
      </w:r>
      <w:r w:rsidRPr="006C7965">
        <w:rPr>
          <w:i/>
          <w:iCs/>
        </w:rPr>
        <w:t>median income</w:t>
      </w:r>
      <w:r w:rsidRPr="006C7965">
        <w:t xml:space="preserve">, which are included at logged </w:t>
      </w:r>
      <w:proofErr w:type="gramStart"/>
      <w:r w:rsidRPr="006C7965">
        <w:t>values</w:t>
      </w:r>
      <w:proofErr w:type="gramEnd"/>
    </w:p>
    <w:p w14:paraId="31361A2E" w14:textId="77777777" w:rsidR="006C7965" w:rsidRPr="006C7965" w:rsidRDefault="006C7965" w:rsidP="00C154A3">
      <w:pPr>
        <w:pStyle w:val="Heading1"/>
      </w:pPr>
      <w:r w:rsidRPr="006C7965">
        <w:t>Notes</w:t>
      </w:r>
    </w:p>
    <w:p w14:paraId="5676EDB3" w14:textId="1D38D213" w:rsidR="006C7965" w:rsidRPr="006C7965" w:rsidRDefault="006C7965" w:rsidP="006C7965">
      <w:r w:rsidRPr="006C7965">
        <w:t>1.</w:t>
      </w:r>
      <w:r w:rsidR="00C154A3">
        <w:t xml:space="preserve"> </w:t>
      </w:r>
      <w:r w:rsidRPr="007A181E">
        <w:t>Rich </w:t>
      </w:r>
      <w:r w:rsidRPr="007A181E">
        <w:rPr>
          <w:i/>
          <w:iCs/>
        </w:rPr>
        <w:t>et al.</w:t>
      </w:r>
      <w:r w:rsidRPr="007A181E">
        <w:t> (2021)</w:t>
      </w:r>
      <w:r w:rsidRPr="006C7965">
        <w:t> determine that municipal MD&amp;A content changes vary directly with relevant financial and organizational events, such as changes in fund balance from governmental funds, auditor turnover and changes in unemployment.</w:t>
      </w:r>
    </w:p>
    <w:p w14:paraId="629AA33D" w14:textId="19ED2D5A" w:rsidR="006C7965" w:rsidRPr="006C7965" w:rsidRDefault="006C7965" w:rsidP="006C7965">
      <w:r w:rsidRPr="006C7965">
        <w:lastRenderedPageBreak/>
        <w:t>2.</w:t>
      </w:r>
      <w:r w:rsidR="00C154A3">
        <w:t xml:space="preserve"> </w:t>
      </w:r>
      <w:r w:rsidRPr="006C7965">
        <w:t>These MD&amp;A sections can be quite lengthy. Our sample average is approximately 5,000 words for each MD&amp;A. The minimum (maximum) MD&amp;A word count is 2,652 (8,286). The mean (median) is 4,979 (4,803), while the standard deviation is 1,226.</w:t>
      </w:r>
    </w:p>
    <w:p w14:paraId="6898F181" w14:textId="0EDE9AEF" w:rsidR="006C7965" w:rsidRPr="006C7965" w:rsidRDefault="006C7965" w:rsidP="006C7965">
      <w:r w:rsidRPr="006C7965">
        <w:t>3.</w:t>
      </w:r>
      <w:r w:rsidR="00C154A3">
        <w:t xml:space="preserve"> </w:t>
      </w:r>
      <w:r w:rsidRPr="006C7965">
        <w:t>We also made sure that each file was “machine readable” and used optical character recognition (OCR) capabilities in Adobe Acrobat Professional as necessary. A further description of the LIWC methodology is available at </w:t>
      </w:r>
      <w:r w:rsidRPr="007A181E">
        <w:t>https://liwc.wpengine.com/how-it-works/</w:t>
      </w:r>
      <w:r w:rsidRPr="006C7965">
        <w:t>.</w:t>
      </w:r>
    </w:p>
    <w:p w14:paraId="1B8E166D" w14:textId="1A1AFD1B" w:rsidR="006C7965" w:rsidRPr="006C7965" w:rsidRDefault="006C7965" w:rsidP="006C7965">
      <w:r w:rsidRPr="006C7965">
        <w:t>4.</w:t>
      </w:r>
      <w:r w:rsidR="00C154A3">
        <w:t xml:space="preserve"> </w:t>
      </w:r>
      <w:r w:rsidRPr="006C7965">
        <w:t>For reference, our sample's top five positive words are “improvements”, “progress”, “improving”, “better” and “positive”, while the top five negative words are “questions”, “deteriorating”, “liquidate”, “uncollected” and “poor”.</w:t>
      </w:r>
    </w:p>
    <w:p w14:paraId="3B62602A" w14:textId="5D03BD12" w:rsidR="006C7965" w:rsidRPr="006C7965" w:rsidRDefault="006C7965" w:rsidP="006C7965">
      <w:r w:rsidRPr="006C7965">
        <w:t>5.</w:t>
      </w:r>
      <w:r w:rsidR="00C154A3">
        <w:t xml:space="preserve"> </w:t>
      </w:r>
      <w:r w:rsidRPr="006C7965">
        <w:t xml:space="preserve">These measures come directly from the LIWC software, which reads words one at a time and </w:t>
      </w:r>
      <w:proofErr w:type="gramStart"/>
      <w:r w:rsidRPr="006C7965">
        <w:t>compares</w:t>
      </w:r>
      <w:proofErr w:type="gramEnd"/>
      <w:r w:rsidRPr="006C7965">
        <w:t xml:space="preserve"> to a specified dictionary while also accumulating other statistics such as word counts. Further details are available at </w:t>
      </w:r>
      <w:r w:rsidRPr="007A181E">
        <w:t>http://liwc.wpengine.com/wp-content/uploads/2015/11/LIWC2015_LanguageManual.pdf</w:t>
      </w:r>
      <w:r w:rsidRPr="006C7965">
        <w:t>.</w:t>
      </w:r>
    </w:p>
    <w:p w14:paraId="27759AB7" w14:textId="7C397D36" w:rsidR="006C7965" w:rsidRPr="006C7965" w:rsidRDefault="006C7965" w:rsidP="006C7965">
      <w:r w:rsidRPr="006C7965">
        <w:t>6.</w:t>
      </w:r>
      <w:r w:rsidR="00C154A3">
        <w:t xml:space="preserve"> </w:t>
      </w:r>
      <w:r w:rsidRPr="006C7965">
        <w:t>For example, if a municipality has a CPA signing date of December 1, 2013 for its fiscal year 2013 CAFR and a CPA signing date of December 15, 2014 for its fiscal year 2014 CAFR, then all bond issuances between December 1, 2013 and December 15, 2014 would be matched with the municipality's fiscal year 2013 CAFR information. Thus, CAFR information is from year (</w:t>
      </w:r>
      <w:r w:rsidRPr="006C7965">
        <w:rPr>
          <w:i/>
          <w:iCs/>
        </w:rPr>
        <w:t>t</w:t>
      </w:r>
      <w:r w:rsidRPr="006C7965">
        <w:t>) and bond characteristics are from year (</w:t>
      </w:r>
      <w:r w:rsidRPr="006C7965">
        <w:rPr>
          <w:i/>
          <w:iCs/>
        </w:rPr>
        <w:t>t+1</w:t>
      </w:r>
      <w:r w:rsidRPr="006C7965">
        <w:t>).</w:t>
      </w:r>
    </w:p>
    <w:p w14:paraId="258B65F5" w14:textId="38406EFF" w:rsidR="006C7965" w:rsidRPr="006C7965" w:rsidRDefault="006C7965" w:rsidP="006C7965">
      <w:r w:rsidRPr="006C7965">
        <w:t>7.</w:t>
      </w:r>
      <w:r w:rsidR="00C154A3">
        <w:t xml:space="preserve"> </w:t>
      </w:r>
      <w:r w:rsidRPr="006C7965">
        <w:t>The final sample's 446 bond issues (21.8% of the 2,048 issues initially gathered from our sample of municipalities) are distributed as follows (number of issues): 2012 (95), 2013 (128), 2014 (74), 2015 (78) and 2016 (71). While we realize that our sample size is small, it is consistent with the current literature (</w:t>
      </w:r>
      <w:proofErr w:type="gramStart"/>
      <w:r w:rsidRPr="006C7965">
        <w:t>e.g.</w:t>
      </w:r>
      <w:proofErr w:type="gramEnd"/>
      <w:r w:rsidRPr="006C7965">
        <w:t> </w:t>
      </w:r>
      <w:r w:rsidRPr="007A181E">
        <w:t>Reck and Wilson, 2014</w:t>
      </w:r>
      <w:r w:rsidRPr="006C7965">
        <w:t>; </w:t>
      </w:r>
      <w:r w:rsidRPr="007A181E">
        <w:t xml:space="preserve">Callahan and </w:t>
      </w:r>
      <w:proofErr w:type="spellStart"/>
      <w:r w:rsidRPr="007A181E">
        <w:t>Waymire</w:t>
      </w:r>
      <w:proofErr w:type="spellEnd"/>
      <w:r w:rsidRPr="007A181E">
        <w:t>, 2015</w:t>
      </w:r>
      <w:r w:rsidRPr="006C7965">
        <w:t>).</w:t>
      </w:r>
    </w:p>
    <w:p w14:paraId="12D49836" w14:textId="4CC6B6D5" w:rsidR="006C7965" w:rsidRPr="006C7965" w:rsidRDefault="006C7965" w:rsidP="006C7965">
      <w:r w:rsidRPr="006C7965">
        <w:t>8.</w:t>
      </w:r>
      <w:r w:rsidR="00C154A3">
        <w:t xml:space="preserve"> </w:t>
      </w:r>
      <w:r w:rsidRPr="006C7965">
        <w:t xml:space="preserve">The complete set of specific bond rating ordinal measures (number of issues in our sample) is as follows: </w:t>
      </w:r>
      <w:proofErr w:type="spellStart"/>
      <w:r w:rsidRPr="006C7965">
        <w:t>Aaa</w:t>
      </w:r>
      <w:proofErr w:type="spellEnd"/>
      <w:r w:rsidRPr="006C7965">
        <w:t> = 1(121), Aa1 = 2(92), Aa2 = 3(141), Aa3 = 4(64), </w:t>
      </w:r>
      <w:r w:rsidRPr="006C7965">
        <w:rPr>
          <w:i/>
          <w:iCs/>
        </w:rPr>
        <w:t>A</w:t>
      </w:r>
      <w:r w:rsidRPr="006C7965">
        <w:t>1 = 5(14), </w:t>
      </w:r>
      <w:r w:rsidRPr="006C7965">
        <w:rPr>
          <w:i/>
          <w:iCs/>
        </w:rPr>
        <w:t>A</w:t>
      </w:r>
      <w:r w:rsidRPr="006C7965">
        <w:t>2 = 6(7), </w:t>
      </w:r>
      <w:r w:rsidRPr="006C7965">
        <w:rPr>
          <w:i/>
          <w:iCs/>
        </w:rPr>
        <w:t>A</w:t>
      </w:r>
      <w:r w:rsidRPr="006C7965">
        <w:t>3 = 7(5), Baa1 = 8(0), Baa2 = 9(2), Baa3 = 10(0), Ba1 = 11(0), Ba2 = 12(0), Ba3 = 13(0), </w:t>
      </w:r>
      <w:r w:rsidRPr="006C7965">
        <w:rPr>
          <w:i/>
          <w:iCs/>
        </w:rPr>
        <w:t>B</w:t>
      </w:r>
      <w:r w:rsidRPr="006C7965">
        <w:t>1 = 14(0), </w:t>
      </w:r>
      <w:r w:rsidRPr="006C7965">
        <w:rPr>
          <w:i/>
          <w:iCs/>
        </w:rPr>
        <w:t>B</w:t>
      </w:r>
      <w:r w:rsidRPr="006C7965">
        <w:t>2 = 15(0), </w:t>
      </w:r>
      <w:r w:rsidRPr="006C7965">
        <w:rPr>
          <w:i/>
          <w:iCs/>
        </w:rPr>
        <w:t>B</w:t>
      </w:r>
      <w:r w:rsidRPr="006C7965">
        <w:t>3 = 16(0), Caa1 = 17(0), Caa2 = 18(0), Caa3 = 19(0), Ca = 20(0) and C = 21(0).</w:t>
      </w:r>
    </w:p>
    <w:p w14:paraId="2B84D12B" w14:textId="274DC703" w:rsidR="006C7965" w:rsidRPr="006C7965" w:rsidRDefault="006C7965" w:rsidP="006C7965">
      <w:r w:rsidRPr="006C7965">
        <w:t>9.</w:t>
      </w:r>
      <w:r w:rsidR="00C154A3">
        <w:t xml:space="preserve"> </w:t>
      </w:r>
      <w:r w:rsidRPr="006C7965">
        <w:t>Note that values for </w:t>
      </w:r>
      <w:r w:rsidRPr="006C7965">
        <w:rPr>
          <w:i/>
          <w:iCs/>
        </w:rPr>
        <w:t>bond rating</w:t>
      </w:r>
      <w:r w:rsidRPr="006C7965">
        <w:t> increase as creditworthiness decreases.</w:t>
      </w:r>
    </w:p>
    <w:p w14:paraId="7761DDD4" w14:textId="23217C5B" w:rsidR="006C7965" w:rsidRPr="006C7965" w:rsidRDefault="006C7965" w:rsidP="006C7965">
      <w:r w:rsidRPr="006C7965">
        <w:t>10.</w:t>
      </w:r>
      <w:r w:rsidR="00C154A3">
        <w:t xml:space="preserve"> </w:t>
      </w:r>
      <w:r w:rsidRPr="006C7965">
        <w:t>We also read through a sample of 20 random MD&amp;A sections to validate that there is coverage of key items such as changes in net position, budget variances, capital assets and debt. Each of these MD&amp;As included such coverage, which supports the conclusion that useful information is included.</w:t>
      </w:r>
    </w:p>
    <w:p w14:paraId="7FD10DF7" w14:textId="4A595F09" w:rsidR="006C7965" w:rsidRPr="006C7965" w:rsidRDefault="006C7965" w:rsidP="006C7965">
      <w:r w:rsidRPr="006C7965">
        <w:t>11.</w:t>
      </w:r>
      <w:r w:rsidR="00C154A3">
        <w:t xml:space="preserve"> </w:t>
      </w:r>
      <w:r w:rsidRPr="006C7965">
        <w:t>The standardized coefficient for </w:t>
      </w:r>
      <w:r w:rsidRPr="006C7965">
        <w:rPr>
          <w:i/>
          <w:iCs/>
        </w:rPr>
        <w:t>negative</w:t>
      </w:r>
      <w:r w:rsidRPr="006C7965">
        <w:t> is calculated by multiplying the unstandardized </w:t>
      </w:r>
      <w:r w:rsidRPr="006C7965">
        <w:rPr>
          <w:i/>
          <w:iCs/>
        </w:rPr>
        <w:t>negative</w:t>
      </w:r>
      <w:r w:rsidRPr="006C7965">
        <w:t> coefficient by the ratio of the </w:t>
      </w:r>
      <w:r w:rsidRPr="006C7965">
        <w:rPr>
          <w:i/>
          <w:iCs/>
        </w:rPr>
        <w:t>negative</w:t>
      </w:r>
      <w:r w:rsidRPr="006C7965">
        <w:t> standard deviation to the </w:t>
      </w:r>
      <w:r w:rsidRPr="006C7965">
        <w:rPr>
          <w:i/>
          <w:iCs/>
        </w:rPr>
        <w:t>TIC</w:t>
      </w:r>
      <w:r w:rsidRPr="006C7965">
        <w:t> standard deviation. In our case, 0.53 x (0.151 / 0.852) = 0.094. For comparison to other research findings regarding factors affecting </w:t>
      </w:r>
      <w:r w:rsidRPr="006C7965">
        <w:rPr>
          <w:i/>
          <w:iCs/>
        </w:rPr>
        <w:t>TIC</w:t>
      </w:r>
      <w:r w:rsidRPr="006C7965">
        <w:t>, our nine-basis point increase to </w:t>
      </w:r>
      <w:r w:rsidRPr="006C7965">
        <w:rPr>
          <w:i/>
          <w:iCs/>
        </w:rPr>
        <w:t>TIC</w:t>
      </w:r>
      <w:r w:rsidRPr="006C7965">
        <w:t> per 1 standard deviation increase in </w:t>
      </w:r>
      <w:r w:rsidRPr="006C7965">
        <w:rPr>
          <w:i/>
          <w:iCs/>
        </w:rPr>
        <w:t>negative</w:t>
      </w:r>
      <w:r w:rsidRPr="006C7965">
        <w:t> tone is similar in magnitude to factors such as a bond issue from a municipality in a state with above-median gross product per capita (coefficient 0.12) (</w:t>
      </w:r>
      <w:r w:rsidRPr="007A181E">
        <w:t>Baber and Gore, 2008</w:t>
      </w:r>
      <w:r w:rsidRPr="006C7965">
        <w:t>) and a bond issue from a local government with a one percentage point increase in poverty rate (coefficients between 0.095 and 0.165) (</w:t>
      </w:r>
      <w:r w:rsidRPr="007A181E">
        <w:t>Marlowe, 2010</w:t>
      </w:r>
      <w:r w:rsidRPr="006C7965">
        <w:t>).</w:t>
      </w:r>
    </w:p>
    <w:p w14:paraId="4AA73B45" w14:textId="0B9F45F7" w:rsidR="006C7965" w:rsidRPr="006C7965" w:rsidRDefault="006C7965" w:rsidP="006C7965">
      <w:r w:rsidRPr="006C7965">
        <w:t>12.</w:t>
      </w:r>
      <w:r w:rsidR="00C154A3">
        <w:t xml:space="preserve"> </w:t>
      </w:r>
      <w:r w:rsidRPr="006C7965">
        <w:t>The overall correctly classified observations is 71.0%. This means our logit model can correctly classify our dependent variable, </w:t>
      </w:r>
      <w:r w:rsidRPr="006C7965">
        <w:rPr>
          <w:i/>
          <w:iCs/>
        </w:rPr>
        <w:t>rating split</w:t>
      </w:r>
      <w:r w:rsidRPr="006C7965">
        <w:t xml:space="preserve">, 71.0% of the time. The sensitivity (true positive rate) and specificity (true negative rate) is 83.7 and 55.1%, respectively, </w:t>
      </w:r>
      <w:proofErr w:type="gramStart"/>
      <w:r w:rsidRPr="006C7965">
        <w:t>when</w:t>
      </w:r>
      <w:proofErr w:type="gramEnd"/>
      <w:r w:rsidRPr="006C7965">
        <w:t xml:space="preserve"> the probability level is 0.38.</w:t>
      </w:r>
    </w:p>
    <w:p w14:paraId="7FDCD351" w14:textId="2AE3C89E" w:rsidR="006C7965" w:rsidRPr="006C7965" w:rsidRDefault="006C7965" w:rsidP="006C7965">
      <w:r w:rsidRPr="006C7965">
        <w:t>13.</w:t>
      </w:r>
      <w:r w:rsidR="00C154A3">
        <w:t xml:space="preserve"> </w:t>
      </w:r>
      <w:r w:rsidRPr="006C7965">
        <w:t>Our expectations models consist of </w:t>
      </w:r>
      <w:proofErr w:type="spellStart"/>
      <w:r w:rsidRPr="006C7965">
        <w:rPr>
          <w:i/>
          <w:iCs/>
        </w:rPr>
        <w:t>Positive</w:t>
      </w:r>
      <w:r w:rsidRPr="006C7965">
        <w:rPr>
          <w:i/>
          <w:iCs/>
          <w:vertAlign w:val="subscript"/>
        </w:rPr>
        <w:t>i,t</w:t>
      </w:r>
      <w:proofErr w:type="spellEnd"/>
      <w:r w:rsidRPr="006C7965">
        <w:t> </w:t>
      </w:r>
      <w:r w:rsidRPr="006C7965">
        <w:rPr>
          <w:i/>
          <w:iCs/>
        </w:rPr>
        <w:t>(</w:t>
      </w:r>
      <w:proofErr w:type="spellStart"/>
      <w:r w:rsidRPr="006C7965">
        <w:rPr>
          <w:i/>
          <w:iCs/>
        </w:rPr>
        <w:t>Negative</w:t>
      </w:r>
      <w:r w:rsidRPr="006C7965">
        <w:rPr>
          <w:i/>
          <w:iCs/>
          <w:vertAlign w:val="subscript"/>
        </w:rPr>
        <w:t>i,t</w:t>
      </w:r>
      <w:proofErr w:type="spellEnd"/>
      <w:r w:rsidRPr="006C7965">
        <w:rPr>
          <w:i/>
          <w:iCs/>
        </w:rPr>
        <w:t>) = γ</w:t>
      </w:r>
      <w:r w:rsidRPr="006C7965">
        <w:rPr>
          <w:i/>
          <w:iCs/>
          <w:vertAlign w:val="subscript"/>
        </w:rPr>
        <w:t>0</w:t>
      </w:r>
      <w:r w:rsidRPr="006C7965">
        <w:t> </w:t>
      </w:r>
      <w:r w:rsidRPr="006C7965">
        <w:rPr>
          <w:i/>
          <w:iCs/>
        </w:rPr>
        <w:t>+ γ</w:t>
      </w:r>
      <w:r w:rsidRPr="006C7965">
        <w:rPr>
          <w:i/>
          <w:iCs/>
          <w:vertAlign w:val="subscript"/>
        </w:rPr>
        <w:t>1</w:t>
      </w:r>
      <w:r w:rsidRPr="006C7965">
        <w:rPr>
          <w:i/>
          <w:iCs/>
        </w:rPr>
        <w:t>population</w:t>
      </w:r>
      <w:r w:rsidRPr="006C7965">
        <w:rPr>
          <w:i/>
          <w:iCs/>
          <w:vertAlign w:val="subscript"/>
        </w:rPr>
        <w:t>i,t</w:t>
      </w:r>
      <w:r w:rsidRPr="006C7965">
        <w:t> </w:t>
      </w:r>
      <w:r w:rsidRPr="006C7965">
        <w:rPr>
          <w:i/>
          <w:iCs/>
        </w:rPr>
        <w:t>+ γ</w:t>
      </w:r>
      <w:r w:rsidRPr="006C7965">
        <w:rPr>
          <w:i/>
          <w:iCs/>
          <w:vertAlign w:val="subscript"/>
        </w:rPr>
        <w:t>2</w:t>
      </w:r>
      <w:r w:rsidRPr="006C7965">
        <w:rPr>
          <w:i/>
          <w:iCs/>
        </w:rPr>
        <w:t xml:space="preserve">population </w:t>
      </w:r>
      <w:proofErr w:type="spellStart"/>
      <w:r w:rsidRPr="006C7965">
        <w:rPr>
          <w:i/>
          <w:iCs/>
        </w:rPr>
        <w:t>growth</w:t>
      </w:r>
      <w:r w:rsidRPr="006C7965">
        <w:rPr>
          <w:i/>
          <w:iCs/>
          <w:vertAlign w:val="subscript"/>
        </w:rPr>
        <w:t>i,t</w:t>
      </w:r>
      <w:proofErr w:type="spellEnd"/>
      <w:r w:rsidRPr="006C7965">
        <w:t> </w:t>
      </w:r>
      <w:r w:rsidRPr="006C7965">
        <w:rPr>
          <w:i/>
          <w:iCs/>
        </w:rPr>
        <w:t>+ γ</w:t>
      </w:r>
      <w:r w:rsidRPr="006C7965">
        <w:rPr>
          <w:i/>
          <w:iCs/>
          <w:vertAlign w:val="subscript"/>
        </w:rPr>
        <w:t>3</w:t>
      </w:r>
      <w:r w:rsidRPr="006C7965">
        <w:rPr>
          <w:i/>
          <w:iCs/>
        </w:rPr>
        <w:t xml:space="preserve">general fund </w:t>
      </w:r>
      <w:proofErr w:type="spellStart"/>
      <w:r w:rsidRPr="006C7965">
        <w:rPr>
          <w:i/>
          <w:iCs/>
        </w:rPr>
        <w:t>deficit</w:t>
      </w:r>
      <w:r w:rsidRPr="006C7965">
        <w:rPr>
          <w:i/>
          <w:iCs/>
          <w:vertAlign w:val="subscript"/>
        </w:rPr>
        <w:t>i,t</w:t>
      </w:r>
      <w:proofErr w:type="spellEnd"/>
      <w:r w:rsidRPr="006C7965">
        <w:t> </w:t>
      </w:r>
      <w:r w:rsidRPr="006C7965">
        <w:rPr>
          <w:i/>
          <w:iCs/>
        </w:rPr>
        <w:t xml:space="preserve">+ </w:t>
      </w:r>
      <w:proofErr w:type="spellStart"/>
      <w:r w:rsidRPr="006C7965">
        <w:rPr>
          <w:i/>
          <w:iCs/>
        </w:rPr>
        <w:t>ε</w:t>
      </w:r>
      <w:r w:rsidRPr="006C7965">
        <w:rPr>
          <w:i/>
          <w:iCs/>
          <w:vertAlign w:val="subscript"/>
        </w:rPr>
        <w:t>i,t</w:t>
      </w:r>
      <w:proofErr w:type="spellEnd"/>
      <w:r w:rsidRPr="006C7965">
        <w:t>; where </w:t>
      </w:r>
      <w:r w:rsidRPr="006C7965">
        <w:rPr>
          <w:i/>
          <w:iCs/>
        </w:rPr>
        <w:t>population</w:t>
      </w:r>
      <w:r w:rsidRPr="006C7965">
        <w:t> is the log of population for a given city, </w:t>
      </w:r>
      <w:r w:rsidRPr="006C7965">
        <w:rPr>
          <w:i/>
          <w:iCs/>
        </w:rPr>
        <w:t>population growth</w:t>
      </w:r>
      <w:r w:rsidRPr="006C7965">
        <w:t xml:space="preserve"> is the </w:t>
      </w:r>
      <w:r w:rsidRPr="006C7965">
        <w:lastRenderedPageBreak/>
        <w:t>one-year percentage change in population and </w:t>
      </w:r>
      <w:r w:rsidRPr="006C7965">
        <w:rPr>
          <w:i/>
          <w:iCs/>
        </w:rPr>
        <w:t>general fund deficit</w:t>
      </w:r>
      <w:r w:rsidRPr="006C7965">
        <w:t> is an indicator variable equal to one for cities with a general fund deficit in the current year (zero otherwise).</w:t>
      </w:r>
    </w:p>
    <w:p w14:paraId="0EF3A62D" w14:textId="77777777" w:rsidR="006C7965" w:rsidRPr="006C7965" w:rsidRDefault="006C7965" w:rsidP="007A181E">
      <w:pPr>
        <w:pStyle w:val="Heading1"/>
      </w:pPr>
      <w:r w:rsidRPr="006C7965">
        <w:t>References</w:t>
      </w:r>
    </w:p>
    <w:p w14:paraId="343AC572" w14:textId="77777777" w:rsidR="006C7965" w:rsidRPr="006C7965" w:rsidRDefault="006C7965" w:rsidP="007A181E">
      <w:pPr>
        <w:spacing w:after="0"/>
        <w:ind w:left="720" w:hanging="720"/>
      </w:pPr>
      <w:r w:rsidRPr="006C7965">
        <w:t>Agarwal, S., Chen, V.Y.S. and Zhang, W. (2016), “</w:t>
      </w:r>
      <w:r w:rsidRPr="006C7965">
        <w:rPr>
          <w:i/>
          <w:iCs/>
        </w:rPr>
        <w:t>The information value of credit rating action reports: a textual analysis</w:t>
      </w:r>
      <w:r w:rsidRPr="006C7965">
        <w:t>”, Management Science, Vol. 62 No. 8, pp. 2218-2240.</w:t>
      </w:r>
    </w:p>
    <w:p w14:paraId="4DB569A0" w14:textId="77777777" w:rsidR="006C7965" w:rsidRPr="006C7965" w:rsidRDefault="006C7965" w:rsidP="007A181E">
      <w:pPr>
        <w:spacing w:after="0"/>
        <w:ind w:left="720" w:hanging="720"/>
      </w:pPr>
      <w:r w:rsidRPr="006C7965">
        <w:t>Allee, K.D. and </w:t>
      </w:r>
      <w:proofErr w:type="spellStart"/>
      <w:r w:rsidRPr="006C7965">
        <w:t>Deangelis</w:t>
      </w:r>
      <w:proofErr w:type="spellEnd"/>
      <w:r w:rsidRPr="006C7965">
        <w:t>, M.D. (2015), “</w:t>
      </w:r>
      <w:r w:rsidRPr="006C7965">
        <w:rPr>
          <w:i/>
          <w:iCs/>
        </w:rPr>
        <w:t>The structure of voluntary disclosure narratives: evidence from tone dispersion</w:t>
      </w:r>
      <w:r w:rsidRPr="006C7965">
        <w:t>”, Journal of Accounting Research, Vol. 53 No. 2, pp. 241-274.</w:t>
      </w:r>
    </w:p>
    <w:p w14:paraId="43A1F657" w14:textId="77777777" w:rsidR="006C7965" w:rsidRPr="006C7965" w:rsidRDefault="006C7965" w:rsidP="007A181E">
      <w:pPr>
        <w:spacing w:after="0"/>
        <w:ind w:left="720" w:hanging="720"/>
      </w:pPr>
      <w:r w:rsidRPr="006C7965">
        <w:t>Allee, K.D., Do, C. and </w:t>
      </w:r>
      <w:proofErr w:type="spellStart"/>
      <w:r w:rsidRPr="006C7965">
        <w:t>Sterin</w:t>
      </w:r>
      <w:proofErr w:type="spellEnd"/>
      <w:r w:rsidRPr="006C7965">
        <w:t>, M. (2020), Product Market Competition and Disclosure Framing: Evidence from Earnings Conference Calls, Working Paper, University of Arkansas, University of Nevada, Reno, and Texas State University.</w:t>
      </w:r>
    </w:p>
    <w:p w14:paraId="377451EE" w14:textId="77777777" w:rsidR="006C7965" w:rsidRPr="006C7965" w:rsidRDefault="006C7965" w:rsidP="007A181E">
      <w:pPr>
        <w:spacing w:after="0"/>
        <w:ind w:left="720" w:hanging="720"/>
      </w:pPr>
      <w:proofErr w:type="spellStart"/>
      <w:r w:rsidRPr="006C7965">
        <w:t>Apostolou</w:t>
      </w:r>
      <w:proofErr w:type="spellEnd"/>
      <w:r w:rsidRPr="006C7965">
        <w:t>, B., </w:t>
      </w:r>
      <w:proofErr w:type="spellStart"/>
      <w:r w:rsidRPr="006C7965">
        <w:t>Apostolou</w:t>
      </w:r>
      <w:proofErr w:type="spellEnd"/>
      <w:r w:rsidRPr="006C7965">
        <w:t>, N.G. and </w:t>
      </w:r>
      <w:proofErr w:type="spellStart"/>
      <w:r w:rsidRPr="006C7965">
        <w:t>Dorminey</w:t>
      </w:r>
      <w:proofErr w:type="spellEnd"/>
      <w:r w:rsidRPr="006C7965">
        <w:t>, J.W. (2014), “</w:t>
      </w:r>
      <w:r w:rsidRPr="006C7965">
        <w:rPr>
          <w:i/>
          <w:iCs/>
        </w:rPr>
        <w:t>The association of departures from spending rate equilibrium to municipal borrowing cost</w:t>
      </w:r>
      <w:r w:rsidRPr="006C7965">
        <w:t>”, Advances in Accounting, incorporating Advances in International Accounting, Vol. 30 No. 1, pp. 1-8.</w:t>
      </w:r>
    </w:p>
    <w:p w14:paraId="0477E7A3" w14:textId="77777777" w:rsidR="006C7965" w:rsidRPr="006C7965" w:rsidRDefault="006C7965" w:rsidP="007A181E">
      <w:pPr>
        <w:spacing w:after="0"/>
        <w:ind w:left="720" w:hanging="720"/>
      </w:pPr>
      <w:r w:rsidRPr="006C7965">
        <w:t>Baber, </w:t>
      </w:r>
      <w:proofErr w:type="gramStart"/>
      <w:r w:rsidRPr="006C7965">
        <w:t>W.R.</w:t>
      </w:r>
      <w:proofErr w:type="gramEnd"/>
      <w:r w:rsidRPr="006C7965">
        <w:t> and Gore, A.K. (2008), “</w:t>
      </w:r>
      <w:r w:rsidRPr="006C7965">
        <w:rPr>
          <w:i/>
          <w:iCs/>
        </w:rPr>
        <w:t>Consequences of GAAP disclosure regulation: evidence from municipal debt issues</w:t>
      </w:r>
      <w:r w:rsidRPr="006C7965">
        <w:t>”, The Accounting Review, Vol. 83 No. 3, pp. 565-591.</w:t>
      </w:r>
    </w:p>
    <w:p w14:paraId="06FE1955" w14:textId="77777777" w:rsidR="006C7965" w:rsidRPr="006C7965" w:rsidRDefault="006C7965" w:rsidP="007A181E">
      <w:pPr>
        <w:spacing w:after="0"/>
        <w:ind w:left="720" w:hanging="720"/>
      </w:pPr>
      <w:r w:rsidRPr="006C7965">
        <w:t>Baber, W.R., Gore, A.K., Rich, K.T. and Zhang, J.X. (2013), “</w:t>
      </w:r>
      <w:r w:rsidRPr="006C7965">
        <w:rPr>
          <w:i/>
          <w:iCs/>
        </w:rPr>
        <w:t>Accounting restatements, governance and municipal debt financing</w:t>
      </w:r>
      <w:r w:rsidRPr="006C7965">
        <w:t>”, Journal of Accounting and Economics, Vol. 56 Nos 2-3, pp. 212-227.</w:t>
      </w:r>
    </w:p>
    <w:p w14:paraId="5D1E7F6F" w14:textId="77777777" w:rsidR="006C7965" w:rsidRPr="006C7965" w:rsidRDefault="006C7965" w:rsidP="007A181E">
      <w:pPr>
        <w:spacing w:after="0"/>
        <w:ind w:left="720" w:hanging="720"/>
      </w:pPr>
      <w:proofErr w:type="spellStart"/>
      <w:r w:rsidRPr="006C7965">
        <w:t>Baginski</w:t>
      </w:r>
      <w:proofErr w:type="spellEnd"/>
      <w:r w:rsidRPr="006C7965">
        <w:t>, S.P., Demers, E., Kausar, A. and Yu, Y.J. (2018), “</w:t>
      </w:r>
      <w:r w:rsidRPr="006C7965">
        <w:rPr>
          <w:i/>
          <w:iCs/>
        </w:rPr>
        <w:t>Linguistic tone and the small trader</w:t>
      </w:r>
      <w:r w:rsidRPr="006C7965">
        <w:t>”, Accounting Organizations and Society, Vols 68-69, July, pp. 21-37.</w:t>
      </w:r>
    </w:p>
    <w:p w14:paraId="760BAFF2" w14:textId="77777777" w:rsidR="006C7965" w:rsidRPr="006C7965" w:rsidRDefault="006C7965" w:rsidP="007A181E">
      <w:pPr>
        <w:spacing w:after="0"/>
        <w:ind w:left="720" w:hanging="720"/>
      </w:pPr>
      <w:r w:rsidRPr="006C7965">
        <w:t>Beck, A.W., Parsons, L.M. and Sorensen, T.L. (2019), Unexpected Bond Ratings and the Cost of Municipal Debt, Working Paper, Georgia State University, University of Alabama, and West Virginia University.</w:t>
      </w:r>
    </w:p>
    <w:p w14:paraId="3969C2F6" w14:textId="77777777" w:rsidR="006C7965" w:rsidRPr="006C7965" w:rsidRDefault="006C7965" w:rsidP="007A181E">
      <w:pPr>
        <w:spacing w:after="0"/>
        <w:ind w:left="720" w:hanging="720"/>
      </w:pPr>
      <w:r w:rsidRPr="006C7965">
        <w:t>Benson, E.D. and Marks, B.R. (2014), “</w:t>
      </w:r>
      <w:r w:rsidRPr="006C7965">
        <w:rPr>
          <w:i/>
          <w:iCs/>
        </w:rPr>
        <w:t>The influence of accounting information disclosed under GASB Statement No. 34 on municipal bond insurance premiums and credit ratings</w:t>
      </w:r>
      <w:r w:rsidRPr="006C7965">
        <w:t>”, Public Budgeting and Finance, Vol. 34 No. 2, pp. 63-83.</w:t>
      </w:r>
    </w:p>
    <w:p w14:paraId="29692E83" w14:textId="77777777" w:rsidR="006C7965" w:rsidRPr="006C7965" w:rsidRDefault="006C7965" w:rsidP="007A181E">
      <w:pPr>
        <w:spacing w:after="0"/>
        <w:ind w:left="720" w:hanging="720"/>
      </w:pPr>
      <w:r w:rsidRPr="006C7965">
        <w:t>Bloch, R. (2016), “</w:t>
      </w:r>
      <w:r w:rsidRPr="006C7965">
        <w:rPr>
          <w:i/>
          <w:iCs/>
        </w:rPr>
        <w:t>Assessing the impact of GASB Statement No. 34: the perceptions of municipal bond analysts</w:t>
      </w:r>
      <w:r w:rsidRPr="006C7965">
        <w:t>”, Municipal Finance Journal, Vol. 37 No. 2, pp. 51-71.</w:t>
      </w:r>
    </w:p>
    <w:p w14:paraId="432A1495" w14:textId="77777777" w:rsidR="006C7965" w:rsidRPr="006C7965" w:rsidRDefault="006C7965" w:rsidP="007A181E">
      <w:pPr>
        <w:spacing w:after="0"/>
        <w:ind w:left="720" w:hanging="720"/>
      </w:pPr>
      <w:r w:rsidRPr="006C7965">
        <w:t>Bonsall, S.B. and Miller, B.P. (2017), “</w:t>
      </w:r>
      <w:r w:rsidRPr="006C7965">
        <w:rPr>
          <w:i/>
          <w:iCs/>
        </w:rPr>
        <w:t>The impact of narrative disclosure readability on bond ratings and the cost of debt</w:t>
      </w:r>
      <w:r w:rsidRPr="006C7965">
        <w:t>”, Review of Accounting Studies, Vol. 22 No. 2, pp. 608-643.</w:t>
      </w:r>
    </w:p>
    <w:p w14:paraId="40646C6C" w14:textId="77777777" w:rsidR="006C7965" w:rsidRPr="006C7965" w:rsidRDefault="006C7965" w:rsidP="007A181E">
      <w:pPr>
        <w:spacing w:after="0"/>
        <w:ind w:left="720" w:hanging="720"/>
      </w:pPr>
      <w:r w:rsidRPr="006C7965">
        <w:t>Brown, S.V. and Tucker, J.W. (2011), “</w:t>
      </w:r>
      <w:r w:rsidRPr="006C7965">
        <w:rPr>
          <w:i/>
          <w:iCs/>
        </w:rPr>
        <w:t>Large-sample evidence on firms' year-over-year MD&amp;A modifications</w:t>
      </w:r>
      <w:r w:rsidRPr="006C7965">
        <w:t>”, Journal of Accounting Research, Vol. 49 No. 2, pp. 309-346.</w:t>
      </w:r>
    </w:p>
    <w:p w14:paraId="67A05255" w14:textId="77777777" w:rsidR="006C7965" w:rsidRPr="006C7965" w:rsidRDefault="006C7965" w:rsidP="007A181E">
      <w:pPr>
        <w:spacing w:after="0"/>
        <w:ind w:left="720" w:hanging="720"/>
      </w:pPr>
      <w:r w:rsidRPr="006C7965">
        <w:t>Callahan, C.M. and </w:t>
      </w:r>
      <w:proofErr w:type="spellStart"/>
      <w:r w:rsidRPr="006C7965">
        <w:t>Waymire</w:t>
      </w:r>
      <w:proofErr w:type="spellEnd"/>
      <w:r w:rsidRPr="006C7965">
        <w:t>, T.R. (2015), “</w:t>
      </w:r>
      <w:r w:rsidRPr="006C7965">
        <w:rPr>
          <w:i/>
          <w:iCs/>
        </w:rPr>
        <w:t>The GASB No. 34 impact of budget-to-actual variances on bond ratings: evidence from US cities</w:t>
      </w:r>
      <w:r w:rsidRPr="006C7965">
        <w:t>”, Journal of Governmental and Nonprofit Accounting, Vol. 4 No. 1, pp. 32-52.</w:t>
      </w:r>
    </w:p>
    <w:p w14:paraId="0C8384B0" w14:textId="77777777" w:rsidR="006C7965" w:rsidRPr="006C7965" w:rsidRDefault="006C7965" w:rsidP="007A181E">
      <w:pPr>
        <w:spacing w:after="0"/>
        <w:ind w:left="720" w:hanging="720"/>
      </w:pPr>
      <w:r w:rsidRPr="006C7965">
        <w:t>Chen, J., Demers, E. and Lev, B. (2018), “</w:t>
      </w:r>
      <w:r w:rsidRPr="006C7965">
        <w:rPr>
          <w:i/>
          <w:iCs/>
        </w:rPr>
        <w:t>Oh what a beautiful morning! Diurnal influences on executives and analysts: evidence from conference calls</w:t>
      </w:r>
      <w:r w:rsidRPr="006C7965">
        <w:t>”, Management Science, Vol. 64 No. 12, pp. 5899-5924.</w:t>
      </w:r>
    </w:p>
    <w:p w14:paraId="2C860671" w14:textId="77777777" w:rsidR="006C7965" w:rsidRPr="006C7965" w:rsidRDefault="006C7965" w:rsidP="007A181E">
      <w:pPr>
        <w:spacing w:after="0"/>
        <w:ind w:left="720" w:hanging="720"/>
      </w:pPr>
      <w:proofErr w:type="spellStart"/>
      <w:r w:rsidRPr="006C7965">
        <w:t>Cuny</w:t>
      </w:r>
      <w:proofErr w:type="spellEnd"/>
      <w:r w:rsidRPr="006C7965">
        <w:t>, C. (2016), “</w:t>
      </w:r>
      <w:r w:rsidRPr="006C7965">
        <w:rPr>
          <w:i/>
          <w:iCs/>
        </w:rPr>
        <w:t>Voluntary disclosure incentives: evidence from the municipal bond market</w:t>
      </w:r>
      <w:r w:rsidRPr="006C7965">
        <w:t>”, Journal of Accounting and Economics, Vol. 62 No. 1, pp. 87-102.</w:t>
      </w:r>
    </w:p>
    <w:p w14:paraId="2CB1E0DD" w14:textId="77777777" w:rsidR="006C7965" w:rsidRPr="006C7965" w:rsidRDefault="006C7965" w:rsidP="007A181E">
      <w:pPr>
        <w:spacing w:after="0"/>
        <w:ind w:left="720" w:hanging="720"/>
      </w:pPr>
      <w:proofErr w:type="spellStart"/>
      <w:r w:rsidRPr="006C7965">
        <w:t>Cuny</w:t>
      </w:r>
      <w:proofErr w:type="spellEnd"/>
      <w:r w:rsidRPr="006C7965">
        <w:t>, C. (2018), “</w:t>
      </w:r>
      <w:r w:rsidRPr="006C7965">
        <w:rPr>
          <w:i/>
          <w:iCs/>
        </w:rPr>
        <w:t>When knowledge is power: evidence from the municipal bond market</w:t>
      </w:r>
      <w:r w:rsidRPr="006C7965">
        <w:t>”, Journal of Accounting and Economics, Vol. 65 No. 1, pp. 109-128.</w:t>
      </w:r>
    </w:p>
    <w:p w14:paraId="3F0C4086" w14:textId="77777777" w:rsidR="006C7965" w:rsidRPr="006C7965" w:rsidRDefault="006C7965" w:rsidP="007A181E">
      <w:pPr>
        <w:spacing w:after="0"/>
        <w:ind w:left="720" w:hanging="720"/>
      </w:pPr>
      <w:r w:rsidRPr="006C7965">
        <w:t>Davis, A.K., </w:t>
      </w:r>
      <w:proofErr w:type="spellStart"/>
      <w:r w:rsidRPr="006C7965">
        <w:t>Piger</w:t>
      </w:r>
      <w:proofErr w:type="spellEnd"/>
      <w:r w:rsidRPr="006C7965">
        <w:t>, J.M. and </w:t>
      </w:r>
      <w:proofErr w:type="spellStart"/>
      <w:r w:rsidRPr="006C7965">
        <w:t>Sedor</w:t>
      </w:r>
      <w:proofErr w:type="spellEnd"/>
      <w:r w:rsidRPr="006C7965">
        <w:t>, L.M. (2012), “</w:t>
      </w:r>
      <w:r w:rsidRPr="006C7965">
        <w:rPr>
          <w:i/>
          <w:iCs/>
        </w:rPr>
        <w:t>Beyond the numbers: measuring the information content of earnings press release language</w:t>
      </w:r>
      <w:r w:rsidRPr="006C7965">
        <w:t>”, Contemporary Accounting Research, Vol. 29 No. 3, pp. 845-868.</w:t>
      </w:r>
    </w:p>
    <w:p w14:paraId="54141E09" w14:textId="77777777" w:rsidR="006C7965" w:rsidRPr="006C7965" w:rsidRDefault="006C7965" w:rsidP="007A181E">
      <w:pPr>
        <w:spacing w:after="0"/>
        <w:ind w:left="720" w:hanging="720"/>
      </w:pPr>
      <w:r w:rsidRPr="006C7965">
        <w:t>de Jong, </w:t>
      </w:r>
      <w:proofErr w:type="gramStart"/>
      <w:r w:rsidRPr="006C7965">
        <w:t>M.</w:t>
      </w:r>
      <w:proofErr w:type="gramEnd"/>
      <w:r w:rsidRPr="006C7965">
        <w:t> and Ho, A.T. (2020), “</w:t>
      </w:r>
      <w:r w:rsidRPr="006C7965">
        <w:rPr>
          <w:i/>
          <w:iCs/>
        </w:rPr>
        <w:t>Emerging fiscal health and governance concerns resulting from COVID-19 challenges</w:t>
      </w:r>
      <w:r w:rsidRPr="006C7965">
        <w:t>”, Journal of Public Budgeting, Accounting and Financial Management, Vol. 29 No. 6, pp. 1-11.</w:t>
      </w:r>
    </w:p>
    <w:p w14:paraId="22D11271" w14:textId="77777777" w:rsidR="006C7965" w:rsidRPr="006C7965" w:rsidRDefault="006C7965" w:rsidP="007A181E">
      <w:pPr>
        <w:spacing w:after="0"/>
        <w:ind w:left="720" w:hanging="720"/>
      </w:pPr>
      <w:proofErr w:type="spellStart"/>
      <w:r w:rsidRPr="006C7965">
        <w:t>Ederington</w:t>
      </w:r>
      <w:proofErr w:type="spellEnd"/>
      <w:r w:rsidRPr="006C7965">
        <w:t>, L. (1986), “</w:t>
      </w:r>
      <w:r w:rsidRPr="006C7965">
        <w:rPr>
          <w:i/>
          <w:iCs/>
        </w:rPr>
        <w:t>Why split ratings occur</w:t>
      </w:r>
      <w:r w:rsidRPr="006C7965">
        <w:t>”, Financial Management, Vol. 15 No. 1, pp. 37-47.</w:t>
      </w:r>
    </w:p>
    <w:p w14:paraId="49BD445A" w14:textId="77777777" w:rsidR="006C7965" w:rsidRPr="006C7965" w:rsidRDefault="006C7965" w:rsidP="007A181E">
      <w:pPr>
        <w:spacing w:after="0"/>
        <w:ind w:left="720" w:hanging="720"/>
      </w:pPr>
      <w:r w:rsidRPr="006C7965">
        <w:lastRenderedPageBreak/>
        <w:t>Edmonds, C.T., Edmonds, J.E., Vermeer, B.Y. and Vermeer, T.E. (2017), “</w:t>
      </w:r>
      <w:r w:rsidRPr="006C7965">
        <w:rPr>
          <w:i/>
          <w:iCs/>
        </w:rPr>
        <w:t>Does timeliness of financial information matter in the governmental sector?</w:t>
      </w:r>
      <w:r w:rsidRPr="006C7965">
        <w:t>”, Journal of Accounting and Public Policy, Vol. 36 No. 2, pp. 163-176.</w:t>
      </w:r>
    </w:p>
    <w:p w14:paraId="7CF41F96" w14:textId="77777777" w:rsidR="006C7965" w:rsidRPr="006C7965" w:rsidRDefault="006C7965" w:rsidP="007A181E">
      <w:pPr>
        <w:spacing w:after="0"/>
        <w:ind w:left="720" w:hanging="720"/>
      </w:pPr>
      <w:r w:rsidRPr="006C7965">
        <w:t>Evans, J.H. and Patton, J.M. (1987), “</w:t>
      </w:r>
      <w:r w:rsidRPr="006C7965">
        <w:rPr>
          <w:i/>
          <w:iCs/>
        </w:rPr>
        <w:t>Signaling and monitoring in public sector accounting</w:t>
      </w:r>
      <w:r w:rsidRPr="006C7965">
        <w:t>”, Journal of Accounting Research, Vol. 25, pp. 130-158.</w:t>
      </w:r>
    </w:p>
    <w:p w14:paraId="3C6CB71A" w14:textId="77777777" w:rsidR="006C7965" w:rsidRPr="006C7965" w:rsidRDefault="006C7965" w:rsidP="007A181E">
      <w:pPr>
        <w:spacing w:after="0"/>
        <w:ind w:left="720" w:hanging="720"/>
      </w:pPr>
      <w:r w:rsidRPr="006C7965">
        <w:t>Feldman, R., </w:t>
      </w:r>
      <w:proofErr w:type="spellStart"/>
      <w:r w:rsidRPr="006C7965">
        <w:t>Govindaraj</w:t>
      </w:r>
      <w:proofErr w:type="spellEnd"/>
      <w:r w:rsidRPr="006C7965">
        <w:t>, S., Livnat, J. and Segal, B. (2010), “</w:t>
      </w:r>
      <w:r w:rsidRPr="006C7965">
        <w:rPr>
          <w:i/>
          <w:iCs/>
        </w:rPr>
        <w:t>Management's tone change, post earnings announcement drift and accruals</w:t>
      </w:r>
      <w:r w:rsidRPr="006C7965">
        <w:t>”, Review of Accounting Studies, Vol. 15 No. 4, pp. 915-953.</w:t>
      </w:r>
    </w:p>
    <w:p w14:paraId="31B932CB" w14:textId="77777777" w:rsidR="006C7965" w:rsidRPr="006C7965" w:rsidRDefault="006C7965" w:rsidP="007A181E">
      <w:pPr>
        <w:spacing w:after="0"/>
        <w:ind w:left="720" w:hanging="720"/>
      </w:pPr>
      <w:r w:rsidRPr="006C7965">
        <w:t>Governmental Accounting Standards Board (GASB) (1999), Basic Financial Statements—And Management's Discussion and Analysis—For State and Local Governments, GASB Statement No. 34, GASB, Norwalk, CT.</w:t>
      </w:r>
    </w:p>
    <w:p w14:paraId="28DE6120" w14:textId="274BB0E5" w:rsidR="006C7965" w:rsidRPr="006C7965" w:rsidRDefault="006C7965" w:rsidP="007A181E">
      <w:pPr>
        <w:spacing w:after="0"/>
        <w:ind w:left="720" w:hanging="720"/>
      </w:pPr>
      <w:r w:rsidRPr="006C7965">
        <w:t>Government Accounting Standards Board (GASB) (2006), Why Governmental Accounting and Financial Reporting Is - and Should Be - Different, GASB White Paper, available at: </w:t>
      </w:r>
      <w:r w:rsidRPr="007A181E">
        <w:t>https://www.gasb.org/jsp/GASB/Page/GASBSectionPage&amp;cid=1176156741271</w:t>
      </w:r>
      <w:r w:rsidRPr="006C7965">
        <w:t>.</w:t>
      </w:r>
    </w:p>
    <w:p w14:paraId="7640D81F" w14:textId="3C072B3A" w:rsidR="006C7965" w:rsidRPr="006C7965" w:rsidRDefault="006C7965" w:rsidP="007A181E">
      <w:pPr>
        <w:spacing w:after="0"/>
        <w:ind w:left="720" w:hanging="720"/>
      </w:pPr>
      <w:r w:rsidRPr="006C7965">
        <w:t>Governmental Accounting Standards Board (GASB) (2020), “</w:t>
      </w:r>
      <w:r w:rsidRPr="006C7965">
        <w:rPr>
          <w:i/>
          <w:iCs/>
        </w:rPr>
        <w:t>Financial reporting model—reexamination of statements 34, 35, 37, 41, and 46 and interpretation 6</w:t>
      </w:r>
      <w:r w:rsidRPr="006C7965">
        <w:t>”, available at: </w:t>
      </w:r>
      <w:r w:rsidRPr="007A181E">
        <w:t>https://www.gasb.org/jsp/GASB/GASBContent_C/ProjectPage&amp;cid=1176171330326</w:t>
      </w:r>
      <w:r w:rsidRPr="006C7965">
        <w:t>.</w:t>
      </w:r>
    </w:p>
    <w:p w14:paraId="30B012C0" w14:textId="77777777" w:rsidR="006C7965" w:rsidRPr="006C7965" w:rsidRDefault="006C7965" w:rsidP="007A181E">
      <w:pPr>
        <w:spacing w:after="0"/>
        <w:ind w:left="720" w:hanging="720"/>
      </w:pPr>
      <w:r w:rsidRPr="006C7965">
        <w:t>Gore, A.K., Henderson, B. and Ji, Y. (2016), Do Municipal Bond Markups Reflect Accounting Quality?, Working paper, George Washington University.</w:t>
      </w:r>
    </w:p>
    <w:p w14:paraId="6DCC2265" w14:textId="77777777" w:rsidR="006C7965" w:rsidRPr="006C7965" w:rsidRDefault="006C7965" w:rsidP="007A181E">
      <w:pPr>
        <w:spacing w:after="0"/>
        <w:ind w:left="720" w:hanging="720"/>
      </w:pPr>
      <w:r w:rsidRPr="006C7965">
        <w:t>Grimmer, J. and Stewart, B.M. (2013), “</w:t>
      </w:r>
      <w:r w:rsidRPr="006C7965">
        <w:rPr>
          <w:i/>
          <w:iCs/>
        </w:rPr>
        <w:t>Text as data: the promise and pitfalls of automatic content analysis methods for political texts</w:t>
      </w:r>
      <w:r w:rsidRPr="006C7965">
        <w:t>”, Political Analysis, Vol. 21 No. 3, pp. 267-297.</w:t>
      </w:r>
    </w:p>
    <w:p w14:paraId="4B5063F1" w14:textId="77777777" w:rsidR="006C7965" w:rsidRPr="006C7965" w:rsidRDefault="006C7965" w:rsidP="007A181E">
      <w:pPr>
        <w:spacing w:after="0"/>
        <w:ind w:left="720" w:hanging="720"/>
      </w:pPr>
      <w:proofErr w:type="spellStart"/>
      <w:r w:rsidRPr="006C7965">
        <w:t>Grossi</w:t>
      </w:r>
      <w:proofErr w:type="spellEnd"/>
      <w:r w:rsidRPr="006C7965">
        <w:t>, G., Ho, A.T. and Joyce, P.G. (2020), “</w:t>
      </w:r>
      <w:r w:rsidRPr="006C7965">
        <w:rPr>
          <w:i/>
          <w:iCs/>
        </w:rPr>
        <w:t>Budgetary responses to a global pandemic: International experiences and lessons for a sustainable future</w:t>
      </w:r>
      <w:r w:rsidRPr="006C7965">
        <w:t>”, Journal of Public Budgeting, Accounting and Financial Management, Vol. 32 No. 5, pp. 737-744.</w:t>
      </w:r>
    </w:p>
    <w:p w14:paraId="6616FA14" w14:textId="77777777" w:rsidR="006C7965" w:rsidRPr="006C7965" w:rsidRDefault="006C7965" w:rsidP="007A181E">
      <w:pPr>
        <w:spacing w:after="0"/>
        <w:ind w:left="720" w:hanging="720"/>
      </w:pPr>
      <w:r w:rsidRPr="006C7965">
        <w:t>Hallman, N. and Khurana, I.K. (2015), “</w:t>
      </w:r>
      <w:r w:rsidRPr="006C7965">
        <w:rPr>
          <w:i/>
          <w:iCs/>
        </w:rPr>
        <w:t>State pension liabilities and credit assessments</w:t>
      </w:r>
      <w:r w:rsidRPr="006C7965">
        <w:t>”, Accounting Horizons, Vol. 29 No. 4, pp. 943-967.</w:t>
      </w:r>
    </w:p>
    <w:p w14:paraId="1A84AFD4" w14:textId="77777777" w:rsidR="006C7965" w:rsidRPr="006C7965" w:rsidRDefault="006C7965" w:rsidP="007A181E">
      <w:pPr>
        <w:spacing w:after="0"/>
        <w:ind w:left="720" w:hanging="720"/>
      </w:pPr>
      <w:r w:rsidRPr="006C7965">
        <w:t>Heckman, J. (1979), “</w:t>
      </w:r>
      <w:r w:rsidRPr="006C7965">
        <w:rPr>
          <w:i/>
          <w:iCs/>
        </w:rPr>
        <w:t>Sample selection bias as a specification error</w:t>
      </w:r>
      <w:r w:rsidRPr="006C7965">
        <w:t>”, </w:t>
      </w:r>
      <w:proofErr w:type="spellStart"/>
      <w:r w:rsidRPr="006C7965">
        <w:t>Econometrica</w:t>
      </w:r>
      <w:proofErr w:type="spellEnd"/>
      <w:r w:rsidRPr="006C7965">
        <w:t>, Vol. 47 No. 1, pp. 153-161.</w:t>
      </w:r>
    </w:p>
    <w:p w14:paraId="6F5A1455" w14:textId="77777777" w:rsidR="006C7965" w:rsidRPr="006C7965" w:rsidRDefault="006C7965" w:rsidP="007A181E">
      <w:pPr>
        <w:spacing w:after="0"/>
        <w:ind w:left="720" w:hanging="720"/>
      </w:pPr>
      <w:r w:rsidRPr="006C7965">
        <w:t>Henke, T.S. and Maher, J.J. (2016), “</w:t>
      </w:r>
      <w:r w:rsidRPr="006C7965">
        <w:rPr>
          <w:i/>
          <w:iCs/>
        </w:rPr>
        <w:t>Government reporting timeliness and municipal credit market implications</w:t>
      </w:r>
      <w:r w:rsidRPr="006C7965">
        <w:t>”, Journal of Governmental and Nonprofit Accounting, Vol. 5 No. 1, pp. 1-24.</w:t>
      </w:r>
    </w:p>
    <w:p w14:paraId="6DCAE32F" w14:textId="77777777" w:rsidR="006C7965" w:rsidRPr="006C7965" w:rsidRDefault="006C7965" w:rsidP="007A181E">
      <w:pPr>
        <w:spacing w:after="0"/>
        <w:ind w:left="720" w:hanging="720"/>
      </w:pPr>
      <w:r w:rsidRPr="006C7965">
        <w:t>Henry, E. and Leone, A.J. (2016), “</w:t>
      </w:r>
      <w:r w:rsidRPr="006C7965">
        <w:rPr>
          <w:i/>
          <w:iCs/>
        </w:rPr>
        <w:t>Measuring qualitative information in capital markets research: comparison of alternative methodologies to measure disclosure tone</w:t>
      </w:r>
      <w:r w:rsidRPr="006C7965">
        <w:t>”, The Accounting Review, Vol. 91 No. 1, pp. 153-178.</w:t>
      </w:r>
    </w:p>
    <w:p w14:paraId="1B7A67E8" w14:textId="77777777" w:rsidR="006C7965" w:rsidRPr="006C7965" w:rsidRDefault="006C7965" w:rsidP="007A181E">
      <w:pPr>
        <w:spacing w:after="0"/>
        <w:ind w:left="720" w:hanging="720"/>
      </w:pPr>
      <w:proofErr w:type="spellStart"/>
      <w:r w:rsidRPr="006C7965">
        <w:t>Ivonchyk</w:t>
      </w:r>
      <w:proofErr w:type="spellEnd"/>
      <w:r w:rsidRPr="006C7965">
        <w:t>, M. (2019), “</w:t>
      </w:r>
      <w:r w:rsidRPr="006C7965">
        <w:rPr>
          <w:i/>
          <w:iCs/>
        </w:rPr>
        <w:t>The impact of Dodd-Frank on true interest cost of municipal bonds: evidence from California</w:t>
      </w:r>
      <w:r w:rsidRPr="006C7965">
        <w:t>”, Public Budgeting and Finance, Vol. 39 No. 1, pp. 3-23.</w:t>
      </w:r>
    </w:p>
    <w:p w14:paraId="41F0DD10" w14:textId="77777777" w:rsidR="006C7965" w:rsidRPr="006C7965" w:rsidRDefault="006C7965" w:rsidP="007A181E">
      <w:pPr>
        <w:spacing w:after="0"/>
        <w:ind w:left="720" w:hanging="720"/>
      </w:pPr>
      <w:r w:rsidRPr="006C7965">
        <w:t>Joyce, P.G. and </w:t>
      </w:r>
      <w:proofErr w:type="spellStart"/>
      <w:r w:rsidRPr="006C7965">
        <w:t>Suryo</w:t>
      </w:r>
      <w:proofErr w:type="spellEnd"/>
      <w:r w:rsidRPr="006C7965">
        <w:t>, P.A. (2020), “</w:t>
      </w:r>
      <w:r w:rsidRPr="006C7965">
        <w:rPr>
          <w:i/>
          <w:iCs/>
        </w:rPr>
        <w:t>Government responses to the coronavirus in the United States: immediate remedial actions, rising debt levels and budgetary hangovers</w:t>
      </w:r>
      <w:r w:rsidRPr="006C7965">
        <w:t>”, Journal of Public Budgeting, Accounting and Financial Management, Vol. 32 No. 5, pp. 745-758.</w:t>
      </w:r>
    </w:p>
    <w:p w14:paraId="505D87FA" w14:textId="77777777" w:rsidR="006C7965" w:rsidRPr="006C7965" w:rsidRDefault="006C7965" w:rsidP="007A181E">
      <w:pPr>
        <w:spacing w:after="0"/>
        <w:ind w:left="720" w:hanging="720"/>
      </w:pPr>
      <w:r w:rsidRPr="006C7965">
        <w:t>Kim, S., Kraft, </w:t>
      </w:r>
      <w:proofErr w:type="gramStart"/>
      <w:r w:rsidRPr="006C7965">
        <w:t>P.</w:t>
      </w:r>
      <w:proofErr w:type="gramEnd"/>
      <w:r w:rsidRPr="006C7965">
        <w:t> and Ryan, S.G. (2013), “</w:t>
      </w:r>
      <w:r w:rsidRPr="006C7965">
        <w:rPr>
          <w:i/>
          <w:iCs/>
        </w:rPr>
        <w:t>Financial statement comparability and credit risk</w:t>
      </w:r>
      <w:r w:rsidRPr="006C7965">
        <w:t>”, Review of Accounting Studies, Vol. 18 No. 3, pp. 783-823.</w:t>
      </w:r>
    </w:p>
    <w:p w14:paraId="2F366181" w14:textId="77777777" w:rsidR="006C7965" w:rsidRPr="006C7965" w:rsidRDefault="006C7965" w:rsidP="007A181E">
      <w:pPr>
        <w:spacing w:after="0"/>
        <w:ind w:left="720" w:hanging="720"/>
      </w:pPr>
      <w:r w:rsidRPr="006C7965">
        <w:t>Kioko, S.N., </w:t>
      </w:r>
      <w:proofErr w:type="spellStart"/>
      <w:r w:rsidRPr="006C7965">
        <w:t>Moldogaziev</w:t>
      </w:r>
      <w:proofErr w:type="spellEnd"/>
      <w:r w:rsidRPr="006C7965">
        <w:t>, T. and Johnson, C.L. (2013), Relevance of GASB-34 Information in the Secondary Municipal Bond Market, Working paper, Syracuse University, University of South Carolina, and Indiana University.</w:t>
      </w:r>
    </w:p>
    <w:p w14:paraId="544769FA" w14:textId="77777777" w:rsidR="006C7965" w:rsidRPr="006C7965" w:rsidRDefault="006C7965" w:rsidP="007A181E">
      <w:pPr>
        <w:spacing w:after="0"/>
        <w:ind w:left="720" w:hanging="720"/>
      </w:pPr>
      <w:r w:rsidRPr="006C7965">
        <w:t>Kothari, S.P., Li, X. and Short, J.E. (2009), “</w:t>
      </w:r>
      <w:r w:rsidRPr="006C7965">
        <w:rPr>
          <w:i/>
          <w:iCs/>
        </w:rPr>
        <w:t>The effect of disclosures by management, analysts, and business press on cost of capital, return volatility, and analyst forecasts: a study using content analysis</w:t>
      </w:r>
      <w:r w:rsidRPr="006C7965">
        <w:t>”, The Accounting Review, Vol. 84 No. 5, pp. 1639-1670.</w:t>
      </w:r>
    </w:p>
    <w:p w14:paraId="52B98D09" w14:textId="77777777" w:rsidR="006C7965" w:rsidRPr="006C7965" w:rsidRDefault="006C7965" w:rsidP="007A181E">
      <w:pPr>
        <w:spacing w:after="0"/>
        <w:ind w:left="720" w:hanging="720"/>
      </w:pPr>
      <w:r w:rsidRPr="006C7965">
        <w:t>Li, F. (2010), “</w:t>
      </w:r>
      <w:r w:rsidRPr="006C7965">
        <w:rPr>
          <w:i/>
          <w:iCs/>
        </w:rPr>
        <w:t>The information content of forward-looking statements in corporate filings—a Naïve Bayesian machine learning approach</w:t>
      </w:r>
      <w:r w:rsidRPr="006C7965">
        <w:t>”, Journal of Accounting Research, Vol. 48 No. 5, pp. 1049-1102.</w:t>
      </w:r>
    </w:p>
    <w:p w14:paraId="33647DB8" w14:textId="77777777" w:rsidR="006C7965" w:rsidRPr="006C7965" w:rsidRDefault="006C7965" w:rsidP="007A181E">
      <w:pPr>
        <w:spacing w:after="0"/>
        <w:ind w:left="720" w:hanging="720"/>
      </w:pPr>
      <w:r w:rsidRPr="006C7965">
        <w:t>Livingston, M., Naranjo, A. and Zhou, L. (2007), “</w:t>
      </w:r>
      <w:r w:rsidRPr="006C7965">
        <w:rPr>
          <w:i/>
          <w:iCs/>
        </w:rPr>
        <w:t>Asset opaqueness and split bond rating</w:t>
      </w:r>
      <w:r w:rsidRPr="006C7965">
        <w:t>”, Financial Management, Vol. 36 No. 3, pp. 49-62.</w:t>
      </w:r>
    </w:p>
    <w:p w14:paraId="3137C174" w14:textId="77777777" w:rsidR="006C7965" w:rsidRPr="006C7965" w:rsidRDefault="006C7965" w:rsidP="007A181E">
      <w:pPr>
        <w:spacing w:after="0"/>
        <w:ind w:left="720" w:hanging="720"/>
      </w:pPr>
      <w:r w:rsidRPr="006C7965">
        <w:lastRenderedPageBreak/>
        <w:t>López, D.M. and Peters, G.F. (2010), “</w:t>
      </w:r>
      <w:r w:rsidRPr="006C7965">
        <w:rPr>
          <w:i/>
          <w:iCs/>
        </w:rPr>
        <w:t>Internal control reporting differences among public and governmental auditors: the case of city and county Circular A-133 audits</w:t>
      </w:r>
      <w:r w:rsidRPr="006C7965">
        <w:t>”, Journal of Accounting and Public Policy, Vol. 29 No. 5, pp. 481-502.</w:t>
      </w:r>
    </w:p>
    <w:p w14:paraId="43054F2A" w14:textId="77777777" w:rsidR="006C7965" w:rsidRPr="006C7965" w:rsidRDefault="006C7965" w:rsidP="007A181E">
      <w:pPr>
        <w:spacing w:after="0"/>
        <w:ind w:left="720" w:hanging="720"/>
      </w:pPr>
      <w:r w:rsidRPr="006C7965">
        <w:t>Loughran, T. and McDonald, B. (2011), “</w:t>
      </w:r>
      <w:r w:rsidRPr="006C7965">
        <w:rPr>
          <w:i/>
          <w:iCs/>
        </w:rPr>
        <w:t>When is a liability not a liability? Textual analysis, dictionaries, and 10-Ks</w:t>
      </w:r>
      <w:r w:rsidRPr="006C7965">
        <w:t>”, The Journal of Finance, Vol. 66 No. 1, pp. 35-65.</w:t>
      </w:r>
    </w:p>
    <w:p w14:paraId="3DBAD7CC" w14:textId="77777777" w:rsidR="006C7965" w:rsidRPr="006C7965" w:rsidRDefault="006C7965" w:rsidP="007A181E">
      <w:pPr>
        <w:spacing w:after="0"/>
        <w:ind w:left="720" w:hanging="720"/>
      </w:pPr>
      <w:r w:rsidRPr="006C7965">
        <w:t>Loughran, T. and McDonald, B. (2016), “</w:t>
      </w:r>
      <w:r w:rsidRPr="006C7965">
        <w:rPr>
          <w:i/>
          <w:iCs/>
        </w:rPr>
        <w:t>Textual analysis in accounting and finance: a survey</w:t>
      </w:r>
      <w:r w:rsidRPr="006C7965">
        <w:t>”, Journal of Accounting Research, Vol. 54 No. 4, pp. 1187-1230.</w:t>
      </w:r>
    </w:p>
    <w:p w14:paraId="43F58945" w14:textId="77777777" w:rsidR="006C7965" w:rsidRPr="006C7965" w:rsidRDefault="006C7965" w:rsidP="007A181E">
      <w:pPr>
        <w:spacing w:after="0"/>
        <w:ind w:left="720" w:hanging="720"/>
      </w:pPr>
      <w:proofErr w:type="spellStart"/>
      <w:r w:rsidRPr="006C7965">
        <w:t>Luby</w:t>
      </w:r>
      <w:proofErr w:type="spellEnd"/>
      <w:r w:rsidRPr="006C7965">
        <w:t>, M. and </w:t>
      </w:r>
      <w:proofErr w:type="spellStart"/>
      <w:r w:rsidRPr="006C7965">
        <w:t>Moldogaziev</w:t>
      </w:r>
      <w:proofErr w:type="spellEnd"/>
      <w:r w:rsidRPr="006C7965">
        <w:t>, T. (2013), “</w:t>
      </w:r>
      <w:r w:rsidRPr="006C7965">
        <w:rPr>
          <w:i/>
          <w:iCs/>
        </w:rPr>
        <w:t>An empirical examination of the determinants of municipal bond underwriting fees</w:t>
      </w:r>
      <w:r w:rsidRPr="006C7965">
        <w:t>”, Municipal Finance Journal, Vol. 34 No. 2, pp. 13-50.</w:t>
      </w:r>
    </w:p>
    <w:p w14:paraId="3DA005F1" w14:textId="77777777" w:rsidR="006C7965" w:rsidRPr="006C7965" w:rsidRDefault="006C7965" w:rsidP="007A181E">
      <w:pPr>
        <w:spacing w:after="0"/>
        <w:ind w:left="720" w:hanging="720"/>
      </w:pPr>
      <w:r w:rsidRPr="006C7965">
        <w:t xml:space="preserve">Marlowe, J. (2010), GASB 34's Information Relevance: Evidence </w:t>
      </w:r>
      <w:proofErr w:type="gramStart"/>
      <w:r w:rsidRPr="006C7965">
        <w:t>From</w:t>
      </w:r>
      <w:proofErr w:type="gramEnd"/>
      <w:r w:rsidRPr="006C7965">
        <w:t xml:space="preserve"> New Issue Local Government Debt, Working paper, University of Washington.</w:t>
      </w:r>
    </w:p>
    <w:p w14:paraId="3F10BB47" w14:textId="77777777" w:rsidR="006C7965" w:rsidRPr="006C7965" w:rsidRDefault="006C7965" w:rsidP="007A181E">
      <w:pPr>
        <w:spacing w:after="0"/>
        <w:ind w:left="720" w:hanging="720"/>
      </w:pPr>
      <w:r w:rsidRPr="006C7965">
        <w:t>Marlowe, J. (2011), “</w:t>
      </w:r>
      <w:r w:rsidRPr="006C7965">
        <w:rPr>
          <w:i/>
          <w:iCs/>
        </w:rPr>
        <w:t>Beyond 5 percent: optimal municipal slack resources and credit ratings</w:t>
      </w:r>
      <w:r w:rsidRPr="006C7965">
        <w:t>”, Public Budgeting and Finance, Vol. 31 No. 4, pp. 93-108.</w:t>
      </w:r>
    </w:p>
    <w:p w14:paraId="7FED6CA1" w14:textId="77777777" w:rsidR="006C7965" w:rsidRPr="006C7965" w:rsidRDefault="006C7965" w:rsidP="007A181E">
      <w:pPr>
        <w:spacing w:after="0"/>
        <w:ind w:left="720" w:hanging="720"/>
      </w:pPr>
      <w:proofErr w:type="spellStart"/>
      <w:r w:rsidRPr="006C7965">
        <w:t>Mayew</w:t>
      </w:r>
      <w:proofErr w:type="spellEnd"/>
      <w:r w:rsidRPr="006C7965">
        <w:t>, W.J., Sethuraman, M. and Venkatachalam, M. (2015), “</w:t>
      </w:r>
      <w:r w:rsidRPr="006C7965">
        <w:rPr>
          <w:i/>
          <w:iCs/>
        </w:rPr>
        <w:t>MD&amp;A disclosure and the firm's ability to continue as a going concern</w:t>
      </w:r>
      <w:r w:rsidRPr="006C7965">
        <w:t>”, The Accounting Review, Vol. 90 No. 4, pp. 1621-1651.</w:t>
      </w:r>
    </w:p>
    <w:p w14:paraId="526D5486" w14:textId="77777777" w:rsidR="006C7965" w:rsidRPr="006C7965" w:rsidRDefault="006C7965" w:rsidP="007A181E">
      <w:pPr>
        <w:spacing w:after="0"/>
        <w:ind w:left="720" w:hanging="720"/>
      </w:pPr>
      <w:r w:rsidRPr="006C7965">
        <w:t>Morgan, D.P. (2002), “</w:t>
      </w:r>
      <w:r w:rsidRPr="006C7965">
        <w:rPr>
          <w:i/>
          <w:iCs/>
        </w:rPr>
        <w:t>Rating banks: risk and uncertainty in an opaque industry</w:t>
      </w:r>
      <w:r w:rsidRPr="006C7965">
        <w:t>”, The American Economic Review, Vol. 92 No. 4, pp. 874-888.</w:t>
      </w:r>
    </w:p>
    <w:p w14:paraId="47507238" w14:textId="77777777" w:rsidR="006C7965" w:rsidRPr="006C7965" w:rsidRDefault="006C7965" w:rsidP="007A181E">
      <w:pPr>
        <w:spacing w:after="0"/>
        <w:ind w:left="720" w:hanging="720"/>
      </w:pPr>
      <w:r w:rsidRPr="006C7965">
        <w:t>Park, Y.J., </w:t>
      </w:r>
      <w:proofErr w:type="spellStart"/>
      <w:r w:rsidRPr="006C7965">
        <w:t>Matkin</w:t>
      </w:r>
      <w:proofErr w:type="spellEnd"/>
      <w:r w:rsidRPr="006C7965">
        <w:t>, D.S.T. and Marlowe, J. (2017), “</w:t>
      </w:r>
      <w:r w:rsidRPr="006C7965">
        <w:rPr>
          <w:i/>
          <w:iCs/>
        </w:rPr>
        <w:t>Internal control deficiencies and municipal borrowing costs</w:t>
      </w:r>
      <w:r w:rsidRPr="006C7965">
        <w:t>”, Public Budgeting and Finance, Vol. 37 No. 1, pp. 88-111.</w:t>
      </w:r>
    </w:p>
    <w:p w14:paraId="743AAA81" w14:textId="77777777" w:rsidR="006C7965" w:rsidRPr="006C7965" w:rsidRDefault="006C7965" w:rsidP="007A181E">
      <w:pPr>
        <w:spacing w:after="0"/>
        <w:ind w:left="720" w:hanging="720"/>
      </w:pPr>
      <w:r w:rsidRPr="006C7965">
        <w:t>Patton, T.K., </w:t>
      </w:r>
      <w:proofErr w:type="spellStart"/>
      <w:r w:rsidRPr="006C7965">
        <w:t>Kinnersley</w:t>
      </w:r>
      <w:proofErr w:type="spellEnd"/>
      <w:r w:rsidRPr="006C7965">
        <w:t>, R.L. and Patton, S.R. (2001), “</w:t>
      </w:r>
      <w:r w:rsidRPr="006C7965">
        <w:rPr>
          <w:i/>
          <w:iCs/>
        </w:rPr>
        <w:t>A primer for writing an effective management's discussion and analysis</w:t>
      </w:r>
      <w:r w:rsidRPr="006C7965">
        <w:t>”, The Journal of Government Financial Management, Vol. 50 No. 4, pp. 52-62.</w:t>
      </w:r>
    </w:p>
    <w:p w14:paraId="09AC00BE" w14:textId="77777777" w:rsidR="006C7965" w:rsidRPr="006C7965" w:rsidRDefault="006C7965" w:rsidP="007A181E">
      <w:pPr>
        <w:spacing w:after="0"/>
        <w:ind w:left="720" w:hanging="720"/>
      </w:pPr>
      <w:r w:rsidRPr="006C7965">
        <w:t>Peterson, A.N. (2018), “</w:t>
      </w:r>
      <w:r w:rsidRPr="006C7965">
        <w:rPr>
          <w:i/>
          <w:iCs/>
        </w:rPr>
        <w:t>Differences in internal control weaknesses among varying municipal election policies</w:t>
      </w:r>
      <w:r w:rsidRPr="006C7965">
        <w:t>”, Journal of Accounting and Public Policy, Vol. 37 No. 3, pp. 191-206.</w:t>
      </w:r>
    </w:p>
    <w:p w14:paraId="26A51F77" w14:textId="77777777" w:rsidR="006C7965" w:rsidRPr="006C7965" w:rsidRDefault="006C7965" w:rsidP="007A181E">
      <w:pPr>
        <w:spacing w:after="0"/>
        <w:ind w:left="720" w:hanging="720"/>
      </w:pPr>
      <w:r w:rsidRPr="006C7965">
        <w:t>Pierson, K., Hand, M.L. and Thompson, F. (2015), “</w:t>
      </w:r>
      <w:r w:rsidRPr="006C7965">
        <w:rPr>
          <w:i/>
          <w:iCs/>
        </w:rPr>
        <w:t>The government finance database: a common resource for quantitative research in public financial analysis</w:t>
      </w:r>
      <w:r w:rsidRPr="006C7965">
        <w:t>”, </w:t>
      </w:r>
      <w:proofErr w:type="spellStart"/>
      <w:r w:rsidRPr="006C7965">
        <w:t>PloS</w:t>
      </w:r>
      <w:proofErr w:type="spellEnd"/>
      <w:r w:rsidRPr="006C7965">
        <w:t xml:space="preserve"> One, Vol. 10 No. 6, pp. 1-22.</w:t>
      </w:r>
    </w:p>
    <w:p w14:paraId="27B4D2AD" w14:textId="77777777" w:rsidR="006C7965" w:rsidRPr="006C7965" w:rsidRDefault="006C7965" w:rsidP="007A181E">
      <w:pPr>
        <w:spacing w:after="0"/>
        <w:ind w:left="720" w:hanging="720"/>
      </w:pPr>
      <w:r w:rsidRPr="006C7965">
        <w:t>Plummer, E., Hutchison, P.D. and Patton, T.K. (2007), “</w:t>
      </w:r>
      <w:r w:rsidRPr="006C7965">
        <w:rPr>
          <w:i/>
          <w:iCs/>
        </w:rPr>
        <w:t>GASB No. 34's governmental financial reporting model: evidence on its information relevance</w:t>
      </w:r>
      <w:r w:rsidRPr="006C7965">
        <w:t>”, The Accounting Review, Vol. 82 No. 1, pp. 205-240.</w:t>
      </w:r>
    </w:p>
    <w:p w14:paraId="5F030466" w14:textId="77777777" w:rsidR="006C7965" w:rsidRPr="006C7965" w:rsidRDefault="006C7965" w:rsidP="007A181E">
      <w:pPr>
        <w:spacing w:after="0"/>
        <w:ind w:left="720" w:hanging="720"/>
      </w:pPr>
      <w:r w:rsidRPr="006C7965">
        <w:t>Reck, J.L. and Wilson, E.R. (2014), “</w:t>
      </w:r>
      <w:r w:rsidRPr="006C7965">
        <w:rPr>
          <w:i/>
          <w:iCs/>
        </w:rPr>
        <w:t>The relative influence of fund-based and government-wide financial information on municipal bond borrowing costs</w:t>
      </w:r>
      <w:r w:rsidRPr="006C7965">
        <w:t>”, Journal of Governmental and Nonprofit Accounting, Vol. 3 No. 1, pp. 35-57.</w:t>
      </w:r>
    </w:p>
    <w:p w14:paraId="11CC96D2" w14:textId="77777777" w:rsidR="006C7965" w:rsidRPr="006C7965" w:rsidRDefault="006C7965" w:rsidP="007A181E">
      <w:pPr>
        <w:spacing w:after="0"/>
        <w:ind w:left="720" w:hanging="720"/>
      </w:pPr>
      <w:r w:rsidRPr="006C7965">
        <w:t>Rich, K.T. and Zhang, J.X. (2014), “</w:t>
      </w:r>
      <w:r w:rsidRPr="006C7965">
        <w:rPr>
          <w:i/>
          <w:iCs/>
        </w:rPr>
        <w:t>Does audit committee monitoring matter in the government sector? Evidence from municipal internal control quality</w:t>
      </w:r>
      <w:r w:rsidRPr="006C7965">
        <w:t>”, Journal of Governmental and Nonprofit Accounting, Vol. 3 No. 1, pp. 58-80.</w:t>
      </w:r>
    </w:p>
    <w:p w14:paraId="70C2C0FD" w14:textId="77777777" w:rsidR="006C7965" w:rsidRPr="006C7965" w:rsidRDefault="006C7965" w:rsidP="007A181E">
      <w:pPr>
        <w:spacing w:after="0"/>
        <w:ind w:left="720" w:hanging="720"/>
      </w:pPr>
      <w:r w:rsidRPr="006C7965">
        <w:t>Rich, K.T., Roberts, B.L. and Zhang, J.X. (2016), “</w:t>
      </w:r>
      <w:r w:rsidRPr="006C7965">
        <w:rPr>
          <w:i/>
          <w:iCs/>
        </w:rPr>
        <w:t>Linguistic tone of municipal management discussion and analysis disclosures and future financial reporting delays</w:t>
      </w:r>
      <w:r w:rsidRPr="006C7965">
        <w:t>”, Journal of Emerging Technologies in Accounting, Vol. 13 No. 2, pp. 93-107.</w:t>
      </w:r>
    </w:p>
    <w:p w14:paraId="7A72ADC8" w14:textId="77777777" w:rsidR="006C7965" w:rsidRPr="006C7965" w:rsidRDefault="006C7965" w:rsidP="007A181E">
      <w:pPr>
        <w:spacing w:after="0"/>
        <w:ind w:left="720" w:hanging="720"/>
      </w:pPr>
      <w:r w:rsidRPr="006C7965">
        <w:t>Rich, K.T., Roberts, B.L. and Zhang, J.X. (2018), “</w:t>
      </w:r>
      <w:r w:rsidRPr="006C7965">
        <w:rPr>
          <w:i/>
          <w:iCs/>
        </w:rPr>
        <w:t>Linguistic tone and internal control reporting: evidence from municipal management discussion and analysis disclosures</w:t>
      </w:r>
      <w:r w:rsidRPr="006C7965">
        <w:t>”, Journal of Governmental and Nonprofit Accounting, Vol. 7 No. 1, pp. 24-54.</w:t>
      </w:r>
    </w:p>
    <w:p w14:paraId="1C81C5DF" w14:textId="77777777" w:rsidR="006C7965" w:rsidRPr="006C7965" w:rsidRDefault="006C7965" w:rsidP="007A181E">
      <w:pPr>
        <w:spacing w:after="0"/>
        <w:ind w:left="720" w:hanging="720"/>
      </w:pPr>
      <w:r w:rsidRPr="006C7965">
        <w:t>Rich, K.T., Roberts, B.L., Wall, J.M. and Zhang, J.X. (2021), Toward an Understanding of Year-Over-Year Changes in Municipal Management Discussion and Analysis Disclosures, Working paper, Marquette University, St. Cloud State University, and Virginia Commonwealth University.</w:t>
      </w:r>
    </w:p>
    <w:p w14:paraId="3990CB5D" w14:textId="77777777" w:rsidR="006C7965" w:rsidRPr="006C7965" w:rsidRDefault="006C7965" w:rsidP="007A181E">
      <w:pPr>
        <w:spacing w:after="0"/>
        <w:ind w:left="720" w:hanging="720"/>
      </w:pPr>
      <w:r w:rsidRPr="006C7965">
        <w:t>Rogers, W. (1993), “</w:t>
      </w:r>
      <w:r w:rsidRPr="006C7965">
        <w:rPr>
          <w:i/>
          <w:iCs/>
        </w:rPr>
        <w:t>Regression standard errors in clustered samples</w:t>
      </w:r>
      <w:r w:rsidRPr="006C7965">
        <w:t>”, Stata Technical Bulletin, Vol. 3 No. 13, pp. 19-23.</w:t>
      </w:r>
    </w:p>
    <w:p w14:paraId="02D66FFA" w14:textId="60B5A4C8" w:rsidR="006C7965" w:rsidRPr="006C7965" w:rsidRDefault="006C7965" w:rsidP="007A181E">
      <w:pPr>
        <w:spacing w:after="0"/>
        <w:ind w:left="720" w:hanging="720"/>
      </w:pPr>
      <w:r w:rsidRPr="006C7965">
        <w:t>Securities Industry and Financial Markets Association (SIFMA) (2018), Municipal Bond Credit Report (3rd Quarter 2018), SIFMA, Washington, DC, available at: </w:t>
      </w:r>
      <w:r w:rsidRPr="007A181E">
        <w:t>https://www.sifma.org/resources/research/us-municipal-credit-report-third-quarter-2018/</w:t>
      </w:r>
      <w:r w:rsidRPr="006C7965">
        <w:t>.</w:t>
      </w:r>
    </w:p>
    <w:p w14:paraId="77927E58" w14:textId="77777777" w:rsidR="006C7965" w:rsidRPr="006C7965" w:rsidRDefault="006C7965" w:rsidP="007A181E">
      <w:pPr>
        <w:spacing w:after="0"/>
        <w:ind w:left="720" w:hanging="720"/>
      </w:pPr>
      <w:r w:rsidRPr="006C7965">
        <w:lastRenderedPageBreak/>
        <w:t>Walker, R.W. and Krueger, S. (2009), “</w:t>
      </w:r>
      <w:r w:rsidRPr="006C7965">
        <w:rPr>
          <w:i/>
          <w:iCs/>
        </w:rPr>
        <w:t>Now you see it, now you don't: the mysterious case of the vanishing split bond rating in states</w:t>
      </w:r>
      <w:r w:rsidRPr="006C7965">
        <w:t>”, Public Budgeting and Finance, Vol. 29 No. 1, pp. 84-101.</w:t>
      </w:r>
    </w:p>
    <w:p w14:paraId="4A05DC79" w14:textId="77777777" w:rsidR="006C7965" w:rsidRPr="006C7965" w:rsidRDefault="006C7965" w:rsidP="007A181E">
      <w:pPr>
        <w:spacing w:after="0"/>
        <w:ind w:left="720" w:hanging="720"/>
      </w:pPr>
      <w:r w:rsidRPr="006C7965">
        <w:t>Wilson, E.R. and </w:t>
      </w:r>
      <w:proofErr w:type="spellStart"/>
      <w:r w:rsidRPr="006C7965">
        <w:t>Kattelus</w:t>
      </w:r>
      <w:proofErr w:type="spellEnd"/>
      <w:r w:rsidRPr="006C7965">
        <w:t>, S.C. (2001), “</w:t>
      </w:r>
      <w:r w:rsidRPr="006C7965">
        <w:rPr>
          <w:i/>
          <w:iCs/>
        </w:rPr>
        <w:t>Implications of GASB's new reporting model for municipal bond analysts and managers</w:t>
      </w:r>
      <w:r w:rsidRPr="006C7965">
        <w:t>”, Public Budgeting and Finance, Vol. 21 No. 3, pp. 47-62.</w:t>
      </w:r>
    </w:p>
    <w:p w14:paraId="5DE7EB17" w14:textId="77777777" w:rsidR="006C7965" w:rsidRPr="006C7965" w:rsidRDefault="006C7965" w:rsidP="007A181E">
      <w:pPr>
        <w:pStyle w:val="Heading1"/>
      </w:pPr>
      <w:r w:rsidRPr="006C7965">
        <w:t>Acknowledgements</w:t>
      </w:r>
    </w:p>
    <w:p w14:paraId="2532C918" w14:textId="77777777" w:rsidR="006C7965" w:rsidRPr="006C7965" w:rsidRDefault="006C7965" w:rsidP="006C7965">
      <w:r w:rsidRPr="006C7965">
        <w:t>The authors are grateful to Jackie Reck for comments and advice on a previous version of the manuscript. Workshop participants at the 2019 AAA Annual Meeting offered useful suggestions.</w:t>
      </w:r>
    </w:p>
    <w:p w14:paraId="344CD7DF" w14:textId="77777777" w:rsidR="00C1377E" w:rsidRPr="00C1377E" w:rsidRDefault="00C1377E" w:rsidP="00C1377E"/>
    <w:sectPr w:rsidR="00C1377E" w:rsidRPr="00C1377E" w:rsidSect="003942B2">
      <w:pgSz w:w="12240" w:h="15840" w:code="1"/>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EE71F4"/>
    <w:multiLevelType w:val="multilevel"/>
    <w:tmpl w:val="E886F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91805167">
    <w:abstractNumId w:val="0"/>
  </w:num>
  <w:num w:numId="2" w16cid:durableId="831943249">
    <w:abstractNumId w:val="2"/>
  </w:num>
  <w:num w:numId="3" w16cid:durableId="2092387694">
    <w:abstractNumId w:val="16"/>
  </w:num>
  <w:num w:numId="4" w16cid:durableId="613558105">
    <w:abstractNumId w:val="4"/>
  </w:num>
  <w:num w:numId="5" w16cid:durableId="226230457">
    <w:abstractNumId w:val="13"/>
  </w:num>
  <w:num w:numId="6" w16cid:durableId="1707414106">
    <w:abstractNumId w:val="17"/>
  </w:num>
  <w:num w:numId="7" w16cid:durableId="683819518">
    <w:abstractNumId w:val="1"/>
  </w:num>
  <w:num w:numId="8" w16cid:durableId="212542702">
    <w:abstractNumId w:val="12"/>
  </w:num>
  <w:num w:numId="9" w16cid:durableId="1495804294">
    <w:abstractNumId w:val="9"/>
  </w:num>
  <w:num w:numId="10" w16cid:durableId="510876334">
    <w:abstractNumId w:val="3"/>
  </w:num>
  <w:num w:numId="11" w16cid:durableId="1482961414">
    <w:abstractNumId w:val="14"/>
  </w:num>
  <w:num w:numId="12" w16cid:durableId="691877541">
    <w:abstractNumId w:val="18"/>
  </w:num>
  <w:num w:numId="13" w16cid:durableId="278686383">
    <w:abstractNumId w:val="10"/>
  </w:num>
  <w:num w:numId="14" w16cid:durableId="962229097">
    <w:abstractNumId w:val="6"/>
  </w:num>
  <w:num w:numId="15" w16cid:durableId="207644266">
    <w:abstractNumId w:val="15"/>
  </w:num>
  <w:num w:numId="16" w16cid:durableId="33622316">
    <w:abstractNumId w:val="7"/>
  </w:num>
  <w:num w:numId="17" w16cid:durableId="1973826508">
    <w:abstractNumId w:val="5"/>
  </w:num>
  <w:num w:numId="18" w16cid:durableId="1722241226">
    <w:abstractNumId w:val="11"/>
  </w:num>
  <w:num w:numId="19" w16cid:durableId="2343218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4GAFRFDoQy0PpTnnIzxAl43caAx+EyOCQUDD9BFhxxYUhepQsmULNMThoNv9tpoZEqvv8pcWRVU4AV+LjP5woA==" w:salt="wufT1Q70dmL7bH/Q7rIj3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D7196"/>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3E48"/>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0389"/>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2B2"/>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5EFB"/>
    <w:rsid w:val="0058724D"/>
    <w:rsid w:val="00594ED9"/>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E724E"/>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4598"/>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965"/>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181E"/>
    <w:rsid w:val="007A258F"/>
    <w:rsid w:val="007A3B3A"/>
    <w:rsid w:val="007B0BBA"/>
    <w:rsid w:val="007C16F7"/>
    <w:rsid w:val="007C679F"/>
    <w:rsid w:val="007D25DB"/>
    <w:rsid w:val="007D51E8"/>
    <w:rsid w:val="007D655B"/>
    <w:rsid w:val="007D762B"/>
    <w:rsid w:val="007D7C64"/>
    <w:rsid w:val="007E2E07"/>
    <w:rsid w:val="007E3183"/>
    <w:rsid w:val="007E491C"/>
    <w:rsid w:val="007E53E2"/>
    <w:rsid w:val="007E560D"/>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42FF"/>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15F8"/>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377E"/>
    <w:rsid w:val="00C154A3"/>
    <w:rsid w:val="00C170FF"/>
    <w:rsid w:val="00C173E1"/>
    <w:rsid w:val="00C2019E"/>
    <w:rsid w:val="00C25676"/>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A74B3"/>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6756"/>
    <w:rsid w:val="00DC7134"/>
    <w:rsid w:val="00DC7C2C"/>
    <w:rsid w:val="00DD2256"/>
    <w:rsid w:val="00DD4B55"/>
    <w:rsid w:val="00DD5871"/>
    <w:rsid w:val="00DE2F66"/>
    <w:rsid w:val="00DE3037"/>
    <w:rsid w:val="00DE4173"/>
    <w:rsid w:val="00DE4592"/>
    <w:rsid w:val="00DF6125"/>
    <w:rsid w:val="00E052D9"/>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83"/>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D247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676"/>
  </w:style>
  <w:style w:type="paragraph" w:styleId="Heading1">
    <w:name w:val="heading 1"/>
    <w:basedOn w:val="Normal"/>
    <w:next w:val="Normal"/>
    <w:link w:val="Heading1Char"/>
    <w:uiPriority w:val="9"/>
    <w:qFormat/>
    <w:rsid w:val="00C2567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C2567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C2567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C2567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C2567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C25676"/>
    <w:pPr>
      <w:keepNext/>
      <w:keepLines/>
      <w:spacing w:before="40" w:after="0"/>
      <w:outlineLvl w:val="5"/>
    </w:pPr>
  </w:style>
  <w:style w:type="paragraph" w:styleId="Heading7">
    <w:name w:val="heading 7"/>
    <w:basedOn w:val="Normal"/>
    <w:next w:val="Normal"/>
    <w:link w:val="Heading7Char"/>
    <w:uiPriority w:val="9"/>
    <w:semiHidden/>
    <w:unhideWhenUsed/>
    <w:qFormat/>
    <w:rsid w:val="00C2567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2567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C2567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567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C2567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C2567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C25676"/>
    <w:rPr>
      <w:i/>
      <w:iCs/>
    </w:rPr>
  </w:style>
  <w:style w:type="character" w:customStyle="1" w:styleId="Heading5Char">
    <w:name w:val="Heading 5 Char"/>
    <w:basedOn w:val="DefaultParagraphFont"/>
    <w:link w:val="Heading5"/>
    <w:uiPriority w:val="9"/>
    <w:semiHidden/>
    <w:rsid w:val="00C25676"/>
    <w:rPr>
      <w:color w:val="404040" w:themeColor="text1" w:themeTint="BF"/>
    </w:rPr>
  </w:style>
  <w:style w:type="character" w:customStyle="1" w:styleId="Heading6Char">
    <w:name w:val="Heading 6 Char"/>
    <w:basedOn w:val="DefaultParagraphFont"/>
    <w:link w:val="Heading6"/>
    <w:uiPriority w:val="9"/>
    <w:semiHidden/>
    <w:rsid w:val="00C25676"/>
  </w:style>
  <w:style w:type="character" w:customStyle="1" w:styleId="Heading7Char">
    <w:name w:val="Heading 7 Char"/>
    <w:basedOn w:val="DefaultParagraphFont"/>
    <w:link w:val="Heading7"/>
    <w:uiPriority w:val="9"/>
    <w:semiHidden/>
    <w:rsid w:val="00C2567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25676"/>
    <w:rPr>
      <w:color w:val="262626" w:themeColor="text1" w:themeTint="D9"/>
      <w:sz w:val="21"/>
      <w:szCs w:val="21"/>
    </w:rPr>
  </w:style>
  <w:style w:type="character" w:customStyle="1" w:styleId="Heading9Char">
    <w:name w:val="Heading 9 Char"/>
    <w:basedOn w:val="DefaultParagraphFont"/>
    <w:link w:val="Heading9"/>
    <w:uiPriority w:val="9"/>
    <w:semiHidden/>
    <w:rsid w:val="00C2567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2567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C2567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2567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C2567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25676"/>
    <w:rPr>
      <w:color w:val="5A5A5A" w:themeColor="text1" w:themeTint="A5"/>
      <w:spacing w:val="15"/>
    </w:rPr>
  </w:style>
  <w:style w:type="character" w:styleId="Strong">
    <w:name w:val="Strong"/>
    <w:basedOn w:val="DefaultParagraphFont"/>
    <w:uiPriority w:val="22"/>
    <w:qFormat/>
    <w:rsid w:val="00C25676"/>
    <w:rPr>
      <w:b/>
      <w:bCs/>
      <w:color w:val="auto"/>
    </w:rPr>
  </w:style>
  <w:style w:type="character" w:styleId="Emphasis">
    <w:name w:val="Emphasis"/>
    <w:basedOn w:val="DefaultParagraphFont"/>
    <w:uiPriority w:val="20"/>
    <w:qFormat/>
    <w:rsid w:val="00C25676"/>
    <w:rPr>
      <w:i/>
      <w:iCs/>
      <w:color w:val="auto"/>
    </w:rPr>
  </w:style>
  <w:style w:type="paragraph" w:styleId="NoSpacing">
    <w:name w:val="No Spacing"/>
    <w:uiPriority w:val="1"/>
    <w:qFormat/>
    <w:rsid w:val="00C2567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C2567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25676"/>
    <w:rPr>
      <w:i/>
      <w:iCs/>
      <w:color w:val="404040" w:themeColor="text1" w:themeTint="BF"/>
    </w:rPr>
  </w:style>
  <w:style w:type="paragraph" w:styleId="IntenseQuote">
    <w:name w:val="Intense Quote"/>
    <w:basedOn w:val="Normal"/>
    <w:next w:val="Normal"/>
    <w:link w:val="IntenseQuoteChar"/>
    <w:uiPriority w:val="30"/>
    <w:qFormat/>
    <w:rsid w:val="00C2567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25676"/>
    <w:rPr>
      <w:i/>
      <w:iCs/>
      <w:color w:val="404040" w:themeColor="text1" w:themeTint="BF"/>
    </w:rPr>
  </w:style>
  <w:style w:type="character" w:styleId="SubtleEmphasis">
    <w:name w:val="Subtle Emphasis"/>
    <w:basedOn w:val="DefaultParagraphFont"/>
    <w:uiPriority w:val="19"/>
    <w:qFormat/>
    <w:rsid w:val="00C25676"/>
    <w:rPr>
      <w:i/>
      <w:iCs/>
      <w:color w:val="404040" w:themeColor="text1" w:themeTint="BF"/>
    </w:rPr>
  </w:style>
  <w:style w:type="character" w:styleId="IntenseEmphasis">
    <w:name w:val="Intense Emphasis"/>
    <w:basedOn w:val="DefaultParagraphFont"/>
    <w:uiPriority w:val="21"/>
    <w:qFormat/>
    <w:rsid w:val="00C25676"/>
    <w:rPr>
      <w:b/>
      <w:bCs/>
      <w:i/>
      <w:iCs/>
      <w:color w:val="auto"/>
    </w:rPr>
  </w:style>
  <w:style w:type="character" w:styleId="SubtleReference">
    <w:name w:val="Subtle Reference"/>
    <w:basedOn w:val="DefaultParagraphFont"/>
    <w:uiPriority w:val="31"/>
    <w:qFormat/>
    <w:rsid w:val="00C25676"/>
    <w:rPr>
      <w:smallCaps/>
      <w:color w:val="404040" w:themeColor="text1" w:themeTint="BF"/>
    </w:rPr>
  </w:style>
  <w:style w:type="character" w:styleId="IntenseReference">
    <w:name w:val="Intense Reference"/>
    <w:basedOn w:val="DefaultParagraphFont"/>
    <w:uiPriority w:val="32"/>
    <w:qFormat/>
    <w:rsid w:val="00C25676"/>
    <w:rPr>
      <w:b/>
      <w:bCs/>
      <w:smallCaps/>
      <w:color w:val="404040" w:themeColor="text1" w:themeTint="BF"/>
      <w:spacing w:val="5"/>
    </w:rPr>
  </w:style>
  <w:style w:type="character" w:styleId="BookTitle">
    <w:name w:val="Book Title"/>
    <w:basedOn w:val="DefaultParagraphFont"/>
    <w:uiPriority w:val="33"/>
    <w:qFormat/>
    <w:rsid w:val="00C25676"/>
    <w:rPr>
      <w:b/>
      <w:bCs/>
      <w:i/>
      <w:iCs/>
      <w:spacing w:val="5"/>
    </w:rPr>
  </w:style>
  <w:style w:type="paragraph" w:styleId="TOCHeading">
    <w:name w:val="TOC Heading"/>
    <w:basedOn w:val="Heading1"/>
    <w:next w:val="Normal"/>
    <w:uiPriority w:val="39"/>
    <w:semiHidden/>
    <w:unhideWhenUsed/>
    <w:qFormat/>
    <w:rsid w:val="00C2567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inline-item">
    <w:name w:val="list-inline-item"/>
    <w:basedOn w:val="Normal"/>
    <w:rsid w:val="006C79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tenttext">
    <w:name w:val="intent_text"/>
    <w:basedOn w:val="DefaultParagraphFont"/>
    <w:rsid w:val="006C7965"/>
  </w:style>
  <w:style w:type="character" w:customStyle="1" w:styleId="fas">
    <w:name w:val="fas"/>
    <w:basedOn w:val="DefaultParagraphFont"/>
    <w:rsid w:val="006C7965"/>
  </w:style>
  <w:style w:type="paragraph" w:customStyle="1" w:styleId="publisher">
    <w:name w:val="publisher"/>
    <w:basedOn w:val="Normal"/>
    <w:rsid w:val="006C79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identifier">
    <w:name w:val="citation__identifier"/>
    <w:basedOn w:val="Normal"/>
    <w:rsid w:val="006C79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tentcopyrighttext">
    <w:name w:val="intent_copyright_text"/>
    <w:basedOn w:val="DefaultParagraphFont"/>
    <w:rsid w:val="006C7965"/>
  </w:style>
  <w:style w:type="character" w:customStyle="1" w:styleId="alternatives">
    <w:name w:val="alternatives"/>
    <w:basedOn w:val="DefaultParagraphFont"/>
    <w:rsid w:val="006C7965"/>
  </w:style>
  <w:style w:type="character" w:customStyle="1" w:styleId="fn-group">
    <w:name w:val="fn-group"/>
    <w:basedOn w:val="DefaultParagraphFont"/>
    <w:rsid w:val="006C7965"/>
  </w:style>
  <w:style w:type="paragraph" w:customStyle="1" w:styleId="reference">
    <w:name w:val="reference"/>
    <w:basedOn w:val="Normal"/>
    <w:rsid w:val="006C79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
    <w:name w:val="ref"/>
    <w:basedOn w:val="DefaultParagraphFont"/>
    <w:rsid w:val="006C7965"/>
  </w:style>
  <w:style w:type="character" w:customStyle="1" w:styleId="referencemixed-citation">
    <w:name w:val="reference__mixed-citation"/>
    <w:basedOn w:val="DefaultParagraphFont"/>
    <w:rsid w:val="006C7965"/>
  </w:style>
  <w:style w:type="character" w:customStyle="1" w:styleId="referenceperson-group">
    <w:name w:val="reference__person-group"/>
    <w:basedOn w:val="DefaultParagraphFont"/>
    <w:rsid w:val="006C7965"/>
  </w:style>
  <w:style w:type="character" w:customStyle="1" w:styleId="referencestring-name">
    <w:name w:val="reference__string-name"/>
    <w:basedOn w:val="DefaultParagraphFont"/>
    <w:rsid w:val="006C7965"/>
  </w:style>
  <w:style w:type="character" w:customStyle="1" w:styleId="referencesurname">
    <w:name w:val="reference__surname"/>
    <w:basedOn w:val="DefaultParagraphFont"/>
    <w:rsid w:val="006C7965"/>
  </w:style>
  <w:style w:type="character" w:customStyle="1" w:styleId="referencegiven-names">
    <w:name w:val="reference__given-names"/>
    <w:basedOn w:val="DefaultParagraphFont"/>
    <w:rsid w:val="006C7965"/>
  </w:style>
  <w:style w:type="character" w:customStyle="1" w:styleId="referenceyear">
    <w:name w:val="reference__year"/>
    <w:basedOn w:val="DefaultParagraphFont"/>
    <w:rsid w:val="006C7965"/>
  </w:style>
  <w:style w:type="character" w:customStyle="1" w:styleId="referencearticle-title">
    <w:name w:val="reference__article-title"/>
    <w:basedOn w:val="DefaultParagraphFont"/>
    <w:rsid w:val="006C7965"/>
  </w:style>
  <w:style w:type="character" w:customStyle="1" w:styleId="referencesource">
    <w:name w:val="reference__source"/>
    <w:basedOn w:val="DefaultParagraphFont"/>
    <w:rsid w:val="006C7965"/>
  </w:style>
  <w:style w:type="character" w:customStyle="1" w:styleId="referencevolume">
    <w:name w:val="reference__volume"/>
    <w:basedOn w:val="DefaultParagraphFont"/>
    <w:rsid w:val="006C7965"/>
  </w:style>
  <w:style w:type="character" w:customStyle="1" w:styleId="referenceissue">
    <w:name w:val="reference__issue"/>
    <w:basedOn w:val="DefaultParagraphFont"/>
    <w:rsid w:val="006C7965"/>
  </w:style>
  <w:style w:type="character" w:customStyle="1" w:styleId="referencefpage">
    <w:name w:val="reference__fpage"/>
    <w:basedOn w:val="DefaultParagraphFont"/>
    <w:rsid w:val="006C7965"/>
  </w:style>
  <w:style w:type="character" w:customStyle="1" w:styleId="referencelpage">
    <w:name w:val="reference__lpage"/>
    <w:basedOn w:val="DefaultParagraphFont"/>
    <w:rsid w:val="006C7965"/>
  </w:style>
  <w:style w:type="character" w:customStyle="1" w:styleId="referencecomment">
    <w:name w:val="reference__comment"/>
    <w:basedOn w:val="DefaultParagraphFont"/>
    <w:rsid w:val="006C7965"/>
  </w:style>
  <w:style w:type="character" w:customStyle="1" w:styleId="referencepublisher-name">
    <w:name w:val="reference__publisher-name"/>
    <w:basedOn w:val="DefaultParagraphFont"/>
    <w:rsid w:val="006C7965"/>
  </w:style>
  <w:style w:type="character" w:customStyle="1" w:styleId="collab">
    <w:name w:val="collab"/>
    <w:basedOn w:val="DefaultParagraphFont"/>
    <w:rsid w:val="006C7965"/>
  </w:style>
  <w:style w:type="character" w:customStyle="1" w:styleId="referencepublisher-loc">
    <w:name w:val="reference__publisher-loc"/>
    <w:basedOn w:val="DefaultParagraphFont"/>
    <w:rsid w:val="006C7965"/>
  </w:style>
  <w:style w:type="character" w:customStyle="1" w:styleId="ack">
    <w:name w:val="ack"/>
    <w:basedOn w:val="DefaultParagraphFont"/>
    <w:rsid w:val="006C79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393306523">
      <w:bodyDiv w:val="1"/>
      <w:marLeft w:val="0"/>
      <w:marRight w:val="0"/>
      <w:marTop w:val="0"/>
      <w:marBottom w:val="0"/>
      <w:divBdr>
        <w:top w:val="none" w:sz="0" w:space="0" w:color="auto"/>
        <w:left w:val="none" w:sz="0" w:space="0" w:color="auto"/>
        <w:bottom w:val="none" w:sz="0" w:space="0" w:color="auto"/>
        <w:right w:val="none" w:sz="0" w:space="0" w:color="auto"/>
      </w:divBdr>
      <w:divsChild>
        <w:div w:id="1668826292">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154809673">
          <w:marLeft w:val="0"/>
          <w:marRight w:val="0"/>
          <w:marTop w:val="0"/>
          <w:marBottom w:val="0"/>
          <w:divBdr>
            <w:top w:val="none" w:sz="0" w:space="0" w:color="auto"/>
            <w:left w:val="none" w:sz="0" w:space="0" w:color="auto"/>
            <w:bottom w:val="none" w:sz="0" w:space="0" w:color="auto"/>
            <w:right w:val="none" w:sz="0" w:space="0" w:color="auto"/>
          </w:divBdr>
        </w:div>
        <w:div w:id="1384524995">
          <w:marLeft w:val="0"/>
          <w:marRight w:val="0"/>
          <w:marTop w:val="0"/>
          <w:marBottom w:val="0"/>
          <w:divBdr>
            <w:top w:val="none" w:sz="0" w:space="0" w:color="auto"/>
            <w:left w:val="none" w:sz="0" w:space="0" w:color="auto"/>
            <w:bottom w:val="none" w:sz="0" w:space="0" w:color="auto"/>
            <w:right w:val="none" w:sz="0" w:space="0" w:color="auto"/>
          </w:divBdr>
        </w:div>
        <w:div w:id="1195575127">
          <w:marLeft w:val="0"/>
          <w:marRight w:val="0"/>
          <w:marTop w:val="0"/>
          <w:marBottom w:val="0"/>
          <w:divBdr>
            <w:top w:val="none" w:sz="0" w:space="0" w:color="auto"/>
            <w:left w:val="none" w:sz="0" w:space="0" w:color="auto"/>
            <w:bottom w:val="none" w:sz="0" w:space="0" w:color="auto"/>
            <w:right w:val="none" w:sz="0" w:space="0" w:color="auto"/>
          </w:divBdr>
        </w:div>
        <w:div w:id="1074158733">
          <w:marLeft w:val="0"/>
          <w:marRight w:val="0"/>
          <w:marTop w:val="0"/>
          <w:marBottom w:val="0"/>
          <w:divBdr>
            <w:top w:val="none" w:sz="0" w:space="0" w:color="auto"/>
            <w:left w:val="none" w:sz="0" w:space="0" w:color="auto"/>
            <w:bottom w:val="none" w:sz="0" w:space="0" w:color="auto"/>
            <w:right w:val="none" w:sz="0" w:space="0" w:color="auto"/>
          </w:divBdr>
          <w:divsChild>
            <w:div w:id="2069037872">
              <w:marLeft w:val="0"/>
              <w:marRight w:val="0"/>
              <w:marTop w:val="0"/>
              <w:marBottom w:val="0"/>
              <w:divBdr>
                <w:top w:val="none" w:sz="0" w:space="0" w:color="auto"/>
                <w:left w:val="none" w:sz="0" w:space="0" w:color="auto"/>
                <w:bottom w:val="none" w:sz="0" w:space="0" w:color="auto"/>
                <w:right w:val="none" w:sz="0" w:space="0" w:color="auto"/>
              </w:divBdr>
            </w:div>
          </w:divsChild>
        </w:div>
        <w:div w:id="801268294">
          <w:marLeft w:val="0"/>
          <w:marRight w:val="0"/>
          <w:marTop w:val="0"/>
          <w:marBottom w:val="0"/>
          <w:divBdr>
            <w:top w:val="none" w:sz="0" w:space="0" w:color="auto"/>
            <w:left w:val="none" w:sz="0" w:space="0" w:color="auto"/>
            <w:bottom w:val="none" w:sz="0" w:space="0" w:color="auto"/>
            <w:right w:val="none" w:sz="0" w:space="0" w:color="auto"/>
          </w:divBdr>
        </w:div>
        <w:div w:id="822815971">
          <w:marLeft w:val="0"/>
          <w:marRight w:val="0"/>
          <w:marTop w:val="0"/>
          <w:marBottom w:val="0"/>
          <w:divBdr>
            <w:top w:val="none" w:sz="0" w:space="0" w:color="auto"/>
            <w:left w:val="none" w:sz="0" w:space="0" w:color="auto"/>
            <w:bottom w:val="none" w:sz="0" w:space="0" w:color="auto"/>
            <w:right w:val="none" w:sz="0" w:space="0" w:color="auto"/>
          </w:divBdr>
        </w:div>
        <w:div w:id="472331848">
          <w:marLeft w:val="0"/>
          <w:marRight w:val="0"/>
          <w:marTop w:val="0"/>
          <w:marBottom w:val="0"/>
          <w:divBdr>
            <w:top w:val="none" w:sz="0" w:space="0" w:color="auto"/>
            <w:left w:val="none" w:sz="0" w:space="0" w:color="auto"/>
            <w:bottom w:val="none" w:sz="0" w:space="0" w:color="auto"/>
            <w:right w:val="none" w:sz="0" w:space="0" w:color="auto"/>
          </w:divBdr>
        </w:div>
        <w:div w:id="1871800928">
          <w:marLeft w:val="0"/>
          <w:marRight w:val="0"/>
          <w:marTop w:val="0"/>
          <w:marBottom w:val="0"/>
          <w:divBdr>
            <w:top w:val="single" w:sz="6" w:space="0" w:color="E9ECEF"/>
            <w:left w:val="single" w:sz="6" w:space="0" w:color="E9ECEF"/>
            <w:bottom w:val="single" w:sz="6" w:space="0" w:color="E9ECEF"/>
            <w:right w:val="single" w:sz="6" w:space="0" w:color="E9ECEF"/>
          </w:divBdr>
          <w:divsChild>
            <w:div w:id="313488932">
              <w:marLeft w:val="0"/>
              <w:marRight w:val="0"/>
              <w:marTop w:val="150"/>
              <w:marBottom w:val="150"/>
              <w:divBdr>
                <w:top w:val="none" w:sz="0" w:space="0" w:color="auto"/>
                <w:left w:val="none" w:sz="0" w:space="0" w:color="auto"/>
                <w:bottom w:val="none" w:sz="0" w:space="0" w:color="auto"/>
                <w:right w:val="none" w:sz="0" w:space="0" w:color="auto"/>
              </w:divBdr>
              <w:divsChild>
                <w:div w:id="19522033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7451293">
          <w:marLeft w:val="0"/>
          <w:marRight w:val="0"/>
          <w:marTop w:val="0"/>
          <w:marBottom w:val="0"/>
          <w:divBdr>
            <w:top w:val="single" w:sz="6" w:space="0" w:color="E9ECEF"/>
            <w:left w:val="single" w:sz="6" w:space="0" w:color="E9ECEF"/>
            <w:bottom w:val="single" w:sz="6" w:space="0" w:color="E9ECEF"/>
            <w:right w:val="single" w:sz="6" w:space="0" w:color="E9ECEF"/>
          </w:divBdr>
          <w:divsChild>
            <w:div w:id="911811383">
              <w:marLeft w:val="0"/>
              <w:marRight w:val="0"/>
              <w:marTop w:val="150"/>
              <w:marBottom w:val="150"/>
              <w:divBdr>
                <w:top w:val="none" w:sz="0" w:space="0" w:color="auto"/>
                <w:left w:val="none" w:sz="0" w:space="0" w:color="auto"/>
                <w:bottom w:val="none" w:sz="0" w:space="0" w:color="auto"/>
                <w:right w:val="none" w:sz="0" w:space="0" w:color="auto"/>
              </w:divBdr>
              <w:divsChild>
                <w:div w:id="2023758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5964753">
          <w:marLeft w:val="0"/>
          <w:marRight w:val="0"/>
          <w:marTop w:val="0"/>
          <w:marBottom w:val="0"/>
          <w:divBdr>
            <w:top w:val="none" w:sz="0" w:space="0" w:color="auto"/>
            <w:left w:val="none" w:sz="0" w:space="0" w:color="auto"/>
            <w:bottom w:val="none" w:sz="0" w:space="0" w:color="auto"/>
            <w:right w:val="none" w:sz="0" w:space="0" w:color="auto"/>
          </w:divBdr>
        </w:div>
        <w:div w:id="325667895">
          <w:marLeft w:val="0"/>
          <w:marRight w:val="0"/>
          <w:marTop w:val="0"/>
          <w:marBottom w:val="0"/>
          <w:divBdr>
            <w:top w:val="none" w:sz="0" w:space="0" w:color="auto"/>
            <w:left w:val="none" w:sz="0" w:space="0" w:color="auto"/>
            <w:bottom w:val="none" w:sz="0" w:space="0" w:color="auto"/>
            <w:right w:val="none" w:sz="0" w:space="0" w:color="auto"/>
          </w:divBdr>
          <w:divsChild>
            <w:div w:id="1460955244">
              <w:marLeft w:val="0"/>
              <w:marRight w:val="0"/>
              <w:marTop w:val="0"/>
              <w:marBottom w:val="0"/>
              <w:divBdr>
                <w:top w:val="none" w:sz="0" w:space="0" w:color="auto"/>
                <w:left w:val="none" w:sz="0" w:space="0" w:color="auto"/>
                <w:bottom w:val="none" w:sz="0" w:space="0" w:color="auto"/>
                <w:right w:val="none" w:sz="0" w:space="0" w:color="auto"/>
              </w:divBdr>
            </w:div>
          </w:divsChild>
        </w:div>
        <w:div w:id="325939023">
          <w:marLeft w:val="0"/>
          <w:marRight w:val="0"/>
          <w:marTop w:val="0"/>
          <w:marBottom w:val="0"/>
          <w:divBdr>
            <w:top w:val="none" w:sz="0" w:space="0" w:color="auto"/>
            <w:left w:val="none" w:sz="0" w:space="0" w:color="auto"/>
            <w:bottom w:val="none" w:sz="0" w:space="0" w:color="auto"/>
            <w:right w:val="none" w:sz="0" w:space="0" w:color="auto"/>
          </w:divBdr>
          <w:divsChild>
            <w:div w:id="390202739">
              <w:marLeft w:val="0"/>
              <w:marRight w:val="0"/>
              <w:marTop w:val="0"/>
              <w:marBottom w:val="0"/>
              <w:divBdr>
                <w:top w:val="none" w:sz="0" w:space="0" w:color="auto"/>
                <w:left w:val="none" w:sz="0" w:space="0" w:color="auto"/>
                <w:bottom w:val="none" w:sz="0" w:space="0" w:color="auto"/>
                <w:right w:val="none" w:sz="0" w:space="0" w:color="auto"/>
              </w:divBdr>
            </w:div>
          </w:divsChild>
        </w:div>
        <w:div w:id="1050229208">
          <w:marLeft w:val="0"/>
          <w:marRight w:val="0"/>
          <w:marTop w:val="0"/>
          <w:marBottom w:val="0"/>
          <w:divBdr>
            <w:top w:val="none" w:sz="0" w:space="0" w:color="auto"/>
            <w:left w:val="none" w:sz="0" w:space="0" w:color="auto"/>
            <w:bottom w:val="none" w:sz="0" w:space="0" w:color="auto"/>
            <w:right w:val="none" w:sz="0" w:space="0" w:color="auto"/>
          </w:divBdr>
          <w:divsChild>
            <w:div w:id="1950163450">
              <w:marLeft w:val="0"/>
              <w:marRight w:val="0"/>
              <w:marTop w:val="0"/>
              <w:marBottom w:val="0"/>
              <w:divBdr>
                <w:top w:val="none" w:sz="0" w:space="0" w:color="auto"/>
                <w:left w:val="none" w:sz="0" w:space="0" w:color="auto"/>
                <w:bottom w:val="none" w:sz="0" w:space="0" w:color="auto"/>
                <w:right w:val="none" w:sz="0" w:space="0" w:color="auto"/>
              </w:divBdr>
            </w:div>
            <w:div w:id="189101376">
              <w:marLeft w:val="0"/>
              <w:marRight w:val="0"/>
              <w:marTop w:val="0"/>
              <w:marBottom w:val="0"/>
              <w:divBdr>
                <w:top w:val="none" w:sz="0" w:space="0" w:color="auto"/>
                <w:left w:val="none" w:sz="0" w:space="0" w:color="auto"/>
                <w:bottom w:val="none" w:sz="0" w:space="0" w:color="auto"/>
                <w:right w:val="none" w:sz="0" w:space="0" w:color="auto"/>
              </w:divBdr>
            </w:div>
          </w:divsChild>
        </w:div>
        <w:div w:id="65346103">
          <w:marLeft w:val="0"/>
          <w:marRight w:val="0"/>
          <w:marTop w:val="0"/>
          <w:marBottom w:val="0"/>
          <w:divBdr>
            <w:top w:val="none" w:sz="0" w:space="0" w:color="auto"/>
            <w:left w:val="none" w:sz="0" w:space="0" w:color="auto"/>
            <w:bottom w:val="none" w:sz="0" w:space="0" w:color="auto"/>
            <w:right w:val="none" w:sz="0" w:space="0" w:color="auto"/>
          </w:divBdr>
          <w:divsChild>
            <w:div w:id="1160073879">
              <w:marLeft w:val="0"/>
              <w:marRight w:val="0"/>
              <w:marTop w:val="0"/>
              <w:marBottom w:val="0"/>
              <w:divBdr>
                <w:top w:val="none" w:sz="0" w:space="0" w:color="auto"/>
                <w:left w:val="none" w:sz="0" w:space="0" w:color="auto"/>
                <w:bottom w:val="none" w:sz="0" w:space="0" w:color="auto"/>
                <w:right w:val="none" w:sz="0" w:space="0" w:color="auto"/>
              </w:divBdr>
            </w:div>
          </w:divsChild>
        </w:div>
        <w:div w:id="1365902567">
          <w:marLeft w:val="0"/>
          <w:marRight w:val="0"/>
          <w:marTop w:val="0"/>
          <w:marBottom w:val="0"/>
          <w:divBdr>
            <w:top w:val="none" w:sz="0" w:space="0" w:color="auto"/>
            <w:left w:val="none" w:sz="0" w:space="0" w:color="auto"/>
            <w:bottom w:val="none" w:sz="0" w:space="0" w:color="auto"/>
            <w:right w:val="none" w:sz="0" w:space="0" w:color="auto"/>
          </w:divBdr>
          <w:divsChild>
            <w:div w:id="1333679266">
              <w:marLeft w:val="0"/>
              <w:marRight w:val="0"/>
              <w:marTop w:val="0"/>
              <w:marBottom w:val="0"/>
              <w:divBdr>
                <w:top w:val="none" w:sz="0" w:space="0" w:color="auto"/>
                <w:left w:val="none" w:sz="0" w:space="0" w:color="auto"/>
                <w:bottom w:val="none" w:sz="0" w:space="0" w:color="auto"/>
                <w:right w:val="none" w:sz="0" w:space="0" w:color="auto"/>
              </w:divBdr>
            </w:div>
            <w:div w:id="2124685953">
              <w:marLeft w:val="0"/>
              <w:marRight w:val="0"/>
              <w:marTop w:val="0"/>
              <w:marBottom w:val="0"/>
              <w:divBdr>
                <w:top w:val="none" w:sz="0" w:space="0" w:color="auto"/>
                <w:left w:val="none" w:sz="0" w:space="0" w:color="auto"/>
                <w:bottom w:val="none" w:sz="0" w:space="0" w:color="auto"/>
                <w:right w:val="none" w:sz="0" w:space="0" w:color="auto"/>
              </w:divBdr>
            </w:div>
          </w:divsChild>
        </w:div>
        <w:div w:id="1105032787">
          <w:marLeft w:val="0"/>
          <w:marRight w:val="0"/>
          <w:marTop w:val="0"/>
          <w:marBottom w:val="0"/>
          <w:divBdr>
            <w:top w:val="none" w:sz="0" w:space="0" w:color="auto"/>
            <w:left w:val="none" w:sz="0" w:space="0" w:color="auto"/>
            <w:bottom w:val="none" w:sz="0" w:space="0" w:color="auto"/>
            <w:right w:val="none" w:sz="0" w:space="0" w:color="auto"/>
          </w:divBdr>
          <w:divsChild>
            <w:div w:id="1926377440">
              <w:marLeft w:val="0"/>
              <w:marRight w:val="0"/>
              <w:marTop w:val="0"/>
              <w:marBottom w:val="0"/>
              <w:divBdr>
                <w:top w:val="none" w:sz="0" w:space="0" w:color="auto"/>
                <w:left w:val="none" w:sz="0" w:space="0" w:color="auto"/>
                <w:bottom w:val="none" w:sz="0" w:space="0" w:color="auto"/>
                <w:right w:val="none" w:sz="0" w:space="0" w:color="auto"/>
              </w:divBdr>
              <w:divsChild>
                <w:div w:id="279994901">
                  <w:marLeft w:val="0"/>
                  <w:marRight w:val="0"/>
                  <w:marTop w:val="0"/>
                  <w:marBottom w:val="0"/>
                  <w:divBdr>
                    <w:top w:val="none" w:sz="0" w:space="0" w:color="auto"/>
                    <w:left w:val="none" w:sz="0" w:space="0" w:color="auto"/>
                    <w:bottom w:val="none" w:sz="0" w:space="0" w:color="auto"/>
                    <w:right w:val="none" w:sz="0" w:space="0" w:color="auto"/>
                  </w:divBdr>
                  <w:divsChild>
                    <w:div w:id="443352950">
                      <w:marLeft w:val="0"/>
                      <w:marRight w:val="0"/>
                      <w:marTop w:val="0"/>
                      <w:marBottom w:val="0"/>
                      <w:divBdr>
                        <w:top w:val="none" w:sz="0" w:space="0" w:color="auto"/>
                        <w:left w:val="none" w:sz="0" w:space="0" w:color="auto"/>
                        <w:bottom w:val="none" w:sz="0" w:space="0" w:color="auto"/>
                        <w:right w:val="none" w:sz="0" w:space="0" w:color="auto"/>
                      </w:divBdr>
                    </w:div>
                    <w:div w:id="14287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71243">
              <w:marLeft w:val="0"/>
              <w:marRight w:val="0"/>
              <w:marTop w:val="0"/>
              <w:marBottom w:val="0"/>
              <w:divBdr>
                <w:top w:val="none" w:sz="0" w:space="0" w:color="auto"/>
                <w:left w:val="none" w:sz="0" w:space="0" w:color="auto"/>
                <w:bottom w:val="none" w:sz="0" w:space="0" w:color="auto"/>
                <w:right w:val="none" w:sz="0" w:space="0" w:color="auto"/>
              </w:divBdr>
              <w:divsChild>
                <w:div w:id="974798439">
                  <w:marLeft w:val="0"/>
                  <w:marRight w:val="0"/>
                  <w:marTop w:val="0"/>
                  <w:marBottom w:val="0"/>
                  <w:divBdr>
                    <w:top w:val="none" w:sz="0" w:space="0" w:color="auto"/>
                    <w:left w:val="none" w:sz="0" w:space="0" w:color="auto"/>
                    <w:bottom w:val="none" w:sz="0" w:space="0" w:color="auto"/>
                    <w:right w:val="none" w:sz="0" w:space="0" w:color="auto"/>
                  </w:divBdr>
                  <w:divsChild>
                    <w:div w:id="863440217">
                      <w:marLeft w:val="0"/>
                      <w:marRight w:val="0"/>
                      <w:marTop w:val="0"/>
                      <w:marBottom w:val="0"/>
                      <w:divBdr>
                        <w:top w:val="none" w:sz="0" w:space="0" w:color="auto"/>
                        <w:left w:val="none" w:sz="0" w:space="0" w:color="auto"/>
                        <w:bottom w:val="none" w:sz="0" w:space="0" w:color="auto"/>
                        <w:right w:val="none" w:sz="0" w:space="0" w:color="auto"/>
                      </w:divBdr>
                    </w:div>
                    <w:div w:id="14335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167772">
              <w:marLeft w:val="0"/>
              <w:marRight w:val="0"/>
              <w:marTop w:val="0"/>
              <w:marBottom w:val="0"/>
              <w:divBdr>
                <w:top w:val="none" w:sz="0" w:space="0" w:color="auto"/>
                <w:left w:val="none" w:sz="0" w:space="0" w:color="auto"/>
                <w:bottom w:val="none" w:sz="0" w:space="0" w:color="auto"/>
                <w:right w:val="none" w:sz="0" w:space="0" w:color="auto"/>
              </w:divBdr>
              <w:divsChild>
                <w:div w:id="1708527643">
                  <w:marLeft w:val="0"/>
                  <w:marRight w:val="0"/>
                  <w:marTop w:val="0"/>
                  <w:marBottom w:val="0"/>
                  <w:divBdr>
                    <w:top w:val="none" w:sz="0" w:space="0" w:color="auto"/>
                    <w:left w:val="none" w:sz="0" w:space="0" w:color="auto"/>
                    <w:bottom w:val="none" w:sz="0" w:space="0" w:color="auto"/>
                    <w:right w:val="none" w:sz="0" w:space="0" w:color="auto"/>
                  </w:divBdr>
                  <w:divsChild>
                    <w:div w:id="612177390">
                      <w:marLeft w:val="0"/>
                      <w:marRight w:val="0"/>
                      <w:marTop w:val="0"/>
                      <w:marBottom w:val="0"/>
                      <w:divBdr>
                        <w:top w:val="none" w:sz="0" w:space="0" w:color="auto"/>
                        <w:left w:val="none" w:sz="0" w:space="0" w:color="auto"/>
                        <w:bottom w:val="none" w:sz="0" w:space="0" w:color="auto"/>
                        <w:right w:val="none" w:sz="0" w:space="0" w:color="auto"/>
                      </w:divBdr>
                    </w:div>
                    <w:div w:id="172618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855798">
              <w:marLeft w:val="0"/>
              <w:marRight w:val="0"/>
              <w:marTop w:val="0"/>
              <w:marBottom w:val="0"/>
              <w:divBdr>
                <w:top w:val="none" w:sz="0" w:space="0" w:color="auto"/>
                <w:left w:val="none" w:sz="0" w:space="0" w:color="auto"/>
                <w:bottom w:val="none" w:sz="0" w:space="0" w:color="auto"/>
                <w:right w:val="none" w:sz="0" w:space="0" w:color="auto"/>
              </w:divBdr>
              <w:divsChild>
                <w:div w:id="907031398">
                  <w:marLeft w:val="0"/>
                  <w:marRight w:val="0"/>
                  <w:marTop w:val="0"/>
                  <w:marBottom w:val="0"/>
                  <w:divBdr>
                    <w:top w:val="none" w:sz="0" w:space="0" w:color="auto"/>
                    <w:left w:val="none" w:sz="0" w:space="0" w:color="auto"/>
                    <w:bottom w:val="none" w:sz="0" w:space="0" w:color="auto"/>
                    <w:right w:val="none" w:sz="0" w:space="0" w:color="auto"/>
                  </w:divBdr>
                  <w:divsChild>
                    <w:div w:id="152113720">
                      <w:marLeft w:val="0"/>
                      <w:marRight w:val="0"/>
                      <w:marTop w:val="0"/>
                      <w:marBottom w:val="0"/>
                      <w:divBdr>
                        <w:top w:val="none" w:sz="0" w:space="0" w:color="auto"/>
                        <w:left w:val="none" w:sz="0" w:space="0" w:color="auto"/>
                        <w:bottom w:val="none" w:sz="0" w:space="0" w:color="auto"/>
                        <w:right w:val="none" w:sz="0" w:space="0" w:color="auto"/>
                      </w:divBdr>
                    </w:div>
                    <w:div w:id="8541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15070">
              <w:marLeft w:val="0"/>
              <w:marRight w:val="0"/>
              <w:marTop w:val="0"/>
              <w:marBottom w:val="0"/>
              <w:divBdr>
                <w:top w:val="none" w:sz="0" w:space="0" w:color="auto"/>
                <w:left w:val="none" w:sz="0" w:space="0" w:color="auto"/>
                <w:bottom w:val="none" w:sz="0" w:space="0" w:color="auto"/>
                <w:right w:val="none" w:sz="0" w:space="0" w:color="auto"/>
              </w:divBdr>
              <w:divsChild>
                <w:div w:id="359818683">
                  <w:marLeft w:val="0"/>
                  <w:marRight w:val="0"/>
                  <w:marTop w:val="0"/>
                  <w:marBottom w:val="0"/>
                  <w:divBdr>
                    <w:top w:val="none" w:sz="0" w:space="0" w:color="auto"/>
                    <w:left w:val="none" w:sz="0" w:space="0" w:color="auto"/>
                    <w:bottom w:val="none" w:sz="0" w:space="0" w:color="auto"/>
                    <w:right w:val="none" w:sz="0" w:space="0" w:color="auto"/>
                  </w:divBdr>
                  <w:divsChild>
                    <w:div w:id="740522551">
                      <w:marLeft w:val="0"/>
                      <w:marRight w:val="0"/>
                      <w:marTop w:val="0"/>
                      <w:marBottom w:val="0"/>
                      <w:divBdr>
                        <w:top w:val="none" w:sz="0" w:space="0" w:color="auto"/>
                        <w:left w:val="none" w:sz="0" w:space="0" w:color="auto"/>
                        <w:bottom w:val="none" w:sz="0" w:space="0" w:color="auto"/>
                        <w:right w:val="none" w:sz="0" w:space="0" w:color="auto"/>
                      </w:divBdr>
                    </w:div>
                    <w:div w:id="101688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361057">
              <w:marLeft w:val="0"/>
              <w:marRight w:val="0"/>
              <w:marTop w:val="0"/>
              <w:marBottom w:val="0"/>
              <w:divBdr>
                <w:top w:val="none" w:sz="0" w:space="0" w:color="auto"/>
                <w:left w:val="none" w:sz="0" w:space="0" w:color="auto"/>
                <w:bottom w:val="none" w:sz="0" w:space="0" w:color="auto"/>
                <w:right w:val="none" w:sz="0" w:space="0" w:color="auto"/>
              </w:divBdr>
              <w:divsChild>
                <w:div w:id="69280860">
                  <w:marLeft w:val="0"/>
                  <w:marRight w:val="0"/>
                  <w:marTop w:val="0"/>
                  <w:marBottom w:val="0"/>
                  <w:divBdr>
                    <w:top w:val="none" w:sz="0" w:space="0" w:color="auto"/>
                    <w:left w:val="none" w:sz="0" w:space="0" w:color="auto"/>
                    <w:bottom w:val="none" w:sz="0" w:space="0" w:color="auto"/>
                    <w:right w:val="none" w:sz="0" w:space="0" w:color="auto"/>
                  </w:divBdr>
                  <w:divsChild>
                    <w:div w:id="1547719789">
                      <w:marLeft w:val="0"/>
                      <w:marRight w:val="0"/>
                      <w:marTop w:val="0"/>
                      <w:marBottom w:val="0"/>
                      <w:divBdr>
                        <w:top w:val="none" w:sz="0" w:space="0" w:color="auto"/>
                        <w:left w:val="none" w:sz="0" w:space="0" w:color="auto"/>
                        <w:bottom w:val="none" w:sz="0" w:space="0" w:color="auto"/>
                        <w:right w:val="none" w:sz="0" w:space="0" w:color="auto"/>
                      </w:divBdr>
                    </w:div>
                    <w:div w:id="10061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455309">
              <w:marLeft w:val="0"/>
              <w:marRight w:val="0"/>
              <w:marTop w:val="0"/>
              <w:marBottom w:val="0"/>
              <w:divBdr>
                <w:top w:val="none" w:sz="0" w:space="0" w:color="auto"/>
                <w:left w:val="none" w:sz="0" w:space="0" w:color="auto"/>
                <w:bottom w:val="none" w:sz="0" w:space="0" w:color="auto"/>
                <w:right w:val="none" w:sz="0" w:space="0" w:color="auto"/>
              </w:divBdr>
              <w:divsChild>
                <w:div w:id="827205536">
                  <w:marLeft w:val="0"/>
                  <w:marRight w:val="0"/>
                  <w:marTop w:val="0"/>
                  <w:marBottom w:val="0"/>
                  <w:divBdr>
                    <w:top w:val="none" w:sz="0" w:space="0" w:color="auto"/>
                    <w:left w:val="none" w:sz="0" w:space="0" w:color="auto"/>
                    <w:bottom w:val="none" w:sz="0" w:space="0" w:color="auto"/>
                    <w:right w:val="none" w:sz="0" w:space="0" w:color="auto"/>
                  </w:divBdr>
                  <w:divsChild>
                    <w:div w:id="695617558">
                      <w:marLeft w:val="0"/>
                      <w:marRight w:val="0"/>
                      <w:marTop w:val="0"/>
                      <w:marBottom w:val="0"/>
                      <w:divBdr>
                        <w:top w:val="none" w:sz="0" w:space="0" w:color="auto"/>
                        <w:left w:val="none" w:sz="0" w:space="0" w:color="auto"/>
                        <w:bottom w:val="none" w:sz="0" w:space="0" w:color="auto"/>
                        <w:right w:val="none" w:sz="0" w:space="0" w:color="auto"/>
                      </w:divBdr>
                    </w:div>
                    <w:div w:id="13418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027166">
              <w:marLeft w:val="0"/>
              <w:marRight w:val="0"/>
              <w:marTop w:val="0"/>
              <w:marBottom w:val="0"/>
              <w:divBdr>
                <w:top w:val="none" w:sz="0" w:space="0" w:color="auto"/>
                <w:left w:val="none" w:sz="0" w:space="0" w:color="auto"/>
                <w:bottom w:val="none" w:sz="0" w:space="0" w:color="auto"/>
                <w:right w:val="none" w:sz="0" w:space="0" w:color="auto"/>
              </w:divBdr>
              <w:divsChild>
                <w:div w:id="629169376">
                  <w:marLeft w:val="0"/>
                  <w:marRight w:val="0"/>
                  <w:marTop w:val="0"/>
                  <w:marBottom w:val="0"/>
                  <w:divBdr>
                    <w:top w:val="none" w:sz="0" w:space="0" w:color="auto"/>
                    <w:left w:val="none" w:sz="0" w:space="0" w:color="auto"/>
                    <w:bottom w:val="none" w:sz="0" w:space="0" w:color="auto"/>
                    <w:right w:val="none" w:sz="0" w:space="0" w:color="auto"/>
                  </w:divBdr>
                  <w:divsChild>
                    <w:div w:id="226645094">
                      <w:marLeft w:val="0"/>
                      <w:marRight w:val="0"/>
                      <w:marTop w:val="0"/>
                      <w:marBottom w:val="0"/>
                      <w:divBdr>
                        <w:top w:val="none" w:sz="0" w:space="0" w:color="auto"/>
                        <w:left w:val="none" w:sz="0" w:space="0" w:color="auto"/>
                        <w:bottom w:val="none" w:sz="0" w:space="0" w:color="auto"/>
                        <w:right w:val="none" w:sz="0" w:space="0" w:color="auto"/>
                      </w:divBdr>
                    </w:div>
                    <w:div w:id="193331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796412">
              <w:marLeft w:val="0"/>
              <w:marRight w:val="0"/>
              <w:marTop w:val="0"/>
              <w:marBottom w:val="0"/>
              <w:divBdr>
                <w:top w:val="none" w:sz="0" w:space="0" w:color="auto"/>
                <w:left w:val="none" w:sz="0" w:space="0" w:color="auto"/>
                <w:bottom w:val="none" w:sz="0" w:space="0" w:color="auto"/>
                <w:right w:val="none" w:sz="0" w:space="0" w:color="auto"/>
              </w:divBdr>
              <w:divsChild>
                <w:div w:id="463278422">
                  <w:marLeft w:val="0"/>
                  <w:marRight w:val="0"/>
                  <w:marTop w:val="0"/>
                  <w:marBottom w:val="0"/>
                  <w:divBdr>
                    <w:top w:val="none" w:sz="0" w:space="0" w:color="auto"/>
                    <w:left w:val="none" w:sz="0" w:space="0" w:color="auto"/>
                    <w:bottom w:val="none" w:sz="0" w:space="0" w:color="auto"/>
                    <w:right w:val="none" w:sz="0" w:space="0" w:color="auto"/>
                  </w:divBdr>
                  <w:divsChild>
                    <w:div w:id="1521237079">
                      <w:marLeft w:val="0"/>
                      <w:marRight w:val="0"/>
                      <w:marTop w:val="0"/>
                      <w:marBottom w:val="0"/>
                      <w:divBdr>
                        <w:top w:val="none" w:sz="0" w:space="0" w:color="auto"/>
                        <w:left w:val="none" w:sz="0" w:space="0" w:color="auto"/>
                        <w:bottom w:val="none" w:sz="0" w:space="0" w:color="auto"/>
                        <w:right w:val="none" w:sz="0" w:space="0" w:color="auto"/>
                      </w:divBdr>
                    </w:div>
                    <w:div w:id="155249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223223">
              <w:marLeft w:val="0"/>
              <w:marRight w:val="0"/>
              <w:marTop w:val="0"/>
              <w:marBottom w:val="0"/>
              <w:divBdr>
                <w:top w:val="none" w:sz="0" w:space="0" w:color="auto"/>
                <w:left w:val="none" w:sz="0" w:space="0" w:color="auto"/>
                <w:bottom w:val="none" w:sz="0" w:space="0" w:color="auto"/>
                <w:right w:val="none" w:sz="0" w:space="0" w:color="auto"/>
              </w:divBdr>
              <w:divsChild>
                <w:div w:id="1799835454">
                  <w:marLeft w:val="0"/>
                  <w:marRight w:val="0"/>
                  <w:marTop w:val="0"/>
                  <w:marBottom w:val="0"/>
                  <w:divBdr>
                    <w:top w:val="none" w:sz="0" w:space="0" w:color="auto"/>
                    <w:left w:val="none" w:sz="0" w:space="0" w:color="auto"/>
                    <w:bottom w:val="none" w:sz="0" w:space="0" w:color="auto"/>
                    <w:right w:val="none" w:sz="0" w:space="0" w:color="auto"/>
                  </w:divBdr>
                  <w:divsChild>
                    <w:div w:id="1695111905">
                      <w:marLeft w:val="0"/>
                      <w:marRight w:val="0"/>
                      <w:marTop w:val="0"/>
                      <w:marBottom w:val="0"/>
                      <w:divBdr>
                        <w:top w:val="none" w:sz="0" w:space="0" w:color="auto"/>
                        <w:left w:val="none" w:sz="0" w:space="0" w:color="auto"/>
                        <w:bottom w:val="none" w:sz="0" w:space="0" w:color="auto"/>
                        <w:right w:val="none" w:sz="0" w:space="0" w:color="auto"/>
                      </w:divBdr>
                    </w:div>
                    <w:div w:id="7583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793395">
              <w:marLeft w:val="0"/>
              <w:marRight w:val="0"/>
              <w:marTop w:val="0"/>
              <w:marBottom w:val="0"/>
              <w:divBdr>
                <w:top w:val="none" w:sz="0" w:space="0" w:color="auto"/>
                <w:left w:val="none" w:sz="0" w:space="0" w:color="auto"/>
                <w:bottom w:val="none" w:sz="0" w:space="0" w:color="auto"/>
                <w:right w:val="none" w:sz="0" w:space="0" w:color="auto"/>
              </w:divBdr>
              <w:divsChild>
                <w:div w:id="1044721655">
                  <w:marLeft w:val="0"/>
                  <w:marRight w:val="0"/>
                  <w:marTop w:val="0"/>
                  <w:marBottom w:val="0"/>
                  <w:divBdr>
                    <w:top w:val="none" w:sz="0" w:space="0" w:color="auto"/>
                    <w:left w:val="none" w:sz="0" w:space="0" w:color="auto"/>
                    <w:bottom w:val="none" w:sz="0" w:space="0" w:color="auto"/>
                    <w:right w:val="none" w:sz="0" w:space="0" w:color="auto"/>
                  </w:divBdr>
                  <w:divsChild>
                    <w:div w:id="2027713245">
                      <w:marLeft w:val="0"/>
                      <w:marRight w:val="0"/>
                      <w:marTop w:val="0"/>
                      <w:marBottom w:val="0"/>
                      <w:divBdr>
                        <w:top w:val="none" w:sz="0" w:space="0" w:color="auto"/>
                        <w:left w:val="none" w:sz="0" w:space="0" w:color="auto"/>
                        <w:bottom w:val="none" w:sz="0" w:space="0" w:color="auto"/>
                        <w:right w:val="none" w:sz="0" w:space="0" w:color="auto"/>
                      </w:divBdr>
                    </w:div>
                    <w:div w:id="86251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085035">
              <w:marLeft w:val="0"/>
              <w:marRight w:val="0"/>
              <w:marTop w:val="0"/>
              <w:marBottom w:val="0"/>
              <w:divBdr>
                <w:top w:val="none" w:sz="0" w:space="0" w:color="auto"/>
                <w:left w:val="none" w:sz="0" w:space="0" w:color="auto"/>
                <w:bottom w:val="none" w:sz="0" w:space="0" w:color="auto"/>
                <w:right w:val="none" w:sz="0" w:space="0" w:color="auto"/>
              </w:divBdr>
              <w:divsChild>
                <w:div w:id="220487895">
                  <w:marLeft w:val="0"/>
                  <w:marRight w:val="0"/>
                  <w:marTop w:val="0"/>
                  <w:marBottom w:val="0"/>
                  <w:divBdr>
                    <w:top w:val="none" w:sz="0" w:space="0" w:color="auto"/>
                    <w:left w:val="none" w:sz="0" w:space="0" w:color="auto"/>
                    <w:bottom w:val="none" w:sz="0" w:space="0" w:color="auto"/>
                    <w:right w:val="none" w:sz="0" w:space="0" w:color="auto"/>
                  </w:divBdr>
                  <w:divsChild>
                    <w:div w:id="1848278798">
                      <w:marLeft w:val="0"/>
                      <w:marRight w:val="0"/>
                      <w:marTop w:val="0"/>
                      <w:marBottom w:val="0"/>
                      <w:divBdr>
                        <w:top w:val="none" w:sz="0" w:space="0" w:color="auto"/>
                        <w:left w:val="none" w:sz="0" w:space="0" w:color="auto"/>
                        <w:bottom w:val="none" w:sz="0" w:space="0" w:color="auto"/>
                        <w:right w:val="none" w:sz="0" w:space="0" w:color="auto"/>
                      </w:divBdr>
                    </w:div>
                    <w:div w:id="166974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410354">
              <w:marLeft w:val="0"/>
              <w:marRight w:val="0"/>
              <w:marTop w:val="0"/>
              <w:marBottom w:val="0"/>
              <w:divBdr>
                <w:top w:val="none" w:sz="0" w:space="0" w:color="auto"/>
                <w:left w:val="none" w:sz="0" w:space="0" w:color="auto"/>
                <w:bottom w:val="none" w:sz="0" w:space="0" w:color="auto"/>
                <w:right w:val="none" w:sz="0" w:space="0" w:color="auto"/>
              </w:divBdr>
              <w:divsChild>
                <w:div w:id="2063282822">
                  <w:marLeft w:val="0"/>
                  <w:marRight w:val="0"/>
                  <w:marTop w:val="0"/>
                  <w:marBottom w:val="0"/>
                  <w:divBdr>
                    <w:top w:val="none" w:sz="0" w:space="0" w:color="auto"/>
                    <w:left w:val="none" w:sz="0" w:space="0" w:color="auto"/>
                    <w:bottom w:val="none" w:sz="0" w:space="0" w:color="auto"/>
                    <w:right w:val="none" w:sz="0" w:space="0" w:color="auto"/>
                  </w:divBdr>
                  <w:divsChild>
                    <w:div w:id="498930419">
                      <w:marLeft w:val="0"/>
                      <w:marRight w:val="0"/>
                      <w:marTop w:val="0"/>
                      <w:marBottom w:val="0"/>
                      <w:divBdr>
                        <w:top w:val="none" w:sz="0" w:space="0" w:color="auto"/>
                        <w:left w:val="none" w:sz="0" w:space="0" w:color="auto"/>
                        <w:bottom w:val="none" w:sz="0" w:space="0" w:color="auto"/>
                        <w:right w:val="none" w:sz="0" w:space="0" w:color="auto"/>
                      </w:divBdr>
                    </w:div>
                    <w:div w:id="22868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165212">
          <w:marLeft w:val="0"/>
          <w:marRight w:val="0"/>
          <w:marTop w:val="0"/>
          <w:marBottom w:val="0"/>
          <w:divBdr>
            <w:top w:val="none" w:sz="0" w:space="0" w:color="auto"/>
            <w:left w:val="none" w:sz="0" w:space="0" w:color="auto"/>
            <w:bottom w:val="none" w:sz="0" w:space="0" w:color="auto"/>
            <w:right w:val="none" w:sz="0" w:space="0" w:color="auto"/>
          </w:divBdr>
        </w:div>
        <w:div w:id="158349388">
          <w:marLeft w:val="0"/>
          <w:marRight w:val="0"/>
          <w:marTop w:val="0"/>
          <w:marBottom w:val="0"/>
          <w:divBdr>
            <w:top w:val="none" w:sz="0" w:space="0" w:color="auto"/>
            <w:left w:val="none" w:sz="0" w:space="0" w:color="auto"/>
            <w:bottom w:val="none" w:sz="0" w:space="0" w:color="auto"/>
            <w:right w:val="none" w:sz="0" w:space="0" w:color="auto"/>
          </w:divBdr>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8/JPBAFM-11-2019-0168"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463087-A865-4665-96C6-4A11263BB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20</Pages>
  <Words>10162</Words>
  <Characters>57926</Characters>
  <Application>Microsoft Office Word</Application>
  <DocSecurity>8</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2022-01-18T17:59:00Z</dcterms:created>
  <dcterms:modified xsi:type="dcterms:W3CDTF">2023-03-28T19:16:00Z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